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92DBA2">
      <w:pPr>
        <w:ind w:left="480" w:firstLine="480"/>
        <w:rPr>
          <w:color w:val="auto"/>
        </w:rPr>
      </w:pPr>
    </w:p>
    <w:p w14:paraId="1A00A773">
      <w:pPr>
        <w:ind w:left="480" w:firstLine="480"/>
        <w:rPr>
          <w:color w:val="auto"/>
        </w:rPr>
      </w:pPr>
    </w:p>
    <w:p w14:paraId="2624B933">
      <w:pPr>
        <w:ind w:firstLine="843" w:firstLineChars="100"/>
        <w:rPr>
          <w:rFonts w:ascii="黑体" w:hAnsi="宋体" w:eastAsia="黑体"/>
          <w:b/>
          <w:color w:val="auto"/>
          <w:sz w:val="84"/>
          <w:szCs w:val="84"/>
        </w:rPr>
      </w:pPr>
    </w:p>
    <w:p w14:paraId="69E1ABDF">
      <w:pPr>
        <w:ind w:firstLine="0" w:firstLineChars="0"/>
        <w:rPr>
          <w:rFonts w:ascii="黑体" w:hAnsi="宋体" w:eastAsia="黑体"/>
          <w:b/>
          <w:color w:val="auto"/>
          <w:sz w:val="84"/>
          <w:szCs w:val="84"/>
        </w:rPr>
      </w:pPr>
    </w:p>
    <w:p w14:paraId="118B7BC2">
      <w:pPr>
        <w:ind w:firstLine="843" w:firstLineChars="100"/>
        <w:rPr>
          <w:rFonts w:ascii="黑体" w:hAnsi="宋体" w:eastAsia="黑体"/>
          <w:b/>
          <w:color w:val="auto"/>
          <w:sz w:val="52"/>
          <w:szCs w:val="52"/>
        </w:rPr>
      </w:pPr>
      <w:r>
        <w:rPr>
          <w:rFonts w:hint="eastAsia" w:ascii="黑体" w:hAnsi="宋体" w:eastAsia="黑体"/>
          <w:b/>
          <w:color w:val="auto"/>
          <w:sz w:val="84"/>
          <w:szCs w:val="84"/>
        </w:rPr>
        <w:t>硕 士 学 位 论 文</w:t>
      </w:r>
    </w:p>
    <w:p w14:paraId="2F176A9D">
      <w:pPr>
        <w:ind w:firstLine="3253" w:firstLineChars="900"/>
        <w:rPr>
          <w:rFonts w:ascii="黑体" w:eastAsia="黑体"/>
          <w:color w:val="auto"/>
        </w:rPr>
      </w:pPr>
      <w:r>
        <w:rPr>
          <w:rFonts w:hint="eastAsia" w:ascii="黑体" w:eastAsia="黑体"/>
          <w:b/>
          <w:color w:val="auto"/>
          <w:sz w:val="36"/>
          <w:szCs w:val="32"/>
        </w:rPr>
        <w:t>（专业学位硕士）</w:t>
      </w:r>
    </w:p>
    <w:p w14:paraId="3061D829">
      <w:pPr>
        <w:ind w:firstLine="480"/>
        <w:jc w:val="center"/>
        <w:rPr>
          <w:rFonts w:ascii="黑体" w:eastAsia="黑体"/>
          <w:color w:val="auto"/>
        </w:rPr>
      </w:pPr>
    </w:p>
    <w:p w14:paraId="34AE6F8B">
      <w:pPr>
        <w:ind w:firstLine="480"/>
        <w:rPr>
          <w:color w:val="auto"/>
        </w:rPr>
      </w:pPr>
      <w:r>
        <w:rPr>
          <w:rFonts w:hint="eastAsia"/>
          <w:color w:val="auto"/>
        </w:rPr>
        <w:t xml:space="preserve">            </w:t>
      </w:r>
    </w:p>
    <w:p w14:paraId="22F9E863">
      <w:pPr>
        <w:ind w:firstLine="0" w:firstLineChars="0"/>
        <w:jc w:val="center"/>
        <w:rPr>
          <w:rFonts w:ascii="黑体" w:eastAsia="黑体"/>
          <w:b/>
          <w:color w:val="auto"/>
          <w:sz w:val="44"/>
          <w:szCs w:val="44"/>
        </w:rPr>
      </w:pPr>
      <w:r>
        <w:rPr>
          <w:rFonts w:hint="eastAsia" w:ascii="黑体" w:eastAsia="黑体"/>
          <w:b/>
          <w:color w:val="auto"/>
          <w:sz w:val="44"/>
          <w:szCs w:val="44"/>
        </w:rPr>
        <w:t>基于LLM与深度学习的医疗器械专利自动分类研究与应用</w:t>
      </w:r>
    </w:p>
    <w:p w14:paraId="6854DCFA">
      <w:pPr>
        <w:ind w:firstLine="0" w:firstLineChars="0"/>
        <w:jc w:val="center"/>
        <w:rPr>
          <w:color w:val="auto"/>
        </w:rPr>
      </w:pPr>
      <w:r>
        <w:rPr>
          <w:rFonts w:hint="eastAsia"/>
          <w:b/>
          <w:color w:val="auto"/>
          <w:sz w:val="36"/>
          <w:szCs w:val="36"/>
        </w:rPr>
        <w:t xml:space="preserve">Research and application of medical device patent automatic classification based on LLM and deep learning </w:t>
      </w:r>
      <w:r>
        <w:rPr>
          <w:rFonts w:hint="eastAsia"/>
          <w:color w:val="auto"/>
        </w:rPr>
        <w:t xml:space="preserve">            </w:t>
      </w:r>
    </w:p>
    <w:p w14:paraId="1AAE59CF">
      <w:pPr>
        <w:ind w:firstLine="480"/>
        <w:rPr>
          <w:color w:val="auto"/>
        </w:rPr>
      </w:pPr>
    </w:p>
    <w:p w14:paraId="2DB81EC3">
      <w:pPr>
        <w:ind w:firstLine="480"/>
        <w:rPr>
          <w:color w:val="auto"/>
        </w:rPr>
      </w:pPr>
    </w:p>
    <w:p w14:paraId="0B80DA09">
      <w:pPr>
        <w:ind w:firstLine="2232" w:firstLineChars="794"/>
        <w:rPr>
          <w:rFonts w:ascii="黑体" w:hAnsi="宋体" w:eastAsia="黑体"/>
          <w:color w:val="auto"/>
          <w:sz w:val="28"/>
          <w:szCs w:val="28"/>
        </w:rPr>
      </w:pPr>
      <w:r>
        <w:rPr>
          <w:rFonts w:hint="eastAsia" w:ascii="黑体" w:hAnsi="宋体" w:eastAsia="黑体"/>
          <w:b/>
          <w:color w:val="auto"/>
          <w:sz w:val="28"/>
          <w:szCs w:val="28"/>
        </w:rPr>
        <w:t>学生姓名</w:t>
      </w:r>
      <w:r>
        <w:rPr>
          <w:rFonts w:hint="eastAsia" w:ascii="黑体" w:hAnsi="宋体" w:eastAsia="黑体"/>
          <w:color w:val="auto"/>
          <w:sz w:val="28"/>
          <w:szCs w:val="28"/>
        </w:rPr>
        <w:t xml:space="preserve"> </w:t>
      </w:r>
      <w:r>
        <w:rPr>
          <w:rFonts w:eastAsia="黑体" w:cs="Times New Roman"/>
          <w:color w:val="auto"/>
          <w:sz w:val="28"/>
          <w:szCs w:val="28"/>
          <w:u w:val="thick"/>
          <w:lang w:bidi="ar"/>
        </w:rPr>
        <w:t xml:space="preserve">       </w:t>
      </w:r>
      <w:r>
        <w:rPr>
          <w:rFonts w:hint="eastAsia" w:eastAsia="黑体" w:cs="Times New Roman"/>
          <w:color w:val="auto"/>
          <w:sz w:val="28"/>
          <w:szCs w:val="28"/>
          <w:u w:val="thick"/>
          <w:lang w:bidi="ar"/>
        </w:rPr>
        <w:t xml:space="preserve">   </w:t>
      </w:r>
      <w:r>
        <w:rPr>
          <w:rFonts w:eastAsia="黑体" w:cs="Times New Roman"/>
          <w:color w:val="auto"/>
          <w:sz w:val="28"/>
          <w:szCs w:val="28"/>
          <w:u w:val="thick"/>
          <w:lang w:bidi="ar"/>
        </w:rPr>
        <w:t xml:space="preserve">      </w:t>
      </w:r>
      <w:r>
        <w:rPr>
          <w:rFonts w:hint="eastAsia" w:eastAsia="黑体" w:cs="Times New Roman"/>
          <w:color w:val="auto"/>
          <w:sz w:val="28"/>
          <w:szCs w:val="28"/>
          <w:u w:val="thick"/>
          <w:lang w:bidi="ar"/>
        </w:rPr>
        <w:t xml:space="preserve">    </w:t>
      </w:r>
      <w:r>
        <w:rPr>
          <w:rFonts w:eastAsia="黑体" w:cs="Times New Roman"/>
          <w:color w:val="auto"/>
          <w:sz w:val="28"/>
          <w:szCs w:val="28"/>
          <w:u w:val="thick"/>
          <w:lang w:bidi="ar"/>
        </w:rPr>
        <w:t xml:space="preserve"> </w:t>
      </w:r>
      <w:r>
        <w:rPr>
          <w:rFonts w:hint="eastAsia" w:ascii="黑体" w:hAnsi="宋体" w:eastAsia="黑体"/>
          <w:color w:val="auto"/>
          <w:sz w:val="28"/>
          <w:szCs w:val="28"/>
        </w:rPr>
        <w:t xml:space="preserve">   </w:t>
      </w:r>
    </w:p>
    <w:p w14:paraId="693951C6">
      <w:pPr>
        <w:ind w:firstLine="2232" w:firstLineChars="794"/>
        <w:rPr>
          <w:rFonts w:ascii="黑体" w:hAnsi="宋体" w:eastAsia="黑体"/>
          <w:color w:val="auto"/>
          <w:sz w:val="28"/>
          <w:szCs w:val="28"/>
        </w:rPr>
      </w:pPr>
      <w:r>
        <w:rPr>
          <w:rFonts w:hint="eastAsia" w:ascii="黑体" w:hAnsi="宋体" w:eastAsia="黑体"/>
          <w:b/>
          <w:color w:val="auto"/>
          <w:sz w:val="28"/>
          <w:szCs w:val="28"/>
        </w:rPr>
        <w:t>指导教师</w:t>
      </w:r>
      <w:r>
        <w:rPr>
          <w:rFonts w:hint="eastAsia" w:ascii="黑体" w:hAnsi="宋体" w:eastAsia="黑体"/>
          <w:color w:val="auto"/>
          <w:sz w:val="28"/>
          <w:szCs w:val="28"/>
        </w:rPr>
        <w:t xml:space="preserve"> </w:t>
      </w:r>
      <w:r>
        <w:rPr>
          <w:rFonts w:eastAsia="黑体" w:cs="Times New Roman"/>
          <w:color w:val="auto"/>
          <w:sz w:val="28"/>
          <w:szCs w:val="28"/>
          <w:u w:val="thick"/>
          <w:lang w:bidi="ar"/>
        </w:rPr>
        <w:t xml:space="preserve">       </w:t>
      </w:r>
      <w:r>
        <w:rPr>
          <w:rFonts w:hint="eastAsia" w:eastAsia="黑体" w:cs="Times New Roman"/>
          <w:color w:val="auto"/>
          <w:sz w:val="28"/>
          <w:szCs w:val="28"/>
          <w:u w:val="thick"/>
          <w:lang w:bidi="ar"/>
        </w:rPr>
        <w:t xml:space="preserve"> </w:t>
      </w:r>
      <w:r>
        <w:rPr>
          <w:rFonts w:eastAsia="黑体" w:cs="Times New Roman"/>
          <w:color w:val="auto"/>
          <w:sz w:val="28"/>
          <w:szCs w:val="28"/>
          <w:u w:val="thick"/>
          <w:lang w:bidi="ar"/>
        </w:rPr>
        <w:t xml:space="preserve">     </w:t>
      </w:r>
      <w:r>
        <w:rPr>
          <w:rFonts w:hint="eastAsia" w:eastAsia="黑体" w:cs="Times New Roman"/>
          <w:color w:val="auto"/>
          <w:sz w:val="28"/>
          <w:szCs w:val="28"/>
          <w:u w:val="thick"/>
          <w:lang w:bidi="ar"/>
        </w:rPr>
        <w:t xml:space="preserve">  </w:t>
      </w:r>
      <w:r>
        <w:rPr>
          <w:rFonts w:eastAsia="黑体" w:cs="Times New Roman"/>
          <w:color w:val="auto"/>
          <w:sz w:val="28"/>
          <w:szCs w:val="28"/>
          <w:u w:val="thick"/>
          <w:lang w:bidi="ar"/>
        </w:rPr>
        <w:t xml:space="preserve">  </w:t>
      </w:r>
      <w:r>
        <w:rPr>
          <w:rFonts w:hint="eastAsia" w:eastAsia="黑体" w:cs="Times New Roman"/>
          <w:color w:val="auto"/>
          <w:sz w:val="28"/>
          <w:szCs w:val="28"/>
          <w:u w:val="thick"/>
          <w:lang w:bidi="ar"/>
        </w:rPr>
        <w:t xml:space="preserve">    </w:t>
      </w:r>
    </w:p>
    <w:p w14:paraId="57031635">
      <w:pPr>
        <w:ind w:firstLine="2232" w:firstLineChars="794"/>
        <w:rPr>
          <w:rFonts w:ascii="黑体" w:hAnsi="宋体" w:eastAsia="黑体"/>
          <w:color w:val="auto"/>
          <w:sz w:val="28"/>
          <w:szCs w:val="28"/>
        </w:rPr>
      </w:pPr>
      <w:r>
        <w:rPr>
          <w:rFonts w:hint="eastAsia" w:ascii="黑体" w:hAnsi="宋体" w:eastAsia="黑体"/>
          <w:b/>
          <w:color w:val="auto"/>
          <w:sz w:val="28"/>
          <w:szCs w:val="28"/>
        </w:rPr>
        <w:t>学科专业</w:t>
      </w:r>
      <w:r>
        <w:rPr>
          <w:rFonts w:hint="eastAsia" w:ascii="黑体" w:hAnsi="宋体" w:eastAsia="黑体"/>
          <w:color w:val="auto"/>
          <w:sz w:val="28"/>
          <w:szCs w:val="28"/>
        </w:rPr>
        <w:t xml:space="preserve"> </w:t>
      </w:r>
      <w:r>
        <w:rPr>
          <w:rFonts w:eastAsia="黑体" w:cs="Times New Roman"/>
          <w:color w:val="auto"/>
          <w:sz w:val="28"/>
          <w:szCs w:val="28"/>
          <w:u w:val="thick"/>
          <w:lang w:bidi="ar"/>
        </w:rPr>
        <w:t xml:space="preserve">     </w:t>
      </w:r>
      <w:r>
        <w:rPr>
          <w:rFonts w:hint="eastAsia" w:eastAsia="黑体" w:cs="Times New Roman"/>
          <w:color w:val="auto"/>
          <w:sz w:val="28"/>
          <w:szCs w:val="28"/>
          <w:u w:val="thick"/>
          <w:lang w:bidi="ar"/>
        </w:rPr>
        <w:t xml:space="preserve"> 生物与医药</w:t>
      </w:r>
      <w:r>
        <w:rPr>
          <w:rFonts w:eastAsia="黑体" w:cs="Times New Roman"/>
          <w:color w:val="auto"/>
          <w:sz w:val="28"/>
          <w:szCs w:val="28"/>
          <w:u w:val="thick"/>
          <w:lang w:bidi="ar"/>
        </w:rPr>
        <w:t xml:space="preserve">    </w:t>
      </w:r>
      <w:r>
        <w:rPr>
          <w:rFonts w:hint="eastAsia" w:eastAsia="黑体" w:cs="Times New Roman"/>
          <w:color w:val="auto"/>
          <w:sz w:val="28"/>
          <w:szCs w:val="28"/>
          <w:u w:val="thick"/>
          <w:lang w:bidi="ar"/>
        </w:rPr>
        <w:t xml:space="preserve"> </w:t>
      </w:r>
    </w:p>
    <w:p w14:paraId="2C77E412">
      <w:pPr>
        <w:ind w:firstLine="2226" w:firstLineChars="792"/>
        <w:rPr>
          <w:color w:val="auto"/>
        </w:rPr>
      </w:pPr>
      <w:r>
        <w:rPr>
          <w:rFonts w:hint="eastAsia" w:ascii="黑体" w:hAnsi="宋体" w:eastAsia="黑体"/>
          <w:b/>
          <w:color w:val="auto"/>
          <w:sz w:val="28"/>
          <w:szCs w:val="28"/>
        </w:rPr>
        <w:t>毕业时间</w:t>
      </w:r>
      <w:r>
        <w:rPr>
          <w:rFonts w:hint="eastAsia" w:ascii="黑体" w:eastAsia="黑体"/>
          <w:color w:val="auto"/>
          <w:sz w:val="28"/>
          <w:szCs w:val="28"/>
        </w:rPr>
        <w:t xml:space="preserve"> </w:t>
      </w:r>
      <w:r>
        <w:rPr>
          <w:rFonts w:eastAsia="黑体" w:cs="Times New Roman"/>
          <w:color w:val="auto"/>
          <w:sz w:val="28"/>
          <w:szCs w:val="28"/>
          <w:u w:val="thick"/>
          <w:lang w:bidi="ar"/>
        </w:rPr>
        <w:t xml:space="preserve">   </w:t>
      </w:r>
      <w:r>
        <w:rPr>
          <w:rFonts w:hint="eastAsia" w:eastAsia="黑体" w:cs="Times New Roman"/>
          <w:color w:val="auto"/>
          <w:sz w:val="28"/>
          <w:szCs w:val="28"/>
          <w:u w:val="thick"/>
          <w:lang w:bidi="ar"/>
        </w:rPr>
        <w:t xml:space="preserve"> 二零二六年六月</w:t>
      </w:r>
      <w:r>
        <w:rPr>
          <w:rFonts w:eastAsia="黑体" w:cs="Times New Roman"/>
          <w:color w:val="auto"/>
          <w:sz w:val="28"/>
          <w:szCs w:val="28"/>
          <w:u w:val="thick"/>
          <w:lang w:bidi="ar"/>
        </w:rPr>
        <w:t xml:space="preserve">   </w:t>
      </w:r>
      <w:r>
        <w:rPr>
          <w:rFonts w:hint="eastAsia" w:ascii="黑体" w:eastAsia="黑体"/>
          <w:color w:val="auto"/>
          <w:sz w:val="28"/>
          <w:szCs w:val="28"/>
        </w:rPr>
        <w:t xml:space="preserve">  </w:t>
      </w:r>
    </w:p>
    <w:p w14:paraId="0E7540D6">
      <w:pPr>
        <w:ind w:firstLine="482"/>
        <w:rPr>
          <w:b/>
          <w:color w:val="auto"/>
        </w:rPr>
      </w:pPr>
      <w:r>
        <w:rPr>
          <w:b/>
          <w:color w:val="auto"/>
        </w:rPr>
        <w:br w:type="page"/>
      </w:r>
    </w:p>
    <w:p w14:paraId="4345115B">
      <w:pPr>
        <w:ind w:firstLine="0" w:firstLineChars="0"/>
        <w:jc w:val="center"/>
        <w:rPr>
          <w:rFonts w:ascii="黑体" w:eastAsia="黑体"/>
          <w:bCs/>
          <w:color w:val="auto"/>
          <w:sz w:val="32"/>
          <w:szCs w:val="32"/>
        </w:rPr>
      </w:pPr>
      <w:r>
        <w:rPr>
          <w:rFonts w:hint="eastAsia" w:ascii="黑体" w:eastAsia="黑体"/>
          <w:bCs/>
          <w:color w:val="auto"/>
          <w:sz w:val="32"/>
          <w:szCs w:val="32"/>
        </w:rPr>
        <w:t>基于LLM与深度学习的医疗器械专利自动分类研究与应用</w:t>
      </w:r>
    </w:p>
    <w:p w14:paraId="4BB7B210">
      <w:pPr>
        <w:pStyle w:val="7"/>
        <w:ind w:firstLine="0" w:firstLineChars="0"/>
        <w:rPr>
          <w:rFonts w:ascii="黑体" w:hAnsi="黑体" w:eastAsia="黑体"/>
          <w:color w:val="auto"/>
          <w:sz w:val="32"/>
          <w:szCs w:val="32"/>
        </w:rPr>
      </w:pPr>
    </w:p>
    <w:p w14:paraId="61370021">
      <w:pPr>
        <w:pStyle w:val="7"/>
        <w:ind w:firstLine="560"/>
        <w:rPr>
          <w:rFonts w:asciiTheme="majorEastAsia" w:hAnsiTheme="majorEastAsia" w:eastAsiaTheme="majorEastAsia"/>
          <w:color w:val="auto"/>
          <w:sz w:val="28"/>
          <w:szCs w:val="28"/>
        </w:rPr>
      </w:pPr>
      <w:r>
        <w:rPr>
          <w:rFonts w:hint="eastAsia" w:asciiTheme="majorEastAsia" w:hAnsiTheme="majorEastAsia" w:eastAsiaTheme="majorEastAsia"/>
          <w:color w:val="auto"/>
          <w:sz w:val="28"/>
          <w:szCs w:val="28"/>
        </w:rPr>
        <w:t>学位授予</w:t>
      </w:r>
      <w:r>
        <w:rPr>
          <w:rFonts w:asciiTheme="majorEastAsia" w:hAnsiTheme="majorEastAsia" w:eastAsiaTheme="majorEastAsia"/>
          <w:color w:val="auto"/>
          <w:sz w:val="28"/>
          <w:szCs w:val="28"/>
        </w:rPr>
        <w:t>单位：</w:t>
      </w:r>
      <w:r>
        <w:rPr>
          <w:rFonts w:hint="eastAsia" w:hAnsi="宋体" w:cs="宋体"/>
          <w:color w:val="auto"/>
          <w:sz w:val="28"/>
          <w:szCs w:val="28"/>
        </w:rPr>
        <w:t>沈阳药科大学</w:t>
      </w:r>
      <w:r>
        <w:rPr>
          <w:rFonts w:asciiTheme="majorEastAsia" w:hAnsiTheme="majorEastAsia" w:eastAsiaTheme="majorEastAsia"/>
          <w:color w:val="auto"/>
          <w:sz w:val="28"/>
          <w:szCs w:val="28"/>
        </w:rPr>
        <w:t xml:space="preserve">       </w:t>
      </w:r>
      <w:r>
        <w:rPr>
          <w:rFonts w:hint="eastAsia" w:asciiTheme="majorEastAsia" w:hAnsiTheme="majorEastAsia" w:eastAsiaTheme="majorEastAsia"/>
          <w:color w:val="auto"/>
          <w:sz w:val="28"/>
          <w:szCs w:val="28"/>
        </w:rPr>
        <w:t xml:space="preserve">     </w:t>
      </w:r>
      <w:r>
        <w:rPr>
          <w:rFonts w:asciiTheme="majorEastAsia" w:hAnsiTheme="majorEastAsia" w:eastAsiaTheme="majorEastAsia"/>
          <w:color w:val="auto"/>
          <w:sz w:val="28"/>
          <w:szCs w:val="28"/>
        </w:rPr>
        <w:t>代码：10163</w:t>
      </w:r>
    </w:p>
    <w:p w14:paraId="160CD68C">
      <w:pPr>
        <w:pStyle w:val="7"/>
        <w:ind w:firstLine="560"/>
        <w:rPr>
          <w:rFonts w:asciiTheme="majorEastAsia" w:hAnsiTheme="majorEastAsia" w:eastAsiaTheme="majorEastAsia"/>
          <w:color w:val="auto"/>
          <w:sz w:val="28"/>
          <w:szCs w:val="28"/>
        </w:rPr>
      </w:pPr>
      <w:r>
        <w:rPr>
          <w:rFonts w:asciiTheme="majorEastAsia" w:hAnsiTheme="majorEastAsia" w:eastAsiaTheme="majorEastAsia"/>
          <w:color w:val="auto"/>
          <w:sz w:val="28"/>
          <w:szCs w:val="28"/>
        </w:rPr>
        <w:t>研究生姓名：</w:t>
      </w:r>
    </w:p>
    <w:p w14:paraId="058F6333">
      <w:pPr>
        <w:pStyle w:val="7"/>
        <w:ind w:firstLine="560"/>
        <w:rPr>
          <w:rFonts w:asciiTheme="majorEastAsia" w:hAnsiTheme="majorEastAsia" w:eastAsiaTheme="majorEastAsia"/>
          <w:color w:val="auto"/>
          <w:sz w:val="28"/>
          <w:szCs w:val="28"/>
        </w:rPr>
      </w:pPr>
      <w:r>
        <w:rPr>
          <w:rFonts w:asciiTheme="majorEastAsia" w:hAnsiTheme="majorEastAsia" w:eastAsiaTheme="majorEastAsia"/>
          <w:color w:val="auto"/>
          <w:sz w:val="28"/>
          <w:szCs w:val="28"/>
        </w:rPr>
        <w:t>所学专业：</w:t>
      </w:r>
      <w:r>
        <w:rPr>
          <w:rFonts w:hint="eastAsia" w:hAnsi="宋体" w:cs="宋体"/>
          <w:color w:val="auto"/>
          <w:sz w:val="28"/>
          <w:szCs w:val="28"/>
        </w:rPr>
        <w:t>生物与医药</w:t>
      </w:r>
    </w:p>
    <w:p w14:paraId="68DD40B1">
      <w:pPr>
        <w:pStyle w:val="7"/>
        <w:ind w:firstLine="560"/>
        <w:rPr>
          <w:rFonts w:asciiTheme="majorEastAsia" w:hAnsiTheme="majorEastAsia" w:eastAsiaTheme="majorEastAsia"/>
          <w:color w:val="auto"/>
          <w:sz w:val="28"/>
          <w:szCs w:val="28"/>
        </w:rPr>
      </w:pPr>
      <w:r>
        <w:rPr>
          <w:rFonts w:asciiTheme="majorEastAsia" w:hAnsiTheme="majorEastAsia" w:eastAsiaTheme="majorEastAsia"/>
          <w:color w:val="auto"/>
          <w:sz w:val="28"/>
          <w:szCs w:val="28"/>
        </w:rPr>
        <w:t>学位类别：</w:t>
      </w:r>
      <w:r>
        <w:rPr>
          <w:rFonts w:hint="eastAsia" w:hAnsi="宋体" w:cs="宋体"/>
          <w:color w:val="auto"/>
          <w:sz w:val="28"/>
          <w:szCs w:val="28"/>
        </w:rPr>
        <w:t>硕士</w:t>
      </w:r>
    </w:p>
    <w:p w14:paraId="0B07A3BD">
      <w:pPr>
        <w:pStyle w:val="7"/>
        <w:ind w:firstLine="560"/>
        <w:rPr>
          <w:rFonts w:asciiTheme="majorEastAsia" w:hAnsiTheme="majorEastAsia" w:eastAsiaTheme="majorEastAsia"/>
          <w:color w:val="auto"/>
          <w:sz w:val="28"/>
          <w:szCs w:val="28"/>
        </w:rPr>
      </w:pPr>
      <w:r>
        <w:rPr>
          <w:rFonts w:asciiTheme="majorEastAsia" w:hAnsiTheme="majorEastAsia" w:eastAsiaTheme="majorEastAsia"/>
          <w:color w:val="auto"/>
          <w:sz w:val="28"/>
          <w:szCs w:val="28"/>
        </w:rPr>
        <w:t>指导教师：           职称：</w:t>
      </w:r>
    </w:p>
    <w:p w14:paraId="3F21508B">
      <w:pPr>
        <w:pStyle w:val="7"/>
        <w:ind w:firstLine="560"/>
        <w:rPr>
          <w:rFonts w:asciiTheme="majorEastAsia" w:hAnsiTheme="majorEastAsia" w:eastAsiaTheme="majorEastAsia"/>
          <w:color w:val="auto"/>
          <w:sz w:val="28"/>
          <w:szCs w:val="28"/>
        </w:rPr>
      </w:pPr>
      <w:r>
        <w:rPr>
          <w:rFonts w:asciiTheme="majorEastAsia" w:hAnsiTheme="majorEastAsia" w:eastAsiaTheme="majorEastAsia"/>
          <w:color w:val="auto"/>
          <w:sz w:val="28"/>
          <w:szCs w:val="28"/>
        </w:rPr>
        <w:t>评阅人：             职称：</w:t>
      </w:r>
    </w:p>
    <w:p w14:paraId="7C1BB7E3">
      <w:pPr>
        <w:pStyle w:val="7"/>
        <w:ind w:firstLine="560"/>
        <w:rPr>
          <w:rFonts w:asciiTheme="majorEastAsia" w:hAnsiTheme="majorEastAsia" w:eastAsiaTheme="majorEastAsia"/>
          <w:color w:val="auto"/>
          <w:sz w:val="28"/>
          <w:szCs w:val="28"/>
        </w:rPr>
      </w:pPr>
      <w:r>
        <w:rPr>
          <w:rFonts w:asciiTheme="majorEastAsia" w:hAnsiTheme="majorEastAsia" w:eastAsiaTheme="majorEastAsia"/>
          <w:color w:val="auto"/>
          <w:sz w:val="28"/>
          <w:szCs w:val="28"/>
        </w:rPr>
        <w:t>学位论文完成日期：</w:t>
      </w:r>
      <w:r>
        <w:rPr>
          <w:rFonts w:hint="eastAsia" w:asciiTheme="majorEastAsia" w:hAnsiTheme="majorEastAsia" w:eastAsiaTheme="majorEastAsia"/>
          <w:color w:val="auto"/>
          <w:sz w:val="28"/>
          <w:szCs w:val="28"/>
        </w:rPr>
        <w:t>2026</w:t>
      </w:r>
      <w:r>
        <w:rPr>
          <w:rFonts w:hint="eastAsia" w:hAnsi="宋体" w:cs="宋体"/>
          <w:color w:val="auto"/>
          <w:sz w:val="28"/>
          <w:szCs w:val="28"/>
        </w:rPr>
        <w:t>年</w:t>
      </w:r>
      <w:r>
        <w:rPr>
          <w:rFonts w:hint="eastAsia" w:asciiTheme="majorEastAsia" w:hAnsiTheme="majorEastAsia" w:eastAsiaTheme="majorEastAsia"/>
          <w:color w:val="auto"/>
          <w:sz w:val="28"/>
          <w:szCs w:val="28"/>
        </w:rPr>
        <w:t>5</w:t>
      </w:r>
      <w:r>
        <w:rPr>
          <w:rFonts w:hint="eastAsia" w:hAnsi="宋体" w:cs="宋体"/>
          <w:color w:val="auto"/>
          <w:sz w:val="28"/>
          <w:szCs w:val="28"/>
        </w:rPr>
        <w:t>月</w:t>
      </w:r>
    </w:p>
    <w:p w14:paraId="4E6A8609">
      <w:pPr>
        <w:pStyle w:val="7"/>
        <w:ind w:firstLine="560"/>
        <w:rPr>
          <w:rFonts w:asciiTheme="majorEastAsia" w:hAnsiTheme="majorEastAsia" w:eastAsiaTheme="majorEastAsia"/>
          <w:color w:val="auto"/>
          <w:sz w:val="28"/>
          <w:szCs w:val="28"/>
        </w:rPr>
      </w:pPr>
      <w:r>
        <w:rPr>
          <w:rFonts w:asciiTheme="majorEastAsia" w:hAnsiTheme="majorEastAsia" w:eastAsiaTheme="majorEastAsia"/>
          <w:color w:val="auto"/>
          <w:sz w:val="28"/>
          <w:szCs w:val="28"/>
        </w:rPr>
        <w:t>答辩委员会主席：</w:t>
      </w:r>
    </w:p>
    <w:p w14:paraId="67A4E9CC">
      <w:pPr>
        <w:pStyle w:val="7"/>
        <w:ind w:firstLine="560"/>
        <w:rPr>
          <w:rFonts w:asciiTheme="majorEastAsia" w:hAnsiTheme="majorEastAsia" w:eastAsiaTheme="majorEastAsia"/>
          <w:color w:val="auto"/>
          <w:sz w:val="28"/>
          <w:szCs w:val="28"/>
        </w:rPr>
      </w:pPr>
      <w:r>
        <w:rPr>
          <w:rFonts w:asciiTheme="majorEastAsia" w:hAnsiTheme="majorEastAsia" w:eastAsiaTheme="majorEastAsia"/>
          <w:color w:val="auto"/>
          <w:sz w:val="28"/>
          <w:szCs w:val="28"/>
        </w:rPr>
        <w:t>答辩时间：</w:t>
      </w:r>
      <w:r>
        <w:rPr>
          <w:rFonts w:hint="eastAsia" w:asciiTheme="majorEastAsia" w:hAnsiTheme="majorEastAsia" w:eastAsiaTheme="majorEastAsia"/>
          <w:color w:val="auto"/>
          <w:sz w:val="28"/>
          <w:szCs w:val="28"/>
        </w:rPr>
        <w:t>2026</w:t>
      </w:r>
      <w:r>
        <w:rPr>
          <w:rFonts w:hint="eastAsia" w:hAnsi="宋体" w:cs="宋体"/>
          <w:color w:val="auto"/>
          <w:sz w:val="28"/>
          <w:szCs w:val="28"/>
        </w:rPr>
        <w:t>年</w:t>
      </w:r>
      <w:r>
        <w:rPr>
          <w:rFonts w:hint="eastAsia" w:asciiTheme="majorEastAsia" w:hAnsiTheme="majorEastAsia" w:eastAsiaTheme="majorEastAsia"/>
          <w:color w:val="auto"/>
          <w:sz w:val="28"/>
          <w:szCs w:val="28"/>
        </w:rPr>
        <w:t>6</w:t>
      </w:r>
      <w:r>
        <w:rPr>
          <w:rFonts w:hint="eastAsia" w:hAnsi="宋体" w:cs="宋体"/>
          <w:color w:val="auto"/>
          <w:sz w:val="28"/>
          <w:szCs w:val="28"/>
        </w:rPr>
        <w:t>月</w:t>
      </w:r>
      <w:r>
        <w:rPr>
          <w:rFonts w:hint="eastAsia" w:asciiTheme="majorEastAsia" w:hAnsiTheme="majorEastAsia" w:eastAsiaTheme="majorEastAsia"/>
          <w:color w:val="auto"/>
          <w:sz w:val="28"/>
          <w:szCs w:val="28"/>
        </w:rPr>
        <w:t>x</w:t>
      </w:r>
      <w:r>
        <w:rPr>
          <w:rFonts w:hint="eastAsia" w:hAnsi="宋体" w:cs="宋体"/>
          <w:color w:val="auto"/>
          <w:sz w:val="28"/>
          <w:szCs w:val="28"/>
        </w:rPr>
        <w:t>日</w:t>
      </w:r>
    </w:p>
    <w:p w14:paraId="3CAA31D8">
      <w:pPr>
        <w:pStyle w:val="7"/>
        <w:ind w:firstLine="560"/>
        <w:rPr>
          <w:rFonts w:asciiTheme="majorEastAsia" w:hAnsiTheme="majorEastAsia" w:eastAsiaTheme="majorEastAsia"/>
          <w:color w:val="auto"/>
          <w:sz w:val="28"/>
          <w:szCs w:val="28"/>
        </w:rPr>
      </w:pPr>
      <w:r>
        <w:rPr>
          <w:rFonts w:asciiTheme="majorEastAsia" w:hAnsiTheme="majorEastAsia" w:eastAsiaTheme="majorEastAsia"/>
          <w:color w:val="auto"/>
          <w:sz w:val="28"/>
          <w:szCs w:val="28"/>
        </w:rPr>
        <w:t xml:space="preserve">计：学位论文   </w:t>
      </w:r>
      <w:r>
        <w:rPr>
          <w:rFonts w:hint="eastAsia" w:asciiTheme="majorEastAsia" w:hAnsiTheme="majorEastAsia" w:eastAsiaTheme="majorEastAsia"/>
          <w:color w:val="auto"/>
          <w:sz w:val="28"/>
          <w:szCs w:val="28"/>
        </w:rPr>
        <w:t xml:space="preserve"> </w:t>
      </w:r>
      <w:r>
        <w:rPr>
          <w:rFonts w:asciiTheme="majorEastAsia" w:hAnsiTheme="majorEastAsia" w:eastAsiaTheme="majorEastAsia"/>
          <w:color w:val="auto"/>
          <w:sz w:val="28"/>
          <w:szCs w:val="28"/>
        </w:rPr>
        <w:t>页</w:t>
      </w:r>
    </w:p>
    <w:p w14:paraId="6846F32C">
      <w:pPr>
        <w:pStyle w:val="7"/>
        <w:ind w:firstLine="560"/>
        <w:rPr>
          <w:rFonts w:asciiTheme="majorEastAsia" w:hAnsiTheme="majorEastAsia" w:eastAsiaTheme="majorEastAsia"/>
          <w:color w:val="auto"/>
          <w:sz w:val="28"/>
          <w:szCs w:val="28"/>
        </w:rPr>
      </w:pPr>
      <w:r>
        <w:rPr>
          <w:rFonts w:asciiTheme="majorEastAsia" w:hAnsiTheme="majorEastAsia" w:eastAsiaTheme="majorEastAsia"/>
          <w:color w:val="auto"/>
          <w:sz w:val="28"/>
          <w:szCs w:val="28"/>
        </w:rPr>
        <w:t xml:space="preserve">        表格   </w:t>
      </w:r>
      <w:r>
        <w:rPr>
          <w:rFonts w:hint="eastAsia" w:asciiTheme="majorEastAsia" w:hAnsiTheme="majorEastAsia" w:eastAsiaTheme="majorEastAsia"/>
          <w:color w:val="auto"/>
          <w:sz w:val="28"/>
          <w:szCs w:val="28"/>
        </w:rPr>
        <w:t xml:space="preserve"> </w:t>
      </w:r>
      <w:r>
        <w:rPr>
          <w:rFonts w:asciiTheme="majorEastAsia" w:hAnsiTheme="majorEastAsia" w:eastAsiaTheme="majorEastAsia"/>
          <w:color w:val="auto"/>
          <w:sz w:val="28"/>
          <w:szCs w:val="28"/>
        </w:rPr>
        <w:t>个</w:t>
      </w:r>
    </w:p>
    <w:p w14:paraId="04EBD8AC">
      <w:pPr>
        <w:pStyle w:val="7"/>
        <w:ind w:firstLine="560"/>
        <w:rPr>
          <w:rFonts w:asciiTheme="majorEastAsia" w:hAnsiTheme="majorEastAsia" w:eastAsiaTheme="majorEastAsia"/>
          <w:color w:val="auto"/>
          <w:sz w:val="28"/>
          <w:szCs w:val="28"/>
        </w:rPr>
      </w:pPr>
      <w:r>
        <w:rPr>
          <w:rFonts w:asciiTheme="majorEastAsia" w:hAnsiTheme="majorEastAsia" w:eastAsiaTheme="majorEastAsia"/>
          <w:color w:val="auto"/>
          <w:sz w:val="28"/>
          <w:szCs w:val="28"/>
        </w:rPr>
        <w:t xml:space="preserve">        插图 </w:t>
      </w:r>
      <w:r>
        <w:rPr>
          <w:rFonts w:hint="eastAsia" w:asciiTheme="majorEastAsia" w:hAnsiTheme="majorEastAsia" w:eastAsiaTheme="majorEastAsia"/>
          <w:color w:val="auto"/>
          <w:sz w:val="28"/>
          <w:szCs w:val="28"/>
        </w:rPr>
        <w:t xml:space="preserve"> </w:t>
      </w:r>
      <w:r>
        <w:rPr>
          <w:rFonts w:asciiTheme="majorEastAsia" w:hAnsiTheme="majorEastAsia" w:eastAsiaTheme="majorEastAsia"/>
          <w:color w:val="auto"/>
          <w:sz w:val="28"/>
          <w:szCs w:val="28"/>
        </w:rPr>
        <w:t xml:space="preserve">  幅</w:t>
      </w:r>
    </w:p>
    <w:p w14:paraId="66E3F15C">
      <w:pPr>
        <w:ind w:firstLine="560"/>
        <w:rPr>
          <w:rFonts w:asciiTheme="majorEastAsia" w:hAnsiTheme="majorEastAsia" w:eastAsiaTheme="majorEastAsia"/>
          <w:color w:val="auto"/>
          <w:sz w:val="28"/>
          <w:szCs w:val="28"/>
        </w:rPr>
      </w:pPr>
      <w:r>
        <w:rPr>
          <w:rFonts w:asciiTheme="majorEastAsia" w:hAnsiTheme="majorEastAsia" w:eastAsiaTheme="majorEastAsia"/>
          <w:color w:val="auto"/>
          <w:sz w:val="28"/>
          <w:szCs w:val="28"/>
        </w:rPr>
        <w:br w:type="page"/>
      </w:r>
    </w:p>
    <w:p w14:paraId="51AF3D13">
      <w:pPr>
        <w:ind w:firstLine="0" w:firstLineChars="0"/>
        <w:jc w:val="center"/>
        <w:rPr>
          <w:rFonts w:ascii="黑体" w:eastAsia="黑体"/>
          <w:bCs/>
          <w:color w:val="auto"/>
          <w:sz w:val="32"/>
          <w:szCs w:val="32"/>
        </w:rPr>
      </w:pPr>
      <w:r>
        <w:rPr>
          <w:rFonts w:hint="eastAsia" w:ascii="黑体" w:eastAsia="黑体"/>
          <w:bCs/>
          <w:color w:val="auto"/>
          <w:sz w:val="32"/>
          <w:szCs w:val="32"/>
        </w:rPr>
        <w:t>基于LLM与深度学习的医疗器械专利自动分类研究与应用</w:t>
      </w:r>
    </w:p>
    <w:p w14:paraId="4AC6D5E6">
      <w:pPr>
        <w:pStyle w:val="7"/>
        <w:ind w:firstLine="0" w:firstLineChars="0"/>
        <w:rPr>
          <w:rFonts w:asciiTheme="majorEastAsia" w:hAnsiTheme="majorEastAsia" w:eastAsiaTheme="majorEastAsia"/>
          <w:color w:val="auto"/>
          <w:sz w:val="28"/>
          <w:szCs w:val="28"/>
        </w:rPr>
      </w:pPr>
    </w:p>
    <w:p w14:paraId="4908A3C8">
      <w:pPr>
        <w:pStyle w:val="7"/>
        <w:ind w:firstLine="560"/>
        <w:rPr>
          <w:rFonts w:asciiTheme="majorEastAsia" w:hAnsiTheme="majorEastAsia" w:eastAsiaTheme="majorEastAsia"/>
          <w:color w:val="auto"/>
          <w:sz w:val="28"/>
          <w:szCs w:val="28"/>
        </w:rPr>
      </w:pPr>
      <w:r>
        <w:rPr>
          <w:rFonts w:hint="eastAsia" w:asciiTheme="majorEastAsia" w:hAnsiTheme="majorEastAsia" w:eastAsiaTheme="majorEastAsia"/>
          <w:color w:val="auto"/>
          <w:sz w:val="28"/>
          <w:szCs w:val="28"/>
        </w:rPr>
        <w:t>研究生姓名：</w:t>
      </w:r>
    </w:p>
    <w:p w14:paraId="6B801794">
      <w:pPr>
        <w:pStyle w:val="7"/>
        <w:ind w:firstLine="560"/>
        <w:rPr>
          <w:rFonts w:asciiTheme="majorEastAsia" w:hAnsiTheme="majorEastAsia" w:eastAsiaTheme="majorEastAsia"/>
          <w:color w:val="auto"/>
          <w:sz w:val="28"/>
          <w:szCs w:val="28"/>
        </w:rPr>
      </w:pPr>
    </w:p>
    <w:p w14:paraId="2C15867F">
      <w:pPr>
        <w:pStyle w:val="7"/>
        <w:ind w:firstLine="560"/>
        <w:rPr>
          <w:rFonts w:asciiTheme="majorEastAsia" w:hAnsiTheme="majorEastAsia" w:eastAsiaTheme="majorEastAsia"/>
          <w:color w:val="auto"/>
          <w:sz w:val="28"/>
          <w:szCs w:val="28"/>
        </w:rPr>
      </w:pPr>
      <w:r>
        <w:rPr>
          <w:rFonts w:hint="eastAsia" w:asciiTheme="majorEastAsia" w:hAnsiTheme="majorEastAsia" w:eastAsiaTheme="majorEastAsia"/>
          <w:color w:val="auto"/>
          <w:sz w:val="28"/>
          <w:szCs w:val="28"/>
        </w:rPr>
        <w:t>导</w:t>
      </w:r>
      <w:r>
        <w:rPr>
          <w:rFonts w:asciiTheme="majorEastAsia" w:hAnsiTheme="majorEastAsia" w:eastAsiaTheme="majorEastAsia"/>
          <w:color w:val="auto"/>
          <w:sz w:val="28"/>
          <w:szCs w:val="28"/>
        </w:rPr>
        <w:t xml:space="preserve"> </w:t>
      </w:r>
      <w:r>
        <w:rPr>
          <w:rFonts w:hint="eastAsia" w:asciiTheme="majorEastAsia" w:hAnsiTheme="majorEastAsia" w:eastAsiaTheme="majorEastAsia"/>
          <w:color w:val="auto"/>
          <w:sz w:val="28"/>
          <w:szCs w:val="28"/>
        </w:rPr>
        <w:t>师</w:t>
      </w:r>
      <w:r>
        <w:rPr>
          <w:rFonts w:asciiTheme="majorEastAsia" w:hAnsiTheme="majorEastAsia" w:eastAsiaTheme="majorEastAsia"/>
          <w:color w:val="auto"/>
          <w:sz w:val="28"/>
          <w:szCs w:val="28"/>
        </w:rPr>
        <w:t xml:space="preserve"> </w:t>
      </w:r>
      <w:r>
        <w:rPr>
          <w:rFonts w:hint="eastAsia" w:asciiTheme="majorEastAsia" w:hAnsiTheme="majorEastAsia" w:eastAsiaTheme="majorEastAsia"/>
          <w:color w:val="auto"/>
          <w:sz w:val="28"/>
          <w:szCs w:val="28"/>
        </w:rPr>
        <w:t>姓名：</w:t>
      </w:r>
    </w:p>
    <w:p w14:paraId="50D5882F">
      <w:pPr>
        <w:pStyle w:val="7"/>
        <w:ind w:firstLine="560"/>
        <w:rPr>
          <w:rFonts w:asciiTheme="majorEastAsia" w:hAnsiTheme="majorEastAsia" w:eastAsiaTheme="majorEastAsia"/>
          <w:color w:val="auto"/>
          <w:sz w:val="28"/>
          <w:szCs w:val="28"/>
        </w:rPr>
      </w:pPr>
    </w:p>
    <w:p w14:paraId="2AD648F2">
      <w:pPr>
        <w:pStyle w:val="7"/>
        <w:ind w:firstLine="560"/>
        <w:rPr>
          <w:rFonts w:asciiTheme="majorEastAsia" w:hAnsiTheme="majorEastAsia" w:eastAsiaTheme="majorEastAsia"/>
          <w:color w:val="auto"/>
          <w:sz w:val="28"/>
          <w:szCs w:val="28"/>
        </w:rPr>
      </w:pPr>
      <w:r>
        <w:rPr>
          <w:rFonts w:hint="eastAsia" w:asciiTheme="majorEastAsia" w:hAnsiTheme="majorEastAsia" w:eastAsiaTheme="majorEastAsia"/>
          <w:color w:val="auto"/>
          <w:sz w:val="28"/>
          <w:szCs w:val="28"/>
        </w:rPr>
        <w:t>答辩委员会主席：</w:t>
      </w:r>
    </w:p>
    <w:p w14:paraId="79B92588">
      <w:pPr>
        <w:pStyle w:val="7"/>
        <w:ind w:firstLine="560"/>
        <w:rPr>
          <w:rFonts w:asciiTheme="majorEastAsia" w:hAnsiTheme="majorEastAsia" w:eastAsiaTheme="majorEastAsia"/>
          <w:color w:val="auto"/>
          <w:sz w:val="28"/>
          <w:szCs w:val="28"/>
        </w:rPr>
      </w:pPr>
    </w:p>
    <w:p w14:paraId="4EE1C665">
      <w:pPr>
        <w:pStyle w:val="7"/>
        <w:ind w:firstLine="560"/>
        <w:rPr>
          <w:rFonts w:asciiTheme="majorEastAsia" w:hAnsiTheme="majorEastAsia" w:eastAsiaTheme="majorEastAsia"/>
          <w:color w:val="auto"/>
          <w:sz w:val="28"/>
          <w:szCs w:val="28"/>
        </w:rPr>
      </w:pPr>
      <w:r>
        <w:rPr>
          <w:rFonts w:hint="eastAsia" w:asciiTheme="majorEastAsia" w:hAnsiTheme="majorEastAsia" w:eastAsiaTheme="majorEastAsia"/>
          <w:color w:val="auto"/>
          <w:sz w:val="28"/>
          <w:szCs w:val="28"/>
        </w:rPr>
        <w:t>答辩委员会委员：</w:t>
      </w:r>
    </w:p>
    <w:p w14:paraId="4684F16C">
      <w:pPr>
        <w:pStyle w:val="7"/>
        <w:ind w:firstLine="560"/>
        <w:rPr>
          <w:rFonts w:asciiTheme="majorEastAsia" w:hAnsiTheme="majorEastAsia" w:eastAsiaTheme="majorEastAsia"/>
          <w:color w:val="auto"/>
          <w:sz w:val="28"/>
          <w:szCs w:val="28"/>
        </w:rPr>
      </w:pPr>
    </w:p>
    <w:p w14:paraId="752EA92D">
      <w:pPr>
        <w:pStyle w:val="7"/>
        <w:ind w:firstLine="560"/>
        <w:rPr>
          <w:rFonts w:asciiTheme="majorEastAsia" w:hAnsiTheme="majorEastAsia" w:eastAsiaTheme="majorEastAsia"/>
          <w:color w:val="auto"/>
          <w:sz w:val="28"/>
          <w:szCs w:val="28"/>
        </w:rPr>
      </w:pPr>
      <w:r>
        <w:rPr>
          <w:rFonts w:hint="eastAsia" w:asciiTheme="majorEastAsia" w:hAnsiTheme="majorEastAsia" w:eastAsiaTheme="majorEastAsia"/>
          <w:color w:val="auto"/>
          <w:sz w:val="28"/>
          <w:szCs w:val="28"/>
        </w:rPr>
        <w:t>申请学位级别：硕士学位</w:t>
      </w:r>
      <w:r>
        <w:rPr>
          <w:rFonts w:asciiTheme="majorEastAsia" w:hAnsiTheme="majorEastAsia" w:eastAsiaTheme="majorEastAsia"/>
          <w:color w:val="auto"/>
          <w:sz w:val="28"/>
          <w:szCs w:val="28"/>
        </w:rPr>
        <w:t xml:space="preserve"> </w:t>
      </w:r>
      <w:r>
        <w:rPr>
          <w:rFonts w:hint="eastAsia" w:asciiTheme="majorEastAsia" w:hAnsiTheme="majorEastAsia" w:eastAsiaTheme="majorEastAsia"/>
          <w:color w:val="auto"/>
          <w:sz w:val="28"/>
          <w:szCs w:val="28"/>
        </w:rPr>
        <w:t xml:space="preserve">     专业名称：生物与医药</w:t>
      </w:r>
    </w:p>
    <w:p w14:paraId="1A1D2799">
      <w:pPr>
        <w:pStyle w:val="7"/>
        <w:ind w:firstLine="560"/>
        <w:rPr>
          <w:rFonts w:asciiTheme="majorEastAsia" w:hAnsiTheme="majorEastAsia" w:eastAsiaTheme="majorEastAsia"/>
          <w:color w:val="auto"/>
          <w:sz w:val="28"/>
          <w:szCs w:val="28"/>
        </w:rPr>
      </w:pPr>
      <w:r>
        <w:rPr>
          <w:rFonts w:hint="eastAsia" w:asciiTheme="majorEastAsia" w:hAnsiTheme="majorEastAsia" w:eastAsiaTheme="majorEastAsia"/>
          <w:color w:val="auto"/>
          <w:sz w:val="28"/>
          <w:szCs w:val="28"/>
        </w:rPr>
        <w:t>答辩日期：</w:t>
      </w:r>
    </w:p>
    <w:p w14:paraId="6B84E2FC">
      <w:pPr>
        <w:ind w:firstLine="560"/>
        <w:rPr>
          <w:rFonts w:ascii="黑体" w:hAnsi="宋体" w:eastAsia="黑体" w:cs="宋体"/>
          <w:b/>
          <w:color w:val="auto"/>
          <w:sz w:val="32"/>
          <w:szCs w:val="32"/>
        </w:rPr>
      </w:pPr>
      <w:r>
        <w:rPr>
          <w:rFonts w:asciiTheme="majorEastAsia" w:hAnsiTheme="majorEastAsia" w:eastAsiaTheme="majorEastAsia"/>
          <w:color w:val="auto"/>
          <w:sz w:val="28"/>
          <w:szCs w:val="28"/>
        </w:rPr>
        <w:br w:type="page"/>
      </w:r>
    </w:p>
    <w:p w14:paraId="6404C58C">
      <w:pPr>
        <w:widowControl/>
        <w:ind w:firstLine="0" w:firstLineChars="0"/>
        <w:jc w:val="center"/>
        <w:rPr>
          <w:rFonts w:ascii="黑体" w:hAnsi="宋体" w:eastAsia="黑体" w:cs="宋体"/>
          <w:b/>
          <w:color w:val="auto"/>
          <w:sz w:val="32"/>
          <w:szCs w:val="32"/>
        </w:rPr>
      </w:pPr>
    </w:p>
    <w:p w14:paraId="261B6A32">
      <w:pPr>
        <w:widowControl/>
        <w:ind w:firstLine="0" w:firstLineChars="0"/>
        <w:jc w:val="center"/>
        <w:rPr>
          <w:rFonts w:ascii="黑体" w:hAnsi="宋体" w:eastAsia="黑体" w:cs="宋体"/>
          <w:b/>
          <w:color w:val="auto"/>
          <w:kern w:val="0"/>
          <w:sz w:val="32"/>
          <w:szCs w:val="32"/>
        </w:rPr>
      </w:pPr>
      <w:r>
        <w:rPr>
          <w:rFonts w:ascii="黑体" w:hAnsi="宋体" w:eastAsia="黑体" w:cs="宋体"/>
          <w:b/>
          <w:color w:val="auto"/>
          <w:kern w:val="0"/>
          <w:sz w:val="32"/>
          <w:szCs w:val="32"/>
        </w:rPr>
        <w:t>关于学位论文独立完成和内容创新的声明</w:t>
      </w:r>
    </w:p>
    <w:p w14:paraId="04C5CDF2">
      <w:pPr>
        <w:widowControl/>
        <w:ind w:firstLine="480"/>
        <w:jc w:val="center"/>
        <w:rPr>
          <w:rFonts w:ascii="宋体" w:hAnsi="宋体" w:cs="宋体"/>
          <w:color w:val="auto"/>
          <w:kern w:val="0"/>
        </w:rPr>
      </w:pPr>
    </w:p>
    <w:p w14:paraId="337A5EDC">
      <w:pPr>
        <w:ind w:firstLine="540" w:firstLineChars="225"/>
        <w:rPr>
          <w:color w:val="auto"/>
        </w:rPr>
      </w:pPr>
      <w:r>
        <w:rPr>
          <w:rFonts w:hint="eastAsia"/>
          <w:color w:val="auto"/>
        </w:rPr>
        <w:t>本人郑重声明：</w:t>
      </w:r>
      <w:r>
        <w:rPr>
          <w:color w:val="auto"/>
        </w:rPr>
        <w:t xml:space="preserve"> </w:t>
      </w:r>
      <w:r>
        <w:rPr>
          <w:rFonts w:hint="eastAsia"/>
          <w:color w:val="auto"/>
        </w:rPr>
        <w:t>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7895DC42">
      <w:pPr>
        <w:spacing w:line="600" w:lineRule="exact"/>
        <w:ind w:firstLine="480"/>
        <w:rPr>
          <w:color w:val="auto"/>
        </w:rPr>
      </w:pPr>
    </w:p>
    <w:p w14:paraId="282FD4FA">
      <w:pPr>
        <w:spacing w:line="600" w:lineRule="exact"/>
        <w:ind w:firstLine="480"/>
        <w:rPr>
          <w:color w:val="auto"/>
          <w:u w:val="single"/>
        </w:rPr>
      </w:pPr>
      <w:r>
        <w:rPr>
          <w:rFonts w:hint="eastAsia"/>
          <w:color w:val="auto"/>
        </w:rPr>
        <w:t>学位论文作者签名：</w:t>
      </w:r>
      <w:r>
        <w:rPr>
          <w:color w:val="auto"/>
          <w:u w:val="single"/>
        </w:rPr>
        <w:t xml:space="preserve">              </w:t>
      </w:r>
      <w:r>
        <w:rPr>
          <w:color w:val="auto"/>
        </w:rPr>
        <w:t xml:space="preserve">  </w:t>
      </w:r>
      <w:r>
        <w:rPr>
          <w:rFonts w:hint="eastAsia"/>
          <w:color w:val="auto"/>
        </w:rPr>
        <w:t xml:space="preserve">   日</w:t>
      </w:r>
      <w:r>
        <w:rPr>
          <w:color w:val="auto"/>
        </w:rPr>
        <w:t xml:space="preserve">    </w:t>
      </w:r>
      <w:r>
        <w:rPr>
          <w:rFonts w:hint="eastAsia"/>
          <w:color w:val="auto"/>
        </w:rPr>
        <w:t>期</w:t>
      </w:r>
      <w:r>
        <w:rPr>
          <w:color w:val="auto"/>
        </w:rPr>
        <w:t xml:space="preserve">    </w:t>
      </w:r>
      <w:r>
        <w:rPr>
          <w:rFonts w:hint="eastAsia"/>
          <w:color w:val="auto"/>
        </w:rPr>
        <w:t>：</w:t>
      </w:r>
      <w:r>
        <w:rPr>
          <w:color w:val="auto"/>
          <w:u w:val="single"/>
        </w:rPr>
        <w:t xml:space="preserve">              </w:t>
      </w:r>
    </w:p>
    <w:p w14:paraId="4E0A3E2E">
      <w:pPr>
        <w:ind w:firstLine="560"/>
        <w:rPr>
          <w:rFonts w:ascii="宋体" w:hAnsi="宋体" w:cs="宋体"/>
          <w:bCs/>
          <w:color w:val="auto"/>
          <w:spacing w:val="20"/>
        </w:rPr>
      </w:pPr>
    </w:p>
    <w:p w14:paraId="7A004FDC">
      <w:pPr>
        <w:widowControl/>
        <w:spacing w:line="400" w:lineRule="exact"/>
        <w:ind w:firstLine="880"/>
        <w:jc w:val="center"/>
        <w:rPr>
          <w:rFonts w:ascii="黑体" w:hAnsi="宋体" w:eastAsia="黑体" w:cs="宋体"/>
          <w:color w:val="auto"/>
          <w:sz w:val="44"/>
        </w:rPr>
      </w:pPr>
    </w:p>
    <w:p w14:paraId="7904B35D">
      <w:pPr>
        <w:widowControl/>
        <w:spacing w:line="400" w:lineRule="exact"/>
        <w:ind w:firstLine="880"/>
        <w:jc w:val="center"/>
        <w:rPr>
          <w:rFonts w:ascii="黑体" w:hAnsi="宋体" w:eastAsia="黑体" w:cs="宋体"/>
          <w:color w:val="auto"/>
          <w:sz w:val="44"/>
        </w:rPr>
      </w:pPr>
    </w:p>
    <w:p w14:paraId="4461EE25">
      <w:pPr>
        <w:widowControl/>
        <w:spacing w:line="400" w:lineRule="exact"/>
        <w:ind w:firstLine="880"/>
        <w:jc w:val="center"/>
        <w:rPr>
          <w:rFonts w:ascii="黑体" w:hAnsi="宋体" w:eastAsia="黑体" w:cs="宋体"/>
          <w:color w:val="auto"/>
          <w:sz w:val="44"/>
        </w:rPr>
      </w:pPr>
    </w:p>
    <w:p w14:paraId="7BF9E8EA">
      <w:pPr>
        <w:widowControl/>
        <w:spacing w:line="400" w:lineRule="exact"/>
        <w:ind w:firstLine="880"/>
        <w:jc w:val="center"/>
        <w:rPr>
          <w:rFonts w:ascii="黑体" w:hAnsi="宋体" w:eastAsia="黑体" w:cs="宋体"/>
          <w:color w:val="auto"/>
          <w:sz w:val="44"/>
        </w:rPr>
      </w:pPr>
    </w:p>
    <w:p w14:paraId="3D69534B">
      <w:pPr>
        <w:widowControl/>
        <w:spacing w:line="400" w:lineRule="exact"/>
        <w:ind w:firstLine="880"/>
        <w:jc w:val="center"/>
        <w:rPr>
          <w:rFonts w:ascii="黑体" w:hAnsi="宋体" w:eastAsia="黑体" w:cs="宋体"/>
          <w:color w:val="auto"/>
          <w:sz w:val="44"/>
        </w:rPr>
      </w:pPr>
    </w:p>
    <w:p w14:paraId="0CAD2882">
      <w:pPr>
        <w:widowControl/>
        <w:spacing w:line="400" w:lineRule="exact"/>
        <w:ind w:firstLine="880"/>
        <w:jc w:val="center"/>
        <w:rPr>
          <w:rFonts w:ascii="黑体" w:hAnsi="宋体" w:eastAsia="黑体" w:cs="宋体"/>
          <w:color w:val="auto"/>
          <w:sz w:val="44"/>
        </w:rPr>
      </w:pPr>
    </w:p>
    <w:p w14:paraId="69F7C8E8">
      <w:pPr>
        <w:widowControl/>
        <w:spacing w:line="400" w:lineRule="exact"/>
        <w:ind w:firstLine="880"/>
        <w:jc w:val="center"/>
        <w:rPr>
          <w:rFonts w:ascii="黑体" w:hAnsi="宋体" w:eastAsia="黑体" w:cs="宋体"/>
          <w:color w:val="auto"/>
          <w:sz w:val="44"/>
        </w:rPr>
      </w:pPr>
    </w:p>
    <w:p w14:paraId="61E369A2">
      <w:pPr>
        <w:widowControl/>
        <w:spacing w:line="400" w:lineRule="exact"/>
        <w:ind w:firstLine="880"/>
        <w:jc w:val="center"/>
        <w:rPr>
          <w:rFonts w:ascii="黑体" w:hAnsi="宋体" w:eastAsia="黑体" w:cs="宋体"/>
          <w:color w:val="auto"/>
          <w:sz w:val="44"/>
        </w:rPr>
      </w:pPr>
    </w:p>
    <w:p w14:paraId="6C5867A1">
      <w:pPr>
        <w:widowControl/>
        <w:spacing w:line="400" w:lineRule="exact"/>
        <w:ind w:firstLine="880"/>
        <w:jc w:val="center"/>
        <w:rPr>
          <w:rFonts w:ascii="黑体" w:hAnsi="宋体" w:eastAsia="黑体" w:cs="宋体"/>
          <w:color w:val="auto"/>
          <w:sz w:val="44"/>
        </w:rPr>
      </w:pPr>
    </w:p>
    <w:p w14:paraId="168C8E64">
      <w:pPr>
        <w:widowControl/>
        <w:spacing w:line="400" w:lineRule="exact"/>
        <w:ind w:firstLine="880"/>
        <w:jc w:val="center"/>
        <w:rPr>
          <w:rFonts w:ascii="黑体" w:hAnsi="宋体" w:eastAsia="黑体" w:cs="宋体"/>
          <w:color w:val="auto"/>
          <w:sz w:val="44"/>
        </w:rPr>
      </w:pPr>
    </w:p>
    <w:p w14:paraId="293F5265">
      <w:pPr>
        <w:widowControl/>
        <w:spacing w:line="400" w:lineRule="exact"/>
        <w:ind w:firstLine="880"/>
        <w:jc w:val="center"/>
        <w:rPr>
          <w:rFonts w:ascii="黑体" w:hAnsi="宋体" w:eastAsia="黑体" w:cs="宋体"/>
          <w:color w:val="auto"/>
          <w:sz w:val="44"/>
        </w:rPr>
      </w:pPr>
    </w:p>
    <w:p w14:paraId="7D48ABC7">
      <w:pPr>
        <w:widowControl/>
        <w:spacing w:line="400" w:lineRule="exact"/>
        <w:ind w:firstLine="880"/>
        <w:jc w:val="center"/>
        <w:rPr>
          <w:rFonts w:ascii="黑体" w:hAnsi="宋体" w:eastAsia="黑体" w:cs="宋体"/>
          <w:color w:val="auto"/>
          <w:sz w:val="44"/>
        </w:rPr>
      </w:pPr>
    </w:p>
    <w:p w14:paraId="67F2EF3F">
      <w:pPr>
        <w:widowControl/>
        <w:spacing w:line="400" w:lineRule="exact"/>
        <w:ind w:firstLine="880"/>
        <w:jc w:val="center"/>
        <w:rPr>
          <w:rFonts w:ascii="黑体" w:hAnsi="宋体" w:eastAsia="黑体" w:cs="宋体"/>
          <w:color w:val="auto"/>
          <w:sz w:val="44"/>
        </w:rPr>
      </w:pPr>
    </w:p>
    <w:p w14:paraId="6DD12AC3">
      <w:pPr>
        <w:widowControl/>
        <w:spacing w:line="400" w:lineRule="exact"/>
        <w:ind w:firstLine="880"/>
        <w:jc w:val="center"/>
        <w:rPr>
          <w:rFonts w:ascii="黑体" w:hAnsi="宋体" w:eastAsia="黑体" w:cs="宋体"/>
          <w:color w:val="auto"/>
          <w:sz w:val="44"/>
        </w:rPr>
      </w:pPr>
    </w:p>
    <w:p w14:paraId="0C6263BE">
      <w:pPr>
        <w:widowControl/>
        <w:spacing w:line="400" w:lineRule="exact"/>
        <w:ind w:firstLine="880"/>
        <w:jc w:val="center"/>
        <w:rPr>
          <w:rFonts w:ascii="黑体" w:hAnsi="宋体" w:eastAsia="黑体" w:cs="宋体"/>
          <w:color w:val="auto"/>
          <w:sz w:val="44"/>
        </w:rPr>
      </w:pPr>
    </w:p>
    <w:p w14:paraId="35992EE4">
      <w:pPr>
        <w:widowControl/>
        <w:spacing w:line="400" w:lineRule="exact"/>
        <w:ind w:firstLine="880"/>
        <w:jc w:val="center"/>
        <w:rPr>
          <w:rFonts w:ascii="黑体" w:hAnsi="宋体" w:eastAsia="黑体" w:cs="宋体"/>
          <w:color w:val="auto"/>
          <w:sz w:val="44"/>
        </w:rPr>
      </w:pPr>
    </w:p>
    <w:p w14:paraId="50A8A383">
      <w:pPr>
        <w:widowControl/>
        <w:spacing w:line="400" w:lineRule="exact"/>
        <w:ind w:firstLine="880"/>
        <w:jc w:val="center"/>
        <w:rPr>
          <w:rFonts w:ascii="黑体" w:hAnsi="宋体" w:eastAsia="黑体" w:cs="宋体"/>
          <w:color w:val="auto"/>
          <w:sz w:val="44"/>
        </w:rPr>
      </w:pPr>
    </w:p>
    <w:p w14:paraId="7095CBC1">
      <w:pPr>
        <w:widowControl/>
        <w:spacing w:line="400" w:lineRule="exact"/>
        <w:ind w:firstLine="880"/>
        <w:jc w:val="center"/>
        <w:rPr>
          <w:rFonts w:ascii="黑体" w:hAnsi="宋体" w:eastAsia="黑体" w:cs="宋体"/>
          <w:color w:val="auto"/>
          <w:sz w:val="44"/>
        </w:rPr>
      </w:pPr>
    </w:p>
    <w:p w14:paraId="3DB68BEC">
      <w:pPr>
        <w:spacing w:before="100" w:beforeAutospacing="1" w:after="100" w:afterAutospacing="1"/>
        <w:ind w:firstLine="482"/>
        <w:rPr>
          <w:rFonts w:cs="Times New Roman"/>
          <w:b/>
          <w:color w:val="auto"/>
        </w:rPr>
      </w:pPr>
    </w:p>
    <w:p w14:paraId="1F22AA4A">
      <w:pPr>
        <w:widowControl/>
        <w:ind w:firstLine="643"/>
        <w:rPr>
          <w:rFonts w:eastAsia="黑体" w:cs="宋体"/>
          <w:b/>
          <w:color w:val="auto"/>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p>
    <w:p w14:paraId="0FEB8C49">
      <w:pPr>
        <w:widowControl/>
        <w:ind w:firstLine="643"/>
        <w:rPr>
          <w:rFonts w:eastAsia="黑体" w:cs="宋体"/>
          <w:b/>
          <w:color w:val="auto"/>
          <w:sz w:val="32"/>
          <w:szCs w:val="32"/>
          <w:lang w:bidi="ar"/>
        </w:rPr>
      </w:pPr>
    </w:p>
    <w:p w14:paraId="5A719739">
      <w:pPr>
        <w:widowControl/>
        <w:ind w:firstLine="0" w:firstLineChars="0"/>
        <w:jc w:val="center"/>
        <w:rPr>
          <w:rFonts w:eastAsia="黑体" w:cs="宋体"/>
          <w:b/>
          <w:color w:val="auto"/>
          <w:sz w:val="32"/>
          <w:szCs w:val="32"/>
        </w:rPr>
      </w:pPr>
      <w:r>
        <w:rPr>
          <w:rFonts w:hint="eastAsia" w:eastAsia="黑体" w:cs="黑体"/>
          <w:b/>
          <w:color w:val="auto"/>
          <w:sz w:val="32"/>
          <w:szCs w:val="32"/>
          <w:lang w:bidi="ar"/>
        </w:rPr>
        <w:t>学位论文版权使用授权书</w:t>
      </w:r>
    </w:p>
    <w:p w14:paraId="52C34337">
      <w:pPr>
        <w:widowControl/>
        <w:ind w:firstLine="480"/>
        <w:jc w:val="center"/>
        <w:rPr>
          <w:rFonts w:eastAsia="黑体" w:cs="宋体"/>
          <w:color w:val="auto"/>
        </w:rPr>
      </w:pPr>
      <w:r>
        <w:rPr>
          <w:rFonts w:eastAsia="黑体" w:cs="宋体"/>
          <w:color w:val="auto"/>
          <w:lang w:bidi="ar"/>
        </w:rPr>
        <w:t xml:space="preserve"> </w:t>
      </w:r>
    </w:p>
    <w:p w14:paraId="27F68932">
      <w:pPr>
        <w:ind w:firstLine="480"/>
        <w:rPr>
          <w:rFonts w:cs="宋体"/>
          <w:color w:val="auto"/>
        </w:rPr>
      </w:pPr>
      <w:r>
        <w:rPr>
          <w:rFonts w:hint="eastAsia"/>
          <w:color w:val="auto"/>
        </w:rPr>
        <w:t>论文《基于LLM与深度学习的医疗器械专利自动分类研究与应用》</w:t>
      </w:r>
      <w:r>
        <w:rPr>
          <w:rFonts w:hint="eastAsia" w:cs="宋体"/>
          <w:color w:val="auto"/>
          <w:lang w:bidi="ar"/>
        </w:rPr>
        <w:t>系</w:t>
      </w:r>
      <w:r>
        <w:rPr>
          <w:rFonts w:cs="宋体"/>
          <w:color w:val="auto"/>
          <w:u w:val="single"/>
          <w:lang w:bidi="ar"/>
        </w:rPr>
        <w:t xml:space="preserve"> </w:t>
      </w:r>
      <w:r>
        <w:rPr>
          <w:rFonts w:hint="eastAsia" w:cs="宋体"/>
          <w:color w:val="auto"/>
          <w:u w:val="single"/>
          <w:lang w:bidi="ar"/>
        </w:rPr>
        <w:t>医疗器械</w:t>
      </w:r>
      <w:r>
        <w:rPr>
          <w:rFonts w:cs="宋体"/>
          <w:color w:val="auto"/>
          <w:u w:val="single"/>
          <w:lang w:bidi="ar"/>
        </w:rPr>
        <w:t xml:space="preserve"> </w:t>
      </w:r>
      <w:r>
        <w:rPr>
          <w:rFonts w:hint="eastAsia" w:cs="宋体"/>
          <w:color w:val="auto"/>
          <w:lang w:bidi="ar"/>
        </w:rPr>
        <w:t>学院</w:t>
      </w:r>
      <w:r>
        <w:rPr>
          <w:rFonts w:cs="宋体"/>
          <w:color w:val="auto"/>
          <w:u w:val="single"/>
          <w:lang w:bidi="ar"/>
        </w:rPr>
        <w:t xml:space="preserve"> </w:t>
      </w:r>
      <w:r>
        <w:rPr>
          <w:rFonts w:hint="eastAsia" w:cs="宋体"/>
          <w:color w:val="auto"/>
          <w:u w:val="single"/>
          <w:lang w:bidi="ar"/>
        </w:rPr>
        <w:t>生物与医药</w:t>
      </w:r>
      <w:r>
        <w:rPr>
          <w:rFonts w:cs="宋体"/>
          <w:color w:val="auto"/>
          <w:u w:val="single"/>
          <w:lang w:bidi="ar"/>
        </w:rPr>
        <w:t xml:space="preserve"> </w:t>
      </w:r>
      <w:r>
        <w:rPr>
          <w:rFonts w:hint="eastAsia" w:cs="宋体"/>
          <w:color w:val="auto"/>
          <w:lang w:bidi="ar"/>
        </w:rPr>
        <w:t>专业</w:t>
      </w:r>
      <w:r>
        <w:rPr>
          <w:rFonts w:cs="宋体"/>
          <w:color w:val="auto"/>
          <w:u w:val="single"/>
          <w:lang w:bidi="ar"/>
        </w:rPr>
        <w:t xml:space="preserve"> </w:t>
      </w:r>
      <w:r>
        <w:rPr>
          <w:rFonts w:hint="eastAsia" w:cs="宋体"/>
          <w:color w:val="auto"/>
          <w:u w:val="single"/>
          <w:lang w:bidi="ar"/>
        </w:rPr>
        <w:t xml:space="preserve">     </w:t>
      </w:r>
      <w:r>
        <w:rPr>
          <w:rFonts w:hint="eastAsia" w:cs="宋体"/>
          <w:color w:val="auto"/>
          <w:lang w:bidi="ar"/>
        </w:rPr>
        <w:t>在沈阳药科大学攻读博士□</w:t>
      </w:r>
      <w:r>
        <w:rPr>
          <w:rFonts w:cs="宋体"/>
          <w:color w:val="auto"/>
          <w:lang w:bidi="ar"/>
        </w:rPr>
        <w:t>/</w:t>
      </w:r>
      <w:r>
        <w:rPr>
          <w:rFonts w:hint="eastAsia" w:cs="宋体"/>
          <w:color w:val="auto"/>
          <w:lang w:bidi="ar"/>
        </w:rPr>
        <w:t>硕士</w:t>
      </w:r>
      <w:r>
        <w:rPr>
          <w:rFonts w:cs="宋体"/>
          <w:b/>
          <w:bCs/>
          <w:color w:val="auto"/>
          <w:lang w:bidi="ar"/>
        </w:rPr>
        <w:fldChar w:fldCharType="begin"/>
      </w:r>
      <w:r>
        <w:rPr>
          <w:rFonts w:cs="宋体"/>
          <w:b/>
          <w:bCs/>
          <w:color w:val="auto"/>
          <w:lang w:bidi="ar"/>
        </w:rPr>
        <w:instrText xml:space="preserve"> EQ \o\ac(</w:instrText>
      </w:r>
      <w:r>
        <w:rPr>
          <w:rFonts w:hint="eastAsia" w:cs="宋体"/>
          <w:b/>
          <w:bCs/>
          <w:color w:val="auto"/>
          <w:lang w:bidi="ar"/>
        </w:rPr>
        <w:instrText xml:space="preserve">□,</w:instrText>
      </w:r>
      <w:r>
        <w:rPr>
          <w:rFonts w:hint="eastAsia" w:cs="宋体"/>
          <w:b/>
          <w:bCs/>
          <w:color w:val="auto"/>
          <w:position w:val="2"/>
          <w:lang w:bidi="ar"/>
        </w:rPr>
        <w:instrText xml:space="preserve">√</w:instrText>
      </w:r>
      <w:r>
        <w:rPr>
          <w:rFonts w:cs="宋体"/>
          <w:b/>
          <w:bCs/>
          <w:color w:val="auto"/>
          <w:lang w:bidi="ar"/>
        </w:rPr>
        <w:instrText xml:space="preserve">)</w:instrText>
      </w:r>
      <w:r>
        <w:rPr>
          <w:rFonts w:cs="宋体"/>
          <w:b/>
          <w:bCs/>
          <w:color w:val="auto"/>
          <w:lang w:bidi="ar"/>
        </w:rPr>
        <w:fldChar w:fldCharType="end"/>
      </w:r>
      <w:r>
        <w:rPr>
          <w:rFonts w:hint="eastAsia" w:cs="宋体"/>
          <w:color w:val="auto"/>
          <w:lang w:bidi="ar"/>
        </w:rPr>
        <w:t>学位期间完成的作品。</w:t>
      </w:r>
    </w:p>
    <w:p w14:paraId="37FA1270">
      <w:pPr>
        <w:widowControl/>
        <w:ind w:firstLine="480"/>
        <w:rPr>
          <w:rFonts w:cs="宋体"/>
          <w:color w:val="auto"/>
        </w:rPr>
      </w:pPr>
      <w:r>
        <w:rPr>
          <w:rFonts w:hint="eastAsia" w:cs="宋体"/>
          <w:color w:val="auto"/>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0FA23346">
      <w:pPr>
        <w:widowControl/>
        <w:ind w:firstLine="0" w:firstLineChars="0"/>
        <w:rPr>
          <w:rFonts w:cs="宋体"/>
          <w:color w:val="auto"/>
        </w:rPr>
      </w:pPr>
      <w:r>
        <w:rPr>
          <w:rFonts w:hint="eastAsia" w:cs="宋体"/>
          <w:color w:val="auto"/>
          <w:lang w:bidi="ar"/>
        </w:rPr>
        <w:t>（涉密、内部论文在解密后适用本授权书）</w:t>
      </w:r>
    </w:p>
    <w:p w14:paraId="5C95BD13">
      <w:pPr>
        <w:widowControl/>
        <w:ind w:firstLine="0" w:firstLineChars="0"/>
        <w:rPr>
          <w:rFonts w:cs="宋体"/>
          <w:color w:val="auto"/>
        </w:rPr>
      </w:pPr>
      <w:r>
        <w:rPr>
          <w:rFonts w:hint="eastAsia" w:cs="宋体"/>
          <w:color w:val="auto"/>
          <w:lang w:bidi="ar"/>
        </w:rPr>
        <w:t>本学位论文属于</w:t>
      </w:r>
    </w:p>
    <w:p w14:paraId="77836807">
      <w:pPr>
        <w:widowControl/>
        <w:ind w:firstLine="0" w:firstLineChars="0"/>
        <w:rPr>
          <w:rFonts w:cs="宋体"/>
          <w:color w:val="auto"/>
        </w:rPr>
      </w:pPr>
      <w:r>
        <w:rPr>
          <w:rFonts w:cs="宋体"/>
          <w:color w:val="auto"/>
          <w:lang w:bidi="ar"/>
        </w:rPr>
        <w:t>1</w:t>
      </w:r>
      <w:r>
        <w:rPr>
          <w:rFonts w:hint="eastAsia" w:cs="宋体"/>
          <w:color w:val="auto"/>
          <w:lang w:bidi="ar"/>
        </w:rPr>
        <w:t>、内部论文（</w:t>
      </w:r>
      <w:r>
        <w:rPr>
          <w:rFonts w:cs="宋体"/>
          <w:color w:val="auto"/>
          <w:lang w:bidi="ar"/>
        </w:rPr>
        <w:t xml:space="preserve"> </w:t>
      </w:r>
      <w:r>
        <w:rPr>
          <w:rFonts w:hint="eastAsia" w:cs="宋体"/>
          <w:color w:val="auto"/>
          <w:lang w:bidi="ar"/>
        </w:rPr>
        <w:t>√</w:t>
      </w:r>
      <w:r>
        <w:rPr>
          <w:rFonts w:cs="宋体"/>
          <w:color w:val="auto"/>
          <w:lang w:bidi="ar"/>
        </w:rPr>
        <w:t xml:space="preserve"> </w:t>
      </w:r>
      <w:r>
        <w:rPr>
          <w:rFonts w:hint="eastAsia" w:cs="宋体"/>
          <w:color w:val="auto"/>
          <w:lang w:bidi="ar"/>
        </w:rPr>
        <w:t>）（期限</w:t>
      </w:r>
      <w:r>
        <w:rPr>
          <w:rFonts w:cs="宋体"/>
          <w:color w:val="auto"/>
          <w:u w:val="single"/>
          <w:lang w:bidi="ar"/>
        </w:rPr>
        <w:t xml:space="preserve">   </w:t>
      </w:r>
      <w:r>
        <w:rPr>
          <w:rFonts w:hint="eastAsia" w:cs="宋体"/>
          <w:color w:val="auto"/>
          <w:u w:val="single"/>
          <w:lang w:bidi="ar"/>
        </w:rPr>
        <w:t>10</w:t>
      </w:r>
      <w:r>
        <w:rPr>
          <w:rFonts w:cs="宋体"/>
          <w:color w:val="auto"/>
          <w:u w:val="single"/>
          <w:lang w:bidi="ar"/>
        </w:rPr>
        <w:t xml:space="preserve">   </w:t>
      </w:r>
      <w:r>
        <w:rPr>
          <w:rFonts w:hint="eastAsia" w:cs="宋体"/>
          <w:color w:val="auto"/>
          <w:lang w:bidi="ar"/>
        </w:rPr>
        <w:t>年；注：不公开年限不超过年）</w:t>
      </w:r>
    </w:p>
    <w:p w14:paraId="073AC47D">
      <w:pPr>
        <w:widowControl/>
        <w:ind w:firstLine="0" w:firstLineChars="0"/>
        <w:rPr>
          <w:rFonts w:cs="宋体"/>
          <w:color w:val="auto"/>
          <w:u w:val="single"/>
        </w:rPr>
      </w:pPr>
      <w:r>
        <w:rPr>
          <w:rFonts w:cs="宋体"/>
          <w:color w:val="auto"/>
          <w:lang w:bidi="ar"/>
        </w:rPr>
        <w:t>2</w:t>
      </w:r>
      <w:r>
        <w:rPr>
          <w:rFonts w:hint="eastAsia" w:cs="宋体"/>
          <w:color w:val="auto"/>
          <w:lang w:bidi="ar"/>
        </w:rPr>
        <w:t>、公开论文（</w:t>
      </w:r>
      <w:r>
        <w:rPr>
          <w:rFonts w:cs="宋体"/>
          <w:color w:val="auto"/>
          <w:lang w:bidi="ar"/>
        </w:rPr>
        <w:t xml:space="preserve">   </w:t>
      </w:r>
      <w:r>
        <w:rPr>
          <w:rFonts w:hint="eastAsia" w:cs="宋体"/>
          <w:color w:val="auto"/>
          <w:lang w:bidi="ar"/>
        </w:rPr>
        <w:t>）</w:t>
      </w:r>
    </w:p>
    <w:p w14:paraId="7490B145">
      <w:pPr>
        <w:widowControl/>
        <w:ind w:firstLine="0" w:firstLineChars="0"/>
        <w:rPr>
          <w:rFonts w:cs="宋体"/>
          <w:color w:val="auto"/>
        </w:rPr>
      </w:pPr>
      <w:r>
        <w:rPr>
          <w:rFonts w:hint="eastAsia" w:cs="宋体"/>
          <w:color w:val="auto"/>
          <w:lang w:bidi="ar"/>
        </w:rPr>
        <w:t>（请在以上相应方框内打“√”）</w:t>
      </w:r>
    </w:p>
    <w:p w14:paraId="6DED974E">
      <w:pPr>
        <w:widowControl/>
        <w:ind w:firstLine="1560" w:firstLineChars="650"/>
        <w:jc w:val="left"/>
        <w:rPr>
          <w:rFonts w:cs="宋体"/>
          <w:color w:val="auto"/>
          <w:kern w:val="0"/>
        </w:rPr>
      </w:pPr>
      <w:r>
        <w:rPr>
          <w:rFonts w:hint="eastAsia" w:ascii="宋体" w:cs="宋体"/>
          <w:color w:val="auto"/>
          <w:kern w:val="0"/>
        </w:rPr>
        <w:t xml:space="preserve">学位论文作者签名：        </w:t>
      </w:r>
      <w:r>
        <w:rPr>
          <w:rFonts w:ascii="宋体" w:hAnsi="宋体" w:cs="宋体"/>
          <w:color w:val="auto"/>
          <w:kern w:val="0"/>
        </w:rPr>
        <w:t xml:space="preserve"> </w:t>
      </w:r>
      <w:r>
        <w:rPr>
          <w:rFonts w:hint="eastAsia" w:ascii="宋体" w:hAnsi="宋体" w:cs="宋体"/>
          <w:color w:val="auto"/>
          <w:kern w:val="0"/>
        </w:rPr>
        <w:t xml:space="preserve">      </w:t>
      </w:r>
      <w:r>
        <w:rPr>
          <w:rFonts w:ascii="宋体" w:hAnsi="宋体" w:cs="宋体"/>
          <w:color w:val="auto"/>
          <w:kern w:val="0"/>
        </w:rPr>
        <w:t xml:space="preserve">    </w:t>
      </w:r>
      <w:r>
        <w:rPr>
          <w:rFonts w:hint="eastAsia" w:cs="宋体"/>
          <w:color w:val="auto"/>
          <w:kern w:val="0"/>
        </w:rPr>
        <w:t>年</w:t>
      </w:r>
      <w:r>
        <w:rPr>
          <w:rFonts w:ascii="宋体" w:hAnsi="宋体" w:cs="宋体"/>
          <w:color w:val="auto"/>
          <w:kern w:val="0"/>
        </w:rPr>
        <w:t xml:space="preserve">   </w:t>
      </w:r>
      <w:r>
        <w:rPr>
          <w:rFonts w:hint="eastAsia" w:cs="宋体"/>
          <w:color w:val="auto"/>
          <w:kern w:val="0"/>
        </w:rPr>
        <w:t>月</w:t>
      </w:r>
      <w:r>
        <w:rPr>
          <w:rFonts w:ascii="宋体" w:hAnsi="宋体" w:cs="宋体"/>
          <w:color w:val="auto"/>
          <w:kern w:val="0"/>
        </w:rPr>
        <w:t xml:space="preserve">   </w:t>
      </w:r>
      <w:r>
        <w:rPr>
          <w:rFonts w:hint="eastAsia" w:cs="宋体"/>
          <w:color w:val="auto"/>
          <w:kern w:val="0"/>
        </w:rPr>
        <w:t>日</w:t>
      </w:r>
    </w:p>
    <w:p w14:paraId="4ED27343">
      <w:pPr>
        <w:widowControl/>
        <w:ind w:firstLine="480"/>
        <w:jc w:val="left"/>
        <w:rPr>
          <w:rFonts w:ascii="宋体" w:cs="宋体"/>
          <w:color w:val="auto"/>
          <w:kern w:val="0"/>
        </w:rPr>
      </w:pPr>
    </w:p>
    <w:p w14:paraId="7A9CA8C7">
      <w:pPr>
        <w:widowControl/>
        <w:ind w:firstLine="1560" w:firstLineChars="650"/>
        <w:jc w:val="left"/>
        <w:rPr>
          <w:rFonts w:ascii="宋体" w:hAnsi="宋体" w:cs="宋体"/>
          <w:color w:val="auto"/>
          <w:kern w:val="0"/>
          <w:sz w:val="28"/>
        </w:rPr>
      </w:pPr>
      <w:r>
        <w:rPr>
          <w:rFonts w:hint="eastAsia" w:ascii="宋体" w:cs="宋体"/>
          <w:color w:val="auto"/>
          <w:kern w:val="0"/>
        </w:rPr>
        <w:t xml:space="preserve">导师签名：                      </w:t>
      </w:r>
      <w:r>
        <w:rPr>
          <w:rFonts w:ascii="宋体" w:hAnsi="宋体" w:cs="宋体"/>
          <w:color w:val="auto"/>
          <w:kern w:val="0"/>
        </w:rPr>
        <w:t xml:space="preserve">     </w:t>
      </w:r>
      <w:r>
        <w:rPr>
          <w:rFonts w:hint="eastAsia" w:cs="宋体"/>
          <w:color w:val="auto"/>
          <w:kern w:val="0"/>
        </w:rPr>
        <w:t>年</w:t>
      </w:r>
      <w:r>
        <w:rPr>
          <w:rFonts w:ascii="宋体" w:hAnsi="宋体" w:cs="宋体"/>
          <w:color w:val="auto"/>
          <w:kern w:val="0"/>
        </w:rPr>
        <w:t xml:space="preserve">   </w:t>
      </w:r>
      <w:r>
        <w:rPr>
          <w:rFonts w:hint="eastAsia" w:cs="宋体"/>
          <w:color w:val="auto"/>
          <w:kern w:val="0"/>
        </w:rPr>
        <w:t>月</w:t>
      </w:r>
      <w:r>
        <w:rPr>
          <w:rFonts w:ascii="宋体" w:hAnsi="宋体" w:cs="宋体"/>
          <w:color w:val="auto"/>
          <w:kern w:val="0"/>
        </w:rPr>
        <w:t xml:space="preserve">   </w:t>
      </w:r>
      <w:r>
        <w:rPr>
          <w:rFonts w:hint="eastAsia" w:cs="宋体"/>
          <w:color w:val="auto"/>
          <w:kern w:val="0"/>
        </w:rPr>
        <w:t>日</w:t>
      </w:r>
    </w:p>
    <w:p w14:paraId="6703D985">
      <w:pPr>
        <w:ind w:firstLine="480"/>
        <w:rPr>
          <w:rFonts w:asciiTheme="majorHAnsi" w:hAnsiTheme="majorHAnsi" w:eastAsiaTheme="majorEastAsia" w:cstheme="majorBidi"/>
          <w:b/>
          <w:color w:val="auto"/>
          <w:kern w:val="0"/>
          <w:sz w:val="32"/>
          <w:szCs w:val="32"/>
        </w:rPr>
      </w:pPr>
      <w:r>
        <w:rPr>
          <w:rFonts w:hint="eastAsia" w:ascii="宋体" w:hAnsi="宋体" w:cs="Times New Roman"/>
          <w:color w:val="auto"/>
        </w:rPr>
        <w:br w:type="page"/>
      </w:r>
    </w:p>
    <w:sdt>
      <w:sdtPr>
        <w:rPr>
          <w:rFonts w:hint="eastAsia" w:ascii="黑体" w:hAnsi="黑体" w:eastAsia="黑体" w:cs="黑体"/>
          <w:color w:val="auto"/>
          <w:sz w:val="36"/>
          <w:szCs w:val="36"/>
          <w:lang w:val="zh-CN"/>
        </w:rPr>
        <w:id w:val="-796071412"/>
        <w:docPartObj>
          <w:docPartGallery w:val="Table of Contents"/>
          <w:docPartUnique/>
        </w:docPartObj>
      </w:sdtPr>
      <w:sdtEndPr>
        <w:rPr>
          <w:rFonts w:hint="eastAsia" w:ascii="黑体" w:hAnsi="黑体" w:eastAsia="黑体" w:cs="黑体"/>
          <w:b/>
          <w:bCs/>
          <w:color w:val="auto"/>
          <w:sz w:val="36"/>
          <w:szCs w:val="36"/>
          <w:lang w:val="zh-CN"/>
        </w:rPr>
      </w:sdtEndPr>
      <w:sdtContent>
        <w:p w14:paraId="19BCADA4">
          <w:pPr>
            <w:ind w:firstLine="0" w:firstLineChars="0"/>
            <w:jc w:val="center"/>
            <w:rPr>
              <w:rFonts w:ascii="黑体" w:hAnsi="黑体" w:eastAsia="黑体" w:cs="黑体"/>
              <w:color w:val="auto"/>
              <w:sz w:val="36"/>
              <w:szCs w:val="36"/>
            </w:rPr>
          </w:pPr>
          <w:r>
            <w:rPr>
              <w:rFonts w:hint="eastAsia" w:ascii="黑体" w:hAnsi="黑体" w:eastAsia="黑体" w:cs="黑体"/>
              <w:color w:val="auto"/>
              <w:sz w:val="36"/>
              <w:szCs w:val="36"/>
              <w:lang w:val="zh-CN"/>
            </w:rPr>
            <w:t>目录</w:t>
          </w:r>
        </w:p>
        <w:p w14:paraId="17A3C6E2">
          <w:pPr>
            <w:pStyle w:val="10"/>
            <w:tabs>
              <w:tab w:val="right" w:leader="dot" w:pos="9072"/>
            </w:tabs>
            <w:rPr>
              <w:color w:val="auto"/>
            </w:rPr>
          </w:pPr>
          <w:r>
            <w:rPr>
              <w:color w:val="auto"/>
            </w:rPr>
            <w:fldChar w:fldCharType="begin"/>
          </w:r>
          <w:r>
            <w:rPr>
              <w:color w:val="auto"/>
            </w:rPr>
            <w:instrText xml:space="preserve"> TOC \o "1-3" \h \z \u </w:instrText>
          </w:r>
          <w:r>
            <w:rPr>
              <w:color w:val="auto"/>
            </w:rPr>
            <w:fldChar w:fldCharType="separate"/>
          </w:r>
          <w:r>
            <w:rPr>
              <w:color w:val="auto"/>
            </w:rPr>
            <w:fldChar w:fldCharType="begin"/>
          </w:r>
          <w:r>
            <w:rPr>
              <w:color w:val="auto"/>
            </w:rPr>
            <w:instrText xml:space="preserve"> HYPERLINK \l _Toc17674 </w:instrText>
          </w:r>
          <w:r>
            <w:rPr>
              <w:color w:val="auto"/>
            </w:rPr>
            <w:fldChar w:fldCharType="separate"/>
          </w:r>
          <w:r>
            <w:rPr>
              <w:rFonts w:hint="eastAsia"/>
              <w:color w:val="auto"/>
            </w:rPr>
            <w:t>摘要</w:t>
          </w:r>
          <w:r>
            <w:rPr>
              <w:color w:val="auto"/>
            </w:rPr>
            <w:tab/>
          </w:r>
          <w:r>
            <w:rPr>
              <w:color w:val="auto"/>
            </w:rPr>
            <w:fldChar w:fldCharType="begin"/>
          </w:r>
          <w:r>
            <w:rPr>
              <w:color w:val="auto"/>
            </w:rPr>
            <w:instrText xml:space="preserve"> PAGEREF _Toc17674 \h </w:instrText>
          </w:r>
          <w:r>
            <w:rPr>
              <w:color w:val="auto"/>
            </w:rPr>
            <w:fldChar w:fldCharType="separate"/>
          </w:r>
          <w:r>
            <w:rPr>
              <w:color w:val="auto"/>
            </w:rPr>
            <w:t>I</w:t>
          </w:r>
          <w:r>
            <w:rPr>
              <w:color w:val="auto"/>
            </w:rPr>
            <w:fldChar w:fldCharType="end"/>
          </w:r>
          <w:r>
            <w:rPr>
              <w:color w:val="auto"/>
            </w:rPr>
            <w:fldChar w:fldCharType="end"/>
          </w:r>
        </w:p>
        <w:p w14:paraId="001921FD">
          <w:pPr>
            <w:pStyle w:val="10"/>
            <w:tabs>
              <w:tab w:val="right" w:leader="dot" w:pos="9072"/>
            </w:tabs>
            <w:rPr>
              <w:color w:val="auto"/>
            </w:rPr>
          </w:pPr>
          <w:r>
            <w:rPr>
              <w:bCs/>
              <w:color w:val="auto"/>
              <w:lang w:val="zh-CN"/>
            </w:rPr>
            <w:fldChar w:fldCharType="begin"/>
          </w:r>
          <w:r>
            <w:rPr>
              <w:bCs/>
              <w:color w:val="auto"/>
              <w:lang w:val="zh-CN"/>
            </w:rPr>
            <w:instrText xml:space="preserve"> HYPERLINK \l _Toc8252 </w:instrText>
          </w:r>
          <w:r>
            <w:rPr>
              <w:bCs/>
              <w:color w:val="auto"/>
              <w:lang w:val="zh-CN"/>
            </w:rPr>
            <w:fldChar w:fldCharType="separate"/>
          </w:r>
          <w:r>
            <w:rPr>
              <w:rFonts w:hint="eastAsia"/>
              <w:bCs/>
              <w:color w:val="auto"/>
            </w:rPr>
            <w:t>ABSTRACT</w:t>
          </w:r>
          <w:r>
            <w:rPr>
              <w:color w:val="auto"/>
            </w:rPr>
            <w:tab/>
          </w:r>
          <w:r>
            <w:rPr>
              <w:color w:val="auto"/>
            </w:rPr>
            <w:fldChar w:fldCharType="begin"/>
          </w:r>
          <w:r>
            <w:rPr>
              <w:color w:val="auto"/>
            </w:rPr>
            <w:instrText xml:space="preserve"> PAGEREF _Toc8252 \h </w:instrText>
          </w:r>
          <w:r>
            <w:rPr>
              <w:color w:val="auto"/>
            </w:rPr>
            <w:fldChar w:fldCharType="separate"/>
          </w:r>
          <w:r>
            <w:rPr>
              <w:color w:val="auto"/>
            </w:rPr>
            <w:t>II</w:t>
          </w:r>
          <w:r>
            <w:rPr>
              <w:color w:val="auto"/>
            </w:rPr>
            <w:fldChar w:fldCharType="end"/>
          </w:r>
          <w:r>
            <w:rPr>
              <w:bCs/>
              <w:color w:val="auto"/>
              <w:lang w:val="zh-CN"/>
            </w:rPr>
            <w:fldChar w:fldCharType="end"/>
          </w:r>
        </w:p>
        <w:p w14:paraId="02F765EA">
          <w:pPr>
            <w:pStyle w:val="10"/>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_Toc14483 </w:instrText>
          </w:r>
          <w:r>
            <w:rPr>
              <w:bCs/>
              <w:color w:val="auto"/>
              <w:highlight w:val="yellow"/>
              <w:lang w:val="zh-CN"/>
            </w:rPr>
            <w:fldChar w:fldCharType="separate"/>
          </w:r>
          <w:r>
            <w:rPr>
              <w:rFonts w:hint="eastAsia"/>
              <w:color w:val="auto"/>
              <w:szCs w:val="30"/>
              <w:highlight w:val="yellow"/>
            </w:rPr>
            <w:t xml:space="preserve">第一章 </w:t>
          </w:r>
          <w:r>
            <w:rPr>
              <w:rFonts w:hint="eastAsia"/>
              <w:color w:val="auto"/>
              <w:highlight w:val="yellow"/>
            </w:rPr>
            <w:t>绪论</w:t>
          </w:r>
          <w:r>
            <w:rPr>
              <w:color w:val="auto"/>
              <w:highlight w:val="yellow"/>
            </w:rPr>
            <w:tab/>
          </w:r>
          <w:r>
            <w:rPr>
              <w:color w:val="auto"/>
              <w:highlight w:val="yellow"/>
            </w:rPr>
            <w:fldChar w:fldCharType="begin"/>
          </w:r>
          <w:r>
            <w:rPr>
              <w:color w:val="auto"/>
              <w:highlight w:val="yellow"/>
            </w:rPr>
            <w:instrText xml:space="preserve"> PAGEREF _Toc14483 \h </w:instrText>
          </w:r>
          <w:r>
            <w:rPr>
              <w:color w:val="auto"/>
              <w:highlight w:val="yellow"/>
            </w:rPr>
            <w:fldChar w:fldCharType="separate"/>
          </w:r>
          <w:r>
            <w:rPr>
              <w:color w:val="auto"/>
              <w:highlight w:val="yellow"/>
            </w:rPr>
            <w:t>1</w:t>
          </w:r>
          <w:r>
            <w:rPr>
              <w:color w:val="auto"/>
              <w:highlight w:val="yellow"/>
            </w:rPr>
            <w:fldChar w:fldCharType="end"/>
          </w:r>
          <w:r>
            <w:rPr>
              <w:bCs/>
              <w:color w:val="auto"/>
              <w:highlight w:val="yellow"/>
              <w:lang w:val="zh-CN"/>
            </w:rPr>
            <w:fldChar w:fldCharType="end"/>
          </w:r>
        </w:p>
        <w:p w14:paraId="10D2B19B">
          <w:pPr>
            <w:pStyle w:val="11"/>
            <w:tabs>
              <w:tab w:val="right" w:leader="dot" w:pos="9072"/>
              <w:tab w:val="clear" w:pos="9062"/>
            </w:tabs>
            <w:rPr>
              <w:color w:val="auto"/>
              <w:highlight w:val="yellow"/>
            </w:rPr>
          </w:pPr>
          <w:r>
            <w:rPr>
              <w:bCs/>
              <w:color w:val="auto"/>
              <w:highlight w:val="yellow"/>
              <w:lang w:val="zh-CN"/>
            </w:rPr>
            <w:fldChar w:fldCharType="begin"/>
          </w:r>
          <w:r>
            <w:rPr>
              <w:bCs/>
              <w:color w:val="auto"/>
              <w:highlight w:val="yellow"/>
              <w:lang w:val="zh-CN"/>
            </w:rPr>
            <w:instrText xml:space="preserve"> HYPERLINK \l _Toc31415 </w:instrText>
          </w:r>
          <w:r>
            <w:rPr>
              <w:bCs/>
              <w:color w:val="auto"/>
              <w:highlight w:val="yellow"/>
              <w:lang w:val="zh-CN"/>
            </w:rPr>
            <w:fldChar w:fldCharType="separate"/>
          </w:r>
          <w:r>
            <w:rPr>
              <w:rFonts w:hint="default"/>
              <w:color w:val="auto"/>
              <w:szCs w:val="28"/>
              <w:highlight w:val="yellow"/>
            </w:rPr>
            <w:t xml:space="preserve">1.1 </w:t>
          </w:r>
          <w:r>
            <w:rPr>
              <w:rFonts w:hint="eastAsia"/>
              <w:color w:val="auto"/>
              <w:highlight w:val="yellow"/>
            </w:rPr>
            <w:t>研究背景及意义</w:t>
          </w:r>
          <w:r>
            <w:rPr>
              <w:color w:val="auto"/>
              <w:highlight w:val="yellow"/>
            </w:rPr>
            <w:tab/>
          </w:r>
          <w:r>
            <w:rPr>
              <w:color w:val="auto"/>
              <w:highlight w:val="yellow"/>
            </w:rPr>
            <w:fldChar w:fldCharType="begin"/>
          </w:r>
          <w:r>
            <w:rPr>
              <w:color w:val="auto"/>
              <w:highlight w:val="yellow"/>
            </w:rPr>
            <w:instrText xml:space="preserve"> PAGEREF _Toc31415 \h </w:instrText>
          </w:r>
          <w:r>
            <w:rPr>
              <w:color w:val="auto"/>
              <w:highlight w:val="yellow"/>
            </w:rPr>
            <w:fldChar w:fldCharType="separate"/>
          </w:r>
          <w:r>
            <w:rPr>
              <w:color w:val="auto"/>
              <w:highlight w:val="yellow"/>
            </w:rPr>
            <w:t>1</w:t>
          </w:r>
          <w:r>
            <w:rPr>
              <w:color w:val="auto"/>
              <w:highlight w:val="yellow"/>
            </w:rPr>
            <w:fldChar w:fldCharType="end"/>
          </w:r>
          <w:r>
            <w:rPr>
              <w:bCs/>
              <w:color w:val="auto"/>
              <w:highlight w:val="yellow"/>
              <w:lang w:val="zh-CN"/>
            </w:rPr>
            <w:fldChar w:fldCharType="end"/>
          </w:r>
        </w:p>
        <w:p w14:paraId="5E060D89">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_Toc14341 </w:instrText>
          </w:r>
          <w:r>
            <w:rPr>
              <w:bCs/>
              <w:color w:val="auto"/>
              <w:highlight w:val="yellow"/>
              <w:lang w:val="zh-CN"/>
            </w:rPr>
            <w:fldChar w:fldCharType="separate"/>
          </w:r>
          <w:r>
            <w:rPr>
              <w:rFonts w:hint="default"/>
              <w:color w:val="auto"/>
              <w:szCs w:val="24"/>
              <w:highlight w:val="yellow"/>
            </w:rPr>
            <w:t xml:space="preserve">1.1.1 </w:t>
          </w:r>
          <w:r>
            <w:rPr>
              <w:rFonts w:hint="eastAsia"/>
              <w:color w:val="auto"/>
              <w:highlight w:val="yellow"/>
            </w:rPr>
            <w:t>研究背景</w:t>
          </w:r>
          <w:r>
            <w:rPr>
              <w:color w:val="auto"/>
              <w:highlight w:val="yellow"/>
            </w:rPr>
            <w:tab/>
          </w:r>
          <w:r>
            <w:rPr>
              <w:color w:val="auto"/>
              <w:highlight w:val="yellow"/>
            </w:rPr>
            <w:fldChar w:fldCharType="begin"/>
          </w:r>
          <w:r>
            <w:rPr>
              <w:color w:val="auto"/>
              <w:highlight w:val="yellow"/>
            </w:rPr>
            <w:instrText xml:space="preserve"> PAGEREF _Toc14341 \h </w:instrText>
          </w:r>
          <w:r>
            <w:rPr>
              <w:color w:val="auto"/>
              <w:highlight w:val="yellow"/>
            </w:rPr>
            <w:fldChar w:fldCharType="separate"/>
          </w:r>
          <w:r>
            <w:rPr>
              <w:color w:val="auto"/>
              <w:highlight w:val="yellow"/>
            </w:rPr>
            <w:t>1</w:t>
          </w:r>
          <w:r>
            <w:rPr>
              <w:color w:val="auto"/>
              <w:highlight w:val="yellow"/>
            </w:rPr>
            <w:fldChar w:fldCharType="end"/>
          </w:r>
          <w:r>
            <w:rPr>
              <w:bCs/>
              <w:color w:val="auto"/>
              <w:highlight w:val="yellow"/>
              <w:lang w:val="zh-CN"/>
            </w:rPr>
            <w:fldChar w:fldCharType="end"/>
          </w:r>
        </w:p>
        <w:p w14:paraId="2C6C3833">
          <w:pPr>
            <w:pStyle w:val="6"/>
            <w:tabs>
              <w:tab w:val="right" w:leader="dot" w:pos="9072"/>
            </w:tabs>
            <w:rPr>
              <w:color w:val="auto"/>
            </w:rPr>
          </w:pPr>
          <w:r>
            <w:rPr>
              <w:bCs/>
              <w:color w:val="auto"/>
              <w:highlight w:val="yellow"/>
              <w:lang w:val="zh-CN"/>
            </w:rPr>
            <w:fldChar w:fldCharType="begin"/>
          </w:r>
          <w:r>
            <w:rPr>
              <w:bCs/>
              <w:color w:val="auto"/>
              <w:highlight w:val="yellow"/>
              <w:lang w:val="zh-CN"/>
            </w:rPr>
            <w:instrText xml:space="preserve"> HYPERLINK \l _Toc17757 </w:instrText>
          </w:r>
          <w:r>
            <w:rPr>
              <w:bCs/>
              <w:color w:val="auto"/>
              <w:highlight w:val="yellow"/>
              <w:lang w:val="zh-CN"/>
            </w:rPr>
            <w:fldChar w:fldCharType="separate"/>
          </w:r>
          <w:r>
            <w:rPr>
              <w:rFonts w:hint="default"/>
              <w:color w:val="auto"/>
              <w:szCs w:val="24"/>
              <w:highlight w:val="yellow"/>
            </w:rPr>
            <w:t xml:space="preserve">1.1.2 </w:t>
          </w:r>
          <w:r>
            <w:rPr>
              <w:rFonts w:hint="eastAsia"/>
              <w:color w:val="auto"/>
              <w:highlight w:val="yellow"/>
            </w:rPr>
            <w:t>研究意义</w:t>
          </w:r>
          <w:r>
            <w:rPr>
              <w:color w:val="auto"/>
              <w:highlight w:val="yellow"/>
            </w:rPr>
            <w:tab/>
          </w:r>
          <w:r>
            <w:rPr>
              <w:color w:val="auto"/>
              <w:highlight w:val="yellow"/>
            </w:rPr>
            <w:fldChar w:fldCharType="begin"/>
          </w:r>
          <w:r>
            <w:rPr>
              <w:color w:val="auto"/>
              <w:highlight w:val="yellow"/>
            </w:rPr>
            <w:instrText xml:space="preserve"> PAGEREF _Toc17757 \h </w:instrText>
          </w:r>
          <w:r>
            <w:rPr>
              <w:color w:val="auto"/>
              <w:highlight w:val="yellow"/>
            </w:rPr>
            <w:fldChar w:fldCharType="separate"/>
          </w:r>
          <w:r>
            <w:rPr>
              <w:color w:val="auto"/>
              <w:highlight w:val="yellow"/>
            </w:rPr>
            <w:t>3</w:t>
          </w:r>
          <w:r>
            <w:rPr>
              <w:color w:val="auto"/>
              <w:highlight w:val="yellow"/>
            </w:rPr>
            <w:fldChar w:fldCharType="end"/>
          </w:r>
          <w:r>
            <w:rPr>
              <w:bCs/>
              <w:color w:val="auto"/>
              <w:highlight w:val="yellow"/>
              <w:lang w:val="zh-CN"/>
            </w:rPr>
            <w:fldChar w:fldCharType="end"/>
          </w:r>
        </w:p>
        <w:p w14:paraId="28B741B0">
          <w:pPr>
            <w:pStyle w:val="11"/>
            <w:tabs>
              <w:tab w:val="right" w:leader="dot" w:pos="9072"/>
              <w:tab w:val="clear" w:pos="9062"/>
            </w:tabs>
            <w:rPr>
              <w:color w:val="auto"/>
              <w:highlight w:val="yellow"/>
            </w:rPr>
          </w:pPr>
          <w:r>
            <w:rPr>
              <w:bCs/>
              <w:color w:val="auto"/>
              <w:highlight w:val="yellow"/>
              <w:lang w:val="zh-CN"/>
            </w:rPr>
            <w:fldChar w:fldCharType="begin"/>
          </w:r>
          <w:r>
            <w:rPr>
              <w:bCs/>
              <w:color w:val="auto"/>
              <w:highlight w:val="yellow"/>
              <w:lang w:val="zh-CN"/>
            </w:rPr>
            <w:instrText xml:space="preserve"> HYPERLINK \l _Toc7226 </w:instrText>
          </w:r>
          <w:r>
            <w:rPr>
              <w:bCs/>
              <w:color w:val="auto"/>
              <w:highlight w:val="yellow"/>
              <w:lang w:val="zh-CN"/>
            </w:rPr>
            <w:fldChar w:fldCharType="separate"/>
          </w:r>
          <w:r>
            <w:rPr>
              <w:rFonts w:hint="default"/>
              <w:color w:val="auto"/>
              <w:szCs w:val="28"/>
              <w:highlight w:val="yellow"/>
            </w:rPr>
            <w:t xml:space="preserve">1.2 </w:t>
          </w:r>
          <w:r>
            <w:rPr>
              <w:rFonts w:hint="eastAsia"/>
              <w:color w:val="auto"/>
              <w:highlight w:val="yellow"/>
            </w:rPr>
            <w:t>研究现状</w:t>
          </w:r>
          <w:r>
            <w:rPr>
              <w:color w:val="auto"/>
              <w:highlight w:val="yellow"/>
            </w:rPr>
            <w:tab/>
          </w:r>
          <w:r>
            <w:rPr>
              <w:color w:val="auto"/>
              <w:highlight w:val="yellow"/>
            </w:rPr>
            <w:fldChar w:fldCharType="begin"/>
          </w:r>
          <w:r>
            <w:rPr>
              <w:color w:val="auto"/>
              <w:highlight w:val="yellow"/>
            </w:rPr>
            <w:instrText xml:space="preserve"> PAGEREF _Toc7226 \h </w:instrText>
          </w:r>
          <w:r>
            <w:rPr>
              <w:color w:val="auto"/>
              <w:highlight w:val="yellow"/>
            </w:rPr>
            <w:fldChar w:fldCharType="separate"/>
          </w:r>
          <w:r>
            <w:rPr>
              <w:color w:val="auto"/>
              <w:highlight w:val="yellow"/>
            </w:rPr>
            <w:t>4</w:t>
          </w:r>
          <w:r>
            <w:rPr>
              <w:color w:val="auto"/>
              <w:highlight w:val="yellow"/>
            </w:rPr>
            <w:fldChar w:fldCharType="end"/>
          </w:r>
          <w:r>
            <w:rPr>
              <w:bCs/>
              <w:color w:val="auto"/>
              <w:highlight w:val="yellow"/>
              <w:lang w:val="zh-CN"/>
            </w:rPr>
            <w:fldChar w:fldCharType="end"/>
          </w:r>
        </w:p>
        <w:p w14:paraId="4FBC5391">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_Toc28389 </w:instrText>
          </w:r>
          <w:r>
            <w:rPr>
              <w:bCs/>
              <w:color w:val="auto"/>
              <w:highlight w:val="yellow"/>
              <w:lang w:val="zh-CN"/>
            </w:rPr>
            <w:fldChar w:fldCharType="separate"/>
          </w:r>
          <w:r>
            <w:rPr>
              <w:rFonts w:hint="default"/>
              <w:color w:val="auto"/>
              <w:szCs w:val="24"/>
              <w:highlight w:val="yellow"/>
            </w:rPr>
            <w:t xml:space="preserve">1.2.1 </w:t>
          </w:r>
          <w:r>
            <w:rPr>
              <w:rFonts w:hint="eastAsia"/>
              <w:color w:val="auto"/>
              <w:highlight w:val="yellow"/>
            </w:rPr>
            <w:t>文本分类算法的发展</w:t>
          </w:r>
          <w:r>
            <w:rPr>
              <w:color w:val="auto"/>
              <w:highlight w:val="yellow"/>
            </w:rPr>
            <w:tab/>
          </w:r>
          <w:r>
            <w:rPr>
              <w:color w:val="auto"/>
              <w:highlight w:val="yellow"/>
            </w:rPr>
            <w:fldChar w:fldCharType="begin"/>
          </w:r>
          <w:r>
            <w:rPr>
              <w:color w:val="auto"/>
              <w:highlight w:val="yellow"/>
            </w:rPr>
            <w:instrText xml:space="preserve"> PAGEREF _Toc28389 \h </w:instrText>
          </w:r>
          <w:r>
            <w:rPr>
              <w:color w:val="auto"/>
              <w:highlight w:val="yellow"/>
            </w:rPr>
            <w:fldChar w:fldCharType="separate"/>
          </w:r>
          <w:r>
            <w:rPr>
              <w:color w:val="auto"/>
              <w:highlight w:val="yellow"/>
            </w:rPr>
            <w:t>4</w:t>
          </w:r>
          <w:r>
            <w:rPr>
              <w:color w:val="auto"/>
              <w:highlight w:val="yellow"/>
            </w:rPr>
            <w:fldChar w:fldCharType="end"/>
          </w:r>
          <w:r>
            <w:rPr>
              <w:bCs/>
              <w:color w:val="auto"/>
              <w:highlight w:val="yellow"/>
              <w:lang w:val="zh-CN"/>
            </w:rPr>
            <w:fldChar w:fldCharType="end"/>
          </w:r>
        </w:p>
        <w:p w14:paraId="3C2F6156">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_Toc13643 </w:instrText>
          </w:r>
          <w:r>
            <w:rPr>
              <w:bCs/>
              <w:color w:val="auto"/>
              <w:highlight w:val="yellow"/>
              <w:lang w:val="zh-CN"/>
            </w:rPr>
            <w:fldChar w:fldCharType="separate"/>
          </w:r>
          <w:r>
            <w:rPr>
              <w:rFonts w:hint="default"/>
              <w:color w:val="auto"/>
              <w:szCs w:val="24"/>
              <w:highlight w:val="yellow"/>
            </w:rPr>
            <w:t xml:space="preserve">1.2.2 </w:t>
          </w:r>
          <w:r>
            <w:rPr>
              <w:rFonts w:hint="eastAsia"/>
              <w:color w:val="auto"/>
              <w:highlight w:val="yellow"/>
            </w:rPr>
            <w:t>垂直领域专用预训练模型的发展</w:t>
          </w:r>
          <w:r>
            <w:rPr>
              <w:color w:val="auto"/>
              <w:highlight w:val="yellow"/>
            </w:rPr>
            <w:tab/>
          </w:r>
          <w:r>
            <w:rPr>
              <w:color w:val="auto"/>
              <w:highlight w:val="yellow"/>
            </w:rPr>
            <w:fldChar w:fldCharType="begin"/>
          </w:r>
          <w:r>
            <w:rPr>
              <w:color w:val="auto"/>
              <w:highlight w:val="yellow"/>
            </w:rPr>
            <w:instrText xml:space="preserve"> PAGEREF _Toc13643 \h </w:instrText>
          </w:r>
          <w:r>
            <w:rPr>
              <w:color w:val="auto"/>
              <w:highlight w:val="yellow"/>
            </w:rPr>
            <w:fldChar w:fldCharType="separate"/>
          </w:r>
          <w:r>
            <w:rPr>
              <w:color w:val="auto"/>
              <w:highlight w:val="yellow"/>
            </w:rPr>
            <w:t>5</w:t>
          </w:r>
          <w:r>
            <w:rPr>
              <w:color w:val="auto"/>
              <w:highlight w:val="yellow"/>
            </w:rPr>
            <w:fldChar w:fldCharType="end"/>
          </w:r>
          <w:r>
            <w:rPr>
              <w:bCs/>
              <w:color w:val="auto"/>
              <w:highlight w:val="yellow"/>
              <w:lang w:val="zh-CN"/>
            </w:rPr>
            <w:fldChar w:fldCharType="end"/>
          </w:r>
        </w:p>
        <w:p w14:paraId="0A954C2F">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_Toc6743 </w:instrText>
          </w:r>
          <w:r>
            <w:rPr>
              <w:bCs/>
              <w:color w:val="auto"/>
              <w:highlight w:val="yellow"/>
              <w:lang w:val="zh-CN"/>
            </w:rPr>
            <w:fldChar w:fldCharType="separate"/>
          </w:r>
          <w:r>
            <w:rPr>
              <w:rFonts w:hint="default"/>
              <w:color w:val="auto"/>
              <w:szCs w:val="24"/>
              <w:highlight w:val="yellow"/>
            </w:rPr>
            <w:t xml:space="preserve">1.2.3 </w:t>
          </w:r>
          <w:r>
            <w:rPr>
              <w:rFonts w:hint="eastAsia"/>
              <w:color w:val="auto"/>
              <w:highlight w:val="yellow"/>
            </w:rPr>
            <w:t>层次化文本分类技术的发展</w:t>
          </w:r>
          <w:r>
            <w:rPr>
              <w:color w:val="auto"/>
              <w:highlight w:val="yellow"/>
            </w:rPr>
            <w:tab/>
          </w:r>
          <w:r>
            <w:rPr>
              <w:color w:val="auto"/>
              <w:highlight w:val="yellow"/>
            </w:rPr>
            <w:fldChar w:fldCharType="begin"/>
          </w:r>
          <w:r>
            <w:rPr>
              <w:color w:val="auto"/>
              <w:highlight w:val="yellow"/>
            </w:rPr>
            <w:instrText xml:space="preserve"> PAGEREF _Toc6743 \h </w:instrText>
          </w:r>
          <w:r>
            <w:rPr>
              <w:color w:val="auto"/>
              <w:highlight w:val="yellow"/>
            </w:rPr>
            <w:fldChar w:fldCharType="separate"/>
          </w:r>
          <w:r>
            <w:rPr>
              <w:color w:val="auto"/>
              <w:highlight w:val="yellow"/>
            </w:rPr>
            <w:t>5</w:t>
          </w:r>
          <w:r>
            <w:rPr>
              <w:color w:val="auto"/>
              <w:highlight w:val="yellow"/>
            </w:rPr>
            <w:fldChar w:fldCharType="end"/>
          </w:r>
          <w:r>
            <w:rPr>
              <w:bCs/>
              <w:color w:val="auto"/>
              <w:highlight w:val="yellow"/>
              <w:lang w:val="zh-CN"/>
            </w:rPr>
            <w:fldChar w:fldCharType="end"/>
          </w:r>
        </w:p>
        <w:p w14:paraId="6D159B51">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_Toc10281 </w:instrText>
          </w:r>
          <w:r>
            <w:rPr>
              <w:bCs/>
              <w:color w:val="auto"/>
              <w:highlight w:val="yellow"/>
              <w:lang w:val="zh-CN"/>
            </w:rPr>
            <w:fldChar w:fldCharType="separate"/>
          </w:r>
          <w:r>
            <w:rPr>
              <w:rFonts w:hint="default"/>
              <w:color w:val="auto"/>
              <w:szCs w:val="24"/>
              <w:highlight w:val="yellow"/>
            </w:rPr>
            <w:t xml:space="preserve">1.2.4 </w:t>
          </w:r>
          <w:r>
            <w:rPr>
              <w:rFonts w:hint="eastAsia"/>
              <w:color w:val="auto"/>
              <w:highlight w:val="yellow"/>
            </w:rPr>
            <w:t>大语言模型与自动化数据治理进展</w:t>
          </w:r>
          <w:r>
            <w:rPr>
              <w:color w:val="auto"/>
              <w:highlight w:val="yellow"/>
            </w:rPr>
            <w:tab/>
          </w:r>
          <w:r>
            <w:rPr>
              <w:color w:val="auto"/>
              <w:highlight w:val="yellow"/>
            </w:rPr>
            <w:fldChar w:fldCharType="begin"/>
          </w:r>
          <w:r>
            <w:rPr>
              <w:color w:val="auto"/>
              <w:highlight w:val="yellow"/>
            </w:rPr>
            <w:instrText xml:space="preserve"> PAGEREF _Toc10281 \h </w:instrText>
          </w:r>
          <w:r>
            <w:rPr>
              <w:color w:val="auto"/>
              <w:highlight w:val="yellow"/>
            </w:rPr>
            <w:fldChar w:fldCharType="separate"/>
          </w:r>
          <w:r>
            <w:rPr>
              <w:color w:val="auto"/>
              <w:highlight w:val="yellow"/>
            </w:rPr>
            <w:t>6</w:t>
          </w:r>
          <w:r>
            <w:rPr>
              <w:color w:val="auto"/>
              <w:highlight w:val="yellow"/>
            </w:rPr>
            <w:fldChar w:fldCharType="end"/>
          </w:r>
          <w:r>
            <w:rPr>
              <w:bCs/>
              <w:color w:val="auto"/>
              <w:highlight w:val="yellow"/>
              <w:lang w:val="zh-CN"/>
            </w:rPr>
            <w:fldChar w:fldCharType="end"/>
          </w:r>
        </w:p>
        <w:p w14:paraId="4BE3C67E">
          <w:pPr>
            <w:pStyle w:val="6"/>
            <w:tabs>
              <w:tab w:val="right" w:leader="dot" w:pos="9072"/>
            </w:tabs>
            <w:rPr>
              <w:color w:val="auto"/>
            </w:rPr>
          </w:pPr>
          <w:r>
            <w:rPr>
              <w:bCs/>
              <w:color w:val="auto"/>
              <w:highlight w:val="yellow"/>
              <w:lang w:val="zh-CN"/>
            </w:rPr>
            <w:fldChar w:fldCharType="begin"/>
          </w:r>
          <w:r>
            <w:rPr>
              <w:bCs/>
              <w:color w:val="auto"/>
              <w:highlight w:val="yellow"/>
              <w:lang w:val="zh-CN"/>
            </w:rPr>
            <w:instrText xml:space="preserve"> HYPERLINK \l _Toc22207 </w:instrText>
          </w:r>
          <w:r>
            <w:rPr>
              <w:bCs/>
              <w:color w:val="auto"/>
              <w:highlight w:val="yellow"/>
              <w:lang w:val="zh-CN"/>
            </w:rPr>
            <w:fldChar w:fldCharType="separate"/>
          </w:r>
          <w:r>
            <w:rPr>
              <w:rFonts w:hint="default"/>
              <w:color w:val="auto"/>
              <w:szCs w:val="24"/>
              <w:highlight w:val="yellow"/>
            </w:rPr>
            <w:t xml:space="preserve">1.2.5 </w:t>
          </w:r>
          <w:r>
            <w:rPr>
              <w:rFonts w:hint="eastAsia"/>
              <w:color w:val="auto"/>
              <w:highlight w:val="yellow"/>
            </w:rPr>
            <w:t>现有研究分析</w:t>
          </w:r>
          <w:r>
            <w:rPr>
              <w:color w:val="auto"/>
              <w:highlight w:val="yellow"/>
            </w:rPr>
            <w:tab/>
          </w:r>
          <w:r>
            <w:rPr>
              <w:color w:val="auto"/>
              <w:highlight w:val="yellow"/>
            </w:rPr>
            <w:fldChar w:fldCharType="begin"/>
          </w:r>
          <w:r>
            <w:rPr>
              <w:color w:val="auto"/>
              <w:highlight w:val="yellow"/>
            </w:rPr>
            <w:instrText xml:space="preserve"> PAGEREF _Toc22207 \h </w:instrText>
          </w:r>
          <w:r>
            <w:rPr>
              <w:color w:val="auto"/>
              <w:highlight w:val="yellow"/>
            </w:rPr>
            <w:fldChar w:fldCharType="separate"/>
          </w:r>
          <w:r>
            <w:rPr>
              <w:color w:val="auto"/>
              <w:highlight w:val="yellow"/>
            </w:rPr>
            <w:t>6</w:t>
          </w:r>
          <w:r>
            <w:rPr>
              <w:color w:val="auto"/>
              <w:highlight w:val="yellow"/>
            </w:rPr>
            <w:fldChar w:fldCharType="end"/>
          </w:r>
          <w:r>
            <w:rPr>
              <w:bCs/>
              <w:color w:val="auto"/>
              <w:highlight w:val="yellow"/>
              <w:lang w:val="zh-CN"/>
            </w:rPr>
            <w:fldChar w:fldCharType="end"/>
          </w:r>
        </w:p>
        <w:p w14:paraId="77FC80BA">
          <w:pPr>
            <w:pStyle w:val="11"/>
            <w:tabs>
              <w:tab w:val="right" w:leader="dot" w:pos="9072"/>
              <w:tab w:val="clear" w:pos="9062"/>
            </w:tabs>
            <w:rPr>
              <w:color w:val="auto"/>
              <w:highlight w:val="yellow"/>
            </w:rPr>
          </w:pPr>
          <w:r>
            <w:rPr>
              <w:bCs/>
              <w:color w:val="auto"/>
              <w:highlight w:val="yellow"/>
              <w:lang w:val="zh-CN"/>
            </w:rPr>
            <w:fldChar w:fldCharType="begin"/>
          </w:r>
          <w:r>
            <w:rPr>
              <w:bCs/>
              <w:color w:val="auto"/>
              <w:highlight w:val="yellow"/>
              <w:lang w:val="zh-CN"/>
            </w:rPr>
            <w:instrText xml:space="preserve"> HYPERLINK \l _Toc22027 </w:instrText>
          </w:r>
          <w:r>
            <w:rPr>
              <w:bCs/>
              <w:color w:val="auto"/>
              <w:highlight w:val="yellow"/>
              <w:lang w:val="zh-CN"/>
            </w:rPr>
            <w:fldChar w:fldCharType="separate"/>
          </w:r>
          <w:r>
            <w:rPr>
              <w:rFonts w:hint="default"/>
              <w:color w:val="auto"/>
              <w:szCs w:val="28"/>
              <w:highlight w:val="yellow"/>
            </w:rPr>
            <w:t xml:space="preserve">1.3 </w:t>
          </w:r>
          <w:r>
            <w:rPr>
              <w:rFonts w:hint="eastAsia"/>
              <w:color w:val="auto"/>
              <w:highlight w:val="yellow"/>
            </w:rPr>
            <w:t>研究内容及流程</w:t>
          </w:r>
          <w:r>
            <w:rPr>
              <w:color w:val="auto"/>
              <w:highlight w:val="yellow"/>
            </w:rPr>
            <w:tab/>
          </w:r>
          <w:r>
            <w:rPr>
              <w:color w:val="auto"/>
              <w:highlight w:val="yellow"/>
            </w:rPr>
            <w:fldChar w:fldCharType="begin"/>
          </w:r>
          <w:r>
            <w:rPr>
              <w:color w:val="auto"/>
              <w:highlight w:val="yellow"/>
            </w:rPr>
            <w:instrText xml:space="preserve"> PAGEREF _Toc22027 \h </w:instrText>
          </w:r>
          <w:r>
            <w:rPr>
              <w:color w:val="auto"/>
              <w:highlight w:val="yellow"/>
            </w:rPr>
            <w:fldChar w:fldCharType="separate"/>
          </w:r>
          <w:r>
            <w:rPr>
              <w:color w:val="auto"/>
              <w:highlight w:val="yellow"/>
            </w:rPr>
            <w:t>7</w:t>
          </w:r>
          <w:r>
            <w:rPr>
              <w:color w:val="auto"/>
              <w:highlight w:val="yellow"/>
            </w:rPr>
            <w:fldChar w:fldCharType="end"/>
          </w:r>
          <w:r>
            <w:rPr>
              <w:bCs/>
              <w:color w:val="auto"/>
              <w:highlight w:val="yellow"/>
              <w:lang w:val="zh-CN"/>
            </w:rPr>
            <w:fldChar w:fldCharType="end"/>
          </w:r>
        </w:p>
        <w:p w14:paraId="299F9487">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_Toc15723 </w:instrText>
          </w:r>
          <w:r>
            <w:rPr>
              <w:bCs/>
              <w:color w:val="auto"/>
              <w:highlight w:val="yellow"/>
              <w:lang w:val="zh-CN"/>
            </w:rPr>
            <w:fldChar w:fldCharType="separate"/>
          </w:r>
          <w:r>
            <w:rPr>
              <w:rFonts w:hint="default"/>
              <w:color w:val="auto"/>
              <w:szCs w:val="24"/>
              <w:highlight w:val="yellow"/>
            </w:rPr>
            <w:t xml:space="preserve">1.3.1 </w:t>
          </w:r>
          <w:r>
            <w:rPr>
              <w:rFonts w:hint="eastAsia"/>
              <w:color w:val="auto"/>
              <w:highlight w:val="yellow"/>
            </w:rPr>
            <w:t>研究内容</w:t>
          </w:r>
          <w:r>
            <w:rPr>
              <w:color w:val="auto"/>
              <w:highlight w:val="yellow"/>
            </w:rPr>
            <w:tab/>
          </w:r>
          <w:r>
            <w:rPr>
              <w:color w:val="auto"/>
              <w:highlight w:val="yellow"/>
            </w:rPr>
            <w:fldChar w:fldCharType="begin"/>
          </w:r>
          <w:r>
            <w:rPr>
              <w:color w:val="auto"/>
              <w:highlight w:val="yellow"/>
            </w:rPr>
            <w:instrText xml:space="preserve"> PAGEREF _Toc15723 \h </w:instrText>
          </w:r>
          <w:r>
            <w:rPr>
              <w:color w:val="auto"/>
              <w:highlight w:val="yellow"/>
            </w:rPr>
            <w:fldChar w:fldCharType="separate"/>
          </w:r>
          <w:r>
            <w:rPr>
              <w:color w:val="auto"/>
              <w:highlight w:val="yellow"/>
            </w:rPr>
            <w:t>8</w:t>
          </w:r>
          <w:r>
            <w:rPr>
              <w:color w:val="auto"/>
              <w:highlight w:val="yellow"/>
            </w:rPr>
            <w:fldChar w:fldCharType="end"/>
          </w:r>
          <w:r>
            <w:rPr>
              <w:bCs/>
              <w:color w:val="auto"/>
              <w:highlight w:val="yellow"/>
              <w:lang w:val="zh-CN"/>
            </w:rPr>
            <w:fldChar w:fldCharType="end"/>
          </w:r>
        </w:p>
        <w:p w14:paraId="72C68E1A">
          <w:pPr>
            <w:pStyle w:val="6"/>
            <w:tabs>
              <w:tab w:val="right" w:leader="dot" w:pos="9072"/>
            </w:tabs>
            <w:rPr>
              <w:color w:val="auto"/>
            </w:rPr>
          </w:pPr>
          <w:r>
            <w:rPr>
              <w:bCs/>
              <w:color w:val="auto"/>
              <w:highlight w:val="yellow"/>
              <w:lang w:val="zh-CN"/>
            </w:rPr>
            <w:fldChar w:fldCharType="begin"/>
          </w:r>
          <w:r>
            <w:rPr>
              <w:bCs/>
              <w:color w:val="auto"/>
              <w:highlight w:val="yellow"/>
              <w:lang w:val="zh-CN"/>
            </w:rPr>
            <w:instrText xml:space="preserve"> HYPERLINK \l _Toc1072 </w:instrText>
          </w:r>
          <w:r>
            <w:rPr>
              <w:bCs/>
              <w:color w:val="auto"/>
              <w:highlight w:val="yellow"/>
              <w:lang w:val="zh-CN"/>
            </w:rPr>
            <w:fldChar w:fldCharType="separate"/>
          </w:r>
          <w:r>
            <w:rPr>
              <w:rFonts w:hint="default" w:eastAsia="宋体"/>
              <w:color w:val="auto"/>
              <w:szCs w:val="24"/>
              <w:highlight w:val="yellow"/>
            </w:rPr>
            <w:t xml:space="preserve">1.3.2 </w:t>
          </w:r>
          <w:r>
            <w:rPr>
              <w:rFonts w:hint="eastAsia"/>
              <w:color w:val="auto"/>
              <w:highlight w:val="yellow"/>
            </w:rPr>
            <w:t>研究流程</w:t>
          </w:r>
          <w:r>
            <w:rPr>
              <w:color w:val="auto"/>
              <w:highlight w:val="yellow"/>
            </w:rPr>
            <w:tab/>
          </w:r>
          <w:r>
            <w:rPr>
              <w:color w:val="auto"/>
              <w:highlight w:val="yellow"/>
            </w:rPr>
            <w:fldChar w:fldCharType="begin"/>
          </w:r>
          <w:r>
            <w:rPr>
              <w:color w:val="auto"/>
              <w:highlight w:val="yellow"/>
            </w:rPr>
            <w:instrText xml:space="preserve"> PAGEREF _Toc1072 \h </w:instrText>
          </w:r>
          <w:r>
            <w:rPr>
              <w:color w:val="auto"/>
              <w:highlight w:val="yellow"/>
            </w:rPr>
            <w:fldChar w:fldCharType="separate"/>
          </w:r>
          <w:r>
            <w:rPr>
              <w:color w:val="auto"/>
              <w:highlight w:val="yellow"/>
            </w:rPr>
            <w:t>9</w:t>
          </w:r>
          <w:r>
            <w:rPr>
              <w:color w:val="auto"/>
              <w:highlight w:val="yellow"/>
            </w:rPr>
            <w:fldChar w:fldCharType="end"/>
          </w:r>
          <w:r>
            <w:rPr>
              <w:bCs/>
              <w:color w:val="auto"/>
              <w:highlight w:val="yellow"/>
              <w:lang w:val="zh-CN"/>
            </w:rPr>
            <w:fldChar w:fldCharType="end"/>
          </w:r>
        </w:p>
        <w:p w14:paraId="626F4538">
          <w:pPr>
            <w:pStyle w:val="11"/>
            <w:tabs>
              <w:tab w:val="right" w:leader="dot" w:pos="9072"/>
              <w:tab w:val="clear" w:pos="9062"/>
            </w:tabs>
            <w:rPr>
              <w:color w:val="auto"/>
            </w:rPr>
          </w:pPr>
          <w:r>
            <w:rPr>
              <w:bCs/>
              <w:color w:val="auto"/>
              <w:lang w:val="zh-CN"/>
            </w:rPr>
            <w:fldChar w:fldCharType="begin"/>
          </w:r>
          <w:r>
            <w:rPr>
              <w:bCs/>
              <w:color w:val="auto"/>
              <w:lang w:val="zh-CN"/>
            </w:rPr>
            <w:instrText xml:space="preserve"> HYPERLINK \l _Toc29471 </w:instrText>
          </w:r>
          <w:r>
            <w:rPr>
              <w:bCs/>
              <w:color w:val="auto"/>
              <w:lang w:val="zh-CN"/>
            </w:rPr>
            <w:fldChar w:fldCharType="separate"/>
          </w:r>
          <w:r>
            <w:rPr>
              <w:rFonts w:hint="default"/>
              <w:color w:val="auto"/>
              <w:szCs w:val="28"/>
            </w:rPr>
            <w:t xml:space="preserve">1.4 </w:t>
          </w:r>
          <w:r>
            <w:rPr>
              <w:rFonts w:hint="eastAsia"/>
              <w:color w:val="auto"/>
            </w:rPr>
            <w:t>论文结构</w:t>
          </w:r>
          <w:r>
            <w:rPr>
              <w:color w:val="auto"/>
            </w:rPr>
            <w:tab/>
          </w:r>
          <w:r>
            <w:rPr>
              <w:color w:val="auto"/>
            </w:rPr>
            <w:fldChar w:fldCharType="begin"/>
          </w:r>
          <w:r>
            <w:rPr>
              <w:color w:val="auto"/>
            </w:rPr>
            <w:instrText xml:space="preserve"> PAGEREF _Toc29471 \h </w:instrText>
          </w:r>
          <w:r>
            <w:rPr>
              <w:color w:val="auto"/>
            </w:rPr>
            <w:fldChar w:fldCharType="separate"/>
          </w:r>
          <w:r>
            <w:rPr>
              <w:color w:val="auto"/>
            </w:rPr>
            <w:t>10</w:t>
          </w:r>
          <w:r>
            <w:rPr>
              <w:color w:val="auto"/>
            </w:rPr>
            <w:fldChar w:fldCharType="end"/>
          </w:r>
          <w:r>
            <w:rPr>
              <w:bCs/>
              <w:color w:val="auto"/>
              <w:lang w:val="zh-CN"/>
            </w:rPr>
            <w:fldChar w:fldCharType="end"/>
          </w:r>
        </w:p>
        <w:p w14:paraId="3AEF4FBC">
          <w:pPr>
            <w:pStyle w:val="10"/>
            <w:tabs>
              <w:tab w:val="right" w:leader="dot" w:pos="9072"/>
            </w:tabs>
            <w:rPr>
              <w:color w:val="auto"/>
            </w:rPr>
          </w:pPr>
          <w:r>
            <w:rPr>
              <w:bCs/>
              <w:color w:val="auto"/>
              <w:lang w:val="zh-CN"/>
            </w:rPr>
            <w:fldChar w:fldCharType="begin"/>
          </w:r>
          <w:r>
            <w:rPr>
              <w:bCs/>
              <w:color w:val="auto"/>
              <w:lang w:val="zh-CN"/>
            </w:rPr>
            <w:instrText xml:space="preserve"> HYPERLINK \l _Toc28358 </w:instrText>
          </w:r>
          <w:r>
            <w:rPr>
              <w:bCs/>
              <w:color w:val="auto"/>
              <w:lang w:val="zh-CN"/>
            </w:rPr>
            <w:fldChar w:fldCharType="separate"/>
          </w:r>
          <w:r>
            <w:rPr>
              <w:rFonts w:hint="eastAsia"/>
              <w:color w:val="auto"/>
              <w:szCs w:val="30"/>
            </w:rPr>
            <w:t xml:space="preserve">第二章 </w:t>
          </w:r>
          <w:r>
            <w:rPr>
              <w:rFonts w:hint="eastAsia"/>
              <w:color w:val="auto"/>
            </w:rPr>
            <w:t>医疗器械专利分类模型相关理论基础</w:t>
          </w:r>
          <w:r>
            <w:rPr>
              <w:color w:val="auto"/>
            </w:rPr>
            <w:tab/>
          </w:r>
          <w:r>
            <w:rPr>
              <w:color w:val="auto"/>
            </w:rPr>
            <w:fldChar w:fldCharType="begin"/>
          </w:r>
          <w:r>
            <w:rPr>
              <w:color w:val="auto"/>
            </w:rPr>
            <w:instrText xml:space="preserve"> PAGEREF _Toc28358 \h </w:instrText>
          </w:r>
          <w:r>
            <w:rPr>
              <w:color w:val="auto"/>
            </w:rPr>
            <w:fldChar w:fldCharType="separate"/>
          </w:r>
          <w:r>
            <w:rPr>
              <w:color w:val="auto"/>
            </w:rPr>
            <w:t>11</w:t>
          </w:r>
          <w:r>
            <w:rPr>
              <w:color w:val="auto"/>
            </w:rPr>
            <w:fldChar w:fldCharType="end"/>
          </w:r>
          <w:r>
            <w:rPr>
              <w:bCs/>
              <w:color w:val="auto"/>
              <w:lang w:val="zh-CN"/>
            </w:rPr>
            <w:fldChar w:fldCharType="end"/>
          </w:r>
        </w:p>
        <w:p w14:paraId="5175D950">
          <w:pPr>
            <w:pStyle w:val="11"/>
            <w:tabs>
              <w:tab w:val="right" w:leader="dot" w:pos="9072"/>
              <w:tab w:val="clear" w:pos="9062"/>
            </w:tabs>
            <w:rPr>
              <w:color w:val="auto"/>
            </w:rPr>
          </w:pPr>
          <w:r>
            <w:rPr>
              <w:bCs/>
              <w:color w:val="auto"/>
              <w:lang w:val="zh-CN"/>
            </w:rPr>
            <w:fldChar w:fldCharType="begin"/>
          </w:r>
          <w:r>
            <w:rPr>
              <w:bCs/>
              <w:color w:val="auto"/>
              <w:lang w:val="zh-CN"/>
            </w:rPr>
            <w:instrText xml:space="preserve"> HYPERLINK \l _Toc11239 </w:instrText>
          </w:r>
          <w:r>
            <w:rPr>
              <w:bCs/>
              <w:color w:val="auto"/>
              <w:lang w:val="zh-CN"/>
            </w:rPr>
            <w:fldChar w:fldCharType="separate"/>
          </w:r>
          <w:r>
            <w:rPr>
              <w:rFonts w:hint="default"/>
              <w:color w:val="auto"/>
              <w:szCs w:val="28"/>
            </w:rPr>
            <w:t xml:space="preserve">2.1 </w:t>
          </w:r>
          <w:r>
            <w:rPr>
              <w:rFonts w:hint="eastAsia"/>
              <w:color w:val="auto"/>
            </w:rPr>
            <w:t>专利数据特征与医疗器械监管体系结构</w:t>
          </w:r>
          <w:r>
            <w:rPr>
              <w:color w:val="auto"/>
            </w:rPr>
            <w:tab/>
          </w:r>
          <w:r>
            <w:rPr>
              <w:color w:val="auto"/>
            </w:rPr>
            <w:fldChar w:fldCharType="begin"/>
          </w:r>
          <w:r>
            <w:rPr>
              <w:color w:val="auto"/>
            </w:rPr>
            <w:instrText xml:space="preserve"> PAGEREF _Toc11239 \h </w:instrText>
          </w:r>
          <w:r>
            <w:rPr>
              <w:color w:val="auto"/>
            </w:rPr>
            <w:fldChar w:fldCharType="separate"/>
          </w:r>
          <w:r>
            <w:rPr>
              <w:color w:val="auto"/>
            </w:rPr>
            <w:t>11</w:t>
          </w:r>
          <w:r>
            <w:rPr>
              <w:color w:val="auto"/>
            </w:rPr>
            <w:fldChar w:fldCharType="end"/>
          </w:r>
          <w:r>
            <w:rPr>
              <w:bCs/>
              <w:color w:val="auto"/>
              <w:lang w:val="zh-CN"/>
            </w:rPr>
            <w:fldChar w:fldCharType="end"/>
          </w:r>
        </w:p>
        <w:p w14:paraId="69DECA30">
          <w:pPr>
            <w:pStyle w:val="6"/>
            <w:tabs>
              <w:tab w:val="right" w:leader="dot" w:pos="9072"/>
            </w:tabs>
            <w:rPr>
              <w:color w:val="auto"/>
            </w:rPr>
          </w:pPr>
          <w:r>
            <w:rPr>
              <w:bCs/>
              <w:color w:val="auto"/>
              <w:lang w:val="zh-CN"/>
            </w:rPr>
            <w:fldChar w:fldCharType="begin"/>
          </w:r>
          <w:r>
            <w:rPr>
              <w:bCs/>
              <w:color w:val="auto"/>
              <w:lang w:val="zh-CN"/>
            </w:rPr>
            <w:instrText xml:space="preserve"> HYPERLINK \l _Toc2037 </w:instrText>
          </w:r>
          <w:r>
            <w:rPr>
              <w:bCs/>
              <w:color w:val="auto"/>
              <w:lang w:val="zh-CN"/>
            </w:rPr>
            <w:fldChar w:fldCharType="separate"/>
          </w:r>
          <w:r>
            <w:rPr>
              <w:rFonts w:hint="default" w:eastAsia="宋体"/>
              <w:color w:val="auto"/>
              <w:szCs w:val="24"/>
            </w:rPr>
            <w:t xml:space="preserve">2.1.1 </w:t>
          </w:r>
          <w:r>
            <w:rPr>
              <w:rFonts w:hint="eastAsia"/>
              <w:color w:val="auto"/>
            </w:rPr>
            <w:t>专利数据</w:t>
          </w:r>
          <w:r>
            <w:rPr>
              <w:color w:val="auto"/>
            </w:rPr>
            <w:tab/>
          </w:r>
          <w:r>
            <w:rPr>
              <w:color w:val="auto"/>
            </w:rPr>
            <w:fldChar w:fldCharType="begin"/>
          </w:r>
          <w:r>
            <w:rPr>
              <w:color w:val="auto"/>
            </w:rPr>
            <w:instrText xml:space="preserve"> PAGEREF _Toc2037 \h </w:instrText>
          </w:r>
          <w:r>
            <w:rPr>
              <w:color w:val="auto"/>
            </w:rPr>
            <w:fldChar w:fldCharType="separate"/>
          </w:r>
          <w:r>
            <w:rPr>
              <w:color w:val="auto"/>
            </w:rPr>
            <w:t>11</w:t>
          </w:r>
          <w:r>
            <w:rPr>
              <w:color w:val="auto"/>
            </w:rPr>
            <w:fldChar w:fldCharType="end"/>
          </w:r>
          <w:r>
            <w:rPr>
              <w:bCs/>
              <w:color w:val="auto"/>
              <w:lang w:val="zh-CN"/>
            </w:rPr>
            <w:fldChar w:fldCharType="end"/>
          </w:r>
        </w:p>
        <w:p w14:paraId="624BBF86">
          <w:pPr>
            <w:pStyle w:val="6"/>
            <w:tabs>
              <w:tab w:val="right" w:leader="dot" w:pos="9072"/>
            </w:tabs>
            <w:rPr>
              <w:color w:val="auto"/>
            </w:rPr>
          </w:pPr>
          <w:r>
            <w:rPr>
              <w:bCs/>
              <w:color w:val="auto"/>
              <w:lang w:val="zh-CN"/>
            </w:rPr>
            <w:fldChar w:fldCharType="begin"/>
          </w:r>
          <w:r>
            <w:rPr>
              <w:bCs/>
              <w:color w:val="auto"/>
              <w:lang w:val="zh-CN"/>
            </w:rPr>
            <w:instrText xml:space="preserve"> HYPERLINK \l _Toc3689 </w:instrText>
          </w:r>
          <w:r>
            <w:rPr>
              <w:bCs/>
              <w:color w:val="auto"/>
              <w:lang w:val="zh-CN"/>
            </w:rPr>
            <w:fldChar w:fldCharType="separate"/>
          </w:r>
          <w:r>
            <w:rPr>
              <w:rFonts w:hint="default"/>
              <w:color w:val="auto"/>
              <w:szCs w:val="24"/>
            </w:rPr>
            <w:t xml:space="preserve">2.1.2 </w:t>
          </w:r>
          <w:r>
            <w:rPr>
              <w:rFonts w:hint="eastAsia"/>
              <w:color w:val="auto"/>
            </w:rPr>
            <w:t>专利分类体系</w:t>
          </w:r>
          <w:r>
            <w:rPr>
              <w:color w:val="auto"/>
            </w:rPr>
            <w:tab/>
          </w:r>
          <w:r>
            <w:rPr>
              <w:color w:val="auto"/>
            </w:rPr>
            <w:fldChar w:fldCharType="begin"/>
          </w:r>
          <w:r>
            <w:rPr>
              <w:color w:val="auto"/>
            </w:rPr>
            <w:instrText xml:space="preserve"> PAGEREF _Toc3689 \h </w:instrText>
          </w:r>
          <w:r>
            <w:rPr>
              <w:color w:val="auto"/>
            </w:rPr>
            <w:fldChar w:fldCharType="separate"/>
          </w:r>
          <w:r>
            <w:rPr>
              <w:color w:val="auto"/>
            </w:rPr>
            <w:t>12</w:t>
          </w:r>
          <w:r>
            <w:rPr>
              <w:color w:val="auto"/>
            </w:rPr>
            <w:fldChar w:fldCharType="end"/>
          </w:r>
          <w:r>
            <w:rPr>
              <w:bCs/>
              <w:color w:val="auto"/>
              <w:lang w:val="zh-CN"/>
            </w:rPr>
            <w:fldChar w:fldCharType="end"/>
          </w:r>
        </w:p>
        <w:p w14:paraId="00E9856A">
          <w:pPr>
            <w:pStyle w:val="6"/>
            <w:tabs>
              <w:tab w:val="right" w:leader="dot" w:pos="9072"/>
            </w:tabs>
            <w:rPr>
              <w:color w:val="auto"/>
            </w:rPr>
          </w:pPr>
          <w:r>
            <w:rPr>
              <w:bCs/>
              <w:color w:val="auto"/>
              <w:lang w:val="zh-CN"/>
            </w:rPr>
            <w:fldChar w:fldCharType="begin"/>
          </w:r>
          <w:r>
            <w:rPr>
              <w:bCs/>
              <w:color w:val="auto"/>
              <w:lang w:val="zh-CN"/>
            </w:rPr>
            <w:instrText xml:space="preserve"> HYPERLINK \l _Toc27745 </w:instrText>
          </w:r>
          <w:r>
            <w:rPr>
              <w:bCs/>
              <w:color w:val="auto"/>
              <w:lang w:val="zh-CN"/>
            </w:rPr>
            <w:fldChar w:fldCharType="separate"/>
          </w:r>
          <w:r>
            <w:rPr>
              <w:rFonts w:hint="default"/>
              <w:color w:val="auto"/>
              <w:szCs w:val="24"/>
            </w:rPr>
            <w:t xml:space="preserve">2.1.3 </w:t>
          </w:r>
          <w:r>
            <w:rPr>
              <w:rFonts w:hint="eastAsia"/>
              <w:color w:val="auto"/>
            </w:rPr>
            <w:t>医疗器械监管分类体系</w:t>
          </w:r>
          <w:r>
            <w:rPr>
              <w:color w:val="auto"/>
            </w:rPr>
            <w:tab/>
          </w:r>
          <w:r>
            <w:rPr>
              <w:color w:val="auto"/>
            </w:rPr>
            <w:fldChar w:fldCharType="begin"/>
          </w:r>
          <w:r>
            <w:rPr>
              <w:color w:val="auto"/>
            </w:rPr>
            <w:instrText xml:space="preserve"> PAGEREF _Toc27745 \h </w:instrText>
          </w:r>
          <w:r>
            <w:rPr>
              <w:color w:val="auto"/>
            </w:rPr>
            <w:fldChar w:fldCharType="separate"/>
          </w:r>
          <w:r>
            <w:rPr>
              <w:color w:val="auto"/>
            </w:rPr>
            <w:t>13</w:t>
          </w:r>
          <w:r>
            <w:rPr>
              <w:color w:val="auto"/>
            </w:rPr>
            <w:fldChar w:fldCharType="end"/>
          </w:r>
          <w:r>
            <w:rPr>
              <w:bCs/>
              <w:color w:val="auto"/>
              <w:lang w:val="zh-CN"/>
            </w:rPr>
            <w:fldChar w:fldCharType="end"/>
          </w:r>
        </w:p>
        <w:p w14:paraId="0B44510F">
          <w:pPr>
            <w:pStyle w:val="6"/>
            <w:tabs>
              <w:tab w:val="right" w:leader="dot" w:pos="9072"/>
            </w:tabs>
            <w:rPr>
              <w:color w:val="auto"/>
            </w:rPr>
          </w:pPr>
          <w:r>
            <w:rPr>
              <w:bCs/>
              <w:color w:val="auto"/>
              <w:lang w:val="zh-CN"/>
            </w:rPr>
            <w:fldChar w:fldCharType="begin"/>
          </w:r>
          <w:r>
            <w:rPr>
              <w:bCs/>
              <w:color w:val="auto"/>
              <w:lang w:val="zh-CN"/>
            </w:rPr>
            <w:instrText xml:space="preserve"> HYPERLINK \l _Toc31469 </w:instrText>
          </w:r>
          <w:r>
            <w:rPr>
              <w:bCs/>
              <w:color w:val="auto"/>
              <w:lang w:val="zh-CN"/>
            </w:rPr>
            <w:fldChar w:fldCharType="separate"/>
          </w:r>
          <w:r>
            <w:rPr>
              <w:rFonts w:hint="default"/>
              <w:color w:val="auto"/>
              <w:szCs w:val="24"/>
              <w:highlight w:val="yellow"/>
            </w:rPr>
            <w:t xml:space="preserve">2.1.4 </w:t>
          </w:r>
          <w:r>
            <w:rPr>
              <w:rFonts w:hint="eastAsia"/>
              <w:color w:val="auto"/>
              <w:highlight w:val="yellow"/>
            </w:rPr>
            <w:t>跨体系语义映射问题定义与分析</w:t>
          </w:r>
          <w:r>
            <w:rPr>
              <w:color w:val="auto"/>
            </w:rPr>
            <w:tab/>
          </w:r>
          <w:r>
            <w:rPr>
              <w:color w:val="auto"/>
            </w:rPr>
            <w:fldChar w:fldCharType="begin"/>
          </w:r>
          <w:r>
            <w:rPr>
              <w:color w:val="auto"/>
            </w:rPr>
            <w:instrText xml:space="preserve"> PAGEREF _Toc31469 \h </w:instrText>
          </w:r>
          <w:r>
            <w:rPr>
              <w:color w:val="auto"/>
            </w:rPr>
            <w:fldChar w:fldCharType="separate"/>
          </w:r>
          <w:r>
            <w:rPr>
              <w:color w:val="auto"/>
            </w:rPr>
            <w:t>14</w:t>
          </w:r>
          <w:r>
            <w:rPr>
              <w:color w:val="auto"/>
            </w:rPr>
            <w:fldChar w:fldCharType="end"/>
          </w:r>
          <w:r>
            <w:rPr>
              <w:bCs/>
              <w:color w:val="auto"/>
              <w:lang w:val="zh-CN"/>
            </w:rPr>
            <w:fldChar w:fldCharType="end"/>
          </w:r>
        </w:p>
        <w:p w14:paraId="1043C235">
          <w:pPr>
            <w:pStyle w:val="11"/>
            <w:tabs>
              <w:tab w:val="right" w:leader="dot" w:pos="9072"/>
              <w:tab w:val="clear" w:pos="9062"/>
            </w:tabs>
            <w:rPr>
              <w:color w:val="auto"/>
              <w:highlight w:val="yellow"/>
            </w:rPr>
          </w:pPr>
          <w:r>
            <w:rPr>
              <w:bCs/>
              <w:color w:val="auto"/>
              <w:highlight w:val="yellow"/>
              <w:lang w:val="zh-CN"/>
            </w:rPr>
            <w:fldChar w:fldCharType="begin"/>
          </w:r>
          <w:r>
            <w:rPr>
              <w:bCs/>
              <w:color w:val="auto"/>
              <w:highlight w:val="yellow"/>
              <w:lang w:val="zh-CN"/>
            </w:rPr>
            <w:instrText xml:space="preserve"> HYPERLINK \l _Toc8353 </w:instrText>
          </w:r>
          <w:r>
            <w:rPr>
              <w:bCs/>
              <w:color w:val="auto"/>
              <w:highlight w:val="yellow"/>
              <w:lang w:val="zh-CN"/>
            </w:rPr>
            <w:fldChar w:fldCharType="separate"/>
          </w:r>
          <w:r>
            <w:rPr>
              <w:rFonts w:hint="default"/>
              <w:color w:val="auto"/>
              <w:szCs w:val="28"/>
              <w:highlight w:val="yellow"/>
            </w:rPr>
            <w:t xml:space="preserve">2.2 </w:t>
          </w:r>
          <w:r>
            <w:rPr>
              <w:rFonts w:hint="eastAsia"/>
              <w:color w:val="auto"/>
              <w:highlight w:val="yellow"/>
            </w:rPr>
            <w:t>自动标注数据质量控制方法</w:t>
          </w:r>
          <w:r>
            <w:rPr>
              <w:color w:val="auto"/>
              <w:highlight w:val="yellow"/>
            </w:rPr>
            <w:tab/>
          </w:r>
          <w:r>
            <w:rPr>
              <w:color w:val="auto"/>
              <w:highlight w:val="yellow"/>
            </w:rPr>
            <w:fldChar w:fldCharType="begin"/>
          </w:r>
          <w:r>
            <w:rPr>
              <w:color w:val="auto"/>
              <w:highlight w:val="yellow"/>
            </w:rPr>
            <w:instrText xml:space="preserve"> PAGEREF _Toc8353 \h </w:instrText>
          </w:r>
          <w:r>
            <w:rPr>
              <w:color w:val="auto"/>
              <w:highlight w:val="yellow"/>
            </w:rPr>
            <w:fldChar w:fldCharType="separate"/>
          </w:r>
          <w:r>
            <w:rPr>
              <w:color w:val="auto"/>
              <w:highlight w:val="yellow"/>
            </w:rPr>
            <w:t>15</w:t>
          </w:r>
          <w:r>
            <w:rPr>
              <w:color w:val="auto"/>
              <w:highlight w:val="yellow"/>
            </w:rPr>
            <w:fldChar w:fldCharType="end"/>
          </w:r>
          <w:r>
            <w:rPr>
              <w:bCs/>
              <w:color w:val="auto"/>
              <w:highlight w:val="yellow"/>
              <w:lang w:val="zh-CN"/>
            </w:rPr>
            <w:fldChar w:fldCharType="end"/>
          </w:r>
        </w:p>
        <w:p w14:paraId="782E886E">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_Toc7022 </w:instrText>
          </w:r>
          <w:r>
            <w:rPr>
              <w:bCs/>
              <w:color w:val="auto"/>
              <w:highlight w:val="yellow"/>
              <w:lang w:val="zh-CN"/>
            </w:rPr>
            <w:fldChar w:fldCharType="separate"/>
          </w:r>
          <w:r>
            <w:rPr>
              <w:rFonts w:hint="default"/>
              <w:color w:val="auto"/>
              <w:szCs w:val="24"/>
              <w:highlight w:val="yellow"/>
            </w:rPr>
            <w:t xml:space="preserve">2.2.1 </w:t>
          </w:r>
          <w:r>
            <w:rPr>
              <w:rFonts w:hint="eastAsia"/>
              <w:color w:val="auto"/>
              <w:highlight w:val="yellow"/>
            </w:rPr>
            <w:t>一致性筛选与标签错误检测</w:t>
          </w:r>
          <w:r>
            <w:rPr>
              <w:color w:val="auto"/>
              <w:highlight w:val="yellow"/>
            </w:rPr>
            <w:tab/>
          </w:r>
          <w:r>
            <w:rPr>
              <w:color w:val="auto"/>
              <w:highlight w:val="yellow"/>
            </w:rPr>
            <w:fldChar w:fldCharType="begin"/>
          </w:r>
          <w:r>
            <w:rPr>
              <w:color w:val="auto"/>
              <w:highlight w:val="yellow"/>
            </w:rPr>
            <w:instrText xml:space="preserve"> PAGEREF _Toc7022 \h </w:instrText>
          </w:r>
          <w:r>
            <w:rPr>
              <w:color w:val="auto"/>
              <w:highlight w:val="yellow"/>
            </w:rPr>
            <w:fldChar w:fldCharType="separate"/>
          </w:r>
          <w:r>
            <w:rPr>
              <w:color w:val="auto"/>
              <w:highlight w:val="yellow"/>
            </w:rPr>
            <w:t>15</w:t>
          </w:r>
          <w:r>
            <w:rPr>
              <w:color w:val="auto"/>
              <w:highlight w:val="yellow"/>
            </w:rPr>
            <w:fldChar w:fldCharType="end"/>
          </w:r>
          <w:r>
            <w:rPr>
              <w:bCs/>
              <w:color w:val="auto"/>
              <w:highlight w:val="yellow"/>
              <w:lang w:val="zh-CN"/>
            </w:rPr>
            <w:fldChar w:fldCharType="end"/>
          </w:r>
        </w:p>
        <w:p w14:paraId="6072769E">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_Toc1913 </w:instrText>
          </w:r>
          <w:r>
            <w:rPr>
              <w:bCs/>
              <w:color w:val="auto"/>
              <w:highlight w:val="yellow"/>
              <w:lang w:val="zh-CN"/>
            </w:rPr>
            <w:fldChar w:fldCharType="separate"/>
          </w:r>
          <w:r>
            <w:rPr>
              <w:rFonts w:hint="default"/>
              <w:color w:val="auto"/>
              <w:szCs w:val="24"/>
              <w:highlight w:val="yellow"/>
            </w:rPr>
            <w:t xml:space="preserve">2.2.2 </w:t>
          </w:r>
          <w:r>
            <w:rPr>
              <w:rFonts w:hint="eastAsia"/>
              <w:color w:val="auto"/>
              <w:highlight w:val="yellow"/>
            </w:rPr>
            <w:t>统计等价性检验</w:t>
          </w:r>
          <w:r>
            <w:rPr>
              <w:color w:val="auto"/>
              <w:highlight w:val="yellow"/>
            </w:rPr>
            <w:tab/>
          </w:r>
          <w:r>
            <w:rPr>
              <w:color w:val="auto"/>
              <w:highlight w:val="yellow"/>
            </w:rPr>
            <w:fldChar w:fldCharType="begin"/>
          </w:r>
          <w:r>
            <w:rPr>
              <w:color w:val="auto"/>
              <w:highlight w:val="yellow"/>
            </w:rPr>
            <w:instrText xml:space="preserve"> PAGEREF _Toc1913 \h </w:instrText>
          </w:r>
          <w:r>
            <w:rPr>
              <w:color w:val="auto"/>
              <w:highlight w:val="yellow"/>
            </w:rPr>
            <w:fldChar w:fldCharType="separate"/>
          </w:r>
          <w:r>
            <w:rPr>
              <w:color w:val="auto"/>
              <w:highlight w:val="yellow"/>
            </w:rPr>
            <w:t>16</w:t>
          </w:r>
          <w:r>
            <w:rPr>
              <w:color w:val="auto"/>
              <w:highlight w:val="yellow"/>
            </w:rPr>
            <w:fldChar w:fldCharType="end"/>
          </w:r>
          <w:r>
            <w:rPr>
              <w:bCs/>
              <w:color w:val="auto"/>
              <w:highlight w:val="yellow"/>
              <w:lang w:val="zh-CN"/>
            </w:rPr>
            <w:fldChar w:fldCharType="end"/>
          </w:r>
        </w:p>
        <w:p w14:paraId="56DAAE3A">
          <w:pPr>
            <w:pStyle w:val="11"/>
            <w:tabs>
              <w:tab w:val="right" w:leader="dot" w:pos="9072"/>
              <w:tab w:val="clear" w:pos="9062"/>
            </w:tabs>
            <w:rPr>
              <w:color w:val="auto"/>
              <w:highlight w:val="yellow"/>
            </w:rPr>
          </w:pPr>
          <w:r>
            <w:rPr>
              <w:bCs/>
              <w:color w:val="auto"/>
              <w:highlight w:val="yellow"/>
              <w:lang w:val="zh-CN"/>
            </w:rPr>
            <w:fldChar w:fldCharType="begin"/>
          </w:r>
          <w:r>
            <w:rPr>
              <w:bCs/>
              <w:color w:val="auto"/>
              <w:highlight w:val="yellow"/>
              <w:lang w:val="zh-CN"/>
            </w:rPr>
            <w:instrText xml:space="preserve"> HYPERLINK \l _Toc3445 </w:instrText>
          </w:r>
          <w:r>
            <w:rPr>
              <w:bCs/>
              <w:color w:val="auto"/>
              <w:highlight w:val="yellow"/>
              <w:lang w:val="zh-CN"/>
            </w:rPr>
            <w:fldChar w:fldCharType="separate"/>
          </w:r>
          <w:r>
            <w:rPr>
              <w:rFonts w:hint="default"/>
              <w:color w:val="auto"/>
              <w:szCs w:val="28"/>
              <w:highlight w:val="yellow"/>
            </w:rPr>
            <w:t xml:space="preserve">2.3 </w:t>
          </w:r>
          <w:r>
            <w:rPr>
              <w:rFonts w:hint="eastAsia"/>
              <w:color w:val="auto"/>
              <w:highlight w:val="yellow"/>
            </w:rPr>
            <w:t>语义表征与分类模型</w:t>
          </w:r>
          <w:r>
            <w:rPr>
              <w:color w:val="auto"/>
              <w:highlight w:val="yellow"/>
            </w:rPr>
            <w:tab/>
          </w:r>
          <w:r>
            <w:rPr>
              <w:color w:val="auto"/>
              <w:highlight w:val="yellow"/>
            </w:rPr>
            <w:fldChar w:fldCharType="begin"/>
          </w:r>
          <w:r>
            <w:rPr>
              <w:color w:val="auto"/>
              <w:highlight w:val="yellow"/>
            </w:rPr>
            <w:instrText xml:space="preserve"> PAGEREF _Toc3445 \h </w:instrText>
          </w:r>
          <w:r>
            <w:rPr>
              <w:color w:val="auto"/>
              <w:highlight w:val="yellow"/>
            </w:rPr>
            <w:fldChar w:fldCharType="separate"/>
          </w:r>
          <w:r>
            <w:rPr>
              <w:color w:val="auto"/>
              <w:highlight w:val="yellow"/>
            </w:rPr>
            <w:t>16</w:t>
          </w:r>
          <w:r>
            <w:rPr>
              <w:color w:val="auto"/>
              <w:highlight w:val="yellow"/>
            </w:rPr>
            <w:fldChar w:fldCharType="end"/>
          </w:r>
          <w:r>
            <w:rPr>
              <w:bCs/>
              <w:color w:val="auto"/>
              <w:highlight w:val="yellow"/>
              <w:lang w:val="zh-CN"/>
            </w:rPr>
            <w:fldChar w:fldCharType="end"/>
          </w:r>
        </w:p>
        <w:p w14:paraId="0987F4B6">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_Toc16089 </w:instrText>
          </w:r>
          <w:r>
            <w:rPr>
              <w:bCs/>
              <w:color w:val="auto"/>
              <w:highlight w:val="yellow"/>
              <w:lang w:val="zh-CN"/>
            </w:rPr>
            <w:fldChar w:fldCharType="separate"/>
          </w:r>
          <w:r>
            <w:rPr>
              <w:rFonts w:hint="default"/>
              <w:color w:val="auto"/>
              <w:szCs w:val="24"/>
              <w:highlight w:val="yellow"/>
            </w:rPr>
            <w:t xml:space="preserve">2.3.1 </w:t>
          </w:r>
          <w:r>
            <w:rPr>
              <w:rFonts w:hint="eastAsia"/>
              <w:color w:val="auto"/>
              <w:highlight w:val="yellow"/>
            </w:rPr>
            <w:t>传统机器学习模型</w:t>
          </w:r>
          <w:r>
            <w:rPr>
              <w:color w:val="auto"/>
              <w:highlight w:val="yellow"/>
            </w:rPr>
            <w:tab/>
          </w:r>
          <w:r>
            <w:rPr>
              <w:color w:val="auto"/>
              <w:highlight w:val="yellow"/>
            </w:rPr>
            <w:fldChar w:fldCharType="begin"/>
          </w:r>
          <w:r>
            <w:rPr>
              <w:color w:val="auto"/>
              <w:highlight w:val="yellow"/>
            </w:rPr>
            <w:instrText xml:space="preserve"> PAGEREF _Toc16089 \h </w:instrText>
          </w:r>
          <w:r>
            <w:rPr>
              <w:color w:val="auto"/>
              <w:highlight w:val="yellow"/>
            </w:rPr>
            <w:fldChar w:fldCharType="separate"/>
          </w:r>
          <w:r>
            <w:rPr>
              <w:color w:val="auto"/>
              <w:highlight w:val="yellow"/>
            </w:rPr>
            <w:t>16</w:t>
          </w:r>
          <w:r>
            <w:rPr>
              <w:color w:val="auto"/>
              <w:highlight w:val="yellow"/>
            </w:rPr>
            <w:fldChar w:fldCharType="end"/>
          </w:r>
          <w:r>
            <w:rPr>
              <w:bCs/>
              <w:color w:val="auto"/>
              <w:highlight w:val="yellow"/>
              <w:lang w:val="zh-CN"/>
            </w:rPr>
            <w:fldChar w:fldCharType="end"/>
          </w:r>
        </w:p>
        <w:p w14:paraId="649039DF">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_Toc15248 </w:instrText>
          </w:r>
          <w:r>
            <w:rPr>
              <w:bCs/>
              <w:color w:val="auto"/>
              <w:highlight w:val="yellow"/>
              <w:lang w:val="zh-CN"/>
            </w:rPr>
            <w:fldChar w:fldCharType="separate"/>
          </w:r>
          <w:r>
            <w:rPr>
              <w:rFonts w:hint="default"/>
              <w:color w:val="auto"/>
              <w:szCs w:val="24"/>
              <w:highlight w:val="yellow"/>
            </w:rPr>
            <w:t xml:space="preserve">2.3.2 </w:t>
          </w:r>
          <w:r>
            <w:rPr>
              <w:rFonts w:hint="eastAsia"/>
              <w:color w:val="auto"/>
              <w:highlight w:val="yellow"/>
            </w:rPr>
            <w:t>基于深度学习与预训练模型的语义表征</w:t>
          </w:r>
          <w:r>
            <w:rPr>
              <w:color w:val="auto"/>
              <w:highlight w:val="yellow"/>
            </w:rPr>
            <w:tab/>
          </w:r>
          <w:r>
            <w:rPr>
              <w:color w:val="auto"/>
              <w:highlight w:val="yellow"/>
            </w:rPr>
            <w:fldChar w:fldCharType="begin"/>
          </w:r>
          <w:r>
            <w:rPr>
              <w:color w:val="auto"/>
              <w:highlight w:val="yellow"/>
            </w:rPr>
            <w:instrText xml:space="preserve"> PAGEREF _Toc15248 \h </w:instrText>
          </w:r>
          <w:r>
            <w:rPr>
              <w:color w:val="auto"/>
              <w:highlight w:val="yellow"/>
            </w:rPr>
            <w:fldChar w:fldCharType="separate"/>
          </w:r>
          <w:r>
            <w:rPr>
              <w:color w:val="auto"/>
              <w:highlight w:val="yellow"/>
            </w:rPr>
            <w:t>18</w:t>
          </w:r>
          <w:r>
            <w:rPr>
              <w:color w:val="auto"/>
              <w:highlight w:val="yellow"/>
            </w:rPr>
            <w:fldChar w:fldCharType="end"/>
          </w:r>
          <w:r>
            <w:rPr>
              <w:bCs/>
              <w:color w:val="auto"/>
              <w:highlight w:val="yellow"/>
              <w:lang w:val="zh-CN"/>
            </w:rPr>
            <w:fldChar w:fldCharType="end"/>
          </w:r>
        </w:p>
        <w:p w14:paraId="7D5C808F">
          <w:pPr>
            <w:pStyle w:val="11"/>
            <w:tabs>
              <w:tab w:val="right" w:leader="dot" w:pos="9072"/>
              <w:tab w:val="clear" w:pos="9062"/>
            </w:tabs>
            <w:rPr>
              <w:color w:val="auto"/>
              <w:highlight w:val="yellow"/>
            </w:rPr>
          </w:pPr>
          <w:r>
            <w:rPr>
              <w:bCs/>
              <w:color w:val="auto"/>
              <w:highlight w:val="yellow"/>
              <w:lang w:val="zh-CN"/>
            </w:rPr>
            <w:fldChar w:fldCharType="begin"/>
          </w:r>
          <w:r>
            <w:rPr>
              <w:bCs/>
              <w:color w:val="auto"/>
              <w:highlight w:val="yellow"/>
              <w:lang w:val="zh-CN"/>
            </w:rPr>
            <w:instrText xml:space="preserve"> HYPERLINK \l _Toc16886 </w:instrText>
          </w:r>
          <w:r>
            <w:rPr>
              <w:bCs/>
              <w:color w:val="auto"/>
              <w:highlight w:val="yellow"/>
              <w:lang w:val="zh-CN"/>
            </w:rPr>
            <w:fldChar w:fldCharType="separate"/>
          </w:r>
          <w:r>
            <w:rPr>
              <w:rFonts w:hint="default"/>
              <w:color w:val="auto"/>
              <w:szCs w:val="28"/>
              <w:highlight w:val="yellow"/>
            </w:rPr>
            <w:t xml:space="preserve">2.4 </w:t>
          </w:r>
          <w:r>
            <w:rPr>
              <w:rFonts w:hint="eastAsia"/>
              <w:color w:val="auto"/>
              <w:highlight w:val="yellow"/>
            </w:rPr>
            <w:t>大语言模型与知识增强技术</w:t>
          </w:r>
          <w:r>
            <w:rPr>
              <w:color w:val="auto"/>
              <w:highlight w:val="yellow"/>
            </w:rPr>
            <w:tab/>
          </w:r>
          <w:r>
            <w:rPr>
              <w:color w:val="auto"/>
              <w:highlight w:val="yellow"/>
            </w:rPr>
            <w:fldChar w:fldCharType="begin"/>
          </w:r>
          <w:r>
            <w:rPr>
              <w:color w:val="auto"/>
              <w:highlight w:val="yellow"/>
            </w:rPr>
            <w:instrText xml:space="preserve"> PAGEREF _Toc16886 \h </w:instrText>
          </w:r>
          <w:r>
            <w:rPr>
              <w:color w:val="auto"/>
              <w:highlight w:val="yellow"/>
            </w:rPr>
            <w:fldChar w:fldCharType="separate"/>
          </w:r>
          <w:r>
            <w:rPr>
              <w:color w:val="auto"/>
              <w:highlight w:val="yellow"/>
            </w:rPr>
            <w:t>21</w:t>
          </w:r>
          <w:r>
            <w:rPr>
              <w:color w:val="auto"/>
              <w:highlight w:val="yellow"/>
            </w:rPr>
            <w:fldChar w:fldCharType="end"/>
          </w:r>
          <w:r>
            <w:rPr>
              <w:bCs/>
              <w:color w:val="auto"/>
              <w:highlight w:val="yellow"/>
              <w:lang w:val="zh-CN"/>
            </w:rPr>
            <w:fldChar w:fldCharType="end"/>
          </w:r>
        </w:p>
        <w:p w14:paraId="34CFD2BD">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_Toc27541 </w:instrText>
          </w:r>
          <w:r>
            <w:rPr>
              <w:bCs/>
              <w:color w:val="auto"/>
              <w:highlight w:val="yellow"/>
              <w:lang w:val="zh-CN"/>
            </w:rPr>
            <w:fldChar w:fldCharType="separate"/>
          </w:r>
          <w:r>
            <w:rPr>
              <w:rFonts w:hint="default"/>
              <w:color w:val="auto"/>
              <w:szCs w:val="24"/>
              <w:highlight w:val="yellow"/>
            </w:rPr>
            <w:t xml:space="preserve">2.4.1 </w:t>
          </w:r>
          <w:r>
            <w:rPr>
              <w:rFonts w:hint="eastAsia"/>
              <w:color w:val="auto"/>
              <w:highlight w:val="yellow"/>
            </w:rPr>
            <w:t>基于</w:t>
          </w:r>
          <w:r>
            <w:rPr>
              <w:color w:val="auto"/>
              <w:highlight w:val="yellow"/>
            </w:rPr>
            <w:t>Q</w:t>
          </w:r>
          <w:r>
            <w:rPr>
              <w:rFonts w:hint="eastAsia"/>
              <w:color w:val="auto"/>
              <w:highlight w:val="yellow"/>
            </w:rPr>
            <w:t>wen的数据标注推理</w:t>
          </w:r>
          <w:r>
            <w:rPr>
              <w:color w:val="auto"/>
              <w:highlight w:val="yellow"/>
            </w:rPr>
            <w:tab/>
          </w:r>
          <w:r>
            <w:rPr>
              <w:color w:val="auto"/>
              <w:highlight w:val="yellow"/>
            </w:rPr>
            <w:fldChar w:fldCharType="begin"/>
          </w:r>
          <w:r>
            <w:rPr>
              <w:color w:val="auto"/>
              <w:highlight w:val="yellow"/>
            </w:rPr>
            <w:instrText xml:space="preserve"> PAGEREF _Toc27541 \h </w:instrText>
          </w:r>
          <w:r>
            <w:rPr>
              <w:color w:val="auto"/>
              <w:highlight w:val="yellow"/>
            </w:rPr>
            <w:fldChar w:fldCharType="separate"/>
          </w:r>
          <w:r>
            <w:rPr>
              <w:color w:val="auto"/>
              <w:highlight w:val="yellow"/>
            </w:rPr>
            <w:t>21</w:t>
          </w:r>
          <w:r>
            <w:rPr>
              <w:color w:val="auto"/>
              <w:highlight w:val="yellow"/>
            </w:rPr>
            <w:fldChar w:fldCharType="end"/>
          </w:r>
          <w:r>
            <w:rPr>
              <w:bCs/>
              <w:color w:val="auto"/>
              <w:highlight w:val="yellow"/>
              <w:lang w:val="zh-CN"/>
            </w:rPr>
            <w:fldChar w:fldCharType="end"/>
          </w:r>
        </w:p>
        <w:p w14:paraId="316DE584">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_Toc24816 </w:instrText>
          </w:r>
          <w:r>
            <w:rPr>
              <w:bCs/>
              <w:color w:val="auto"/>
              <w:highlight w:val="yellow"/>
              <w:lang w:val="zh-CN"/>
            </w:rPr>
            <w:fldChar w:fldCharType="separate"/>
          </w:r>
          <w:r>
            <w:rPr>
              <w:rFonts w:hint="default"/>
              <w:color w:val="auto"/>
              <w:szCs w:val="24"/>
              <w:highlight w:val="yellow"/>
            </w:rPr>
            <w:t xml:space="preserve">2.4.2 </w:t>
          </w:r>
          <w:r>
            <w:rPr>
              <w:rFonts w:hint="eastAsia"/>
              <w:color w:val="auto"/>
              <w:highlight w:val="yellow"/>
            </w:rPr>
            <w:t>RAG 检索增强</w:t>
          </w:r>
          <w:r>
            <w:rPr>
              <w:color w:val="auto"/>
              <w:highlight w:val="yellow"/>
            </w:rPr>
            <w:tab/>
          </w:r>
          <w:r>
            <w:rPr>
              <w:color w:val="auto"/>
              <w:highlight w:val="yellow"/>
            </w:rPr>
            <w:fldChar w:fldCharType="begin"/>
          </w:r>
          <w:r>
            <w:rPr>
              <w:color w:val="auto"/>
              <w:highlight w:val="yellow"/>
            </w:rPr>
            <w:instrText xml:space="preserve"> PAGEREF _Toc24816 \h </w:instrText>
          </w:r>
          <w:r>
            <w:rPr>
              <w:color w:val="auto"/>
              <w:highlight w:val="yellow"/>
            </w:rPr>
            <w:fldChar w:fldCharType="separate"/>
          </w:r>
          <w:r>
            <w:rPr>
              <w:color w:val="auto"/>
              <w:highlight w:val="yellow"/>
            </w:rPr>
            <w:t>22</w:t>
          </w:r>
          <w:r>
            <w:rPr>
              <w:color w:val="auto"/>
              <w:highlight w:val="yellow"/>
            </w:rPr>
            <w:fldChar w:fldCharType="end"/>
          </w:r>
          <w:r>
            <w:rPr>
              <w:bCs/>
              <w:color w:val="auto"/>
              <w:highlight w:val="yellow"/>
              <w:lang w:val="zh-CN"/>
            </w:rPr>
            <w:fldChar w:fldCharType="end"/>
          </w:r>
        </w:p>
        <w:p w14:paraId="10FC12F4">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_Toc28710 </w:instrText>
          </w:r>
          <w:r>
            <w:rPr>
              <w:bCs/>
              <w:color w:val="auto"/>
              <w:highlight w:val="yellow"/>
              <w:lang w:val="zh-CN"/>
            </w:rPr>
            <w:fldChar w:fldCharType="separate"/>
          </w:r>
          <w:r>
            <w:rPr>
              <w:rFonts w:hint="default"/>
              <w:color w:val="auto"/>
              <w:szCs w:val="24"/>
              <w:highlight w:val="yellow"/>
            </w:rPr>
            <w:t xml:space="preserve">2.4.3 </w:t>
          </w:r>
          <w:r>
            <w:rPr>
              <w:rFonts w:hint="eastAsia"/>
              <w:color w:val="auto"/>
              <w:highlight w:val="yellow"/>
            </w:rPr>
            <w:t>基于</w:t>
          </w:r>
          <w:r>
            <w:rPr>
              <w:color w:val="auto"/>
              <w:highlight w:val="yellow"/>
            </w:rPr>
            <w:t>D</w:t>
          </w:r>
          <w:r>
            <w:rPr>
              <w:rFonts w:hint="eastAsia"/>
              <w:color w:val="auto"/>
              <w:highlight w:val="yellow"/>
            </w:rPr>
            <w:t>ify的标注工程化</w:t>
          </w:r>
          <w:r>
            <w:rPr>
              <w:color w:val="auto"/>
              <w:highlight w:val="yellow"/>
            </w:rPr>
            <w:tab/>
          </w:r>
          <w:r>
            <w:rPr>
              <w:color w:val="auto"/>
              <w:highlight w:val="yellow"/>
            </w:rPr>
            <w:fldChar w:fldCharType="begin"/>
          </w:r>
          <w:r>
            <w:rPr>
              <w:color w:val="auto"/>
              <w:highlight w:val="yellow"/>
            </w:rPr>
            <w:instrText xml:space="preserve"> PAGEREF _Toc28710 \h </w:instrText>
          </w:r>
          <w:r>
            <w:rPr>
              <w:color w:val="auto"/>
              <w:highlight w:val="yellow"/>
            </w:rPr>
            <w:fldChar w:fldCharType="separate"/>
          </w:r>
          <w:r>
            <w:rPr>
              <w:color w:val="auto"/>
              <w:highlight w:val="yellow"/>
            </w:rPr>
            <w:t>23</w:t>
          </w:r>
          <w:r>
            <w:rPr>
              <w:color w:val="auto"/>
              <w:highlight w:val="yellow"/>
            </w:rPr>
            <w:fldChar w:fldCharType="end"/>
          </w:r>
          <w:r>
            <w:rPr>
              <w:bCs/>
              <w:color w:val="auto"/>
              <w:highlight w:val="yellow"/>
              <w:lang w:val="zh-CN"/>
            </w:rPr>
            <w:fldChar w:fldCharType="end"/>
          </w:r>
        </w:p>
        <w:p w14:paraId="14C3747C">
          <w:pPr>
            <w:pStyle w:val="11"/>
            <w:tabs>
              <w:tab w:val="right" w:leader="dot" w:pos="9072"/>
              <w:tab w:val="clear" w:pos="9062"/>
            </w:tabs>
            <w:rPr>
              <w:color w:val="auto"/>
              <w:highlight w:val="yellow"/>
            </w:rPr>
          </w:pPr>
          <w:r>
            <w:rPr>
              <w:bCs/>
              <w:color w:val="auto"/>
              <w:highlight w:val="yellow"/>
              <w:lang w:val="zh-CN"/>
            </w:rPr>
            <w:fldChar w:fldCharType="begin"/>
          </w:r>
          <w:r>
            <w:rPr>
              <w:bCs/>
              <w:color w:val="auto"/>
              <w:highlight w:val="yellow"/>
              <w:lang w:val="zh-CN"/>
            </w:rPr>
            <w:instrText xml:space="preserve"> HYPERLINK \l _Toc25315 </w:instrText>
          </w:r>
          <w:r>
            <w:rPr>
              <w:bCs/>
              <w:color w:val="auto"/>
              <w:highlight w:val="yellow"/>
              <w:lang w:val="zh-CN"/>
            </w:rPr>
            <w:fldChar w:fldCharType="separate"/>
          </w:r>
          <w:r>
            <w:rPr>
              <w:rFonts w:hint="default"/>
              <w:color w:val="auto"/>
              <w:szCs w:val="28"/>
              <w:highlight w:val="yellow"/>
            </w:rPr>
            <w:t xml:space="preserve">2.5 </w:t>
          </w:r>
          <w:r>
            <w:rPr>
              <w:rFonts w:hint="eastAsia"/>
              <w:color w:val="auto"/>
              <w:highlight w:val="yellow"/>
            </w:rPr>
            <w:t>层次文本分类模型</w:t>
          </w:r>
          <w:r>
            <w:rPr>
              <w:color w:val="auto"/>
              <w:highlight w:val="yellow"/>
            </w:rPr>
            <w:tab/>
          </w:r>
          <w:r>
            <w:rPr>
              <w:color w:val="auto"/>
              <w:highlight w:val="yellow"/>
            </w:rPr>
            <w:fldChar w:fldCharType="begin"/>
          </w:r>
          <w:r>
            <w:rPr>
              <w:color w:val="auto"/>
              <w:highlight w:val="yellow"/>
            </w:rPr>
            <w:instrText xml:space="preserve"> PAGEREF _Toc25315 \h </w:instrText>
          </w:r>
          <w:r>
            <w:rPr>
              <w:color w:val="auto"/>
              <w:highlight w:val="yellow"/>
            </w:rPr>
            <w:fldChar w:fldCharType="separate"/>
          </w:r>
          <w:r>
            <w:rPr>
              <w:color w:val="auto"/>
              <w:highlight w:val="yellow"/>
            </w:rPr>
            <w:t>23</w:t>
          </w:r>
          <w:r>
            <w:rPr>
              <w:color w:val="auto"/>
              <w:highlight w:val="yellow"/>
            </w:rPr>
            <w:fldChar w:fldCharType="end"/>
          </w:r>
          <w:r>
            <w:rPr>
              <w:bCs/>
              <w:color w:val="auto"/>
              <w:highlight w:val="yellow"/>
              <w:lang w:val="zh-CN"/>
            </w:rPr>
            <w:fldChar w:fldCharType="end"/>
          </w:r>
        </w:p>
        <w:p w14:paraId="41A5545D">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_Toc7937 </w:instrText>
          </w:r>
          <w:r>
            <w:rPr>
              <w:bCs/>
              <w:color w:val="auto"/>
              <w:highlight w:val="yellow"/>
              <w:lang w:val="zh-CN"/>
            </w:rPr>
            <w:fldChar w:fldCharType="separate"/>
          </w:r>
          <w:r>
            <w:rPr>
              <w:rFonts w:hint="default"/>
              <w:color w:val="auto"/>
              <w:szCs w:val="24"/>
              <w:highlight w:val="yellow"/>
            </w:rPr>
            <w:t xml:space="preserve">2.5.1 </w:t>
          </w:r>
          <w:r>
            <w:rPr>
              <w:color w:val="auto"/>
              <w:highlight w:val="yellow"/>
            </w:rPr>
            <w:t>HiTIN</w:t>
          </w:r>
          <w:r>
            <w:rPr>
              <w:rFonts w:hint="eastAsia"/>
              <w:color w:val="auto"/>
              <w:highlight w:val="yellow"/>
            </w:rPr>
            <w:t>模型</w:t>
          </w:r>
          <w:r>
            <w:rPr>
              <w:color w:val="auto"/>
              <w:highlight w:val="yellow"/>
            </w:rPr>
            <w:tab/>
          </w:r>
          <w:r>
            <w:rPr>
              <w:color w:val="auto"/>
              <w:highlight w:val="yellow"/>
            </w:rPr>
            <w:fldChar w:fldCharType="begin"/>
          </w:r>
          <w:r>
            <w:rPr>
              <w:color w:val="auto"/>
              <w:highlight w:val="yellow"/>
            </w:rPr>
            <w:instrText xml:space="preserve"> PAGEREF _Toc7937 \h </w:instrText>
          </w:r>
          <w:r>
            <w:rPr>
              <w:color w:val="auto"/>
              <w:highlight w:val="yellow"/>
            </w:rPr>
            <w:fldChar w:fldCharType="separate"/>
          </w:r>
          <w:r>
            <w:rPr>
              <w:color w:val="auto"/>
              <w:highlight w:val="yellow"/>
            </w:rPr>
            <w:t>24</w:t>
          </w:r>
          <w:r>
            <w:rPr>
              <w:color w:val="auto"/>
              <w:highlight w:val="yellow"/>
            </w:rPr>
            <w:fldChar w:fldCharType="end"/>
          </w:r>
          <w:r>
            <w:rPr>
              <w:bCs/>
              <w:color w:val="auto"/>
              <w:highlight w:val="yellow"/>
              <w:lang w:val="zh-CN"/>
            </w:rPr>
            <w:fldChar w:fldCharType="end"/>
          </w:r>
        </w:p>
        <w:p w14:paraId="23DEB28B">
          <w:pPr>
            <w:pStyle w:val="6"/>
            <w:tabs>
              <w:tab w:val="right" w:leader="dot" w:pos="9072"/>
            </w:tabs>
            <w:rPr>
              <w:color w:val="auto"/>
            </w:rPr>
          </w:pPr>
          <w:r>
            <w:rPr>
              <w:bCs/>
              <w:color w:val="auto"/>
              <w:highlight w:val="yellow"/>
              <w:lang w:val="zh-CN"/>
            </w:rPr>
            <w:fldChar w:fldCharType="begin"/>
          </w:r>
          <w:r>
            <w:rPr>
              <w:bCs/>
              <w:color w:val="auto"/>
              <w:highlight w:val="yellow"/>
              <w:lang w:val="zh-CN"/>
            </w:rPr>
            <w:instrText xml:space="preserve"> HYPERLINK \l _Toc3419 </w:instrText>
          </w:r>
          <w:r>
            <w:rPr>
              <w:bCs/>
              <w:color w:val="auto"/>
              <w:highlight w:val="yellow"/>
              <w:lang w:val="zh-CN"/>
            </w:rPr>
            <w:fldChar w:fldCharType="separate"/>
          </w:r>
          <w:r>
            <w:rPr>
              <w:rFonts w:hint="default"/>
              <w:color w:val="auto"/>
              <w:szCs w:val="24"/>
              <w:highlight w:val="yellow"/>
            </w:rPr>
            <w:t xml:space="preserve">2.5.2 </w:t>
          </w:r>
          <w:r>
            <w:rPr>
              <w:rFonts w:hint="eastAsia"/>
              <w:color w:val="auto"/>
              <w:highlight w:val="yellow"/>
            </w:rPr>
            <w:t>HGCLR模型</w:t>
          </w:r>
          <w:r>
            <w:rPr>
              <w:color w:val="auto"/>
              <w:highlight w:val="yellow"/>
            </w:rPr>
            <w:tab/>
          </w:r>
          <w:r>
            <w:rPr>
              <w:color w:val="auto"/>
              <w:highlight w:val="yellow"/>
            </w:rPr>
            <w:fldChar w:fldCharType="begin"/>
          </w:r>
          <w:r>
            <w:rPr>
              <w:color w:val="auto"/>
              <w:highlight w:val="yellow"/>
            </w:rPr>
            <w:instrText xml:space="preserve"> PAGEREF _Toc3419 \h </w:instrText>
          </w:r>
          <w:r>
            <w:rPr>
              <w:color w:val="auto"/>
              <w:highlight w:val="yellow"/>
            </w:rPr>
            <w:fldChar w:fldCharType="separate"/>
          </w:r>
          <w:r>
            <w:rPr>
              <w:color w:val="auto"/>
              <w:highlight w:val="yellow"/>
            </w:rPr>
            <w:t>24</w:t>
          </w:r>
          <w:r>
            <w:rPr>
              <w:color w:val="auto"/>
              <w:highlight w:val="yellow"/>
            </w:rPr>
            <w:fldChar w:fldCharType="end"/>
          </w:r>
          <w:r>
            <w:rPr>
              <w:bCs/>
              <w:color w:val="auto"/>
              <w:highlight w:val="yellow"/>
              <w:lang w:val="zh-CN"/>
            </w:rPr>
            <w:fldChar w:fldCharType="end"/>
          </w:r>
        </w:p>
        <w:p w14:paraId="27C635A9">
          <w:pPr>
            <w:pStyle w:val="10"/>
            <w:tabs>
              <w:tab w:val="right" w:leader="dot" w:pos="9072"/>
            </w:tabs>
            <w:rPr>
              <w:color w:val="auto"/>
            </w:rPr>
          </w:pPr>
          <w:r>
            <w:rPr>
              <w:bCs/>
              <w:color w:val="auto"/>
              <w:lang w:val="zh-CN"/>
            </w:rPr>
            <w:fldChar w:fldCharType="begin"/>
          </w:r>
          <w:r>
            <w:rPr>
              <w:bCs/>
              <w:color w:val="auto"/>
              <w:lang w:val="zh-CN"/>
            </w:rPr>
            <w:instrText xml:space="preserve"> HYPERLINK \l _Toc31522 </w:instrText>
          </w:r>
          <w:r>
            <w:rPr>
              <w:bCs/>
              <w:color w:val="auto"/>
              <w:lang w:val="zh-CN"/>
            </w:rPr>
            <w:fldChar w:fldCharType="separate"/>
          </w:r>
          <w:r>
            <w:rPr>
              <w:rFonts w:hint="eastAsia"/>
              <w:color w:val="auto"/>
              <w:szCs w:val="30"/>
            </w:rPr>
            <w:t xml:space="preserve">第三章 </w:t>
          </w:r>
          <w:r>
            <w:rPr>
              <w:rFonts w:hint="eastAsia"/>
              <w:color w:val="auto"/>
            </w:rPr>
            <w:t>数据集与预处理</w:t>
          </w:r>
          <w:r>
            <w:rPr>
              <w:color w:val="auto"/>
            </w:rPr>
            <w:tab/>
          </w:r>
          <w:r>
            <w:rPr>
              <w:color w:val="auto"/>
            </w:rPr>
            <w:fldChar w:fldCharType="begin"/>
          </w:r>
          <w:r>
            <w:rPr>
              <w:color w:val="auto"/>
            </w:rPr>
            <w:instrText xml:space="preserve"> PAGEREF _Toc31522 \h </w:instrText>
          </w:r>
          <w:r>
            <w:rPr>
              <w:color w:val="auto"/>
            </w:rPr>
            <w:fldChar w:fldCharType="separate"/>
          </w:r>
          <w:r>
            <w:rPr>
              <w:color w:val="auto"/>
            </w:rPr>
            <w:t>25</w:t>
          </w:r>
          <w:r>
            <w:rPr>
              <w:color w:val="auto"/>
            </w:rPr>
            <w:fldChar w:fldCharType="end"/>
          </w:r>
          <w:r>
            <w:rPr>
              <w:bCs/>
              <w:color w:val="auto"/>
              <w:lang w:val="zh-CN"/>
            </w:rPr>
            <w:fldChar w:fldCharType="end"/>
          </w:r>
        </w:p>
        <w:p w14:paraId="1FF83521">
          <w:pPr>
            <w:pStyle w:val="11"/>
            <w:tabs>
              <w:tab w:val="right" w:leader="dot" w:pos="9072"/>
              <w:tab w:val="clear" w:pos="9062"/>
            </w:tabs>
            <w:rPr>
              <w:color w:val="auto"/>
            </w:rPr>
          </w:pPr>
          <w:r>
            <w:rPr>
              <w:bCs/>
              <w:color w:val="auto"/>
              <w:lang w:val="zh-CN"/>
            </w:rPr>
            <w:fldChar w:fldCharType="begin"/>
          </w:r>
          <w:r>
            <w:rPr>
              <w:bCs/>
              <w:color w:val="auto"/>
              <w:lang w:val="zh-CN"/>
            </w:rPr>
            <w:instrText xml:space="preserve"> HYPERLINK \l _Toc25725 </w:instrText>
          </w:r>
          <w:r>
            <w:rPr>
              <w:bCs/>
              <w:color w:val="auto"/>
              <w:lang w:val="zh-CN"/>
            </w:rPr>
            <w:fldChar w:fldCharType="separate"/>
          </w:r>
          <w:r>
            <w:rPr>
              <w:rFonts w:hint="default"/>
              <w:color w:val="auto"/>
              <w:szCs w:val="28"/>
              <w:highlight w:val="yellow"/>
            </w:rPr>
            <w:t xml:space="preserve">3.1 </w:t>
          </w:r>
          <w:r>
            <w:rPr>
              <w:rFonts w:hint="eastAsia"/>
              <w:color w:val="auto"/>
              <w:highlight w:val="yellow"/>
            </w:rPr>
            <w:t>数据集介绍</w:t>
          </w:r>
          <w:r>
            <w:rPr>
              <w:color w:val="auto"/>
            </w:rPr>
            <w:tab/>
          </w:r>
          <w:r>
            <w:rPr>
              <w:color w:val="auto"/>
            </w:rPr>
            <w:fldChar w:fldCharType="begin"/>
          </w:r>
          <w:r>
            <w:rPr>
              <w:color w:val="auto"/>
            </w:rPr>
            <w:instrText xml:space="preserve"> PAGEREF _Toc25725 \h </w:instrText>
          </w:r>
          <w:r>
            <w:rPr>
              <w:color w:val="auto"/>
            </w:rPr>
            <w:fldChar w:fldCharType="separate"/>
          </w:r>
          <w:r>
            <w:rPr>
              <w:color w:val="auto"/>
            </w:rPr>
            <w:t>25</w:t>
          </w:r>
          <w:r>
            <w:rPr>
              <w:color w:val="auto"/>
            </w:rPr>
            <w:fldChar w:fldCharType="end"/>
          </w:r>
          <w:r>
            <w:rPr>
              <w:bCs/>
              <w:color w:val="auto"/>
              <w:lang w:val="zh-CN"/>
            </w:rPr>
            <w:fldChar w:fldCharType="end"/>
          </w:r>
        </w:p>
        <w:p w14:paraId="7C24B298">
          <w:pPr>
            <w:pStyle w:val="11"/>
            <w:tabs>
              <w:tab w:val="right" w:leader="dot" w:pos="9072"/>
              <w:tab w:val="clear" w:pos="9062"/>
            </w:tabs>
            <w:rPr>
              <w:color w:val="auto"/>
            </w:rPr>
          </w:pPr>
          <w:r>
            <w:rPr>
              <w:bCs/>
              <w:color w:val="auto"/>
              <w:lang w:val="zh-CN"/>
            </w:rPr>
            <w:fldChar w:fldCharType="begin"/>
          </w:r>
          <w:r>
            <w:rPr>
              <w:bCs/>
              <w:color w:val="auto"/>
              <w:lang w:val="zh-CN"/>
            </w:rPr>
            <w:instrText xml:space="preserve"> HYPERLINK \l _Toc14542 </w:instrText>
          </w:r>
          <w:r>
            <w:rPr>
              <w:bCs/>
              <w:color w:val="auto"/>
              <w:lang w:val="zh-CN"/>
            </w:rPr>
            <w:fldChar w:fldCharType="separate"/>
          </w:r>
          <w:r>
            <w:rPr>
              <w:rFonts w:hint="default" w:eastAsia="宋体"/>
              <w:color w:val="auto"/>
              <w:szCs w:val="28"/>
            </w:rPr>
            <w:t xml:space="preserve">3.2 </w:t>
          </w:r>
          <w:r>
            <w:rPr>
              <w:rFonts w:hint="eastAsia"/>
              <w:color w:val="auto"/>
            </w:rPr>
            <w:t>专家标注数据集构建</w:t>
          </w:r>
          <w:r>
            <w:rPr>
              <w:color w:val="auto"/>
            </w:rPr>
            <w:tab/>
          </w:r>
          <w:r>
            <w:rPr>
              <w:color w:val="auto"/>
            </w:rPr>
            <w:fldChar w:fldCharType="begin"/>
          </w:r>
          <w:r>
            <w:rPr>
              <w:color w:val="auto"/>
            </w:rPr>
            <w:instrText xml:space="preserve"> PAGEREF _Toc14542 \h </w:instrText>
          </w:r>
          <w:r>
            <w:rPr>
              <w:color w:val="auto"/>
            </w:rPr>
            <w:fldChar w:fldCharType="separate"/>
          </w:r>
          <w:r>
            <w:rPr>
              <w:color w:val="auto"/>
            </w:rPr>
            <w:t>29</w:t>
          </w:r>
          <w:r>
            <w:rPr>
              <w:color w:val="auto"/>
            </w:rPr>
            <w:fldChar w:fldCharType="end"/>
          </w:r>
          <w:r>
            <w:rPr>
              <w:bCs/>
              <w:color w:val="auto"/>
              <w:lang w:val="zh-CN"/>
            </w:rPr>
            <w:fldChar w:fldCharType="end"/>
          </w:r>
        </w:p>
        <w:p w14:paraId="65823258">
          <w:pPr>
            <w:pStyle w:val="6"/>
            <w:tabs>
              <w:tab w:val="right" w:leader="dot" w:pos="9072"/>
            </w:tabs>
            <w:rPr>
              <w:color w:val="auto"/>
            </w:rPr>
          </w:pPr>
          <w:r>
            <w:rPr>
              <w:bCs/>
              <w:color w:val="auto"/>
              <w:lang w:val="zh-CN"/>
            </w:rPr>
            <w:fldChar w:fldCharType="begin"/>
          </w:r>
          <w:r>
            <w:rPr>
              <w:bCs/>
              <w:color w:val="auto"/>
              <w:lang w:val="zh-CN"/>
            </w:rPr>
            <w:instrText xml:space="preserve"> HYPERLINK \l _Toc20837 </w:instrText>
          </w:r>
          <w:r>
            <w:rPr>
              <w:bCs/>
              <w:color w:val="auto"/>
              <w:lang w:val="zh-CN"/>
            </w:rPr>
            <w:fldChar w:fldCharType="separate"/>
          </w:r>
          <w:r>
            <w:rPr>
              <w:rFonts w:hint="default"/>
              <w:color w:val="auto"/>
              <w:szCs w:val="24"/>
            </w:rPr>
            <w:t xml:space="preserve">3.2.1 </w:t>
          </w:r>
          <w:r>
            <w:rPr>
              <w:rFonts w:hint="eastAsia"/>
              <w:color w:val="auto"/>
            </w:rPr>
            <w:t>二级标签获取</w:t>
          </w:r>
          <w:r>
            <w:rPr>
              <w:color w:val="auto"/>
            </w:rPr>
            <w:tab/>
          </w:r>
          <w:r>
            <w:rPr>
              <w:color w:val="auto"/>
            </w:rPr>
            <w:fldChar w:fldCharType="begin"/>
          </w:r>
          <w:r>
            <w:rPr>
              <w:color w:val="auto"/>
            </w:rPr>
            <w:instrText xml:space="preserve"> PAGEREF _Toc20837 \h </w:instrText>
          </w:r>
          <w:r>
            <w:rPr>
              <w:color w:val="auto"/>
            </w:rPr>
            <w:fldChar w:fldCharType="separate"/>
          </w:r>
          <w:r>
            <w:rPr>
              <w:color w:val="auto"/>
            </w:rPr>
            <w:t>29</w:t>
          </w:r>
          <w:r>
            <w:rPr>
              <w:color w:val="auto"/>
            </w:rPr>
            <w:fldChar w:fldCharType="end"/>
          </w:r>
          <w:r>
            <w:rPr>
              <w:bCs/>
              <w:color w:val="auto"/>
              <w:lang w:val="zh-CN"/>
            </w:rPr>
            <w:fldChar w:fldCharType="end"/>
          </w:r>
        </w:p>
        <w:p w14:paraId="33D8BA64">
          <w:pPr>
            <w:pStyle w:val="6"/>
            <w:tabs>
              <w:tab w:val="right" w:leader="dot" w:pos="9072"/>
            </w:tabs>
            <w:rPr>
              <w:color w:val="auto"/>
            </w:rPr>
          </w:pPr>
          <w:r>
            <w:rPr>
              <w:bCs/>
              <w:color w:val="auto"/>
              <w:lang w:val="zh-CN"/>
            </w:rPr>
            <w:fldChar w:fldCharType="begin"/>
          </w:r>
          <w:r>
            <w:rPr>
              <w:bCs/>
              <w:color w:val="auto"/>
              <w:lang w:val="zh-CN"/>
            </w:rPr>
            <w:instrText xml:space="preserve"> HYPERLINK \l _Toc13041 </w:instrText>
          </w:r>
          <w:r>
            <w:rPr>
              <w:bCs/>
              <w:color w:val="auto"/>
              <w:lang w:val="zh-CN"/>
            </w:rPr>
            <w:fldChar w:fldCharType="separate"/>
          </w:r>
          <w:r>
            <w:rPr>
              <w:rFonts w:hint="default"/>
              <w:color w:val="auto"/>
              <w:szCs w:val="24"/>
            </w:rPr>
            <w:t xml:space="preserve">3.2.2 </w:t>
          </w:r>
          <w:r>
            <w:rPr>
              <w:rFonts w:hint="eastAsia"/>
              <w:color w:val="auto"/>
            </w:rPr>
            <w:t>抽样设计</w:t>
          </w:r>
          <w:r>
            <w:rPr>
              <w:color w:val="auto"/>
            </w:rPr>
            <w:tab/>
          </w:r>
          <w:r>
            <w:rPr>
              <w:color w:val="auto"/>
            </w:rPr>
            <w:fldChar w:fldCharType="begin"/>
          </w:r>
          <w:r>
            <w:rPr>
              <w:color w:val="auto"/>
            </w:rPr>
            <w:instrText xml:space="preserve"> PAGEREF _Toc13041 \h </w:instrText>
          </w:r>
          <w:r>
            <w:rPr>
              <w:color w:val="auto"/>
            </w:rPr>
            <w:fldChar w:fldCharType="separate"/>
          </w:r>
          <w:r>
            <w:rPr>
              <w:color w:val="auto"/>
            </w:rPr>
            <w:t>31</w:t>
          </w:r>
          <w:r>
            <w:rPr>
              <w:color w:val="auto"/>
            </w:rPr>
            <w:fldChar w:fldCharType="end"/>
          </w:r>
          <w:r>
            <w:rPr>
              <w:bCs/>
              <w:color w:val="auto"/>
              <w:lang w:val="zh-CN"/>
            </w:rPr>
            <w:fldChar w:fldCharType="end"/>
          </w:r>
        </w:p>
        <w:p w14:paraId="4646AA4A">
          <w:pPr>
            <w:pStyle w:val="6"/>
            <w:tabs>
              <w:tab w:val="right" w:leader="dot" w:pos="9072"/>
            </w:tabs>
            <w:rPr>
              <w:color w:val="auto"/>
            </w:rPr>
          </w:pPr>
          <w:r>
            <w:rPr>
              <w:bCs/>
              <w:color w:val="auto"/>
              <w:lang w:val="zh-CN"/>
            </w:rPr>
            <w:fldChar w:fldCharType="begin"/>
          </w:r>
          <w:r>
            <w:rPr>
              <w:bCs/>
              <w:color w:val="auto"/>
              <w:lang w:val="zh-CN"/>
            </w:rPr>
            <w:instrText xml:space="preserve"> HYPERLINK \l _Toc2185 </w:instrText>
          </w:r>
          <w:r>
            <w:rPr>
              <w:bCs/>
              <w:color w:val="auto"/>
              <w:lang w:val="zh-CN"/>
            </w:rPr>
            <w:fldChar w:fldCharType="separate"/>
          </w:r>
          <w:r>
            <w:rPr>
              <w:rFonts w:hint="default"/>
              <w:color w:val="auto"/>
              <w:szCs w:val="24"/>
              <w:highlight w:val="yellow"/>
            </w:rPr>
            <w:t xml:space="preserve">3.2.3 </w:t>
          </w:r>
          <w:r>
            <w:rPr>
              <w:rFonts w:hint="eastAsia"/>
              <w:color w:val="auto"/>
              <w:highlight w:val="yellow"/>
            </w:rPr>
            <w:t>抽样结果评估</w:t>
          </w:r>
          <w:r>
            <w:rPr>
              <w:color w:val="auto"/>
            </w:rPr>
            <w:tab/>
          </w:r>
          <w:r>
            <w:rPr>
              <w:color w:val="auto"/>
            </w:rPr>
            <w:fldChar w:fldCharType="begin"/>
          </w:r>
          <w:r>
            <w:rPr>
              <w:color w:val="auto"/>
            </w:rPr>
            <w:instrText xml:space="preserve"> PAGEREF _Toc2185 \h </w:instrText>
          </w:r>
          <w:r>
            <w:rPr>
              <w:color w:val="auto"/>
            </w:rPr>
            <w:fldChar w:fldCharType="separate"/>
          </w:r>
          <w:r>
            <w:rPr>
              <w:color w:val="auto"/>
            </w:rPr>
            <w:t>33</w:t>
          </w:r>
          <w:r>
            <w:rPr>
              <w:color w:val="auto"/>
            </w:rPr>
            <w:fldChar w:fldCharType="end"/>
          </w:r>
          <w:r>
            <w:rPr>
              <w:bCs/>
              <w:color w:val="auto"/>
              <w:lang w:val="zh-CN"/>
            </w:rPr>
            <w:fldChar w:fldCharType="end"/>
          </w:r>
        </w:p>
        <w:p w14:paraId="16B89312">
          <w:pPr>
            <w:pStyle w:val="11"/>
            <w:tabs>
              <w:tab w:val="right" w:leader="dot" w:pos="9072"/>
              <w:tab w:val="clear" w:pos="9062"/>
            </w:tabs>
            <w:rPr>
              <w:color w:val="auto"/>
            </w:rPr>
          </w:pPr>
          <w:r>
            <w:rPr>
              <w:bCs/>
              <w:color w:val="auto"/>
              <w:lang w:val="zh-CN"/>
            </w:rPr>
            <w:fldChar w:fldCharType="begin"/>
          </w:r>
          <w:r>
            <w:rPr>
              <w:bCs/>
              <w:color w:val="auto"/>
              <w:lang w:val="zh-CN"/>
            </w:rPr>
            <w:instrText xml:space="preserve"> HYPERLINK \l _Toc25723 </w:instrText>
          </w:r>
          <w:r>
            <w:rPr>
              <w:bCs/>
              <w:color w:val="auto"/>
              <w:lang w:val="zh-CN"/>
            </w:rPr>
            <w:fldChar w:fldCharType="separate"/>
          </w:r>
          <w:r>
            <w:rPr>
              <w:rFonts w:hint="default"/>
              <w:color w:val="auto"/>
              <w:szCs w:val="28"/>
            </w:rPr>
            <w:t xml:space="preserve">3.3 </w:t>
          </w:r>
          <w:r>
            <w:rPr>
              <w:rFonts w:hint="eastAsia"/>
              <w:color w:val="auto"/>
            </w:rPr>
            <w:t>自动标注工作流构建</w:t>
          </w:r>
          <w:r>
            <w:rPr>
              <w:color w:val="auto"/>
            </w:rPr>
            <w:tab/>
          </w:r>
          <w:r>
            <w:rPr>
              <w:color w:val="auto"/>
            </w:rPr>
            <w:fldChar w:fldCharType="begin"/>
          </w:r>
          <w:r>
            <w:rPr>
              <w:color w:val="auto"/>
            </w:rPr>
            <w:instrText xml:space="preserve"> PAGEREF _Toc25723 \h </w:instrText>
          </w:r>
          <w:r>
            <w:rPr>
              <w:color w:val="auto"/>
            </w:rPr>
            <w:fldChar w:fldCharType="separate"/>
          </w:r>
          <w:r>
            <w:rPr>
              <w:color w:val="auto"/>
            </w:rPr>
            <w:t>37</w:t>
          </w:r>
          <w:r>
            <w:rPr>
              <w:color w:val="auto"/>
            </w:rPr>
            <w:fldChar w:fldCharType="end"/>
          </w:r>
          <w:r>
            <w:rPr>
              <w:bCs/>
              <w:color w:val="auto"/>
              <w:lang w:val="zh-CN"/>
            </w:rPr>
            <w:fldChar w:fldCharType="end"/>
          </w:r>
        </w:p>
        <w:p w14:paraId="357A1594">
          <w:pPr>
            <w:pStyle w:val="6"/>
            <w:tabs>
              <w:tab w:val="right" w:leader="dot" w:pos="9072"/>
            </w:tabs>
            <w:rPr>
              <w:color w:val="auto"/>
            </w:rPr>
          </w:pPr>
          <w:r>
            <w:rPr>
              <w:bCs/>
              <w:color w:val="auto"/>
              <w:lang w:val="zh-CN"/>
            </w:rPr>
            <w:fldChar w:fldCharType="begin"/>
          </w:r>
          <w:r>
            <w:rPr>
              <w:bCs/>
              <w:color w:val="auto"/>
              <w:lang w:val="zh-CN"/>
            </w:rPr>
            <w:instrText xml:space="preserve"> HYPERLINK \l _Toc6180 </w:instrText>
          </w:r>
          <w:r>
            <w:rPr>
              <w:bCs/>
              <w:color w:val="auto"/>
              <w:lang w:val="zh-CN"/>
            </w:rPr>
            <w:fldChar w:fldCharType="separate"/>
          </w:r>
          <w:r>
            <w:rPr>
              <w:rFonts w:hint="default"/>
              <w:color w:val="auto"/>
              <w:szCs w:val="24"/>
            </w:rPr>
            <w:t xml:space="preserve">3.3.1 </w:t>
          </w:r>
          <w:r>
            <w:rPr>
              <w:rFonts w:hint="eastAsia"/>
              <w:color w:val="auto"/>
            </w:rPr>
            <w:t>环境搭建</w:t>
          </w:r>
          <w:r>
            <w:rPr>
              <w:color w:val="auto"/>
            </w:rPr>
            <w:tab/>
          </w:r>
          <w:r>
            <w:rPr>
              <w:color w:val="auto"/>
            </w:rPr>
            <w:fldChar w:fldCharType="begin"/>
          </w:r>
          <w:r>
            <w:rPr>
              <w:color w:val="auto"/>
            </w:rPr>
            <w:instrText xml:space="preserve"> PAGEREF _Toc6180 \h </w:instrText>
          </w:r>
          <w:r>
            <w:rPr>
              <w:color w:val="auto"/>
            </w:rPr>
            <w:fldChar w:fldCharType="separate"/>
          </w:r>
          <w:r>
            <w:rPr>
              <w:color w:val="auto"/>
            </w:rPr>
            <w:t>37</w:t>
          </w:r>
          <w:r>
            <w:rPr>
              <w:color w:val="auto"/>
            </w:rPr>
            <w:fldChar w:fldCharType="end"/>
          </w:r>
          <w:r>
            <w:rPr>
              <w:bCs/>
              <w:color w:val="auto"/>
              <w:lang w:val="zh-CN"/>
            </w:rPr>
            <w:fldChar w:fldCharType="end"/>
          </w:r>
        </w:p>
        <w:p w14:paraId="416E1ABC">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_Toc19874 </w:instrText>
          </w:r>
          <w:r>
            <w:rPr>
              <w:bCs/>
              <w:color w:val="auto"/>
              <w:highlight w:val="yellow"/>
              <w:lang w:val="zh-CN"/>
            </w:rPr>
            <w:fldChar w:fldCharType="separate"/>
          </w:r>
          <w:r>
            <w:rPr>
              <w:rFonts w:hint="default"/>
              <w:color w:val="auto"/>
              <w:szCs w:val="24"/>
              <w:highlight w:val="yellow"/>
            </w:rPr>
            <w:t xml:space="preserve">3.3.2 </w:t>
          </w:r>
          <w:r>
            <w:rPr>
              <w:rFonts w:hint="eastAsia"/>
              <w:color w:val="auto"/>
              <w:highlight w:val="yellow"/>
            </w:rPr>
            <w:t>自动标注工作流设计</w:t>
          </w:r>
          <w:r>
            <w:rPr>
              <w:color w:val="auto"/>
              <w:highlight w:val="yellow"/>
            </w:rPr>
            <w:tab/>
          </w:r>
          <w:r>
            <w:rPr>
              <w:color w:val="auto"/>
              <w:highlight w:val="yellow"/>
            </w:rPr>
            <w:fldChar w:fldCharType="begin"/>
          </w:r>
          <w:r>
            <w:rPr>
              <w:color w:val="auto"/>
              <w:highlight w:val="yellow"/>
            </w:rPr>
            <w:instrText xml:space="preserve"> PAGEREF _Toc19874 \h </w:instrText>
          </w:r>
          <w:r>
            <w:rPr>
              <w:color w:val="auto"/>
              <w:highlight w:val="yellow"/>
            </w:rPr>
            <w:fldChar w:fldCharType="separate"/>
          </w:r>
          <w:r>
            <w:rPr>
              <w:color w:val="auto"/>
              <w:highlight w:val="yellow"/>
            </w:rPr>
            <w:t>38</w:t>
          </w:r>
          <w:r>
            <w:rPr>
              <w:color w:val="auto"/>
              <w:highlight w:val="yellow"/>
            </w:rPr>
            <w:fldChar w:fldCharType="end"/>
          </w:r>
          <w:r>
            <w:rPr>
              <w:bCs/>
              <w:color w:val="auto"/>
              <w:highlight w:val="yellow"/>
              <w:lang w:val="zh-CN"/>
            </w:rPr>
            <w:fldChar w:fldCharType="end"/>
          </w:r>
        </w:p>
        <w:p w14:paraId="557E4790">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_Toc1771 </w:instrText>
          </w:r>
          <w:r>
            <w:rPr>
              <w:bCs/>
              <w:color w:val="auto"/>
              <w:highlight w:val="yellow"/>
              <w:lang w:val="zh-CN"/>
            </w:rPr>
            <w:fldChar w:fldCharType="separate"/>
          </w:r>
          <w:r>
            <w:rPr>
              <w:rFonts w:hint="default"/>
              <w:color w:val="auto"/>
              <w:szCs w:val="24"/>
              <w:highlight w:val="yellow"/>
            </w:rPr>
            <w:t xml:space="preserve">3.3.3 </w:t>
          </w:r>
          <w:r>
            <w:rPr>
              <w:rFonts w:hint="eastAsia"/>
              <w:color w:val="auto"/>
              <w:highlight w:val="yellow"/>
            </w:rPr>
            <w:t>自动标注结果评估</w:t>
          </w:r>
          <w:r>
            <w:rPr>
              <w:color w:val="auto"/>
              <w:highlight w:val="yellow"/>
            </w:rPr>
            <w:tab/>
          </w:r>
          <w:r>
            <w:rPr>
              <w:color w:val="auto"/>
              <w:highlight w:val="yellow"/>
            </w:rPr>
            <w:fldChar w:fldCharType="begin"/>
          </w:r>
          <w:r>
            <w:rPr>
              <w:color w:val="auto"/>
              <w:highlight w:val="yellow"/>
            </w:rPr>
            <w:instrText xml:space="preserve"> PAGEREF _Toc1771 \h </w:instrText>
          </w:r>
          <w:r>
            <w:rPr>
              <w:color w:val="auto"/>
              <w:highlight w:val="yellow"/>
            </w:rPr>
            <w:fldChar w:fldCharType="separate"/>
          </w:r>
          <w:r>
            <w:rPr>
              <w:color w:val="auto"/>
              <w:highlight w:val="yellow"/>
            </w:rPr>
            <w:t>40</w:t>
          </w:r>
          <w:r>
            <w:rPr>
              <w:color w:val="auto"/>
              <w:highlight w:val="yellow"/>
            </w:rPr>
            <w:fldChar w:fldCharType="end"/>
          </w:r>
          <w:r>
            <w:rPr>
              <w:bCs/>
              <w:color w:val="auto"/>
              <w:highlight w:val="yellow"/>
              <w:lang w:val="zh-CN"/>
            </w:rPr>
            <w:fldChar w:fldCharType="end"/>
          </w:r>
        </w:p>
        <w:p w14:paraId="67DEA48D">
          <w:pPr>
            <w:pStyle w:val="6"/>
            <w:tabs>
              <w:tab w:val="right" w:leader="dot" w:pos="9072"/>
            </w:tabs>
            <w:rPr>
              <w:color w:val="auto"/>
            </w:rPr>
          </w:pPr>
          <w:r>
            <w:rPr>
              <w:bCs/>
              <w:color w:val="auto"/>
              <w:highlight w:val="yellow"/>
              <w:lang w:val="zh-CN"/>
            </w:rPr>
            <w:fldChar w:fldCharType="begin"/>
          </w:r>
          <w:r>
            <w:rPr>
              <w:bCs/>
              <w:color w:val="auto"/>
              <w:highlight w:val="yellow"/>
              <w:lang w:val="zh-CN"/>
            </w:rPr>
            <w:instrText xml:space="preserve"> HYPERLINK \l _Toc11313 </w:instrText>
          </w:r>
          <w:r>
            <w:rPr>
              <w:bCs/>
              <w:color w:val="auto"/>
              <w:highlight w:val="yellow"/>
              <w:lang w:val="zh-CN"/>
            </w:rPr>
            <w:fldChar w:fldCharType="separate"/>
          </w:r>
          <w:r>
            <w:rPr>
              <w:rFonts w:hint="default"/>
              <w:color w:val="auto"/>
              <w:szCs w:val="24"/>
              <w:highlight w:val="yellow"/>
            </w:rPr>
            <w:t xml:space="preserve">3.3.4 </w:t>
          </w:r>
          <w:r>
            <w:rPr>
              <w:rFonts w:hint="eastAsia"/>
              <w:color w:val="auto"/>
              <w:highlight w:val="yellow"/>
            </w:rPr>
            <w:t>案例分析</w:t>
          </w:r>
          <w:r>
            <w:rPr>
              <w:color w:val="auto"/>
              <w:highlight w:val="yellow"/>
            </w:rPr>
            <w:tab/>
          </w:r>
          <w:r>
            <w:rPr>
              <w:color w:val="auto"/>
              <w:highlight w:val="yellow"/>
            </w:rPr>
            <w:fldChar w:fldCharType="begin"/>
          </w:r>
          <w:r>
            <w:rPr>
              <w:color w:val="auto"/>
              <w:highlight w:val="yellow"/>
            </w:rPr>
            <w:instrText xml:space="preserve"> PAGEREF _Toc11313 \h </w:instrText>
          </w:r>
          <w:r>
            <w:rPr>
              <w:color w:val="auto"/>
              <w:highlight w:val="yellow"/>
            </w:rPr>
            <w:fldChar w:fldCharType="separate"/>
          </w:r>
          <w:r>
            <w:rPr>
              <w:color w:val="auto"/>
              <w:highlight w:val="yellow"/>
            </w:rPr>
            <w:t>43</w:t>
          </w:r>
          <w:r>
            <w:rPr>
              <w:color w:val="auto"/>
              <w:highlight w:val="yellow"/>
            </w:rPr>
            <w:fldChar w:fldCharType="end"/>
          </w:r>
          <w:r>
            <w:rPr>
              <w:bCs/>
              <w:color w:val="auto"/>
              <w:highlight w:val="yellow"/>
              <w:lang w:val="zh-CN"/>
            </w:rPr>
            <w:fldChar w:fldCharType="end"/>
          </w:r>
        </w:p>
        <w:p w14:paraId="3029E4CA">
          <w:pPr>
            <w:pStyle w:val="11"/>
            <w:tabs>
              <w:tab w:val="right" w:leader="dot" w:pos="9072"/>
              <w:tab w:val="clear" w:pos="9062"/>
            </w:tabs>
            <w:rPr>
              <w:color w:val="auto"/>
              <w:highlight w:val="yellow"/>
            </w:rPr>
          </w:pPr>
          <w:r>
            <w:rPr>
              <w:bCs/>
              <w:color w:val="auto"/>
              <w:highlight w:val="yellow"/>
              <w:lang w:val="zh-CN"/>
            </w:rPr>
            <w:fldChar w:fldCharType="begin"/>
          </w:r>
          <w:r>
            <w:rPr>
              <w:bCs/>
              <w:color w:val="auto"/>
              <w:highlight w:val="yellow"/>
              <w:lang w:val="zh-CN"/>
            </w:rPr>
            <w:instrText xml:space="preserve"> HYPERLINK \l _Toc28075 </w:instrText>
          </w:r>
          <w:r>
            <w:rPr>
              <w:bCs/>
              <w:color w:val="auto"/>
              <w:highlight w:val="yellow"/>
              <w:lang w:val="zh-CN"/>
            </w:rPr>
            <w:fldChar w:fldCharType="separate"/>
          </w:r>
          <w:r>
            <w:rPr>
              <w:rFonts w:hint="default"/>
              <w:color w:val="auto"/>
              <w:szCs w:val="28"/>
              <w:highlight w:val="yellow"/>
            </w:rPr>
            <w:t xml:space="preserve">3.4 </w:t>
          </w:r>
          <w:r>
            <w:rPr>
              <w:rFonts w:hint="eastAsia"/>
              <w:color w:val="auto"/>
              <w:highlight w:val="yellow"/>
            </w:rPr>
            <w:t>置信度过滤与最终数据集</w:t>
          </w:r>
          <w:r>
            <w:rPr>
              <w:color w:val="auto"/>
              <w:highlight w:val="yellow"/>
            </w:rPr>
            <w:tab/>
          </w:r>
          <w:r>
            <w:rPr>
              <w:color w:val="auto"/>
              <w:highlight w:val="yellow"/>
            </w:rPr>
            <w:fldChar w:fldCharType="begin"/>
          </w:r>
          <w:r>
            <w:rPr>
              <w:color w:val="auto"/>
              <w:highlight w:val="yellow"/>
            </w:rPr>
            <w:instrText xml:space="preserve"> PAGEREF _Toc28075 \h </w:instrText>
          </w:r>
          <w:r>
            <w:rPr>
              <w:color w:val="auto"/>
              <w:highlight w:val="yellow"/>
            </w:rPr>
            <w:fldChar w:fldCharType="separate"/>
          </w:r>
          <w:r>
            <w:rPr>
              <w:color w:val="auto"/>
              <w:highlight w:val="yellow"/>
            </w:rPr>
            <w:t>44</w:t>
          </w:r>
          <w:r>
            <w:rPr>
              <w:color w:val="auto"/>
              <w:highlight w:val="yellow"/>
            </w:rPr>
            <w:fldChar w:fldCharType="end"/>
          </w:r>
          <w:r>
            <w:rPr>
              <w:bCs/>
              <w:color w:val="auto"/>
              <w:highlight w:val="yellow"/>
              <w:lang w:val="zh-CN"/>
            </w:rPr>
            <w:fldChar w:fldCharType="end"/>
          </w:r>
        </w:p>
        <w:p w14:paraId="5946B95B">
          <w:pPr>
            <w:pStyle w:val="11"/>
            <w:tabs>
              <w:tab w:val="right" w:leader="dot" w:pos="9072"/>
              <w:tab w:val="clear" w:pos="9062"/>
            </w:tabs>
            <w:rPr>
              <w:color w:val="auto"/>
            </w:rPr>
          </w:pPr>
          <w:r>
            <w:rPr>
              <w:bCs/>
              <w:color w:val="auto"/>
              <w:highlight w:val="yellow"/>
              <w:lang w:val="zh-CN"/>
            </w:rPr>
            <w:fldChar w:fldCharType="begin"/>
          </w:r>
          <w:r>
            <w:rPr>
              <w:bCs/>
              <w:color w:val="auto"/>
              <w:highlight w:val="yellow"/>
              <w:lang w:val="zh-CN"/>
            </w:rPr>
            <w:instrText xml:space="preserve"> HYPERLINK \l _Toc26443 </w:instrText>
          </w:r>
          <w:r>
            <w:rPr>
              <w:bCs/>
              <w:color w:val="auto"/>
              <w:highlight w:val="yellow"/>
              <w:lang w:val="zh-CN"/>
            </w:rPr>
            <w:fldChar w:fldCharType="separate"/>
          </w:r>
          <w:r>
            <w:rPr>
              <w:rFonts w:hint="default"/>
              <w:color w:val="auto"/>
              <w:szCs w:val="28"/>
              <w:highlight w:val="yellow"/>
            </w:rPr>
            <w:t xml:space="preserve">3.5 </w:t>
          </w:r>
          <w:r>
            <w:rPr>
              <w:rFonts w:hint="eastAsia"/>
              <w:color w:val="auto"/>
              <w:highlight w:val="yellow"/>
            </w:rPr>
            <w:t>数据增强</w:t>
          </w:r>
          <w:r>
            <w:rPr>
              <w:color w:val="auto"/>
              <w:highlight w:val="yellow"/>
            </w:rPr>
            <w:tab/>
          </w:r>
          <w:r>
            <w:rPr>
              <w:color w:val="auto"/>
              <w:highlight w:val="yellow"/>
            </w:rPr>
            <w:fldChar w:fldCharType="begin"/>
          </w:r>
          <w:r>
            <w:rPr>
              <w:color w:val="auto"/>
              <w:highlight w:val="yellow"/>
            </w:rPr>
            <w:instrText xml:space="preserve"> PAGEREF _Toc26443 \h </w:instrText>
          </w:r>
          <w:r>
            <w:rPr>
              <w:color w:val="auto"/>
              <w:highlight w:val="yellow"/>
            </w:rPr>
            <w:fldChar w:fldCharType="separate"/>
          </w:r>
          <w:r>
            <w:rPr>
              <w:color w:val="auto"/>
              <w:highlight w:val="yellow"/>
            </w:rPr>
            <w:t>45</w:t>
          </w:r>
          <w:r>
            <w:rPr>
              <w:color w:val="auto"/>
              <w:highlight w:val="yellow"/>
            </w:rPr>
            <w:fldChar w:fldCharType="end"/>
          </w:r>
          <w:r>
            <w:rPr>
              <w:bCs/>
              <w:color w:val="auto"/>
              <w:highlight w:val="yellow"/>
              <w:lang w:val="zh-CN"/>
            </w:rPr>
            <w:fldChar w:fldCharType="end"/>
          </w:r>
        </w:p>
        <w:p w14:paraId="0BE9C80B">
          <w:pPr>
            <w:pStyle w:val="10"/>
            <w:tabs>
              <w:tab w:val="right" w:leader="dot" w:pos="9072"/>
            </w:tabs>
            <w:rPr>
              <w:color w:val="auto"/>
            </w:rPr>
          </w:pPr>
          <w:r>
            <w:rPr>
              <w:bCs/>
              <w:color w:val="auto"/>
              <w:lang w:val="zh-CN"/>
            </w:rPr>
            <w:fldChar w:fldCharType="begin"/>
          </w:r>
          <w:r>
            <w:rPr>
              <w:bCs/>
              <w:color w:val="auto"/>
              <w:lang w:val="zh-CN"/>
            </w:rPr>
            <w:instrText xml:space="preserve"> HYPERLINK \l _Toc2677 </w:instrText>
          </w:r>
          <w:r>
            <w:rPr>
              <w:bCs/>
              <w:color w:val="auto"/>
              <w:lang w:val="zh-CN"/>
            </w:rPr>
            <w:fldChar w:fldCharType="separate"/>
          </w:r>
          <w:r>
            <w:rPr>
              <w:rFonts w:hint="eastAsia"/>
              <w:color w:val="auto"/>
              <w:szCs w:val="30"/>
            </w:rPr>
            <w:t xml:space="preserve">第四章 </w:t>
          </w:r>
          <w:r>
            <w:rPr>
              <w:rFonts w:hint="eastAsia"/>
              <w:color w:val="auto"/>
            </w:rPr>
            <w:t>分类模型设计与评估</w:t>
          </w:r>
          <w:r>
            <w:rPr>
              <w:color w:val="auto"/>
            </w:rPr>
            <w:tab/>
          </w:r>
          <w:r>
            <w:rPr>
              <w:color w:val="auto"/>
            </w:rPr>
            <w:fldChar w:fldCharType="begin"/>
          </w:r>
          <w:r>
            <w:rPr>
              <w:color w:val="auto"/>
            </w:rPr>
            <w:instrText xml:space="preserve"> PAGEREF _Toc2677 \h </w:instrText>
          </w:r>
          <w:r>
            <w:rPr>
              <w:color w:val="auto"/>
            </w:rPr>
            <w:fldChar w:fldCharType="separate"/>
          </w:r>
          <w:r>
            <w:rPr>
              <w:color w:val="auto"/>
            </w:rPr>
            <w:t>47</w:t>
          </w:r>
          <w:r>
            <w:rPr>
              <w:color w:val="auto"/>
            </w:rPr>
            <w:fldChar w:fldCharType="end"/>
          </w:r>
          <w:r>
            <w:rPr>
              <w:bCs/>
              <w:color w:val="auto"/>
              <w:lang w:val="zh-CN"/>
            </w:rPr>
            <w:fldChar w:fldCharType="end"/>
          </w:r>
        </w:p>
        <w:p w14:paraId="7B716090">
          <w:pPr>
            <w:pStyle w:val="11"/>
            <w:tabs>
              <w:tab w:val="right" w:leader="dot" w:pos="9072"/>
              <w:tab w:val="clear" w:pos="9062"/>
            </w:tabs>
            <w:rPr>
              <w:color w:val="auto"/>
            </w:rPr>
          </w:pPr>
          <w:r>
            <w:rPr>
              <w:bCs/>
              <w:color w:val="auto"/>
              <w:lang w:val="zh-CN"/>
            </w:rPr>
            <w:fldChar w:fldCharType="begin"/>
          </w:r>
          <w:r>
            <w:rPr>
              <w:bCs/>
              <w:color w:val="auto"/>
              <w:lang w:val="zh-CN"/>
            </w:rPr>
            <w:instrText xml:space="preserve"> HYPERLINK \l _Toc21066 </w:instrText>
          </w:r>
          <w:r>
            <w:rPr>
              <w:bCs/>
              <w:color w:val="auto"/>
              <w:lang w:val="zh-CN"/>
            </w:rPr>
            <w:fldChar w:fldCharType="separate"/>
          </w:r>
          <w:r>
            <w:rPr>
              <w:rFonts w:hint="default"/>
              <w:color w:val="auto"/>
              <w:szCs w:val="28"/>
            </w:rPr>
            <w:t xml:space="preserve">4.1 </w:t>
          </w:r>
          <w:r>
            <w:rPr>
              <w:rFonts w:hint="eastAsia"/>
              <w:color w:val="auto"/>
            </w:rPr>
            <w:t>分类模型设计</w:t>
          </w:r>
          <w:r>
            <w:rPr>
              <w:color w:val="auto"/>
            </w:rPr>
            <w:tab/>
          </w:r>
          <w:r>
            <w:rPr>
              <w:color w:val="auto"/>
            </w:rPr>
            <w:fldChar w:fldCharType="begin"/>
          </w:r>
          <w:r>
            <w:rPr>
              <w:color w:val="auto"/>
            </w:rPr>
            <w:instrText xml:space="preserve"> PAGEREF _Toc21066 \h </w:instrText>
          </w:r>
          <w:r>
            <w:rPr>
              <w:color w:val="auto"/>
            </w:rPr>
            <w:fldChar w:fldCharType="separate"/>
          </w:r>
          <w:r>
            <w:rPr>
              <w:color w:val="auto"/>
            </w:rPr>
            <w:t>47</w:t>
          </w:r>
          <w:r>
            <w:rPr>
              <w:color w:val="auto"/>
            </w:rPr>
            <w:fldChar w:fldCharType="end"/>
          </w:r>
          <w:r>
            <w:rPr>
              <w:bCs/>
              <w:color w:val="auto"/>
              <w:lang w:val="zh-CN"/>
            </w:rPr>
            <w:fldChar w:fldCharType="end"/>
          </w:r>
        </w:p>
        <w:p w14:paraId="2144C264">
          <w:pPr>
            <w:pStyle w:val="6"/>
            <w:tabs>
              <w:tab w:val="right" w:leader="dot" w:pos="9072"/>
            </w:tabs>
            <w:rPr>
              <w:color w:val="auto"/>
            </w:rPr>
          </w:pPr>
          <w:r>
            <w:rPr>
              <w:bCs/>
              <w:color w:val="auto"/>
              <w:lang w:val="zh-CN"/>
            </w:rPr>
            <w:fldChar w:fldCharType="begin"/>
          </w:r>
          <w:r>
            <w:rPr>
              <w:bCs/>
              <w:color w:val="auto"/>
              <w:lang w:val="zh-CN"/>
            </w:rPr>
            <w:instrText xml:space="preserve"> HYPERLINK \l _Toc641 </w:instrText>
          </w:r>
          <w:r>
            <w:rPr>
              <w:bCs/>
              <w:color w:val="auto"/>
              <w:lang w:val="zh-CN"/>
            </w:rPr>
            <w:fldChar w:fldCharType="separate"/>
          </w:r>
          <w:r>
            <w:rPr>
              <w:rFonts w:hint="default"/>
              <w:color w:val="auto"/>
              <w:szCs w:val="24"/>
            </w:rPr>
            <w:t xml:space="preserve">4.1.1 </w:t>
          </w:r>
          <w:r>
            <w:rPr>
              <w:color w:val="auto"/>
            </w:rPr>
            <w:t>机器学习</w:t>
          </w:r>
          <w:r>
            <w:rPr>
              <w:rFonts w:hint="eastAsia"/>
              <w:color w:val="auto"/>
            </w:rPr>
            <w:t>模型</w:t>
          </w:r>
          <w:r>
            <w:rPr>
              <w:color w:val="auto"/>
            </w:rPr>
            <w:tab/>
          </w:r>
          <w:r>
            <w:rPr>
              <w:color w:val="auto"/>
            </w:rPr>
            <w:fldChar w:fldCharType="begin"/>
          </w:r>
          <w:r>
            <w:rPr>
              <w:color w:val="auto"/>
            </w:rPr>
            <w:instrText xml:space="preserve"> PAGEREF _Toc641 \h </w:instrText>
          </w:r>
          <w:r>
            <w:rPr>
              <w:color w:val="auto"/>
            </w:rPr>
            <w:fldChar w:fldCharType="separate"/>
          </w:r>
          <w:r>
            <w:rPr>
              <w:color w:val="auto"/>
            </w:rPr>
            <w:t>47</w:t>
          </w:r>
          <w:r>
            <w:rPr>
              <w:color w:val="auto"/>
            </w:rPr>
            <w:fldChar w:fldCharType="end"/>
          </w:r>
          <w:r>
            <w:rPr>
              <w:bCs/>
              <w:color w:val="auto"/>
              <w:lang w:val="zh-CN"/>
            </w:rPr>
            <w:fldChar w:fldCharType="end"/>
          </w:r>
        </w:p>
        <w:p w14:paraId="72FF8275">
          <w:pPr>
            <w:pStyle w:val="6"/>
            <w:tabs>
              <w:tab w:val="right" w:leader="dot" w:pos="9072"/>
            </w:tabs>
            <w:rPr>
              <w:color w:val="auto"/>
            </w:rPr>
          </w:pPr>
          <w:r>
            <w:rPr>
              <w:bCs/>
              <w:color w:val="auto"/>
              <w:lang w:val="zh-CN"/>
            </w:rPr>
            <w:fldChar w:fldCharType="begin"/>
          </w:r>
          <w:r>
            <w:rPr>
              <w:bCs/>
              <w:color w:val="auto"/>
              <w:lang w:val="zh-CN"/>
            </w:rPr>
            <w:instrText xml:space="preserve"> HYPERLINK \l _Toc18344 </w:instrText>
          </w:r>
          <w:r>
            <w:rPr>
              <w:bCs/>
              <w:color w:val="auto"/>
              <w:lang w:val="zh-CN"/>
            </w:rPr>
            <w:fldChar w:fldCharType="separate"/>
          </w:r>
          <w:r>
            <w:rPr>
              <w:rFonts w:hint="default" w:eastAsia="宋体"/>
              <w:color w:val="auto"/>
              <w:szCs w:val="24"/>
              <w:highlight w:val="yellow"/>
            </w:rPr>
            <w:t xml:space="preserve">4.1.2 </w:t>
          </w:r>
          <w:r>
            <w:rPr>
              <w:rFonts w:hint="eastAsia"/>
              <w:color w:val="auto"/>
              <w:highlight w:val="yellow"/>
            </w:rPr>
            <w:t>深度</w:t>
          </w:r>
          <w:r>
            <w:rPr>
              <w:color w:val="auto"/>
              <w:highlight w:val="yellow"/>
            </w:rPr>
            <w:t>学习</w:t>
          </w:r>
          <w:r>
            <w:rPr>
              <w:rFonts w:hint="eastAsia"/>
              <w:color w:val="auto"/>
              <w:highlight w:val="yellow"/>
            </w:rPr>
            <w:t>模型</w:t>
          </w:r>
          <w:r>
            <w:rPr>
              <w:color w:val="auto"/>
            </w:rPr>
            <w:tab/>
          </w:r>
          <w:r>
            <w:rPr>
              <w:color w:val="auto"/>
            </w:rPr>
            <w:fldChar w:fldCharType="begin"/>
          </w:r>
          <w:r>
            <w:rPr>
              <w:color w:val="auto"/>
            </w:rPr>
            <w:instrText xml:space="preserve"> PAGEREF _Toc18344 \h </w:instrText>
          </w:r>
          <w:r>
            <w:rPr>
              <w:color w:val="auto"/>
            </w:rPr>
            <w:fldChar w:fldCharType="separate"/>
          </w:r>
          <w:r>
            <w:rPr>
              <w:color w:val="auto"/>
            </w:rPr>
            <w:t>48</w:t>
          </w:r>
          <w:r>
            <w:rPr>
              <w:color w:val="auto"/>
            </w:rPr>
            <w:fldChar w:fldCharType="end"/>
          </w:r>
          <w:r>
            <w:rPr>
              <w:bCs/>
              <w:color w:val="auto"/>
              <w:lang w:val="zh-CN"/>
            </w:rPr>
            <w:fldChar w:fldCharType="end"/>
          </w:r>
        </w:p>
        <w:p w14:paraId="1C8712A2">
          <w:pPr>
            <w:pStyle w:val="11"/>
            <w:tabs>
              <w:tab w:val="right" w:leader="dot" w:pos="9072"/>
              <w:tab w:val="clear" w:pos="9062"/>
            </w:tabs>
            <w:rPr>
              <w:color w:val="auto"/>
              <w:highlight w:val="yellow"/>
            </w:rPr>
          </w:pPr>
          <w:r>
            <w:rPr>
              <w:bCs/>
              <w:color w:val="auto"/>
              <w:highlight w:val="yellow"/>
              <w:lang w:val="zh-CN"/>
            </w:rPr>
            <w:fldChar w:fldCharType="begin"/>
          </w:r>
          <w:r>
            <w:rPr>
              <w:bCs/>
              <w:color w:val="auto"/>
              <w:highlight w:val="yellow"/>
              <w:lang w:val="zh-CN"/>
            </w:rPr>
            <w:instrText xml:space="preserve"> HYPERLINK \l _Toc28669 </w:instrText>
          </w:r>
          <w:r>
            <w:rPr>
              <w:bCs/>
              <w:color w:val="auto"/>
              <w:highlight w:val="yellow"/>
              <w:lang w:val="zh-CN"/>
            </w:rPr>
            <w:fldChar w:fldCharType="separate"/>
          </w:r>
          <w:r>
            <w:rPr>
              <w:rFonts w:hint="default"/>
              <w:color w:val="auto"/>
              <w:szCs w:val="28"/>
              <w:highlight w:val="yellow"/>
            </w:rPr>
            <w:t xml:space="preserve">4.2 </w:t>
          </w:r>
          <w:r>
            <w:rPr>
              <w:rFonts w:hint="eastAsia"/>
              <w:color w:val="auto"/>
              <w:highlight w:val="yellow"/>
            </w:rPr>
            <w:t>分类模型评估</w:t>
          </w:r>
          <w:r>
            <w:rPr>
              <w:color w:val="auto"/>
              <w:highlight w:val="yellow"/>
            </w:rPr>
            <w:tab/>
          </w:r>
          <w:r>
            <w:rPr>
              <w:color w:val="auto"/>
              <w:highlight w:val="yellow"/>
            </w:rPr>
            <w:fldChar w:fldCharType="begin"/>
          </w:r>
          <w:r>
            <w:rPr>
              <w:color w:val="auto"/>
              <w:highlight w:val="yellow"/>
            </w:rPr>
            <w:instrText xml:space="preserve"> PAGEREF _Toc28669 \h </w:instrText>
          </w:r>
          <w:r>
            <w:rPr>
              <w:color w:val="auto"/>
              <w:highlight w:val="yellow"/>
            </w:rPr>
            <w:fldChar w:fldCharType="separate"/>
          </w:r>
          <w:r>
            <w:rPr>
              <w:color w:val="auto"/>
              <w:highlight w:val="yellow"/>
            </w:rPr>
            <w:t>51</w:t>
          </w:r>
          <w:r>
            <w:rPr>
              <w:color w:val="auto"/>
              <w:highlight w:val="yellow"/>
            </w:rPr>
            <w:fldChar w:fldCharType="end"/>
          </w:r>
          <w:r>
            <w:rPr>
              <w:bCs/>
              <w:color w:val="auto"/>
              <w:highlight w:val="yellow"/>
              <w:lang w:val="zh-CN"/>
            </w:rPr>
            <w:fldChar w:fldCharType="end"/>
          </w:r>
        </w:p>
        <w:p w14:paraId="23F14FD0">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_Toc25617 </w:instrText>
          </w:r>
          <w:r>
            <w:rPr>
              <w:bCs/>
              <w:color w:val="auto"/>
              <w:highlight w:val="yellow"/>
              <w:lang w:val="zh-CN"/>
            </w:rPr>
            <w:fldChar w:fldCharType="separate"/>
          </w:r>
          <w:r>
            <w:rPr>
              <w:rFonts w:hint="default"/>
              <w:color w:val="auto"/>
              <w:szCs w:val="24"/>
              <w:highlight w:val="yellow"/>
            </w:rPr>
            <w:t xml:space="preserve">4.2.1 </w:t>
          </w:r>
          <w:r>
            <w:rPr>
              <w:rFonts w:hint="eastAsia"/>
              <w:color w:val="auto"/>
              <w:highlight w:val="yellow"/>
            </w:rPr>
            <w:t>模型对比实验</w:t>
          </w:r>
          <w:r>
            <w:rPr>
              <w:color w:val="auto"/>
              <w:highlight w:val="yellow"/>
            </w:rPr>
            <w:tab/>
          </w:r>
          <w:r>
            <w:rPr>
              <w:color w:val="auto"/>
              <w:highlight w:val="yellow"/>
            </w:rPr>
            <w:fldChar w:fldCharType="begin"/>
          </w:r>
          <w:r>
            <w:rPr>
              <w:color w:val="auto"/>
              <w:highlight w:val="yellow"/>
            </w:rPr>
            <w:instrText xml:space="preserve"> PAGEREF _Toc25617 \h </w:instrText>
          </w:r>
          <w:r>
            <w:rPr>
              <w:color w:val="auto"/>
              <w:highlight w:val="yellow"/>
            </w:rPr>
            <w:fldChar w:fldCharType="separate"/>
          </w:r>
          <w:r>
            <w:rPr>
              <w:color w:val="auto"/>
              <w:highlight w:val="yellow"/>
            </w:rPr>
            <w:t>51</w:t>
          </w:r>
          <w:r>
            <w:rPr>
              <w:color w:val="auto"/>
              <w:highlight w:val="yellow"/>
            </w:rPr>
            <w:fldChar w:fldCharType="end"/>
          </w:r>
          <w:r>
            <w:rPr>
              <w:bCs/>
              <w:color w:val="auto"/>
              <w:highlight w:val="yellow"/>
              <w:lang w:val="zh-CN"/>
            </w:rPr>
            <w:fldChar w:fldCharType="end"/>
          </w:r>
        </w:p>
        <w:p w14:paraId="2120C6DB">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_Toc850 </w:instrText>
          </w:r>
          <w:r>
            <w:rPr>
              <w:bCs/>
              <w:color w:val="auto"/>
              <w:highlight w:val="yellow"/>
              <w:lang w:val="zh-CN"/>
            </w:rPr>
            <w:fldChar w:fldCharType="separate"/>
          </w:r>
          <w:r>
            <w:rPr>
              <w:rFonts w:hint="default"/>
              <w:color w:val="auto"/>
              <w:szCs w:val="24"/>
              <w:highlight w:val="yellow"/>
            </w:rPr>
            <w:t xml:space="preserve">4.2.2 </w:t>
          </w:r>
          <w:r>
            <w:rPr>
              <w:rFonts w:hint="eastAsia"/>
              <w:color w:val="auto"/>
              <w:highlight w:val="yellow"/>
            </w:rPr>
            <w:t>消融实验</w:t>
          </w:r>
          <w:r>
            <w:rPr>
              <w:color w:val="auto"/>
              <w:highlight w:val="yellow"/>
            </w:rPr>
            <w:tab/>
          </w:r>
          <w:r>
            <w:rPr>
              <w:color w:val="auto"/>
              <w:highlight w:val="yellow"/>
            </w:rPr>
            <w:fldChar w:fldCharType="begin"/>
          </w:r>
          <w:r>
            <w:rPr>
              <w:color w:val="auto"/>
              <w:highlight w:val="yellow"/>
            </w:rPr>
            <w:instrText xml:space="preserve"> PAGEREF _Toc850 \h </w:instrText>
          </w:r>
          <w:r>
            <w:rPr>
              <w:color w:val="auto"/>
              <w:highlight w:val="yellow"/>
            </w:rPr>
            <w:fldChar w:fldCharType="separate"/>
          </w:r>
          <w:r>
            <w:rPr>
              <w:color w:val="auto"/>
              <w:highlight w:val="yellow"/>
            </w:rPr>
            <w:t>55</w:t>
          </w:r>
          <w:r>
            <w:rPr>
              <w:color w:val="auto"/>
              <w:highlight w:val="yellow"/>
            </w:rPr>
            <w:fldChar w:fldCharType="end"/>
          </w:r>
          <w:r>
            <w:rPr>
              <w:bCs/>
              <w:color w:val="auto"/>
              <w:highlight w:val="yellow"/>
              <w:lang w:val="zh-CN"/>
            </w:rPr>
            <w:fldChar w:fldCharType="end"/>
          </w:r>
        </w:p>
        <w:p w14:paraId="40AB1E7D">
          <w:pPr>
            <w:pStyle w:val="6"/>
            <w:tabs>
              <w:tab w:val="right" w:leader="dot" w:pos="9072"/>
            </w:tabs>
            <w:rPr>
              <w:color w:val="auto"/>
            </w:rPr>
          </w:pPr>
          <w:r>
            <w:rPr>
              <w:bCs/>
              <w:color w:val="auto"/>
              <w:highlight w:val="yellow"/>
              <w:lang w:val="zh-CN"/>
            </w:rPr>
            <w:fldChar w:fldCharType="begin"/>
          </w:r>
          <w:r>
            <w:rPr>
              <w:bCs/>
              <w:color w:val="auto"/>
              <w:highlight w:val="yellow"/>
              <w:lang w:val="zh-CN"/>
            </w:rPr>
            <w:instrText xml:space="preserve"> HYPERLINK \l _Toc11014 </w:instrText>
          </w:r>
          <w:r>
            <w:rPr>
              <w:bCs/>
              <w:color w:val="auto"/>
              <w:highlight w:val="yellow"/>
              <w:lang w:val="zh-CN"/>
            </w:rPr>
            <w:fldChar w:fldCharType="separate"/>
          </w:r>
          <w:r>
            <w:rPr>
              <w:rFonts w:hint="default"/>
              <w:color w:val="auto"/>
              <w:szCs w:val="24"/>
              <w:highlight w:val="yellow"/>
            </w:rPr>
            <w:t xml:space="preserve">4.2.3 </w:t>
          </w:r>
          <w:r>
            <w:rPr>
              <w:rFonts w:hint="eastAsia"/>
              <w:color w:val="auto"/>
              <w:highlight w:val="yellow"/>
            </w:rPr>
            <w:t>外部验证</w:t>
          </w:r>
          <w:r>
            <w:rPr>
              <w:color w:val="auto"/>
              <w:highlight w:val="yellow"/>
            </w:rPr>
            <w:tab/>
          </w:r>
          <w:r>
            <w:rPr>
              <w:color w:val="auto"/>
              <w:highlight w:val="yellow"/>
            </w:rPr>
            <w:fldChar w:fldCharType="begin"/>
          </w:r>
          <w:r>
            <w:rPr>
              <w:color w:val="auto"/>
              <w:highlight w:val="yellow"/>
            </w:rPr>
            <w:instrText xml:space="preserve"> PAGEREF _Toc11014 \h </w:instrText>
          </w:r>
          <w:r>
            <w:rPr>
              <w:color w:val="auto"/>
              <w:highlight w:val="yellow"/>
            </w:rPr>
            <w:fldChar w:fldCharType="separate"/>
          </w:r>
          <w:r>
            <w:rPr>
              <w:color w:val="auto"/>
              <w:highlight w:val="yellow"/>
            </w:rPr>
            <w:t>57</w:t>
          </w:r>
          <w:r>
            <w:rPr>
              <w:color w:val="auto"/>
              <w:highlight w:val="yellow"/>
            </w:rPr>
            <w:fldChar w:fldCharType="end"/>
          </w:r>
          <w:r>
            <w:rPr>
              <w:bCs/>
              <w:color w:val="auto"/>
              <w:highlight w:val="yellow"/>
              <w:lang w:val="zh-CN"/>
            </w:rPr>
            <w:fldChar w:fldCharType="end"/>
          </w:r>
        </w:p>
        <w:p w14:paraId="0AD5F254">
          <w:pPr>
            <w:pStyle w:val="10"/>
            <w:tabs>
              <w:tab w:val="right" w:leader="dot" w:pos="9072"/>
            </w:tabs>
            <w:rPr>
              <w:color w:val="auto"/>
            </w:rPr>
          </w:pPr>
          <w:r>
            <w:rPr>
              <w:bCs/>
              <w:color w:val="auto"/>
              <w:lang w:val="zh-CN"/>
            </w:rPr>
            <w:fldChar w:fldCharType="begin"/>
          </w:r>
          <w:r>
            <w:rPr>
              <w:bCs/>
              <w:color w:val="auto"/>
              <w:lang w:val="zh-CN"/>
            </w:rPr>
            <w:instrText xml:space="preserve"> HYPERLINK \l _Toc31666 </w:instrText>
          </w:r>
          <w:r>
            <w:rPr>
              <w:bCs/>
              <w:color w:val="auto"/>
              <w:lang w:val="zh-CN"/>
            </w:rPr>
            <w:fldChar w:fldCharType="separate"/>
          </w:r>
          <w:r>
            <w:rPr>
              <w:rFonts w:hint="eastAsia"/>
              <w:color w:val="auto"/>
              <w:szCs w:val="30"/>
            </w:rPr>
            <w:t xml:space="preserve">第五章 </w:t>
          </w:r>
          <w:r>
            <w:rPr>
              <w:rFonts w:hint="eastAsia"/>
              <w:color w:val="auto"/>
            </w:rPr>
            <w:t>系统设计与实现</w:t>
          </w:r>
          <w:r>
            <w:rPr>
              <w:color w:val="auto"/>
            </w:rPr>
            <w:tab/>
          </w:r>
          <w:r>
            <w:rPr>
              <w:color w:val="auto"/>
            </w:rPr>
            <w:fldChar w:fldCharType="begin"/>
          </w:r>
          <w:r>
            <w:rPr>
              <w:color w:val="auto"/>
            </w:rPr>
            <w:instrText xml:space="preserve"> PAGEREF _Toc31666 \h </w:instrText>
          </w:r>
          <w:r>
            <w:rPr>
              <w:color w:val="auto"/>
            </w:rPr>
            <w:fldChar w:fldCharType="separate"/>
          </w:r>
          <w:r>
            <w:rPr>
              <w:color w:val="auto"/>
            </w:rPr>
            <w:t>58</w:t>
          </w:r>
          <w:r>
            <w:rPr>
              <w:color w:val="auto"/>
            </w:rPr>
            <w:fldChar w:fldCharType="end"/>
          </w:r>
          <w:r>
            <w:rPr>
              <w:bCs/>
              <w:color w:val="auto"/>
              <w:lang w:val="zh-CN"/>
            </w:rPr>
            <w:fldChar w:fldCharType="end"/>
          </w:r>
        </w:p>
        <w:p w14:paraId="3C176E6B">
          <w:pPr>
            <w:pStyle w:val="11"/>
            <w:tabs>
              <w:tab w:val="right" w:leader="dot" w:pos="9072"/>
              <w:tab w:val="clear" w:pos="9062"/>
            </w:tabs>
            <w:rPr>
              <w:color w:val="auto"/>
              <w:highlight w:val="yellow"/>
            </w:rPr>
          </w:pPr>
          <w:r>
            <w:rPr>
              <w:bCs/>
              <w:color w:val="auto"/>
              <w:highlight w:val="yellow"/>
              <w:lang w:val="zh-CN"/>
            </w:rPr>
            <w:fldChar w:fldCharType="begin"/>
          </w:r>
          <w:r>
            <w:rPr>
              <w:bCs/>
              <w:color w:val="auto"/>
              <w:highlight w:val="yellow"/>
              <w:lang w:val="zh-CN"/>
            </w:rPr>
            <w:instrText xml:space="preserve"> HYPERLINK \l _Toc27080 </w:instrText>
          </w:r>
          <w:r>
            <w:rPr>
              <w:bCs/>
              <w:color w:val="auto"/>
              <w:highlight w:val="yellow"/>
              <w:lang w:val="zh-CN"/>
            </w:rPr>
            <w:fldChar w:fldCharType="separate"/>
          </w:r>
          <w:r>
            <w:rPr>
              <w:rFonts w:hint="default"/>
              <w:color w:val="auto"/>
              <w:szCs w:val="28"/>
              <w:highlight w:val="yellow"/>
            </w:rPr>
            <w:t xml:space="preserve">5.1 </w:t>
          </w:r>
          <w:r>
            <w:rPr>
              <w:rFonts w:hint="eastAsia"/>
              <w:color w:val="auto"/>
              <w:highlight w:val="yellow"/>
            </w:rPr>
            <w:t>需求分析</w:t>
          </w:r>
          <w:r>
            <w:rPr>
              <w:color w:val="auto"/>
              <w:highlight w:val="yellow"/>
            </w:rPr>
            <w:tab/>
          </w:r>
          <w:r>
            <w:rPr>
              <w:color w:val="auto"/>
              <w:highlight w:val="yellow"/>
            </w:rPr>
            <w:fldChar w:fldCharType="begin"/>
          </w:r>
          <w:r>
            <w:rPr>
              <w:color w:val="auto"/>
              <w:highlight w:val="yellow"/>
            </w:rPr>
            <w:instrText xml:space="preserve"> PAGEREF _Toc27080 \h </w:instrText>
          </w:r>
          <w:r>
            <w:rPr>
              <w:color w:val="auto"/>
              <w:highlight w:val="yellow"/>
            </w:rPr>
            <w:fldChar w:fldCharType="separate"/>
          </w:r>
          <w:r>
            <w:rPr>
              <w:color w:val="auto"/>
              <w:highlight w:val="yellow"/>
            </w:rPr>
            <w:t>58</w:t>
          </w:r>
          <w:r>
            <w:rPr>
              <w:color w:val="auto"/>
              <w:highlight w:val="yellow"/>
            </w:rPr>
            <w:fldChar w:fldCharType="end"/>
          </w:r>
          <w:r>
            <w:rPr>
              <w:bCs/>
              <w:color w:val="auto"/>
              <w:highlight w:val="yellow"/>
              <w:lang w:val="zh-CN"/>
            </w:rPr>
            <w:fldChar w:fldCharType="end"/>
          </w:r>
        </w:p>
        <w:p w14:paraId="32021CAE">
          <w:pPr>
            <w:pStyle w:val="6"/>
            <w:tabs>
              <w:tab w:val="right" w:leader="dot" w:pos="9072"/>
            </w:tabs>
            <w:rPr>
              <w:color w:val="auto"/>
            </w:rPr>
          </w:pPr>
          <w:r>
            <w:rPr>
              <w:bCs/>
              <w:color w:val="auto"/>
              <w:highlight w:val="yellow"/>
              <w:lang w:val="zh-CN"/>
            </w:rPr>
            <w:fldChar w:fldCharType="begin"/>
          </w:r>
          <w:r>
            <w:rPr>
              <w:bCs/>
              <w:color w:val="auto"/>
              <w:highlight w:val="yellow"/>
              <w:lang w:val="zh-CN"/>
            </w:rPr>
            <w:instrText xml:space="preserve"> HYPERLINK \l _Toc6373 </w:instrText>
          </w:r>
          <w:r>
            <w:rPr>
              <w:bCs/>
              <w:color w:val="auto"/>
              <w:highlight w:val="yellow"/>
              <w:lang w:val="zh-CN"/>
            </w:rPr>
            <w:fldChar w:fldCharType="separate"/>
          </w:r>
          <w:r>
            <w:rPr>
              <w:rFonts w:hint="default"/>
              <w:color w:val="auto"/>
              <w:szCs w:val="24"/>
              <w:highlight w:val="yellow"/>
            </w:rPr>
            <w:t xml:space="preserve">5.1.1 </w:t>
          </w:r>
          <w:r>
            <w:rPr>
              <w:rFonts w:hint="eastAsia"/>
              <w:color w:val="auto"/>
              <w:highlight w:val="yellow"/>
            </w:rPr>
            <w:t>功能需求分析</w:t>
          </w:r>
          <w:r>
            <w:rPr>
              <w:color w:val="auto"/>
              <w:highlight w:val="yellow"/>
            </w:rPr>
            <w:tab/>
          </w:r>
          <w:r>
            <w:rPr>
              <w:color w:val="auto"/>
              <w:highlight w:val="yellow"/>
            </w:rPr>
            <w:fldChar w:fldCharType="begin"/>
          </w:r>
          <w:r>
            <w:rPr>
              <w:color w:val="auto"/>
              <w:highlight w:val="yellow"/>
            </w:rPr>
            <w:instrText xml:space="preserve"> PAGEREF _Toc6373 \h </w:instrText>
          </w:r>
          <w:r>
            <w:rPr>
              <w:color w:val="auto"/>
              <w:highlight w:val="yellow"/>
            </w:rPr>
            <w:fldChar w:fldCharType="separate"/>
          </w:r>
          <w:r>
            <w:rPr>
              <w:color w:val="auto"/>
              <w:highlight w:val="yellow"/>
            </w:rPr>
            <w:t>58</w:t>
          </w:r>
          <w:r>
            <w:rPr>
              <w:color w:val="auto"/>
              <w:highlight w:val="yellow"/>
            </w:rPr>
            <w:fldChar w:fldCharType="end"/>
          </w:r>
          <w:r>
            <w:rPr>
              <w:bCs/>
              <w:color w:val="auto"/>
              <w:highlight w:val="yellow"/>
              <w:lang w:val="zh-CN"/>
            </w:rPr>
            <w:fldChar w:fldCharType="end"/>
          </w:r>
        </w:p>
        <w:p w14:paraId="11D37068">
          <w:pPr>
            <w:pStyle w:val="6"/>
            <w:tabs>
              <w:tab w:val="right" w:leader="dot" w:pos="9072"/>
            </w:tabs>
            <w:rPr>
              <w:color w:val="auto"/>
            </w:rPr>
          </w:pPr>
          <w:r>
            <w:rPr>
              <w:bCs/>
              <w:color w:val="auto"/>
              <w:lang w:val="zh-CN"/>
            </w:rPr>
            <w:fldChar w:fldCharType="begin"/>
          </w:r>
          <w:r>
            <w:rPr>
              <w:bCs/>
              <w:color w:val="auto"/>
              <w:lang w:val="zh-CN"/>
            </w:rPr>
            <w:instrText xml:space="preserve"> HYPERLINK \l _Toc4703 </w:instrText>
          </w:r>
          <w:r>
            <w:rPr>
              <w:bCs/>
              <w:color w:val="auto"/>
              <w:lang w:val="zh-CN"/>
            </w:rPr>
            <w:fldChar w:fldCharType="separate"/>
          </w:r>
          <w:r>
            <w:rPr>
              <w:rFonts w:hint="default"/>
              <w:color w:val="auto"/>
              <w:szCs w:val="24"/>
            </w:rPr>
            <w:t xml:space="preserve">5.1.2 </w:t>
          </w:r>
          <w:r>
            <w:rPr>
              <w:rFonts w:hint="eastAsia"/>
              <w:color w:val="auto"/>
              <w:highlight w:val="yellow"/>
            </w:rPr>
            <w:t>非功能性需求分析</w:t>
          </w:r>
          <w:r>
            <w:rPr>
              <w:color w:val="auto"/>
            </w:rPr>
            <w:tab/>
          </w:r>
          <w:r>
            <w:rPr>
              <w:color w:val="auto"/>
            </w:rPr>
            <w:fldChar w:fldCharType="begin"/>
          </w:r>
          <w:r>
            <w:rPr>
              <w:color w:val="auto"/>
            </w:rPr>
            <w:instrText xml:space="preserve"> PAGEREF _Toc4703 \h </w:instrText>
          </w:r>
          <w:r>
            <w:rPr>
              <w:color w:val="auto"/>
            </w:rPr>
            <w:fldChar w:fldCharType="separate"/>
          </w:r>
          <w:r>
            <w:rPr>
              <w:color w:val="auto"/>
            </w:rPr>
            <w:t>60</w:t>
          </w:r>
          <w:r>
            <w:rPr>
              <w:color w:val="auto"/>
            </w:rPr>
            <w:fldChar w:fldCharType="end"/>
          </w:r>
          <w:r>
            <w:rPr>
              <w:bCs/>
              <w:color w:val="auto"/>
              <w:lang w:val="zh-CN"/>
            </w:rPr>
            <w:fldChar w:fldCharType="end"/>
          </w:r>
        </w:p>
        <w:p w14:paraId="1593499D">
          <w:pPr>
            <w:pStyle w:val="11"/>
            <w:tabs>
              <w:tab w:val="right" w:leader="dot" w:pos="9072"/>
              <w:tab w:val="clear" w:pos="9062"/>
            </w:tabs>
            <w:rPr>
              <w:color w:val="auto"/>
            </w:rPr>
          </w:pPr>
          <w:r>
            <w:rPr>
              <w:bCs/>
              <w:color w:val="auto"/>
              <w:lang w:val="zh-CN"/>
            </w:rPr>
            <w:fldChar w:fldCharType="begin"/>
          </w:r>
          <w:r>
            <w:rPr>
              <w:bCs/>
              <w:color w:val="auto"/>
              <w:lang w:val="zh-CN"/>
            </w:rPr>
            <w:instrText xml:space="preserve"> HYPERLINK \l _Toc30896 </w:instrText>
          </w:r>
          <w:r>
            <w:rPr>
              <w:bCs/>
              <w:color w:val="auto"/>
              <w:lang w:val="zh-CN"/>
            </w:rPr>
            <w:fldChar w:fldCharType="separate"/>
          </w:r>
          <w:r>
            <w:rPr>
              <w:rFonts w:hint="default"/>
              <w:color w:val="auto"/>
              <w:szCs w:val="28"/>
            </w:rPr>
            <w:t xml:space="preserve">5.2 </w:t>
          </w:r>
          <w:r>
            <w:rPr>
              <w:rFonts w:hint="eastAsia"/>
              <w:color w:val="auto"/>
            </w:rPr>
            <w:t>系统设计</w:t>
          </w:r>
          <w:r>
            <w:rPr>
              <w:color w:val="auto"/>
            </w:rPr>
            <w:tab/>
          </w:r>
          <w:r>
            <w:rPr>
              <w:color w:val="auto"/>
            </w:rPr>
            <w:fldChar w:fldCharType="begin"/>
          </w:r>
          <w:r>
            <w:rPr>
              <w:color w:val="auto"/>
            </w:rPr>
            <w:instrText xml:space="preserve"> PAGEREF _Toc30896 \h </w:instrText>
          </w:r>
          <w:r>
            <w:rPr>
              <w:color w:val="auto"/>
            </w:rPr>
            <w:fldChar w:fldCharType="separate"/>
          </w:r>
          <w:r>
            <w:rPr>
              <w:color w:val="auto"/>
            </w:rPr>
            <w:t>60</w:t>
          </w:r>
          <w:r>
            <w:rPr>
              <w:color w:val="auto"/>
            </w:rPr>
            <w:fldChar w:fldCharType="end"/>
          </w:r>
          <w:r>
            <w:rPr>
              <w:bCs/>
              <w:color w:val="auto"/>
              <w:lang w:val="zh-CN"/>
            </w:rPr>
            <w:fldChar w:fldCharType="end"/>
          </w:r>
        </w:p>
        <w:p w14:paraId="6F98A857">
          <w:pPr>
            <w:pStyle w:val="6"/>
            <w:tabs>
              <w:tab w:val="right" w:leader="dot" w:pos="9072"/>
            </w:tabs>
            <w:rPr>
              <w:color w:val="auto"/>
            </w:rPr>
          </w:pPr>
          <w:r>
            <w:rPr>
              <w:bCs/>
              <w:color w:val="auto"/>
              <w:lang w:val="zh-CN"/>
            </w:rPr>
            <w:fldChar w:fldCharType="begin"/>
          </w:r>
          <w:r>
            <w:rPr>
              <w:bCs/>
              <w:color w:val="auto"/>
              <w:lang w:val="zh-CN"/>
            </w:rPr>
            <w:instrText xml:space="preserve"> HYPERLINK \l _Toc22512 </w:instrText>
          </w:r>
          <w:r>
            <w:rPr>
              <w:bCs/>
              <w:color w:val="auto"/>
              <w:lang w:val="zh-CN"/>
            </w:rPr>
            <w:fldChar w:fldCharType="separate"/>
          </w:r>
          <w:r>
            <w:rPr>
              <w:rFonts w:hint="default"/>
              <w:color w:val="auto"/>
              <w:szCs w:val="24"/>
            </w:rPr>
            <w:t xml:space="preserve">5.2.1 </w:t>
          </w:r>
          <w:r>
            <w:rPr>
              <w:rFonts w:hint="eastAsia"/>
              <w:color w:val="auto"/>
            </w:rPr>
            <w:t>系统架构设计</w:t>
          </w:r>
          <w:r>
            <w:rPr>
              <w:color w:val="auto"/>
            </w:rPr>
            <w:tab/>
          </w:r>
          <w:r>
            <w:rPr>
              <w:color w:val="auto"/>
            </w:rPr>
            <w:fldChar w:fldCharType="begin"/>
          </w:r>
          <w:r>
            <w:rPr>
              <w:color w:val="auto"/>
            </w:rPr>
            <w:instrText xml:space="preserve"> PAGEREF _Toc22512 \h </w:instrText>
          </w:r>
          <w:r>
            <w:rPr>
              <w:color w:val="auto"/>
            </w:rPr>
            <w:fldChar w:fldCharType="separate"/>
          </w:r>
          <w:r>
            <w:rPr>
              <w:color w:val="auto"/>
            </w:rPr>
            <w:t>60</w:t>
          </w:r>
          <w:r>
            <w:rPr>
              <w:color w:val="auto"/>
            </w:rPr>
            <w:fldChar w:fldCharType="end"/>
          </w:r>
          <w:r>
            <w:rPr>
              <w:bCs/>
              <w:color w:val="auto"/>
              <w:lang w:val="zh-CN"/>
            </w:rPr>
            <w:fldChar w:fldCharType="end"/>
          </w:r>
        </w:p>
        <w:p w14:paraId="0BFD6263">
          <w:pPr>
            <w:pStyle w:val="6"/>
            <w:tabs>
              <w:tab w:val="right" w:leader="dot" w:pos="9072"/>
            </w:tabs>
            <w:rPr>
              <w:color w:val="auto"/>
            </w:rPr>
          </w:pPr>
          <w:r>
            <w:rPr>
              <w:bCs/>
              <w:color w:val="auto"/>
              <w:lang w:val="zh-CN"/>
            </w:rPr>
            <w:fldChar w:fldCharType="begin"/>
          </w:r>
          <w:r>
            <w:rPr>
              <w:bCs/>
              <w:color w:val="auto"/>
              <w:lang w:val="zh-CN"/>
            </w:rPr>
            <w:instrText xml:space="preserve"> HYPERLINK \l _Toc9294 </w:instrText>
          </w:r>
          <w:r>
            <w:rPr>
              <w:bCs/>
              <w:color w:val="auto"/>
              <w:lang w:val="zh-CN"/>
            </w:rPr>
            <w:fldChar w:fldCharType="separate"/>
          </w:r>
          <w:r>
            <w:rPr>
              <w:rFonts w:hint="default"/>
              <w:color w:val="auto"/>
              <w:szCs w:val="24"/>
              <w:highlight w:val="yellow"/>
            </w:rPr>
            <w:t xml:space="preserve">5.2.2 </w:t>
          </w:r>
          <w:r>
            <w:rPr>
              <w:rFonts w:hint="eastAsia"/>
              <w:color w:val="auto"/>
              <w:highlight w:val="yellow"/>
            </w:rPr>
            <w:t>数据库设计</w:t>
          </w:r>
          <w:r>
            <w:rPr>
              <w:color w:val="auto"/>
            </w:rPr>
            <w:tab/>
          </w:r>
          <w:r>
            <w:rPr>
              <w:color w:val="auto"/>
            </w:rPr>
            <w:fldChar w:fldCharType="begin"/>
          </w:r>
          <w:r>
            <w:rPr>
              <w:color w:val="auto"/>
            </w:rPr>
            <w:instrText xml:space="preserve"> PAGEREF _Toc9294 \h </w:instrText>
          </w:r>
          <w:r>
            <w:rPr>
              <w:color w:val="auto"/>
            </w:rPr>
            <w:fldChar w:fldCharType="separate"/>
          </w:r>
          <w:r>
            <w:rPr>
              <w:color w:val="auto"/>
            </w:rPr>
            <w:t>62</w:t>
          </w:r>
          <w:r>
            <w:rPr>
              <w:color w:val="auto"/>
            </w:rPr>
            <w:fldChar w:fldCharType="end"/>
          </w:r>
          <w:r>
            <w:rPr>
              <w:bCs/>
              <w:color w:val="auto"/>
              <w:lang w:val="zh-CN"/>
            </w:rPr>
            <w:fldChar w:fldCharType="end"/>
          </w:r>
        </w:p>
        <w:p w14:paraId="6644907D">
          <w:pPr>
            <w:pStyle w:val="11"/>
            <w:tabs>
              <w:tab w:val="right" w:leader="dot" w:pos="9072"/>
              <w:tab w:val="clear" w:pos="9062"/>
            </w:tabs>
            <w:rPr>
              <w:color w:val="auto"/>
            </w:rPr>
          </w:pPr>
          <w:r>
            <w:rPr>
              <w:bCs/>
              <w:color w:val="auto"/>
              <w:lang w:val="zh-CN"/>
            </w:rPr>
            <w:fldChar w:fldCharType="begin"/>
          </w:r>
          <w:r>
            <w:rPr>
              <w:bCs/>
              <w:color w:val="auto"/>
              <w:lang w:val="zh-CN"/>
            </w:rPr>
            <w:instrText xml:space="preserve"> HYPERLINK \l _Toc24263 </w:instrText>
          </w:r>
          <w:r>
            <w:rPr>
              <w:bCs/>
              <w:color w:val="auto"/>
              <w:lang w:val="zh-CN"/>
            </w:rPr>
            <w:fldChar w:fldCharType="separate"/>
          </w:r>
          <w:r>
            <w:rPr>
              <w:rFonts w:hint="default"/>
              <w:color w:val="auto"/>
              <w:szCs w:val="28"/>
            </w:rPr>
            <w:t xml:space="preserve">5.3 </w:t>
          </w:r>
          <w:r>
            <w:rPr>
              <w:rFonts w:hint="eastAsia"/>
              <w:color w:val="auto"/>
            </w:rPr>
            <w:t>系统实现</w:t>
          </w:r>
          <w:r>
            <w:rPr>
              <w:color w:val="auto"/>
            </w:rPr>
            <w:tab/>
          </w:r>
          <w:r>
            <w:rPr>
              <w:color w:val="auto"/>
            </w:rPr>
            <w:fldChar w:fldCharType="begin"/>
          </w:r>
          <w:r>
            <w:rPr>
              <w:color w:val="auto"/>
            </w:rPr>
            <w:instrText xml:space="preserve"> PAGEREF _Toc24263 \h </w:instrText>
          </w:r>
          <w:r>
            <w:rPr>
              <w:color w:val="auto"/>
            </w:rPr>
            <w:fldChar w:fldCharType="separate"/>
          </w:r>
          <w:r>
            <w:rPr>
              <w:color w:val="auto"/>
            </w:rPr>
            <w:t>63</w:t>
          </w:r>
          <w:r>
            <w:rPr>
              <w:color w:val="auto"/>
            </w:rPr>
            <w:fldChar w:fldCharType="end"/>
          </w:r>
          <w:r>
            <w:rPr>
              <w:bCs/>
              <w:color w:val="auto"/>
              <w:lang w:val="zh-CN"/>
            </w:rPr>
            <w:fldChar w:fldCharType="end"/>
          </w:r>
        </w:p>
        <w:p w14:paraId="33DDB66D">
          <w:pPr>
            <w:pStyle w:val="6"/>
            <w:tabs>
              <w:tab w:val="right" w:leader="dot" w:pos="9072"/>
            </w:tabs>
            <w:rPr>
              <w:color w:val="auto"/>
            </w:rPr>
          </w:pPr>
          <w:r>
            <w:rPr>
              <w:bCs/>
              <w:color w:val="auto"/>
              <w:lang w:val="zh-CN"/>
            </w:rPr>
            <w:fldChar w:fldCharType="begin"/>
          </w:r>
          <w:r>
            <w:rPr>
              <w:bCs/>
              <w:color w:val="auto"/>
              <w:lang w:val="zh-CN"/>
            </w:rPr>
            <w:instrText xml:space="preserve"> HYPERLINK \l _Toc30417 </w:instrText>
          </w:r>
          <w:r>
            <w:rPr>
              <w:bCs/>
              <w:color w:val="auto"/>
              <w:lang w:val="zh-CN"/>
            </w:rPr>
            <w:fldChar w:fldCharType="separate"/>
          </w:r>
          <w:r>
            <w:rPr>
              <w:rFonts w:hint="default"/>
              <w:color w:val="auto"/>
              <w:szCs w:val="24"/>
            </w:rPr>
            <w:t xml:space="preserve">5.3.1 </w:t>
          </w:r>
          <w:r>
            <w:rPr>
              <w:rFonts w:hint="eastAsia"/>
              <w:color w:val="auto"/>
            </w:rPr>
            <w:t>开发环境及工具</w:t>
          </w:r>
          <w:r>
            <w:rPr>
              <w:color w:val="auto"/>
            </w:rPr>
            <w:tab/>
          </w:r>
          <w:r>
            <w:rPr>
              <w:color w:val="auto"/>
            </w:rPr>
            <w:fldChar w:fldCharType="begin"/>
          </w:r>
          <w:r>
            <w:rPr>
              <w:color w:val="auto"/>
            </w:rPr>
            <w:instrText xml:space="preserve"> PAGEREF _Toc30417 \h </w:instrText>
          </w:r>
          <w:r>
            <w:rPr>
              <w:color w:val="auto"/>
            </w:rPr>
            <w:fldChar w:fldCharType="separate"/>
          </w:r>
          <w:r>
            <w:rPr>
              <w:color w:val="auto"/>
            </w:rPr>
            <w:t>63</w:t>
          </w:r>
          <w:r>
            <w:rPr>
              <w:color w:val="auto"/>
            </w:rPr>
            <w:fldChar w:fldCharType="end"/>
          </w:r>
          <w:r>
            <w:rPr>
              <w:bCs/>
              <w:color w:val="auto"/>
              <w:lang w:val="zh-CN"/>
            </w:rPr>
            <w:fldChar w:fldCharType="end"/>
          </w:r>
        </w:p>
        <w:p w14:paraId="0DB8CDA7">
          <w:pPr>
            <w:pStyle w:val="6"/>
            <w:tabs>
              <w:tab w:val="right" w:leader="dot" w:pos="9072"/>
            </w:tabs>
            <w:rPr>
              <w:color w:val="auto"/>
            </w:rPr>
          </w:pPr>
          <w:r>
            <w:rPr>
              <w:bCs/>
              <w:color w:val="auto"/>
              <w:lang w:val="zh-CN"/>
            </w:rPr>
            <w:fldChar w:fldCharType="begin"/>
          </w:r>
          <w:r>
            <w:rPr>
              <w:bCs/>
              <w:color w:val="auto"/>
              <w:lang w:val="zh-CN"/>
            </w:rPr>
            <w:instrText xml:space="preserve"> HYPERLINK \l _Toc9668 </w:instrText>
          </w:r>
          <w:r>
            <w:rPr>
              <w:bCs/>
              <w:color w:val="auto"/>
              <w:lang w:val="zh-CN"/>
            </w:rPr>
            <w:fldChar w:fldCharType="separate"/>
          </w:r>
          <w:r>
            <w:rPr>
              <w:rFonts w:hint="default"/>
              <w:color w:val="auto"/>
              <w:szCs w:val="24"/>
            </w:rPr>
            <w:t xml:space="preserve">5.3.2 </w:t>
          </w:r>
          <w:r>
            <w:rPr>
              <w:rFonts w:hint="eastAsia"/>
              <w:color w:val="auto"/>
            </w:rPr>
            <w:t>用户模块实现</w:t>
          </w:r>
          <w:r>
            <w:rPr>
              <w:color w:val="auto"/>
            </w:rPr>
            <w:tab/>
          </w:r>
          <w:r>
            <w:rPr>
              <w:color w:val="auto"/>
            </w:rPr>
            <w:fldChar w:fldCharType="begin"/>
          </w:r>
          <w:r>
            <w:rPr>
              <w:color w:val="auto"/>
            </w:rPr>
            <w:instrText xml:space="preserve"> PAGEREF _Toc9668 \h </w:instrText>
          </w:r>
          <w:r>
            <w:rPr>
              <w:color w:val="auto"/>
            </w:rPr>
            <w:fldChar w:fldCharType="separate"/>
          </w:r>
          <w:r>
            <w:rPr>
              <w:color w:val="auto"/>
            </w:rPr>
            <w:t>64</w:t>
          </w:r>
          <w:r>
            <w:rPr>
              <w:color w:val="auto"/>
            </w:rPr>
            <w:fldChar w:fldCharType="end"/>
          </w:r>
          <w:r>
            <w:rPr>
              <w:bCs/>
              <w:color w:val="auto"/>
              <w:lang w:val="zh-CN"/>
            </w:rPr>
            <w:fldChar w:fldCharType="end"/>
          </w:r>
        </w:p>
        <w:p w14:paraId="059B6A17">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_Toc2917 </w:instrText>
          </w:r>
          <w:r>
            <w:rPr>
              <w:bCs/>
              <w:color w:val="auto"/>
              <w:highlight w:val="yellow"/>
              <w:lang w:val="zh-CN"/>
            </w:rPr>
            <w:fldChar w:fldCharType="separate"/>
          </w:r>
          <w:r>
            <w:rPr>
              <w:rFonts w:hint="default"/>
              <w:color w:val="auto"/>
              <w:szCs w:val="24"/>
              <w:highlight w:val="yellow"/>
            </w:rPr>
            <w:t xml:space="preserve">5.3.3 </w:t>
          </w:r>
          <w:r>
            <w:rPr>
              <w:rFonts w:hint="eastAsia"/>
              <w:color w:val="auto"/>
              <w:highlight w:val="yellow"/>
            </w:rPr>
            <w:t>单条分类模块实现</w:t>
          </w:r>
          <w:r>
            <w:rPr>
              <w:color w:val="auto"/>
              <w:highlight w:val="yellow"/>
            </w:rPr>
            <w:tab/>
          </w:r>
          <w:r>
            <w:rPr>
              <w:color w:val="auto"/>
              <w:highlight w:val="yellow"/>
            </w:rPr>
            <w:fldChar w:fldCharType="begin"/>
          </w:r>
          <w:r>
            <w:rPr>
              <w:color w:val="auto"/>
              <w:highlight w:val="yellow"/>
            </w:rPr>
            <w:instrText xml:space="preserve"> PAGEREF _Toc2917 \h </w:instrText>
          </w:r>
          <w:r>
            <w:rPr>
              <w:color w:val="auto"/>
              <w:highlight w:val="yellow"/>
            </w:rPr>
            <w:fldChar w:fldCharType="separate"/>
          </w:r>
          <w:r>
            <w:rPr>
              <w:color w:val="auto"/>
              <w:highlight w:val="yellow"/>
            </w:rPr>
            <w:t>65</w:t>
          </w:r>
          <w:r>
            <w:rPr>
              <w:color w:val="auto"/>
              <w:highlight w:val="yellow"/>
            </w:rPr>
            <w:fldChar w:fldCharType="end"/>
          </w:r>
          <w:r>
            <w:rPr>
              <w:bCs/>
              <w:color w:val="auto"/>
              <w:highlight w:val="yellow"/>
              <w:lang w:val="zh-CN"/>
            </w:rPr>
            <w:fldChar w:fldCharType="end"/>
          </w:r>
        </w:p>
        <w:p w14:paraId="442A7B6F">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_Toc15366 </w:instrText>
          </w:r>
          <w:r>
            <w:rPr>
              <w:bCs/>
              <w:color w:val="auto"/>
              <w:highlight w:val="yellow"/>
              <w:lang w:val="zh-CN"/>
            </w:rPr>
            <w:fldChar w:fldCharType="separate"/>
          </w:r>
          <w:r>
            <w:rPr>
              <w:rFonts w:hint="default"/>
              <w:color w:val="auto"/>
              <w:szCs w:val="24"/>
              <w:highlight w:val="yellow"/>
            </w:rPr>
            <w:t xml:space="preserve">5.3.4 </w:t>
          </w:r>
          <w:r>
            <w:rPr>
              <w:rFonts w:hint="eastAsia"/>
              <w:color w:val="auto"/>
              <w:highlight w:val="yellow"/>
            </w:rPr>
            <w:t>批量分类模块实现</w:t>
          </w:r>
          <w:r>
            <w:rPr>
              <w:color w:val="auto"/>
              <w:highlight w:val="yellow"/>
            </w:rPr>
            <w:tab/>
          </w:r>
          <w:r>
            <w:rPr>
              <w:color w:val="auto"/>
              <w:highlight w:val="yellow"/>
            </w:rPr>
            <w:fldChar w:fldCharType="begin"/>
          </w:r>
          <w:r>
            <w:rPr>
              <w:color w:val="auto"/>
              <w:highlight w:val="yellow"/>
            </w:rPr>
            <w:instrText xml:space="preserve"> PAGEREF _Toc15366 \h </w:instrText>
          </w:r>
          <w:r>
            <w:rPr>
              <w:color w:val="auto"/>
              <w:highlight w:val="yellow"/>
            </w:rPr>
            <w:fldChar w:fldCharType="separate"/>
          </w:r>
          <w:r>
            <w:rPr>
              <w:color w:val="auto"/>
              <w:highlight w:val="yellow"/>
            </w:rPr>
            <w:t>66</w:t>
          </w:r>
          <w:r>
            <w:rPr>
              <w:color w:val="auto"/>
              <w:highlight w:val="yellow"/>
            </w:rPr>
            <w:fldChar w:fldCharType="end"/>
          </w:r>
          <w:r>
            <w:rPr>
              <w:bCs/>
              <w:color w:val="auto"/>
              <w:highlight w:val="yellow"/>
              <w:lang w:val="zh-CN"/>
            </w:rPr>
            <w:fldChar w:fldCharType="end"/>
          </w:r>
        </w:p>
        <w:p w14:paraId="010F6706">
          <w:pPr>
            <w:pStyle w:val="6"/>
            <w:tabs>
              <w:tab w:val="right" w:leader="dot" w:pos="9072"/>
            </w:tabs>
            <w:rPr>
              <w:color w:val="auto"/>
            </w:rPr>
          </w:pPr>
          <w:r>
            <w:rPr>
              <w:bCs/>
              <w:color w:val="auto"/>
              <w:highlight w:val="yellow"/>
              <w:lang w:val="zh-CN"/>
            </w:rPr>
            <w:fldChar w:fldCharType="begin"/>
          </w:r>
          <w:r>
            <w:rPr>
              <w:bCs/>
              <w:color w:val="auto"/>
              <w:highlight w:val="yellow"/>
              <w:lang w:val="zh-CN"/>
            </w:rPr>
            <w:instrText xml:space="preserve"> HYPERLINK \l _Toc6854 </w:instrText>
          </w:r>
          <w:r>
            <w:rPr>
              <w:bCs/>
              <w:color w:val="auto"/>
              <w:highlight w:val="yellow"/>
              <w:lang w:val="zh-CN"/>
            </w:rPr>
            <w:fldChar w:fldCharType="separate"/>
          </w:r>
          <w:r>
            <w:rPr>
              <w:rFonts w:hint="default"/>
              <w:color w:val="auto"/>
              <w:szCs w:val="24"/>
              <w:highlight w:val="yellow"/>
            </w:rPr>
            <w:t xml:space="preserve">5.3.5 </w:t>
          </w:r>
          <w:r>
            <w:rPr>
              <w:rFonts w:hint="eastAsia"/>
              <w:color w:val="auto"/>
              <w:highlight w:val="yellow"/>
            </w:rPr>
            <w:t>分类历史与导出模块实现</w:t>
          </w:r>
          <w:r>
            <w:rPr>
              <w:color w:val="auto"/>
              <w:highlight w:val="yellow"/>
            </w:rPr>
            <w:tab/>
          </w:r>
          <w:r>
            <w:rPr>
              <w:color w:val="auto"/>
              <w:highlight w:val="yellow"/>
            </w:rPr>
            <w:fldChar w:fldCharType="begin"/>
          </w:r>
          <w:r>
            <w:rPr>
              <w:color w:val="auto"/>
              <w:highlight w:val="yellow"/>
            </w:rPr>
            <w:instrText xml:space="preserve"> PAGEREF _Toc6854 \h </w:instrText>
          </w:r>
          <w:r>
            <w:rPr>
              <w:color w:val="auto"/>
              <w:highlight w:val="yellow"/>
            </w:rPr>
            <w:fldChar w:fldCharType="separate"/>
          </w:r>
          <w:r>
            <w:rPr>
              <w:color w:val="auto"/>
              <w:highlight w:val="yellow"/>
            </w:rPr>
            <w:t>67</w:t>
          </w:r>
          <w:r>
            <w:rPr>
              <w:color w:val="auto"/>
              <w:highlight w:val="yellow"/>
            </w:rPr>
            <w:fldChar w:fldCharType="end"/>
          </w:r>
          <w:r>
            <w:rPr>
              <w:bCs/>
              <w:color w:val="auto"/>
              <w:highlight w:val="yellow"/>
              <w:lang w:val="zh-CN"/>
            </w:rPr>
            <w:fldChar w:fldCharType="end"/>
          </w:r>
        </w:p>
        <w:p w14:paraId="78C1B8EB">
          <w:pPr>
            <w:pStyle w:val="11"/>
            <w:tabs>
              <w:tab w:val="right" w:leader="dot" w:pos="9072"/>
              <w:tab w:val="clear" w:pos="9062"/>
            </w:tabs>
            <w:rPr>
              <w:color w:val="auto"/>
              <w:highlight w:val="yellow"/>
            </w:rPr>
          </w:pPr>
          <w:r>
            <w:rPr>
              <w:bCs/>
              <w:color w:val="auto"/>
              <w:highlight w:val="yellow"/>
              <w:lang w:val="zh-CN"/>
            </w:rPr>
            <w:fldChar w:fldCharType="begin"/>
          </w:r>
          <w:r>
            <w:rPr>
              <w:bCs/>
              <w:color w:val="auto"/>
              <w:highlight w:val="yellow"/>
              <w:lang w:val="zh-CN"/>
            </w:rPr>
            <w:instrText xml:space="preserve"> HYPERLINK \l _Toc11527 </w:instrText>
          </w:r>
          <w:r>
            <w:rPr>
              <w:bCs/>
              <w:color w:val="auto"/>
              <w:highlight w:val="yellow"/>
              <w:lang w:val="zh-CN"/>
            </w:rPr>
            <w:fldChar w:fldCharType="separate"/>
          </w:r>
          <w:r>
            <w:rPr>
              <w:rFonts w:hint="default"/>
              <w:color w:val="auto"/>
              <w:szCs w:val="28"/>
              <w:highlight w:val="yellow"/>
            </w:rPr>
            <w:t xml:space="preserve">5.4 </w:t>
          </w:r>
          <w:r>
            <w:rPr>
              <w:color w:val="auto"/>
              <w:highlight w:val="yellow"/>
            </w:rPr>
            <w:t>系统测试与验证</w:t>
          </w:r>
          <w:r>
            <w:rPr>
              <w:color w:val="auto"/>
              <w:highlight w:val="yellow"/>
            </w:rPr>
            <w:tab/>
          </w:r>
          <w:r>
            <w:rPr>
              <w:color w:val="auto"/>
              <w:highlight w:val="yellow"/>
            </w:rPr>
            <w:fldChar w:fldCharType="begin"/>
          </w:r>
          <w:r>
            <w:rPr>
              <w:color w:val="auto"/>
              <w:highlight w:val="yellow"/>
            </w:rPr>
            <w:instrText xml:space="preserve"> PAGEREF _Toc11527 \h </w:instrText>
          </w:r>
          <w:r>
            <w:rPr>
              <w:color w:val="auto"/>
              <w:highlight w:val="yellow"/>
            </w:rPr>
            <w:fldChar w:fldCharType="separate"/>
          </w:r>
          <w:r>
            <w:rPr>
              <w:color w:val="auto"/>
              <w:highlight w:val="yellow"/>
            </w:rPr>
            <w:t>67</w:t>
          </w:r>
          <w:r>
            <w:rPr>
              <w:color w:val="auto"/>
              <w:highlight w:val="yellow"/>
            </w:rPr>
            <w:fldChar w:fldCharType="end"/>
          </w:r>
          <w:r>
            <w:rPr>
              <w:bCs/>
              <w:color w:val="auto"/>
              <w:highlight w:val="yellow"/>
              <w:lang w:val="zh-CN"/>
            </w:rPr>
            <w:fldChar w:fldCharType="end"/>
          </w:r>
        </w:p>
        <w:p w14:paraId="27C3E4F3">
          <w:pPr>
            <w:pStyle w:val="6"/>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_Toc10614 </w:instrText>
          </w:r>
          <w:r>
            <w:rPr>
              <w:bCs/>
              <w:color w:val="auto"/>
              <w:highlight w:val="yellow"/>
              <w:lang w:val="zh-CN"/>
            </w:rPr>
            <w:fldChar w:fldCharType="separate"/>
          </w:r>
          <w:r>
            <w:rPr>
              <w:rFonts w:hint="default"/>
              <w:color w:val="auto"/>
              <w:szCs w:val="24"/>
              <w:highlight w:val="yellow"/>
            </w:rPr>
            <w:t xml:space="preserve">5.4.1 </w:t>
          </w:r>
          <w:r>
            <w:rPr>
              <w:rFonts w:hint="eastAsia"/>
              <w:color w:val="auto"/>
              <w:highlight w:val="yellow"/>
            </w:rPr>
            <w:t>功能测试</w:t>
          </w:r>
          <w:r>
            <w:rPr>
              <w:color w:val="auto"/>
              <w:highlight w:val="yellow"/>
            </w:rPr>
            <w:tab/>
          </w:r>
          <w:r>
            <w:rPr>
              <w:color w:val="auto"/>
              <w:highlight w:val="yellow"/>
            </w:rPr>
            <w:fldChar w:fldCharType="begin"/>
          </w:r>
          <w:r>
            <w:rPr>
              <w:color w:val="auto"/>
              <w:highlight w:val="yellow"/>
            </w:rPr>
            <w:instrText xml:space="preserve"> PAGEREF _Toc10614 \h </w:instrText>
          </w:r>
          <w:r>
            <w:rPr>
              <w:color w:val="auto"/>
              <w:highlight w:val="yellow"/>
            </w:rPr>
            <w:fldChar w:fldCharType="separate"/>
          </w:r>
          <w:r>
            <w:rPr>
              <w:color w:val="auto"/>
              <w:highlight w:val="yellow"/>
            </w:rPr>
            <w:t>68</w:t>
          </w:r>
          <w:r>
            <w:rPr>
              <w:color w:val="auto"/>
              <w:highlight w:val="yellow"/>
            </w:rPr>
            <w:fldChar w:fldCharType="end"/>
          </w:r>
          <w:r>
            <w:rPr>
              <w:bCs/>
              <w:color w:val="auto"/>
              <w:highlight w:val="yellow"/>
              <w:lang w:val="zh-CN"/>
            </w:rPr>
            <w:fldChar w:fldCharType="end"/>
          </w:r>
        </w:p>
        <w:p w14:paraId="77959CE6">
          <w:pPr>
            <w:pStyle w:val="6"/>
            <w:tabs>
              <w:tab w:val="right" w:leader="dot" w:pos="9072"/>
            </w:tabs>
            <w:rPr>
              <w:color w:val="auto"/>
            </w:rPr>
          </w:pPr>
          <w:r>
            <w:rPr>
              <w:bCs/>
              <w:color w:val="auto"/>
              <w:highlight w:val="yellow"/>
              <w:lang w:val="zh-CN"/>
            </w:rPr>
            <w:fldChar w:fldCharType="begin"/>
          </w:r>
          <w:r>
            <w:rPr>
              <w:bCs/>
              <w:color w:val="auto"/>
              <w:highlight w:val="yellow"/>
              <w:lang w:val="zh-CN"/>
            </w:rPr>
            <w:instrText xml:space="preserve"> HYPERLINK \l _Toc7815 </w:instrText>
          </w:r>
          <w:r>
            <w:rPr>
              <w:bCs/>
              <w:color w:val="auto"/>
              <w:highlight w:val="yellow"/>
              <w:lang w:val="zh-CN"/>
            </w:rPr>
            <w:fldChar w:fldCharType="separate"/>
          </w:r>
          <w:r>
            <w:rPr>
              <w:rFonts w:hint="default"/>
              <w:color w:val="auto"/>
              <w:szCs w:val="24"/>
              <w:highlight w:val="yellow"/>
            </w:rPr>
            <w:t xml:space="preserve">5.4.2 </w:t>
          </w:r>
          <w:r>
            <w:rPr>
              <w:rFonts w:hint="eastAsia"/>
              <w:color w:val="auto"/>
              <w:highlight w:val="yellow"/>
            </w:rPr>
            <w:t>非功能测试</w:t>
          </w:r>
          <w:r>
            <w:rPr>
              <w:color w:val="auto"/>
              <w:highlight w:val="yellow"/>
            </w:rPr>
            <w:tab/>
          </w:r>
          <w:r>
            <w:rPr>
              <w:color w:val="auto"/>
              <w:highlight w:val="yellow"/>
            </w:rPr>
            <w:fldChar w:fldCharType="begin"/>
          </w:r>
          <w:r>
            <w:rPr>
              <w:color w:val="auto"/>
              <w:highlight w:val="yellow"/>
            </w:rPr>
            <w:instrText xml:space="preserve"> PAGEREF _Toc7815 \h </w:instrText>
          </w:r>
          <w:r>
            <w:rPr>
              <w:color w:val="auto"/>
              <w:highlight w:val="yellow"/>
            </w:rPr>
            <w:fldChar w:fldCharType="separate"/>
          </w:r>
          <w:r>
            <w:rPr>
              <w:color w:val="auto"/>
              <w:highlight w:val="yellow"/>
            </w:rPr>
            <w:t>68</w:t>
          </w:r>
          <w:r>
            <w:rPr>
              <w:color w:val="auto"/>
              <w:highlight w:val="yellow"/>
            </w:rPr>
            <w:fldChar w:fldCharType="end"/>
          </w:r>
          <w:r>
            <w:rPr>
              <w:bCs/>
              <w:color w:val="auto"/>
              <w:highlight w:val="yellow"/>
              <w:lang w:val="zh-CN"/>
            </w:rPr>
            <w:fldChar w:fldCharType="end"/>
          </w:r>
        </w:p>
        <w:p w14:paraId="03130FB9">
          <w:pPr>
            <w:pStyle w:val="10"/>
            <w:tabs>
              <w:tab w:val="right" w:leader="dot" w:pos="9072"/>
            </w:tabs>
            <w:rPr>
              <w:color w:val="auto"/>
              <w:highlight w:val="yellow"/>
            </w:rPr>
          </w:pPr>
          <w:r>
            <w:rPr>
              <w:bCs/>
              <w:color w:val="auto"/>
              <w:highlight w:val="yellow"/>
              <w:lang w:val="zh-CN"/>
            </w:rPr>
            <w:fldChar w:fldCharType="begin"/>
          </w:r>
          <w:r>
            <w:rPr>
              <w:bCs/>
              <w:color w:val="auto"/>
              <w:highlight w:val="yellow"/>
              <w:lang w:val="zh-CN"/>
            </w:rPr>
            <w:instrText xml:space="preserve"> HYPERLINK \l _Toc13415 </w:instrText>
          </w:r>
          <w:r>
            <w:rPr>
              <w:bCs/>
              <w:color w:val="auto"/>
              <w:highlight w:val="yellow"/>
              <w:lang w:val="zh-CN"/>
            </w:rPr>
            <w:fldChar w:fldCharType="separate"/>
          </w:r>
          <w:r>
            <w:rPr>
              <w:rFonts w:hint="eastAsia"/>
              <w:color w:val="auto"/>
              <w:szCs w:val="30"/>
              <w:highlight w:val="yellow"/>
            </w:rPr>
            <w:t xml:space="preserve">第六章 </w:t>
          </w:r>
          <w:r>
            <w:rPr>
              <w:rFonts w:hint="eastAsia"/>
              <w:color w:val="auto"/>
              <w:highlight w:val="yellow"/>
            </w:rPr>
            <w:t>总结与展望</w:t>
          </w:r>
          <w:r>
            <w:rPr>
              <w:color w:val="auto"/>
              <w:highlight w:val="yellow"/>
            </w:rPr>
            <w:tab/>
          </w:r>
          <w:r>
            <w:rPr>
              <w:color w:val="auto"/>
              <w:highlight w:val="yellow"/>
            </w:rPr>
            <w:fldChar w:fldCharType="begin"/>
          </w:r>
          <w:r>
            <w:rPr>
              <w:color w:val="auto"/>
              <w:highlight w:val="yellow"/>
            </w:rPr>
            <w:instrText xml:space="preserve"> PAGEREF _Toc13415 \h </w:instrText>
          </w:r>
          <w:r>
            <w:rPr>
              <w:color w:val="auto"/>
              <w:highlight w:val="yellow"/>
            </w:rPr>
            <w:fldChar w:fldCharType="separate"/>
          </w:r>
          <w:r>
            <w:rPr>
              <w:color w:val="auto"/>
              <w:highlight w:val="yellow"/>
            </w:rPr>
            <w:t>70</w:t>
          </w:r>
          <w:r>
            <w:rPr>
              <w:color w:val="auto"/>
              <w:highlight w:val="yellow"/>
            </w:rPr>
            <w:fldChar w:fldCharType="end"/>
          </w:r>
          <w:r>
            <w:rPr>
              <w:bCs/>
              <w:color w:val="auto"/>
              <w:highlight w:val="yellow"/>
              <w:lang w:val="zh-CN"/>
            </w:rPr>
            <w:fldChar w:fldCharType="end"/>
          </w:r>
        </w:p>
        <w:p w14:paraId="6C23B4D7">
          <w:pPr>
            <w:pStyle w:val="11"/>
            <w:tabs>
              <w:tab w:val="right" w:leader="dot" w:pos="9072"/>
              <w:tab w:val="clear" w:pos="9062"/>
            </w:tabs>
            <w:rPr>
              <w:color w:val="auto"/>
              <w:highlight w:val="yellow"/>
            </w:rPr>
          </w:pPr>
          <w:r>
            <w:rPr>
              <w:bCs/>
              <w:color w:val="auto"/>
              <w:highlight w:val="yellow"/>
              <w:lang w:val="zh-CN"/>
            </w:rPr>
            <w:fldChar w:fldCharType="begin"/>
          </w:r>
          <w:r>
            <w:rPr>
              <w:bCs/>
              <w:color w:val="auto"/>
              <w:highlight w:val="yellow"/>
              <w:lang w:val="zh-CN"/>
            </w:rPr>
            <w:instrText xml:space="preserve"> HYPERLINK \l _Toc14079 </w:instrText>
          </w:r>
          <w:r>
            <w:rPr>
              <w:bCs/>
              <w:color w:val="auto"/>
              <w:highlight w:val="yellow"/>
              <w:lang w:val="zh-CN"/>
            </w:rPr>
            <w:fldChar w:fldCharType="separate"/>
          </w:r>
          <w:r>
            <w:rPr>
              <w:rFonts w:hint="default"/>
              <w:color w:val="auto"/>
              <w:szCs w:val="28"/>
              <w:highlight w:val="yellow"/>
            </w:rPr>
            <w:t xml:space="preserve">6.1 </w:t>
          </w:r>
          <w:r>
            <w:rPr>
              <w:rFonts w:hint="eastAsia"/>
              <w:color w:val="auto"/>
              <w:highlight w:val="yellow"/>
            </w:rPr>
            <w:t>总结</w:t>
          </w:r>
          <w:r>
            <w:rPr>
              <w:color w:val="auto"/>
              <w:highlight w:val="yellow"/>
            </w:rPr>
            <w:tab/>
          </w:r>
          <w:r>
            <w:rPr>
              <w:color w:val="auto"/>
              <w:highlight w:val="yellow"/>
            </w:rPr>
            <w:fldChar w:fldCharType="begin"/>
          </w:r>
          <w:r>
            <w:rPr>
              <w:color w:val="auto"/>
              <w:highlight w:val="yellow"/>
            </w:rPr>
            <w:instrText xml:space="preserve"> PAGEREF _Toc14079 \h </w:instrText>
          </w:r>
          <w:r>
            <w:rPr>
              <w:color w:val="auto"/>
              <w:highlight w:val="yellow"/>
            </w:rPr>
            <w:fldChar w:fldCharType="separate"/>
          </w:r>
          <w:r>
            <w:rPr>
              <w:color w:val="auto"/>
              <w:highlight w:val="yellow"/>
            </w:rPr>
            <w:t>70</w:t>
          </w:r>
          <w:r>
            <w:rPr>
              <w:color w:val="auto"/>
              <w:highlight w:val="yellow"/>
            </w:rPr>
            <w:fldChar w:fldCharType="end"/>
          </w:r>
          <w:r>
            <w:rPr>
              <w:bCs/>
              <w:color w:val="auto"/>
              <w:highlight w:val="yellow"/>
              <w:lang w:val="zh-CN"/>
            </w:rPr>
            <w:fldChar w:fldCharType="end"/>
          </w:r>
        </w:p>
        <w:p w14:paraId="78539769">
          <w:pPr>
            <w:pStyle w:val="11"/>
            <w:tabs>
              <w:tab w:val="right" w:leader="dot" w:pos="9072"/>
              <w:tab w:val="clear" w:pos="9062"/>
            </w:tabs>
            <w:rPr>
              <w:color w:val="auto"/>
              <w:highlight w:val="yellow"/>
            </w:rPr>
          </w:pPr>
          <w:r>
            <w:rPr>
              <w:bCs/>
              <w:color w:val="auto"/>
              <w:highlight w:val="yellow"/>
              <w:lang w:val="zh-CN"/>
            </w:rPr>
            <w:fldChar w:fldCharType="begin"/>
          </w:r>
          <w:r>
            <w:rPr>
              <w:bCs/>
              <w:color w:val="auto"/>
              <w:highlight w:val="yellow"/>
              <w:lang w:val="zh-CN"/>
            </w:rPr>
            <w:instrText xml:space="preserve"> HYPERLINK \l _Toc14394 </w:instrText>
          </w:r>
          <w:r>
            <w:rPr>
              <w:bCs/>
              <w:color w:val="auto"/>
              <w:highlight w:val="yellow"/>
              <w:lang w:val="zh-CN"/>
            </w:rPr>
            <w:fldChar w:fldCharType="separate"/>
          </w:r>
          <w:r>
            <w:rPr>
              <w:rFonts w:hint="default"/>
              <w:color w:val="auto"/>
              <w:szCs w:val="28"/>
              <w:highlight w:val="yellow"/>
            </w:rPr>
            <w:t xml:space="preserve">6.2 </w:t>
          </w:r>
          <w:r>
            <w:rPr>
              <w:rFonts w:hint="eastAsia"/>
              <w:color w:val="auto"/>
              <w:highlight w:val="yellow"/>
            </w:rPr>
            <w:t>创新点</w:t>
          </w:r>
          <w:r>
            <w:rPr>
              <w:color w:val="auto"/>
              <w:highlight w:val="yellow"/>
            </w:rPr>
            <w:tab/>
          </w:r>
          <w:r>
            <w:rPr>
              <w:color w:val="auto"/>
              <w:highlight w:val="yellow"/>
            </w:rPr>
            <w:fldChar w:fldCharType="begin"/>
          </w:r>
          <w:r>
            <w:rPr>
              <w:color w:val="auto"/>
              <w:highlight w:val="yellow"/>
            </w:rPr>
            <w:instrText xml:space="preserve"> PAGEREF _Toc14394 \h </w:instrText>
          </w:r>
          <w:r>
            <w:rPr>
              <w:color w:val="auto"/>
              <w:highlight w:val="yellow"/>
            </w:rPr>
            <w:fldChar w:fldCharType="separate"/>
          </w:r>
          <w:r>
            <w:rPr>
              <w:color w:val="auto"/>
              <w:highlight w:val="yellow"/>
            </w:rPr>
            <w:t>72</w:t>
          </w:r>
          <w:r>
            <w:rPr>
              <w:color w:val="auto"/>
              <w:highlight w:val="yellow"/>
            </w:rPr>
            <w:fldChar w:fldCharType="end"/>
          </w:r>
          <w:r>
            <w:rPr>
              <w:bCs/>
              <w:color w:val="auto"/>
              <w:highlight w:val="yellow"/>
              <w:lang w:val="zh-CN"/>
            </w:rPr>
            <w:fldChar w:fldCharType="end"/>
          </w:r>
        </w:p>
        <w:p w14:paraId="011A5AF8">
          <w:pPr>
            <w:pStyle w:val="11"/>
            <w:tabs>
              <w:tab w:val="right" w:leader="dot" w:pos="9072"/>
              <w:tab w:val="clear" w:pos="9062"/>
            </w:tabs>
            <w:rPr>
              <w:color w:val="auto"/>
            </w:rPr>
          </w:pPr>
          <w:r>
            <w:rPr>
              <w:bCs/>
              <w:color w:val="auto"/>
              <w:highlight w:val="yellow"/>
              <w:lang w:val="zh-CN"/>
            </w:rPr>
            <w:fldChar w:fldCharType="begin"/>
          </w:r>
          <w:r>
            <w:rPr>
              <w:bCs/>
              <w:color w:val="auto"/>
              <w:highlight w:val="yellow"/>
              <w:lang w:val="zh-CN"/>
            </w:rPr>
            <w:instrText xml:space="preserve"> HYPERLINK \l _Toc22641 </w:instrText>
          </w:r>
          <w:r>
            <w:rPr>
              <w:bCs/>
              <w:color w:val="auto"/>
              <w:highlight w:val="yellow"/>
              <w:lang w:val="zh-CN"/>
            </w:rPr>
            <w:fldChar w:fldCharType="separate"/>
          </w:r>
          <w:r>
            <w:rPr>
              <w:rFonts w:hint="default"/>
              <w:color w:val="auto"/>
              <w:szCs w:val="28"/>
              <w:highlight w:val="yellow"/>
            </w:rPr>
            <w:t xml:space="preserve">6.3 </w:t>
          </w:r>
          <w:r>
            <w:rPr>
              <w:rFonts w:hint="eastAsia"/>
              <w:color w:val="auto"/>
              <w:highlight w:val="yellow"/>
            </w:rPr>
            <w:t>展望</w:t>
          </w:r>
          <w:r>
            <w:rPr>
              <w:color w:val="auto"/>
              <w:highlight w:val="yellow"/>
            </w:rPr>
            <w:tab/>
          </w:r>
          <w:r>
            <w:rPr>
              <w:color w:val="auto"/>
              <w:highlight w:val="yellow"/>
            </w:rPr>
            <w:fldChar w:fldCharType="begin"/>
          </w:r>
          <w:r>
            <w:rPr>
              <w:color w:val="auto"/>
              <w:highlight w:val="yellow"/>
            </w:rPr>
            <w:instrText xml:space="preserve"> PAGEREF _Toc22641 \h </w:instrText>
          </w:r>
          <w:r>
            <w:rPr>
              <w:color w:val="auto"/>
              <w:highlight w:val="yellow"/>
            </w:rPr>
            <w:fldChar w:fldCharType="separate"/>
          </w:r>
          <w:r>
            <w:rPr>
              <w:color w:val="auto"/>
              <w:highlight w:val="yellow"/>
            </w:rPr>
            <w:t>73</w:t>
          </w:r>
          <w:r>
            <w:rPr>
              <w:color w:val="auto"/>
              <w:highlight w:val="yellow"/>
            </w:rPr>
            <w:fldChar w:fldCharType="end"/>
          </w:r>
          <w:r>
            <w:rPr>
              <w:bCs/>
              <w:color w:val="auto"/>
              <w:highlight w:val="yellow"/>
              <w:lang w:val="zh-CN"/>
            </w:rPr>
            <w:fldChar w:fldCharType="end"/>
          </w:r>
        </w:p>
        <w:p w14:paraId="1EF3393C">
          <w:pPr>
            <w:pStyle w:val="10"/>
            <w:tabs>
              <w:tab w:val="right" w:leader="dot" w:pos="9072"/>
            </w:tabs>
            <w:rPr>
              <w:color w:val="auto"/>
            </w:rPr>
          </w:pPr>
          <w:r>
            <w:rPr>
              <w:bCs/>
              <w:color w:val="auto"/>
              <w:lang w:val="zh-CN"/>
            </w:rPr>
            <w:fldChar w:fldCharType="begin"/>
          </w:r>
          <w:r>
            <w:rPr>
              <w:bCs/>
              <w:color w:val="auto"/>
              <w:lang w:val="zh-CN"/>
            </w:rPr>
            <w:instrText xml:space="preserve"> HYPERLINK \l _Toc3912 </w:instrText>
          </w:r>
          <w:r>
            <w:rPr>
              <w:bCs/>
              <w:color w:val="auto"/>
              <w:lang w:val="zh-CN"/>
            </w:rPr>
            <w:fldChar w:fldCharType="separate"/>
          </w:r>
          <w:r>
            <w:rPr>
              <w:rFonts w:hint="eastAsia"/>
              <w:color w:val="auto"/>
            </w:rPr>
            <w:t>参考文献</w:t>
          </w:r>
          <w:r>
            <w:rPr>
              <w:color w:val="auto"/>
            </w:rPr>
            <w:tab/>
          </w:r>
          <w:r>
            <w:rPr>
              <w:color w:val="auto"/>
            </w:rPr>
            <w:fldChar w:fldCharType="begin"/>
          </w:r>
          <w:r>
            <w:rPr>
              <w:color w:val="auto"/>
            </w:rPr>
            <w:instrText xml:space="preserve"> PAGEREF _Toc3912 \h </w:instrText>
          </w:r>
          <w:r>
            <w:rPr>
              <w:color w:val="auto"/>
            </w:rPr>
            <w:fldChar w:fldCharType="separate"/>
          </w:r>
          <w:r>
            <w:rPr>
              <w:color w:val="auto"/>
            </w:rPr>
            <w:t>75</w:t>
          </w:r>
          <w:r>
            <w:rPr>
              <w:color w:val="auto"/>
            </w:rPr>
            <w:fldChar w:fldCharType="end"/>
          </w:r>
          <w:r>
            <w:rPr>
              <w:bCs/>
              <w:color w:val="auto"/>
              <w:lang w:val="zh-CN"/>
            </w:rPr>
            <w:fldChar w:fldCharType="end"/>
          </w:r>
        </w:p>
        <w:p w14:paraId="5EEA038D">
          <w:pPr>
            <w:pStyle w:val="10"/>
            <w:tabs>
              <w:tab w:val="right" w:leader="dot" w:pos="9072"/>
            </w:tabs>
            <w:rPr>
              <w:color w:val="auto"/>
            </w:rPr>
          </w:pPr>
          <w:r>
            <w:rPr>
              <w:bCs/>
              <w:color w:val="auto"/>
              <w:lang w:val="zh-CN"/>
            </w:rPr>
            <w:fldChar w:fldCharType="begin"/>
          </w:r>
          <w:r>
            <w:rPr>
              <w:bCs/>
              <w:color w:val="auto"/>
              <w:lang w:val="zh-CN"/>
            </w:rPr>
            <w:instrText xml:space="preserve"> HYPERLINK \l _Toc23234 </w:instrText>
          </w:r>
          <w:r>
            <w:rPr>
              <w:bCs/>
              <w:color w:val="auto"/>
              <w:lang w:val="zh-CN"/>
            </w:rPr>
            <w:fldChar w:fldCharType="separate"/>
          </w:r>
          <w:r>
            <w:rPr>
              <w:rFonts w:hint="eastAsia"/>
              <w:color w:val="auto"/>
            </w:rPr>
            <w:t>致谢</w:t>
          </w:r>
          <w:r>
            <w:rPr>
              <w:color w:val="auto"/>
            </w:rPr>
            <w:tab/>
          </w:r>
          <w:r>
            <w:rPr>
              <w:color w:val="auto"/>
            </w:rPr>
            <w:fldChar w:fldCharType="begin"/>
          </w:r>
          <w:r>
            <w:rPr>
              <w:color w:val="auto"/>
            </w:rPr>
            <w:instrText xml:space="preserve"> PAGEREF _Toc23234 \h </w:instrText>
          </w:r>
          <w:r>
            <w:rPr>
              <w:color w:val="auto"/>
            </w:rPr>
            <w:fldChar w:fldCharType="separate"/>
          </w:r>
          <w:r>
            <w:rPr>
              <w:color w:val="auto"/>
            </w:rPr>
            <w:t>80</w:t>
          </w:r>
          <w:r>
            <w:rPr>
              <w:color w:val="auto"/>
            </w:rPr>
            <w:fldChar w:fldCharType="end"/>
          </w:r>
          <w:r>
            <w:rPr>
              <w:bCs/>
              <w:color w:val="auto"/>
              <w:lang w:val="zh-CN"/>
            </w:rPr>
            <w:fldChar w:fldCharType="end"/>
          </w:r>
        </w:p>
        <w:p w14:paraId="48473B4D">
          <w:pPr>
            <w:ind w:firstLine="480"/>
            <w:rPr>
              <w:color w:val="auto"/>
            </w:rPr>
            <w:sectPr>
              <w:headerReference r:id="rId11" w:type="default"/>
              <w:footerReference r:id="rId13" w:type="default"/>
              <w:headerReference r:id="rId12" w:type="even"/>
              <w:footerReference r:id="rId14"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r>
            <w:rPr>
              <w:bCs/>
              <w:color w:val="auto"/>
              <w:lang w:val="zh-CN"/>
            </w:rPr>
            <w:fldChar w:fldCharType="end"/>
          </w:r>
        </w:p>
      </w:sdtContent>
    </w:sdt>
    <w:p w14:paraId="6FBAD7C1">
      <w:pPr>
        <w:pStyle w:val="2"/>
        <w:rPr>
          <w:color w:val="auto"/>
        </w:rPr>
      </w:pPr>
      <w:bookmarkStart w:id="0" w:name="_Toc229086841"/>
      <w:bookmarkStart w:id="1" w:name="_Toc17674"/>
      <w:bookmarkStart w:id="2" w:name="_Toc216114463"/>
      <w:r>
        <w:rPr>
          <w:rFonts w:hint="eastAsia"/>
          <w:color w:val="auto"/>
        </w:rPr>
        <w:t>摘要</w:t>
      </w:r>
      <w:bookmarkEnd w:id="0"/>
      <w:bookmarkEnd w:id="1"/>
      <w:bookmarkEnd w:id="2"/>
    </w:p>
    <w:p w14:paraId="6DF3FEB2">
      <w:pPr>
        <w:ind w:firstLine="480"/>
        <w:jc w:val="left"/>
        <w:rPr>
          <w:color w:val="auto"/>
        </w:rPr>
      </w:pPr>
      <w:r>
        <w:rPr>
          <w:rFonts w:hint="eastAsia"/>
          <w:color w:val="auto"/>
        </w:rPr>
        <w:t>医疗器械发明专利是医疗器械技术创新成果的重要载体。近年来，相关专利数量持续增长，但现有专利分类体系主要依据IPC或CPC等通用技术分类标准组织，难以直接对应我国《医疗器械分类目录》中的监管类别。同时，医疗器械专利文本包含医学、机械、电子、材料等多学科术语，摘要表述专业性强、类别交叉明显，给自动分类模型训练带来困难。针对上述问题，本文以主IPC分类号属于A61B的医疗器械发明专利为研究对象，开展面向《医疗器械分类目录》22个一级产品类别的自动分类研究。</w:t>
      </w:r>
    </w:p>
    <w:p w14:paraId="447EEEF8">
      <w:pPr>
        <w:ind w:firstLine="480"/>
        <w:jc w:val="left"/>
        <w:rPr>
          <w:color w:val="auto"/>
        </w:rPr>
      </w:pPr>
      <w:r>
        <w:rPr>
          <w:rFonts w:hint="eastAsia"/>
          <w:color w:val="auto"/>
        </w:rPr>
        <w:t>为提高训练数据质量，本文依据授权状态、附图、一级产品类别标签和文本完整性等条件筛选候选专利，并以申请号去重，获得58495条原始候选数据。在此基础上，构建1104条专家校对数据集D2，用于评价自动标注方法和分析标签置信度。为降低原始标签噪声对训练数据构建的影响，本文基于Qwen大模型、Dify工作流、《医疗器械分类目录》和《医疗器械分类规则》构建自动标注流程，在模型判断过程中引入分类目录知识、分类规则和易混类别校验机制。实验结果显示，完整标注流程在D2上的Accuracy为0.9321，Macro F1-score为0.9220。随后，本文依据原始标签与自动标注标签的一致性划分高低置信层，通过D3抽样验证和TOST等价性检验确认高置信样本可用性，随后对训练中难以学习的极少数类别进行定向增强，最终形成34493条训练数据。</w:t>
      </w:r>
    </w:p>
    <w:p w14:paraId="54A2871F">
      <w:pPr>
        <w:ind w:firstLine="480"/>
        <w:jc w:val="left"/>
        <w:rPr>
          <w:color w:val="auto"/>
        </w:rPr>
      </w:pPr>
      <w:r>
        <w:rPr>
          <w:rFonts w:hint="eastAsia"/>
          <w:color w:val="auto"/>
        </w:rPr>
        <w:t>在分类模型方面，本文构建并评估BERT-TextCNN模型。该模型以Chinese-RoBERTa-WWM-Ext作为文本编码器提取上下文语义表示，并通过TextCNN补充局部短语和关键术语特征。实验结果显示，BERT-TextCNN在测试集上的Accuracy为0.9261，Macro F1-score为0.8792，Weighted F1-score为0.9249，整体优于KNN、DeepPatent、PatentSBERTa、PaECTER和RAMHA等对比方法。外部验证结果显示，该模型在330条医知桥平台2025年发明专利上的Accuracy为0.8424，Macro F1-score为0.8546。基于该模型，本文开发了基于B/S架构的医疗器械专利自动分类系统，为医疗器械专利数据的分类管理、结果复核和后续分析提供了支撑。</w:t>
      </w:r>
    </w:p>
    <w:p w14:paraId="7A2680BB">
      <w:pPr>
        <w:ind w:firstLine="0" w:firstLineChars="0"/>
        <w:jc w:val="left"/>
        <w:rPr>
          <w:rFonts w:eastAsia="黑体"/>
          <w:color w:val="auto"/>
        </w:rPr>
        <w:sectPr>
          <w:headerReference r:id="rId15" w:type="default"/>
          <w:footerReference r:id="rId16" w:type="default"/>
          <w:footerReference r:id="rId17"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eastAsia="黑体"/>
          <w:color w:val="auto"/>
        </w:rPr>
        <w:t>关键词：医疗器械，发明专利分类，BERT，Qwen</w:t>
      </w:r>
    </w:p>
    <w:p w14:paraId="32258949">
      <w:pPr>
        <w:pStyle w:val="2"/>
        <w:rPr>
          <w:b/>
          <w:bCs/>
          <w:color w:val="auto"/>
        </w:rPr>
      </w:pPr>
      <w:bookmarkStart w:id="3" w:name="_Toc216114464"/>
      <w:bookmarkStart w:id="4" w:name="_Toc229086842"/>
      <w:bookmarkStart w:id="5" w:name="_Toc8252"/>
      <w:r>
        <w:rPr>
          <w:rFonts w:hint="eastAsia"/>
          <w:b/>
          <w:bCs/>
          <w:color w:val="auto"/>
        </w:rPr>
        <w:t>ABSTRACT</w:t>
      </w:r>
      <w:bookmarkEnd w:id="3"/>
      <w:bookmarkEnd w:id="4"/>
      <w:bookmarkEnd w:id="5"/>
      <w:bookmarkStart w:id="6" w:name="_Toc216114465"/>
    </w:p>
    <w:p w14:paraId="65107907">
      <w:pPr>
        <w:ind w:firstLine="480"/>
        <w:rPr>
          <w:color w:val="auto"/>
        </w:rPr>
      </w:pPr>
      <w:r>
        <w:rPr>
          <w:rFonts w:hint="eastAsia"/>
          <w:color w:val="auto"/>
        </w:rPr>
        <w:t>Medical device invention patents are important carriers of technological innovation in the medical device industry. In recent years, the number of related patents has continued to increase. However, existing patent classification systems are mainly organized according to general technical standards such as IPC or CPC, and they cannot be directly matched with the regulatory categories in China’s Medical Device Classification Catalogue. In addition, medical device patent texts contain terms from medicine, machinery, electronics, materials and other fields. Their abstracts are highly specialized and often involve overlapping categories, which brings difficulties to automatic classification. To address these problems, this thesis takes medical device invention patents whose main IPC classification number belongs to A61B as the research object, and studies automatic classification for the 22 first-level product categories in the Medical Device Classification Catalogue.</w:t>
      </w:r>
    </w:p>
    <w:p w14:paraId="43FFF4A2">
      <w:pPr>
        <w:ind w:firstLine="480"/>
        <w:rPr>
          <w:color w:val="auto"/>
        </w:rPr>
      </w:pPr>
      <w:r>
        <w:rPr>
          <w:rFonts w:hint="eastAsia"/>
          <w:color w:val="auto"/>
        </w:rPr>
        <w:t>To improve the quality of training data, this thesis first screens candidate patents according to authorization status, drawings, first-level product category labels and text completeness, and removes duplicate records by application number. A total of 58,495 original candidate samples are obtained. On this basis, an expert-checked dataset D2 containing 1,104 samples is constructed to evaluate automatic labeling methods and analyze label confidence. For the instability of original labels, this thesis builds an automatic labeling process based on the Qwen large language model, Dify workflow, the Medical Device Classification Catalogue and the Medical Device Classification Rules. Catalogue knowledge, classification rules and verification mechanisms for easily confused categories are introduced into the model judgment process. The results show that the complete labeling process achieves an Accuracy of 0.9321 and a Macro F1-score of 0.9220 on D2. Then, high-confidence and low-confidence layers are divided according to the consistency between original labels and automatically generated labels. The availability of high-confidence samples is verified through D3 sampling validation and TOST equivalence testing. Directional data augmentation is further conducted for the few categories that are difficult to learn during training. Finally, 34,493 training samples are formed.</w:t>
      </w:r>
    </w:p>
    <w:p w14:paraId="4D58C4B1">
      <w:pPr>
        <w:ind w:firstLine="480"/>
        <w:rPr>
          <w:color w:val="auto"/>
        </w:rPr>
      </w:pPr>
      <w:r>
        <w:rPr>
          <w:rFonts w:hint="eastAsia"/>
          <w:color w:val="auto"/>
        </w:rPr>
        <w:t>In terms of classification modeling, this thesis constructs and evaluates a BERT-TextCNN model. The model uses Chinese-RoBERTa-WWM-Ext as the text encoder to extract contextual semantic representations, and uses TextCNN to supplement local phrase and key term features. The experimental results show that BERT-TextCNN achieves an Accuracy of 0.9261, a Macro F1-score of 0.8792 and a Weighted F1-score of 0.9249 on the test set, outperforming KNN, DeepPatent, PatentSBERTa, PaECTER and RAMHA as a whole. The external validation results show that the model achieves an Accuracy of 0.8424 and a Macro F1-score of 0.8546 on 330 invention patents from the Yizhiqiao platform in 2025. Based on this model, this thesis develops an automatic classification system for medical device patents using a B/S architecture, providing support for patent data classification management, result review and subsequent analysis.</w:t>
      </w:r>
    </w:p>
    <w:p w14:paraId="617E8BF9">
      <w:pPr>
        <w:pStyle w:val="7"/>
        <w:ind w:firstLine="0" w:firstLineChars="0"/>
        <w:jc w:val="left"/>
        <w:rPr>
          <w:rFonts w:ascii="Times New Roman" w:hAnsi="Times New Roman" w:eastAsia="仿宋"/>
          <w:b/>
          <w:bCs/>
          <w:color w:val="auto"/>
          <w:sz w:val="24"/>
          <w:szCs w:val="24"/>
        </w:rPr>
      </w:pPr>
      <w:r>
        <w:rPr>
          <w:rFonts w:hint="eastAsia" w:ascii="Times New Roman" w:hAnsi="Times New Roman" w:eastAsia="仿宋"/>
          <w:b/>
          <w:bCs/>
          <w:color w:val="auto"/>
          <w:sz w:val="24"/>
          <w:szCs w:val="24"/>
        </w:rPr>
        <w:t>Keywords: medical devices, invention patent classification, BERT, Qwen</w:t>
      </w:r>
    </w:p>
    <w:p w14:paraId="4ECCA8D9">
      <w:pPr>
        <w:pStyle w:val="7"/>
        <w:ind w:firstLine="0" w:firstLineChars="0"/>
        <w:jc w:val="left"/>
        <w:rPr>
          <w:rFonts w:ascii="Times New Roman" w:hAnsi="Times New Roman" w:eastAsia="仿宋"/>
          <w:b/>
          <w:bCs/>
          <w:color w:val="auto"/>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2"/>
          <w:cols w:space="0" w:num="1"/>
          <w:docGrid w:type="lines" w:linePitch="312" w:charSpace="0"/>
        </w:sectPr>
      </w:pPr>
    </w:p>
    <w:p w14:paraId="1C765B0F">
      <w:pPr>
        <w:pStyle w:val="2"/>
        <w:numPr>
          <w:ilvl w:val="0"/>
          <w:numId w:val="1"/>
        </w:numPr>
        <w:tabs>
          <w:tab w:val="clear" w:pos="0"/>
        </w:tabs>
        <w:rPr>
          <w:color w:val="auto"/>
        </w:rPr>
      </w:pPr>
      <w:bookmarkStart w:id="7" w:name="_Toc14483"/>
      <w:bookmarkStart w:id="8" w:name="_Toc229086843"/>
      <w:r>
        <w:rPr>
          <w:rFonts w:hint="eastAsia"/>
          <w:color w:val="auto"/>
        </w:rPr>
        <w:t>绪论</w:t>
      </w:r>
      <w:bookmarkEnd w:id="6"/>
      <w:bookmarkEnd w:id="7"/>
      <w:bookmarkEnd w:id="8"/>
    </w:p>
    <w:p w14:paraId="03901A35">
      <w:pPr>
        <w:pStyle w:val="3"/>
        <w:numPr>
          <w:ilvl w:val="1"/>
          <w:numId w:val="1"/>
        </w:numPr>
        <w:tabs>
          <w:tab w:val="clear" w:pos="420"/>
        </w:tabs>
        <w:rPr>
          <w:color w:val="auto"/>
          <w:highlight w:val="yellow"/>
        </w:rPr>
      </w:pPr>
      <w:bookmarkStart w:id="9" w:name="_Toc229086844"/>
      <w:bookmarkStart w:id="10" w:name="_Toc31415"/>
      <w:bookmarkStart w:id="11" w:name="_Toc216114466"/>
      <w:bookmarkStart w:id="12" w:name="_Toc216114467"/>
      <w:r>
        <w:rPr>
          <w:rFonts w:hint="eastAsia"/>
          <w:color w:val="auto"/>
          <w:highlight w:val="yellow"/>
        </w:rPr>
        <w:t>研究背景及意义</w:t>
      </w:r>
      <w:bookmarkEnd w:id="9"/>
      <w:bookmarkEnd w:id="10"/>
      <w:bookmarkEnd w:id="11"/>
    </w:p>
    <w:p w14:paraId="4A4A08DE">
      <w:pPr>
        <w:pStyle w:val="4"/>
        <w:numPr>
          <w:ilvl w:val="2"/>
          <w:numId w:val="1"/>
        </w:numPr>
        <w:tabs>
          <w:tab w:val="clear" w:pos="420"/>
        </w:tabs>
        <w:rPr>
          <w:color w:val="auto"/>
          <w:highlight w:val="yellow"/>
        </w:rPr>
      </w:pPr>
      <w:bookmarkStart w:id="13" w:name="_Toc229086845"/>
      <w:bookmarkStart w:id="14" w:name="_Toc14341"/>
      <w:r>
        <w:rPr>
          <w:rFonts w:hint="eastAsia"/>
          <w:color w:val="auto"/>
          <w:highlight w:val="yellow"/>
        </w:rPr>
        <w:t>研究背景</w:t>
      </w:r>
      <w:bookmarkEnd w:id="13"/>
      <w:bookmarkEnd w:id="14"/>
    </w:p>
    <w:p w14:paraId="15430D89">
      <w:pPr>
        <w:ind w:firstLine="480"/>
        <w:rPr>
          <w:color w:val="auto"/>
          <w:highlight w:val="yellow"/>
        </w:rPr>
      </w:pPr>
      <w:r>
        <w:rPr>
          <w:rFonts w:hint="eastAsia"/>
          <w:color w:val="auto"/>
          <w:highlight w:val="yellow"/>
        </w:rPr>
        <w:t>医疗器械产业是融合了生命科学、机械、电子及信息技术等多种高尖端技术于一体的高技术、高风险、高投入行业。医疗器械的技术水平直接关系到人类健康，对疾病的诊断治疗与健康维护具有至关重要的作用</w:t>
      </w:r>
      <w:r>
        <w:rPr>
          <w:rStyle w:val="33"/>
          <w:rFonts w:hint="eastAsia"/>
          <w:color w:val="auto"/>
          <w:highlight w:val="yellow"/>
        </w:rPr>
        <w:t>[1]</w:t>
      </w:r>
      <w:r>
        <w:rPr>
          <w:rFonts w:hint="eastAsia"/>
          <w:color w:val="auto"/>
          <w:highlight w:val="yellow"/>
        </w:rPr>
        <w:t>。在生物医学工程与人工智能技术深度融合的背景下，医疗器械已成为全球主要经济体竞相布局的关键战略领域</w:t>
      </w:r>
      <w:r>
        <w:rPr>
          <w:rStyle w:val="33"/>
          <w:rFonts w:hint="eastAsia"/>
          <w:color w:val="auto"/>
          <w:highlight w:val="yellow"/>
        </w:rPr>
        <w:t>[2]</w:t>
      </w:r>
      <w:r>
        <w:rPr>
          <w:rFonts w:hint="eastAsia"/>
          <w:color w:val="auto"/>
          <w:highlight w:val="yellow"/>
        </w:rPr>
        <w:t>。同时，随着我国人口老龄化的加速、慢性病发病率逐年上升，地区间医疗资源配置不平衡等问题的凸显，使医疗器械产品在疾病的预防、诊断、治疗及康复环节中体现出更加重要的作用与价值</w:t>
      </w:r>
      <w:r>
        <w:rPr>
          <w:rStyle w:val="33"/>
          <w:rFonts w:hint="eastAsia"/>
          <w:color w:val="auto"/>
          <w:highlight w:val="yellow"/>
        </w:rPr>
        <w:t>[3]</w:t>
      </w:r>
      <w:r>
        <w:rPr>
          <w:rFonts w:hint="eastAsia"/>
          <w:color w:val="auto"/>
          <w:highlight w:val="yellow"/>
        </w:rPr>
        <w:t>。医疗器械的创新研发已成为近年来我国健康产业领域的研究热点。</w:t>
      </w:r>
    </w:p>
    <w:p w14:paraId="486AEEED">
      <w:pPr>
        <w:ind w:firstLine="480"/>
        <w:rPr>
          <w:color w:val="auto"/>
          <w:highlight w:val="yellow"/>
        </w:rPr>
      </w:pPr>
      <w:r>
        <w:rPr>
          <w:rFonts w:hint="eastAsia"/>
          <w:color w:val="auto"/>
          <w:highlight w:val="yellow"/>
        </w:rPr>
        <w:t>由于医疗器械产品研发周期长、资金投入巨大且面临极高的监管门槛，发明专利成为了企业保护技术成果、降低研发风险以及维持市场核心竞争力的重要手段</w:t>
      </w:r>
      <w:r>
        <w:rPr>
          <w:rStyle w:val="33"/>
          <w:rFonts w:hint="eastAsia"/>
          <w:color w:val="auto"/>
          <w:highlight w:val="yellow"/>
        </w:rPr>
        <w:t>[4]</w:t>
      </w:r>
      <w:r>
        <w:rPr>
          <w:rFonts w:hint="eastAsia"/>
          <w:color w:val="auto"/>
          <w:highlight w:val="yellow"/>
        </w:rPr>
        <w:t>。通过专利布局，医疗器械企业可以为高额创新研发投入构筑保护壁垒，不仅使技术创新得到了显著促进，更加速了产业的整体转型与优化升级，全球范围内，该领域的专利申请数量呈现持续增长态势。依据欧洲专利局（European Patent Office, EPO）发布的最新数据表明，2024年度医疗器械领域的专利申请量突破1.5万件，在各类技术领域中位居前列</w:t>
      </w:r>
      <w:r>
        <w:rPr>
          <w:rStyle w:val="33"/>
          <w:rFonts w:hint="eastAsia"/>
          <w:color w:val="auto"/>
          <w:highlight w:val="yellow"/>
        </w:rPr>
        <w:t>[5]</w:t>
      </w:r>
      <w:r>
        <w:rPr>
          <w:rFonts w:hint="eastAsia"/>
          <w:color w:val="auto"/>
          <w:highlight w:val="yellow"/>
        </w:rPr>
        <w:t>。在中国，依据国家药品监督管理局相关统计数据，自2019年以来医疗器械注册数量持续上升，反映出行业发展活跃度不断提升。这一趋势对精准的技术监测与知识产权保护机制提出了更高要求</w:t>
      </w:r>
      <w:r>
        <w:rPr>
          <w:rStyle w:val="33"/>
          <w:rFonts w:hint="eastAsia"/>
          <w:color w:val="auto"/>
          <w:highlight w:val="yellow"/>
        </w:rPr>
        <w:t>[6]</w:t>
      </w:r>
      <w:r>
        <w:rPr>
          <w:rFonts w:hint="eastAsia"/>
          <w:color w:val="auto"/>
          <w:highlight w:val="yellow"/>
        </w:rPr>
        <w:t>。</w:t>
      </w:r>
    </w:p>
    <w:p w14:paraId="495CCFBE">
      <w:pPr>
        <w:ind w:firstLine="480"/>
        <w:rPr>
          <w:color w:val="auto"/>
          <w:highlight w:val="yellow"/>
        </w:rPr>
      </w:pPr>
      <w:r>
        <w:rPr>
          <w:rFonts w:hint="eastAsia"/>
          <w:color w:val="auto"/>
          <w:highlight w:val="yellow"/>
        </w:rPr>
        <w:t>然而，现行的全球专利管理体系与实际的医疗器械产业监管体系之间存在严重的信息不对称。目前的专利分类主要依赖国际专利分类（International Patent Classification, IPC）</w:t>
      </w:r>
      <w:r>
        <w:rPr>
          <w:rStyle w:val="33"/>
          <w:rFonts w:hint="eastAsia"/>
          <w:color w:val="auto"/>
          <w:highlight w:val="yellow"/>
        </w:rPr>
        <w:t>[7]</w:t>
      </w:r>
      <w:r>
        <w:rPr>
          <w:rFonts w:hint="eastAsia"/>
          <w:color w:val="auto"/>
          <w:highlight w:val="yellow"/>
        </w:rPr>
        <w:t>和联合专利分类（Cooperative Patent Classification, CPC）</w:t>
      </w:r>
      <w:r>
        <w:rPr>
          <w:rStyle w:val="33"/>
          <w:rFonts w:hint="eastAsia"/>
          <w:color w:val="auto"/>
          <w:highlight w:val="yellow"/>
        </w:rPr>
        <w:t>[8]</w:t>
      </w:r>
      <w:r>
        <w:rPr>
          <w:rFonts w:hint="eastAsia"/>
          <w:color w:val="auto"/>
          <w:highlight w:val="yellow"/>
        </w:rPr>
        <w:t>系统，在IPC体系中，A61B类目涉及医学影像、诊疗工具以及外科器械等范畴。但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089A771B">
      <w:pPr>
        <w:ind w:firstLine="480"/>
        <w:rPr>
          <w:color w:val="auto"/>
          <w:highlight w:val="yellow"/>
        </w:rPr>
      </w:pPr>
      <w:r>
        <w:rPr>
          <w:rFonts w:hint="eastAsia"/>
          <w:color w:val="auto"/>
          <w:highlight w:val="yellow"/>
        </w:rPr>
        <w:t>2017年，中国国家药品监督管理局（National Medical Products Administration, NMPA）发布新版《医疗器械分类目录》，将原有的43个子目整合为22个一级产品类别和206个二级产品类别</w:t>
      </w:r>
      <w:r>
        <w:rPr>
          <w:rStyle w:val="33"/>
          <w:rFonts w:hint="eastAsia"/>
          <w:color w:val="auto"/>
          <w:highlight w:val="yellow"/>
        </w:rPr>
        <w:t>[9,10]</w:t>
      </w:r>
      <w:r>
        <w:rPr>
          <w:rFonts w:hint="eastAsia"/>
          <w:color w:val="auto"/>
          <w:highlight w:val="yellow"/>
        </w:rPr>
        <w:t>，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28D7FA70">
      <w:pPr>
        <w:ind w:firstLine="480"/>
        <w:rPr>
          <w:color w:val="auto"/>
          <w:highlight w:val="yellow"/>
        </w:rPr>
      </w:pPr>
      <w:r>
        <w:rPr>
          <w:rFonts w:hint="eastAsia"/>
          <w:color w:val="auto"/>
          <w:highlight w:val="yellow"/>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专利分类与医疗器械分类目录映射关联的缺失，使企业和监管机构在进行技术评估时，无法快速锁定某一专利技术特征所对应的监管风险等级</w:t>
      </w:r>
      <w:r>
        <w:rPr>
          <w:rStyle w:val="33"/>
          <w:rFonts w:hint="eastAsia"/>
          <w:color w:val="auto"/>
          <w:highlight w:val="yellow"/>
        </w:rPr>
        <w:t>[11]</w:t>
      </w:r>
      <w:r>
        <w:rPr>
          <w:rFonts w:hint="eastAsia"/>
          <w:color w:val="auto"/>
          <w:highlight w:val="yellow"/>
        </w:rPr>
        <w:t>。这直接制约了企业在知识产权风险控制及研发方向选择上的决策效率。同时，这也为监管机构的技术评估效率带来了挑战。</w:t>
      </w:r>
    </w:p>
    <w:p w14:paraId="00AF53F0">
      <w:pPr>
        <w:ind w:firstLine="480"/>
        <w:rPr>
          <w:color w:val="auto"/>
          <w:highlight w:val="yellow"/>
        </w:rPr>
      </w:pPr>
      <w:r>
        <w:rPr>
          <w:rFonts w:hint="eastAsia"/>
          <w:color w:val="auto"/>
          <w:highlight w:val="yellow"/>
        </w:rPr>
        <w:t>如何解决这两套体系的自动映射问题一直是行业痛点。传统的人工分类方式在海量专利文献面前，不仅效率低下，并且极易产生因标注人员的背景知识差异导致分类结果的不一致甚至错误</w:t>
      </w:r>
      <w:r>
        <w:rPr>
          <w:rStyle w:val="33"/>
          <w:rFonts w:hint="eastAsia"/>
          <w:color w:val="auto"/>
          <w:highlight w:val="yellow"/>
        </w:rPr>
        <w:t>[12]</w:t>
      </w:r>
      <w:r>
        <w:rPr>
          <w:rFonts w:hint="eastAsia"/>
          <w:color w:val="auto"/>
          <w:highlight w:val="yellow"/>
        </w:rPr>
        <w:t>。同时，医疗器械领域的专利文本因其独特的特性而更具挑战性：一方面表现为文档长度较长，并融合了医学、机械工程、电子学、材料科学及信息技术等多学科的专业术语；另一方面则体现在信息结构复杂，涉及跨领域的综合知识体系</w:t>
      </w:r>
      <w:r>
        <w:rPr>
          <w:rStyle w:val="33"/>
          <w:rFonts w:hint="eastAsia"/>
          <w:color w:val="auto"/>
          <w:highlight w:val="yellow"/>
        </w:rPr>
        <w:t>[13]</w:t>
      </w:r>
      <w:r>
        <w:rPr>
          <w:rFonts w:hint="eastAsia"/>
          <w:color w:val="auto"/>
          <w:highlight w:val="yellow"/>
        </w:rPr>
        <w:t>。</w:t>
      </w:r>
    </w:p>
    <w:p w14:paraId="6133C8F8">
      <w:pPr>
        <w:ind w:firstLine="480"/>
        <w:rPr>
          <w:color w:val="auto"/>
          <w:highlight w:val="yellow"/>
        </w:rPr>
      </w:pPr>
      <w:r>
        <w:rPr>
          <w:rFonts w:hint="eastAsia"/>
          <w:color w:val="auto"/>
          <w:highlight w:val="yellow"/>
        </w:rPr>
        <w:t>深度学习以及自然语言处理等人工智能技术的兴起，为这一瓶颈的解决带来了契机。与传统机器学习算法相比，以BERT为代表的自然语言处理（Natural language processing, NLP）技术可以自动提取专利摘要中的语义特征，大语言模型（Large Language Models, LLM）在长文本理解上表现出非凡的潜力</w:t>
      </w:r>
      <w:r>
        <w:rPr>
          <w:rStyle w:val="33"/>
          <w:rFonts w:hint="eastAsia"/>
          <w:color w:val="auto"/>
          <w:highlight w:val="yellow"/>
        </w:rPr>
        <w:t>[13]</w:t>
      </w:r>
      <w:r>
        <w:rPr>
          <w:rFonts w:hint="eastAsia"/>
          <w:color w:val="auto"/>
          <w:highlight w:val="yellow"/>
        </w:rPr>
        <w:t>。但针对医疗器械专利向专业监管的《医疗器械分类目录》自动映射这一垂直领域的研究尚属空白。</w:t>
      </w:r>
    </w:p>
    <w:p w14:paraId="1AB1C76F">
      <w:pPr>
        <w:ind w:firstLine="480"/>
        <w:rPr>
          <w:color w:val="auto"/>
          <w:highlight w:val="yellow"/>
        </w:rPr>
      </w:pPr>
      <w:r>
        <w:rPr>
          <w:rFonts w:hint="eastAsia"/>
          <w:color w:val="auto"/>
          <w:highlight w:val="yellow"/>
        </w:rPr>
        <w:t>当前，实现这两套不同体系之间的自动映射主要面临着以下三个方面的技术挑战。首先，IPC分类体系的构建基础主要是发明专利的技术原理，而《医疗器械分类目录》的分类体系则侧重于产品的临床用途和监管风险，这两者之间的分类逻辑存在着本质的差异。这种跨体系的语义不对称，导致传统的关键词匹配或浅层语义模型难以实现两者之间的准确映射。其次，目前公开的医疗器械发明专利数据缺少依据《医疗器械分类目录》的高质量标注。这导致垂直领域模型无法提供稳定可靠的监督信号，模型可能捕获错误的技术逻辑关联，产生知识幻觉，降低了其在实际应用场景中的可靠性。此外，由于《医疗器械分类目录》的二级、三级细分子目录下样本的稀疏与极度不平衡，同时海量专利文本由行业专家人工标注时间与人力成本高昂，导致缺乏具有层级细粒度的高质量标签，制约了模型实现从通用专利向精细化层级目录转化的技术路径。如何在数据受限条件下构建稳健的第一层级映射基准，是实现全层级精细映射面临的先行挑战。</w:t>
      </w:r>
    </w:p>
    <w:p w14:paraId="313CBD80">
      <w:pPr>
        <w:ind w:firstLine="480"/>
        <w:rPr>
          <w:color w:val="auto"/>
          <w:highlight w:val="yellow"/>
        </w:rPr>
      </w:pPr>
      <w:r>
        <w:rPr>
          <w:rFonts w:hint="eastAsia"/>
          <w:color w:val="auto"/>
          <w:highlight w:val="yellow"/>
        </w:rPr>
        <w:t>为解决该领域面临的瓶颈问题，当前亟待构建符合行业特性、面向《医疗器械分类目录》的高质量标注数据集；并在此基础上探索一种融合大模型知识推理与深度学习特征抽取的混合框架，建立医疗器械专利与行业监管标准之间的精确映射关系。</w:t>
      </w:r>
    </w:p>
    <w:p w14:paraId="023E989E">
      <w:pPr>
        <w:pStyle w:val="4"/>
        <w:numPr>
          <w:ilvl w:val="2"/>
          <w:numId w:val="1"/>
        </w:numPr>
        <w:tabs>
          <w:tab w:val="clear" w:pos="420"/>
        </w:tabs>
        <w:rPr>
          <w:color w:val="auto"/>
          <w:highlight w:val="yellow"/>
        </w:rPr>
      </w:pPr>
      <w:bookmarkStart w:id="15" w:name="_Toc229086846"/>
      <w:bookmarkStart w:id="16" w:name="_Toc17757"/>
      <w:r>
        <w:rPr>
          <w:rFonts w:hint="eastAsia"/>
          <w:color w:val="auto"/>
          <w:highlight w:val="yellow"/>
        </w:rPr>
        <w:t>研究意义</w:t>
      </w:r>
      <w:bookmarkEnd w:id="15"/>
      <w:bookmarkEnd w:id="16"/>
    </w:p>
    <w:p w14:paraId="367192F5">
      <w:pPr>
        <w:ind w:firstLine="480"/>
        <w:rPr>
          <w:rFonts w:ascii="宋体" w:hAnsi="宋体" w:cs="宋体"/>
          <w:color w:val="auto"/>
          <w:highlight w:val="yellow"/>
        </w:rPr>
      </w:pPr>
      <w:r>
        <w:rPr>
          <w:rFonts w:hint="eastAsia" w:ascii="宋体" w:hAnsi="宋体" w:cs="宋体"/>
          <w:color w:val="auto"/>
          <w:highlight w:val="yellow"/>
        </w:rPr>
        <w:t>发明专利是技术创新的重要体现，虽然已经形成比较完整的体系，但是主要集中在专利检索和技术领域的划分上，不能很好地满足医疗器械监管及发展对于精准匹配的需求。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能为企业进行知识产权精准预警以及制定研发决策提供依据，促进技术创新成果转化为实际的应用价值。同时可以支撑行业监管机构提升技术评估与注册审查的效率，从而助力国产创新医疗器械在严峻的国际市场竞争中实现高效合规与商业转化。</w:t>
      </w:r>
    </w:p>
    <w:p w14:paraId="3E1F8544">
      <w:pPr>
        <w:ind w:firstLine="480"/>
        <w:rPr>
          <w:rFonts w:ascii="宋体" w:hAnsi="宋体" w:cs="宋体"/>
          <w:color w:val="auto"/>
          <w:highlight w:val="yellow"/>
        </w:rPr>
      </w:pPr>
      <w:r>
        <w:rPr>
          <w:rFonts w:hint="eastAsia" w:ascii="宋体" w:hAnsi="宋体" w:cs="宋体"/>
          <w:color w:val="auto"/>
          <w:highlight w:val="yellow"/>
        </w:rPr>
        <w:t>在专利数量持续快速增长的背景下，人工方式完成专利到监管类别的映射面临成本高、效率低和一致性低的问题。通过构建面向医疗器械分类目录的自动专利分类模型实现规模化、稳定化的专利映射或许是解决问题的关键。真实专利数据的标签往往存在噪声，甚至是缺失，而且分类口径也随政策调整而变化，这些问题制约自动分类模型的训练效果与应用可靠性</w:t>
      </w:r>
      <w:r>
        <w:rPr>
          <w:rStyle w:val="33"/>
          <w:rFonts w:hint="eastAsia"/>
          <w:color w:val="auto"/>
          <w:highlight w:val="yellow"/>
        </w:rPr>
        <w:t>[14]</w:t>
      </w:r>
      <w:r>
        <w:rPr>
          <w:rFonts w:hint="eastAsia" w:ascii="宋体" w:hAnsi="宋体" w:cs="宋体"/>
          <w:color w:val="auto"/>
          <w:highlight w:val="yellow"/>
        </w:rPr>
        <w:t>。围绕低质量原始标签条件下的专利自动分类问题开展系统研究，不仅可以填补深度学习技术在医疗器械监管映射领域的应用空白，更有助于探索数据治理与模型建模相结合的有效路径，为实现从通用技术语义向垂直监管逻辑的跨体系对齐，以及未来进一步开展层级化、精细化的专利文本深度挖掘与精细化映射提供方法参考与理论支撑。</w:t>
      </w:r>
    </w:p>
    <w:p w14:paraId="5A485E63">
      <w:pPr>
        <w:ind w:firstLine="480"/>
        <w:rPr>
          <w:rFonts w:ascii="宋体" w:hAnsi="宋体" w:cs="宋体"/>
          <w:color w:val="auto"/>
          <w:highlight w:val="yellow"/>
        </w:rPr>
      </w:pPr>
      <w:r>
        <w:rPr>
          <w:rFonts w:hint="eastAsia" w:ascii="宋体" w:hAnsi="宋体" w:cs="宋体"/>
          <w:color w:val="auto"/>
          <w:highlight w:val="yellow"/>
        </w:rPr>
        <w:t>因此，开展面向《医疗器械分类目录》的医疗器械发明专利自动分类的研究对于打通专利分类体系和行业监管标准之间的衔接，赋能医疗器械研发企业精准的创新决策与监管机构高效的技术评估，以及推动医疗器械专利领域后续的分析工作具有重要的理论意义和现实意义。</w:t>
      </w:r>
    </w:p>
    <w:p w14:paraId="2559F041">
      <w:pPr>
        <w:pStyle w:val="3"/>
        <w:numPr>
          <w:ilvl w:val="1"/>
          <w:numId w:val="1"/>
        </w:numPr>
        <w:tabs>
          <w:tab w:val="clear" w:pos="420"/>
        </w:tabs>
        <w:rPr>
          <w:color w:val="auto"/>
          <w:highlight w:val="yellow"/>
        </w:rPr>
      </w:pPr>
      <w:bookmarkStart w:id="17" w:name="_Toc229086847"/>
      <w:bookmarkStart w:id="18" w:name="_Toc7226"/>
      <w:r>
        <w:rPr>
          <w:rFonts w:hint="eastAsia"/>
          <w:color w:val="auto"/>
          <w:highlight w:val="yellow"/>
        </w:rPr>
        <w:t>研究现状</w:t>
      </w:r>
      <w:bookmarkEnd w:id="12"/>
      <w:bookmarkEnd w:id="17"/>
      <w:bookmarkEnd w:id="18"/>
    </w:p>
    <w:p w14:paraId="0662C3DC">
      <w:pPr>
        <w:pStyle w:val="4"/>
        <w:numPr>
          <w:ilvl w:val="2"/>
          <w:numId w:val="1"/>
        </w:numPr>
        <w:rPr>
          <w:color w:val="auto"/>
          <w:highlight w:val="yellow"/>
        </w:rPr>
      </w:pPr>
      <w:bookmarkStart w:id="19" w:name="_Toc28389"/>
      <w:bookmarkStart w:id="20" w:name="_Toc229086848"/>
      <w:r>
        <w:rPr>
          <w:rFonts w:hint="eastAsia"/>
          <w:color w:val="auto"/>
          <w:highlight w:val="yellow"/>
        </w:rPr>
        <w:t>文本分类算法的发展</w:t>
      </w:r>
      <w:bookmarkEnd w:id="19"/>
      <w:bookmarkEnd w:id="20"/>
    </w:p>
    <w:p w14:paraId="16008506">
      <w:pPr>
        <w:ind w:firstLine="480"/>
        <w:rPr>
          <w:color w:val="auto"/>
          <w:highlight w:val="yellow"/>
        </w:rPr>
      </w:pPr>
      <w:r>
        <w:rPr>
          <w:rFonts w:hint="eastAsia"/>
          <w:color w:val="auto"/>
          <w:highlight w:val="yellow"/>
        </w:rPr>
        <w:t>文本分类研究经历了从基于统计学的机器学习，到基于神经网络的深度学习，到当前以预训练模型及生成式大模型为主导的演进阶段。</w:t>
      </w:r>
    </w:p>
    <w:p w14:paraId="2CFBF034">
      <w:pPr>
        <w:ind w:firstLine="480"/>
        <w:rPr>
          <w:color w:val="auto"/>
          <w:highlight w:val="yellow"/>
        </w:rPr>
      </w:pPr>
      <w:r>
        <w:rPr>
          <w:rFonts w:hint="eastAsia"/>
          <w:color w:val="auto"/>
          <w:highlight w:val="yellow"/>
        </w:rPr>
        <w:t>（1）从特征工程到预训练模型</w:t>
      </w:r>
    </w:p>
    <w:p w14:paraId="583AB722">
      <w:pPr>
        <w:ind w:firstLine="480"/>
        <w:rPr>
          <w:color w:val="auto"/>
          <w:highlight w:val="yellow"/>
        </w:rPr>
      </w:pPr>
      <w:r>
        <w:rPr>
          <w:rFonts w:hint="eastAsia"/>
          <w:color w:val="auto"/>
          <w:highlight w:val="yellow"/>
        </w:rPr>
        <w:t>早期的文本分类研究主要采用逻辑回归（Logistic Regression, LR）、朴素贝叶斯（Naive Bayes, NB）等模型。通过词袋模型、TF-IDF权重向量化或N-gram统计特征等方法将非结构化文本映射为高维稀疏特征空间，但受限于人工特征选择的局限，无法捕获深层语义信息</w:t>
      </w:r>
      <w:r>
        <w:rPr>
          <w:rStyle w:val="33"/>
          <w:rFonts w:hint="eastAsia"/>
          <w:color w:val="auto"/>
          <w:highlight w:val="yellow"/>
        </w:rPr>
        <w:t>[15-17]</w:t>
      </w:r>
      <w:r>
        <w:rPr>
          <w:rFonts w:hint="eastAsia"/>
          <w:color w:val="auto"/>
          <w:highlight w:val="yellow"/>
        </w:rPr>
        <w:t>。随着深度学习的兴起与发展，2014年，Kim提出的TextCNN模型利用多尺度卷积核实现了对短语级局部语义特征自动提取</w:t>
      </w:r>
      <w:r>
        <w:rPr>
          <w:rStyle w:val="33"/>
          <w:rFonts w:hint="eastAsia"/>
          <w:color w:val="auto"/>
          <w:highlight w:val="yellow"/>
        </w:rPr>
        <w:t>[18]</w:t>
      </w:r>
      <w:r>
        <w:rPr>
          <w:rFonts w:hint="eastAsia"/>
          <w:color w:val="auto"/>
          <w:highlight w:val="yellow"/>
        </w:rPr>
        <w:t>。长短期记忆网络（Long Short-Term Memory, LSTM）通过门控机制解决了深层网络训练中的梯度消失问题，强化了对时序依赖关系的建模</w:t>
      </w:r>
      <w:r>
        <w:rPr>
          <w:rStyle w:val="33"/>
          <w:rFonts w:hint="eastAsia"/>
          <w:color w:val="auto"/>
          <w:highlight w:val="yellow"/>
        </w:rPr>
        <w:t>[19]</w:t>
      </w:r>
      <w:r>
        <w:rPr>
          <w:rFonts w:hint="eastAsia"/>
          <w:color w:val="auto"/>
          <w:highlight w:val="yellow"/>
        </w:rPr>
        <w:t>。2018年，BERT模型开启了“预训练+微调”的新范式，通过双向编码器表示和自注意力机制显著提升了跨领域任务的泛化性能</w:t>
      </w:r>
      <w:r>
        <w:rPr>
          <w:rStyle w:val="33"/>
          <w:rFonts w:hint="eastAsia"/>
          <w:color w:val="auto"/>
          <w:highlight w:val="yellow"/>
        </w:rPr>
        <w:t>[20]</w:t>
      </w:r>
      <w:r>
        <w:rPr>
          <w:rFonts w:hint="eastAsia"/>
          <w:color w:val="auto"/>
          <w:highlight w:val="yellow"/>
        </w:rPr>
        <w:t>。然而，在面对术语密集的专利长文本时，这些方法仍面临远距离特征捕获能力不足等问题。</w:t>
      </w:r>
    </w:p>
    <w:p w14:paraId="42F33FE3">
      <w:pPr>
        <w:ind w:firstLine="480"/>
        <w:rPr>
          <w:color w:val="auto"/>
          <w:highlight w:val="yellow"/>
        </w:rPr>
      </w:pPr>
      <w:r>
        <w:rPr>
          <w:rFonts w:hint="eastAsia"/>
          <w:color w:val="auto"/>
          <w:highlight w:val="yellow"/>
        </w:rPr>
        <w:t>（2）长文本分类与全局建模</w:t>
      </w:r>
    </w:p>
    <w:p w14:paraId="08E6BB2A">
      <w:pPr>
        <w:ind w:firstLine="480"/>
        <w:rPr>
          <w:color w:val="auto"/>
          <w:highlight w:val="yellow"/>
        </w:rPr>
      </w:pPr>
      <w:r>
        <w:rPr>
          <w:rFonts w:hint="eastAsia"/>
          <w:color w:val="auto"/>
          <w:highlight w:val="yellow"/>
        </w:rPr>
        <w:t>针对传统模型在处理长文本时存在的瓶颈，研究者从稀疏注意力机制、层级化编码和长上下文大模型三个技术路径实现对长文本的全局语义建模。以Longformer等为代表的模型通过引入稀疏注意力机制，将计算复杂度降低至线性水平，实现对长文档的直接表征</w:t>
      </w:r>
      <w:r>
        <w:rPr>
          <w:rStyle w:val="33"/>
          <w:rFonts w:hint="eastAsia"/>
          <w:color w:val="auto"/>
          <w:highlight w:val="yellow"/>
        </w:rPr>
        <w:t>[21]</w:t>
      </w:r>
      <w:r>
        <w:rPr>
          <w:rFonts w:hint="eastAsia"/>
          <w:color w:val="auto"/>
          <w:highlight w:val="yellow"/>
        </w:rPr>
        <w:t>。Yang等提出的层级注意力网络（Hierarchical Attention Networks, HAN）首先利用编码器在词级进行分布式向量化，再通过注意力机制聚合词向量生成句子表示，再利用句子级编码器捕获句间逻辑，最终在保留局部细节的同时构建出文档级的全文表示</w:t>
      </w:r>
      <w:r>
        <w:rPr>
          <w:rStyle w:val="33"/>
          <w:rFonts w:hint="eastAsia"/>
          <w:color w:val="auto"/>
          <w:highlight w:val="yellow"/>
        </w:rPr>
        <w:t>[22]</w:t>
      </w:r>
      <w:r>
        <w:rPr>
          <w:rFonts w:hint="eastAsia"/>
          <w:color w:val="auto"/>
          <w:highlight w:val="yellow"/>
        </w:rPr>
        <w:t>。随着长上下文大模型技术取得突破性进展，Qwen-Long、ChatGLM-1M等模型通过位置编码改进与外推技术，极大程度提升了对长文本全局语义关联的建模精度</w:t>
      </w:r>
      <w:r>
        <w:rPr>
          <w:rStyle w:val="33"/>
          <w:rFonts w:hint="eastAsia"/>
          <w:color w:val="auto"/>
          <w:highlight w:val="yellow"/>
        </w:rPr>
        <w:t>[23-25]</w:t>
      </w:r>
      <w:r>
        <w:rPr>
          <w:rFonts w:hint="eastAsia"/>
          <w:color w:val="auto"/>
          <w:highlight w:val="yellow"/>
        </w:rPr>
        <w:t>。</w:t>
      </w:r>
    </w:p>
    <w:p w14:paraId="16A6E99E">
      <w:pPr>
        <w:pStyle w:val="4"/>
        <w:numPr>
          <w:ilvl w:val="2"/>
          <w:numId w:val="1"/>
        </w:numPr>
        <w:rPr>
          <w:color w:val="auto"/>
          <w:highlight w:val="yellow"/>
        </w:rPr>
      </w:pPr>
      <w:bookmarkStart w:id="21" w:name="_Toc13643"/>
      <w:bookmarkStart w:id="22" w:name="_Toc229086849"/>
      <w:r>
        <w:rPr>
          <w:rFonts w:hint="eastAsia"/>
          <w:color w:val="auto"/>
          <w:highlight w:val="yellow"/>
        </w:rPr>
        <w:t>垂直领域专用预训练模型的发展</w:t>
      </w:r>
      <w:bookmarkEnd w:id="21"/>
      <w:bookmarkEnd w:id="22"/>
    </w:p>
    <w:p w14:paraId="1C5CFE16">
      <w:pPr>
        <w:ind w:firstLine="480"/>
        <w:rPr>
          <w:color w:val="auto"/>
          <w:highlight w:val="yellow"/>
        </w:rPr>
      </w:pPr>
      <w:r>
        <w:rPr>
          <w:rFonts w:hint="eastAsia"/>
          <w:color w:val="auto"/>
          <w:highlight w:val="yellow"/>
        </w:rPr>
        <w:t>为实现对特定行业语义特征的精准对齐，预训练模型逐渐向垂直领域专用预训练模型发展。针对专利文本特有的层级结构与语义复杂性，研究界提出了多种改进模型。Lee等提出的PatentBERT是在大量专利文献上进行领域适应性预训练，使它能更好地理解专业技术词汇，在IPC和CPC分类上PatentBERT也表现良好</w:t>
      </w:r>
      <w:r>
        <w:rPr>
          <w:rStyle w:val="33"/>
          <w:rFonts w:hint="eastAsia"/>
          <w:color w:val="auto"/>
          <w:highlight w:val="yellow"/>
        </w:rPr>
        <w:t>[26]</w:t>
      </w:r>
      <w:r>
        <w:rPr>
          <w:rFonts w:hint="eastAsia"/>
          <w:color w:val="auto"/>
          <w:highlight w:val="yellow"/>
        </w:rPr>
        <w:t>。Bekamiri团队设计的PatentSBERTa基于Sentence-BERT架构，生成的句向量足以胜任基于语义相似度的多标签分类及检索任务</w:t>
      </w:r>
      <w:r>
        <w:rPr>
          <w:rStyle w:val="33"/>
          <w:rFonts w:hint="eastAsia"/>
          <w:color w:val="auto"/>
          <w:highlight w:val="yellow"/>
        </w:rPr>
        <w:t>[27]</w:t>
      </w:r>
      <w:r>
        <w:rPr>
          <w:rFonts w:hint="eastAsia"/>
          <w:color w:val="auto"/>
          <w:highlight w:val="yellow"/>
        </w:rPr>
        <w:t>。RoBERTa则通过剔除NSP任务、引入动态掩码并扩大Batch Size，显著增强了多标签专利分类的鲁棒性</w:t>
      </w:r>
      <w:r>
        <w:rPr>
          <w:rStyle w:val="33"/>
          <w:rFonts w:hint="eastAsia"/>
          <w:color w:val="auto"/>
          <w:highlight w:val="yellow"/>
        </w:rPr>
        <w:t>[28]</w:t>
      </w:r>
      <w:r>
        <w:rPr>
          <w:rFonts w:hint="eastAsia"/>
          <w:color w:val="auto"/>
          <w:highlight w:val="yellow"/>
        </w:rPr>
        <w:t>。而在处理长文本依赖方面，XLNet凭借自回归预训练方式，性能表现甚至优于BERT</w:t>
      </w:r>
      <w:r>
        <w:rPr>
          <w:rStyle w:val="33"/>
          <w:rFonts w:hint="eastAsia"/>
          <w:color w:val="auto"/>
          <w:highlight w:val="yellow"/>
        </w:rPr>
        <w:t>[29]</w:t>
      </w:r>
      <w:r>
        <w:rPr>
          <w:rFonts w:hint="eastAsia"/>
          <w:color w:val="auto"/>
          <w:highlight w:val="yellow"/>
        </w:rPr>
        <w:t>。Xie等构建的专利专用对比学习模型则通过引入对比学习，在预训练阶段强化对硬负样本的判别能力，显著增强了模型对“有源/无源”等语义高度相似医疗器械类别的区分度</w:t>
      </w:r>
      <w:r>
        <w:rPr>
          <w:rStyle w:val="33"/>
          <w:rFonts w:hint="eastAsia"/>
          <w:color w:val="auto"/>
          <w:highlight w:val="yellow"/>
        </w:rPr>
        <w:t>[12]</w:t>
      </w:r>
      <w:r>
        <w:rPr>
          <w:rFonts w:hint="eastAsia"/>
          <w:color w:val="auto"/>
          <w:highlight w:val="yellow"/>
        </w:rPr>
        <w:t>。</w:t>
      </w:r>
    </w:p>
    <w:p w14:paraId="368C417F">
      <w:pPr>
        <w:pStyle w:val="4"/>
        <w:numPr>
          <w:ilvl w:val="2"/>
          <w:numId w:val="1"/>
        </w:numPr>
        <w:rPr>
          <w:color w:val="auto"/>
          <w:highlight w:val="yellow"/>
        </w:rPr>
      </w:pPr>
      <w:bookmarkStart w:id="23" w:name="_Toc6743"/>
      <w:bookmarkStart w:id="24" w:name="_Toc229086850"/>
      <w:r>
        <w:rPr>
          <w:rFonts w:hint="eastAsia"/>
          <w:color w:val="auto"/>
          <w:highlight w:val="yellow"/>
        </w:rPr>
        <w:t>层次化文本分类技术的发展</w:t>
      </w:r>
      <w:bookmarkEnd w:id="23"/>
      <w:bookmarkEnd w:id="24"/>
    </w:p>
    <w:p w14:paraId="3DB9851F">
      <w:pPr>
        <w:ind w:firstLine="480"/>
        <w:rPr>
          <w:color w:val="auto"/>
          <w:highlight w:val="yellow"/>
        </w:rPr>
      </w:pPr>
      <w:r>
        <w:rPr>
          <w:rFonts w:hint="eastAsia"/>
          <w:color w:val="auto"/>
          <w:highlight w:val="yellow"/>
        </w:rPr>
        <w:t>针对专利文本特有的层级结构与语义复杂性，研究界提出了多种改进模型。相较于前述方法，He Zhu构建的层级感知树同构网络HiTIN更注重层级逻辑，该架构利用结构编码器将层级信息嵌入文本表示，确保模型在预测子组时能感知主组信息，从而攻克了层级分类中的逻辑一致性难题</w:t>
      </w:r>
      <w:r>
        <w:rPr>
          <w:rStyle w:val="33"/>
          <w:rFonts w:hint="eastAsia"/>
          <w:color w:val="auto"/>
          <w:highlight w:val="yellow"/>
        </w:rPr>
        <w:t>[30]</w:t>
      </w:r>
      <w:r>
        <w:rPr>
          <w:rFonts w:hint="eastAsia"/>
          <w:color w:val="auto"/>
          <w:highlight w:val="yellow"/>
        </w:rPr>
        <w:t>。2024年，研究者在此基础上引入基于路径约束的交叉熵损失函数，通过在目标函数中显式惩罚违反层级包含逻辑的预测路径，强制模型遵循由大类到子类的推理链条，显著提升了模型在数据稀疏子类上的分类精度与稳健性</w:t>
      </w:r>
      <w:r>
        <w:rPr>
          <w:rStyle w:val="33"/>
          <w:rFonts w:hint="eastAsia"/>
          <w:color w:val="auto"/>
          <w:highlight w:val="yellow"/>
        </w:rPr>
        <w:t>[12]</w:t>
      </w:r>
      <w:r>
        <w:rPr>
          <w:rFonts w:hint="eastAsia"/>
          <w:color w:val="auto"/>
          <w:highlight w:val="yellow"/>
        </w:rPr>
        <w:t>。这些层次化文本分类技术的发展为实现医疗器械专利文本从基础的一级分类映射向更高细粒度的二级、三级分类发展提供了理论基础。</w:t>
      </w:r>
    </w:p>
    <w:p w14:paraId="1134C3E4">
      <w:pPr>
        <w:pStyle w:val="4"/>
        <w:numPr>
          <w:ilvl w:val="2"/>
          <w:numId w:val="1"/>
        </w:numPr>
        <w:rPr>
          <w:color w:val="auto"/>
          <w:highlight w:val="yellow"/>
        </w:rPr>
      </w:pPr>
      <w:bookmarkStart w:id="25" w:name="_Toc229086851"/>
      <w:bookmarkStart w:id="26" w:name="_Toc10281"/>
      <w:r>
        <w:rPr>
          <w:rFonts w:hint="eastAsia"/>
          <w:color w:val="auto"/>
          <w:highlight w:val="yellow"/>
        </w:rPr>
        <w:t>大语言模型与自动化数据治理进展</w:t>
      </w:r>
      <w:bookmarkEnd w:id="25"/>
      <w:bookmarkEnd w:id="26"/>
    </w:p>
    <w:p w14:paraId="304BBC33">
      <w:pPr>
        <w:ind w:firstLine="480"/>
        <w:rPr>
          <w:color w:val="auto"/>
          <w:highlight w:val="yellow"/>
        </w:rPr>
      </w:pPr>
      <w:r>
        <w:rPr>
          <w:rFonts w:hint="eastAsia"/>
          <w:color w:val="auto"/>
          <w:highlight w:val="yellow"/>
        </w:rPr>
        <w:t>2023年，LLM为代表的生成式AI开启了自然语言处理的新范式。LLM不仅在长文档理解上展现出巨大潜力，特别是检索增强生成（Retrieval-Augmented Generation, RAG）技术的介入，允许模型</w:t>
      </w:r>
      <w:r>
        <w:rPr>
          <w:rFonts w:hint="eastAsia"/>
          <w:color w:val="auto"/>
          <w:highlight w:val="yellow"/>
          <w:lang w:val="en-US" w:eastAsia="zh-CN"/>
        </w:rPr>
        <w:t>引入医疗器械的领域知识作为</w:t>
      </w:r>
      <w:r>
        <w:rPr>
          <w:rFonts w:hint="eastAsia"/>
          <w:color w:val="auto"/>
          <w:highlight w:val="yellow"/>
        </w:rPr>
        <w:t>外部</w:t>
      </w:r>
      <w:r>
        <w:rPr>
          <w:rFonts w:hint="eastAsia"/>
          <w:color w:val="auto"/>
          <w:highlight w:val="yellow"/>
          <w:lang w:val="en-US" w:eastAsia="zh-CN"/>
        </w:rPr>
        <w:t>依据</w:t>
      </w:r>
      <w:r>
        <w:rPr>
          <w:rFonts w:hint="eastAsia"/>
          <w:color w:val="auto"/>
          <w:highlight w:val="yellow"/>
        </w:rPr>
        <w:t>进行决策辅助</w:t>
      </w:r>
      <w:r>
        <w:rPr>
          <w:rStyle w:val="33"/>
          <w:rFonts w:hint="eastAsia"/>
          <w:color w:val="auto"/>
          <w:highlight w:val="yellow"/>
        </w:rPr>
        <w:t>[31]</w:t>
      </w:r>
      <w:r>
        <w:rPr>
          <w:rFonts w:hint="eastAsia"/>
          <w:color w:val="auto"/>
          <w:highlight w:val="yellow"/>
        </w:rPr>
        <w:t>，有效缓解了垂直领域的知识过时与幻觉问题。此外，针对专家指出的高质量标注成本高、标签噪声治理困难等痛点，利用Dify等低代码智能体构建自动化标注工作流，正成为实现大规模专利数据精炼与垂直领域模型深度适配的关键路径</w:t>
      </w:r>
      <w:r>
        <w:rPr>
          <w:rStyle w:val="33"/>
          <w:rFonts w:hint="eastAsia"/>
          <w:color w:val="auto"/>
          <w:highlight w:val="yellow"/>
        </w:rPr>
        <w:t>[32]</w:t>
      </w:r>
      <w:r>
        <w:rPr>
          <w:rFonts w:hint="eastAsia"/>
          <w:color w:val="auto"/>
          <w:highlight w:val="yellow"/>
        </w:rPr>
        <w:t>。这为本研究构建高质量训练集、解决原始标签噪声提供了系统性的技术支撑。</w:t>
      </w:r>
    </w:p>
    <w:p w14:paraId="647FB71C">
      <w:pPr>
        <w:pStyle w:val="4"/>
        <w:numPr>
          <w:ilvl w:val="2"/>
          <w:numId w:val="1"/>
        </w:numPr>
        <w:rPr>
          <w:color w:val="auto"/>
          <w:highlight w:val="yellow"/>
        </w:rPr>
      </w:pPr>
      <w:bookmarkStart w:id="27" w:name="_Toc22207"/>
      <w:bookmarkStart w:id="28" w:name="_Toc229086852"/>
      <w:r>
        <w:rPr>
          <w:rFonts w:hint="eastAsia"/>
          <w:color w:val="auto"/>
          <w:highlight w:val="yellow"/>
        </w:rPr>
        <w:t>现有研究分析</w:t>
      </w:r>
      <w:bookmarkEnd w:id="27"/>
      <w:bookmarkEnd w:id="28"/>
    </w:p>
    <w:p w14:paraId="12A08B0F">
      <w:pPr>
        <w:ind w:firstLine="480"/>
        <w:rPr>
          <w:color w:val="auto"/>
          <w:highlight w:val="yellow"/>
        </w:rPr>
      </w:pPr>
      <w:r>
        <w:rPr>
          <w:rFonts w:hint="eastAsia"/>
          <w:color w:val="auto"/>
          <w:highlight w:val="yellow"/>
        </w:rPr>
        <w:t>（1）专利文本分类领域国内外研究进展</w:t>
      </w:r>
    </w:p>
    <w:p w14:paraId="340388C7">
      <w:pPr>
        <w:ind w:firstLine="480"/>
        <w:rPr>
          <w:color w:val="auto"/>
          <w:highlight w:val="yellow"/>
        </w:rPr>
      </w:pPr>
      <w:r>
        <w:rPr>
          <w:rFonts w:hint="eastAsia"/>
          <w:color w:val="auto"/>
          <w:highlight w:val="yellow"/>
        </w:rPr>
        <w:t>国内外研究者在专利文本分类领域已取得显著成果，研究热点从单一的文本特征提取逐渐向深度表征、多模态融合等方向演进。PaECTER通过引入专利引证网络信息，实现了对专利级全局语义的增强建模，证明了非文本特征在捕捉隐含技术关联中的核心价值</w:t>
      </w:r>
      <w:r>
        <w:rPr>
          <w:rStyle w:val="33"/>
          <w:rFonts w:hint="eastAsia"/>
          <w:color w:val="auto"/>
          <w:highlight w:val="yellow"/>
        </w:rPr>
        <w:t>[33]</w:t>
      </w:r>
      <w:r>
        <w:rPr>
          <w:rFonts w:hint="eastAsia"/>
          <w:color w:val="auto"/>
          <w:highlight w:val="yellow"/>
        </w:rPr>
        <w:t>。Xie等通过整合专利摘要、权利要求书及专利附图特征，利用跨模态对齐技术实现了对多源异构信息的协同表征，显著提升了识别精度</w:t>
      </w:r>
      <w:r>
        <w:rPr>
          <w:rStyle w:val="33"/>
          <w:rFonts w:hint="eastAsia"/>
          <w:color w:val="auto"/>
          <w:highlight w:val="yellow"/>
        </w:rPr>
        <w:t>[12]</w:t>
      </w:r>
      <w:r>
        <w:rPr>
          <w:rFonts w:hint="eastAsia"/>
          <w:color w:val="auto"/>
          <w:highlight w:val="yellow"/>
        </w:rPr>
        <w:t>。PatentSBERTa利用增强的SBERT架构提升了专利间的语义距离计算精度，为处理多标签分类任务提供了稳健的向量空间支撑</w:t>
      </w:r>
      <w:r>
        <w:rPr>
          <w:rStyle w:val="33"/>
          <w:rFonts w:hint="eastAsia"/>
          <w:color w:val="auto"/>
          <w:highlight w:val="yellow"/>
        </w:rPr>
        <w:t>[27]</w:t>
      </w:r>
      <w:r>
        <w:rPr>
          <w:rFonts w:hint="eastAsia"/>
          <w:color w:val="auto"/>
          <w:highlight w:val="yellow"/>
        </w:rPr>
        <w:t>。针对医疗等具有高度专业壁垒的垂直领域，RAMHA等通过在Transformer架构中集成适配器模块，在保留预训练模型通用语义的同时，以低参数代价完成对特定领域逻辑的精准迁移</w:t>
      </w:r>
      <w:r>
        <w:rPr>
          <w:rStyle w:val="33"/>
          <w:rFonts w:hint="eastAsia"/>
          <w:color w:val="auto"/>
          <w:highlight w:val="yellow"/>
        </w:rPr>
        <w:t>[34]</w:t>
      </w:r>
      <w:r>
        <w:rPr>
          <w:rFonts w:hint="eastAsia"/>
          <w:color w:val="auto"/>
          <w:highlight w:val="yellow"/>
        </w:rPr>
        <w:t>。这些成果为探索医疗器械专利向《医疗器械分类目录》的跨体系映射研究奠定了技术基础。</w:t>
      </w:r>
    </w:p>
    <w:p w14:paraId="06A31B54">
      <w:pPr>
        <w:ind w:firstLine="480"/>
        <w:rPr>
          <w:color w:val="auto"/>
          <w:highlight w:val="yellow"/>
        </w:rPr>
      </w:pPr>
      <w:r>
        <w:rPr>
          <w:rFonts w:hint="eastAsia"/>
          <w:color w:val="auto"/>
          <w:highlight w:val="yellow"/>
        </w:rPr>
        <w:t>（2）当前存在的问题</w:t>
      </w:r>
    </w:p>
    <w:p w14:paraId="3A5C219C">
      <w:pPr>
        <w:ind w:firstLine="480"/>
        <w:rPr>
          <w:color w:val="auto"/>
          <w:highlight w:val="yellow"/>
        </w:rPr>
      </w:pPr>
      <w:r>
        <w:rPr>
          <w:rFonts w:hint="eastAsia"/>
          <w:color w:val="auto"/>
          <w:highlight w:val="yellow"/>
        </w:rPr>
        <w:t>尽管专利分类技术日益成熟，但针对《医疗器械分类目录》的医疗器械专利自动映射研究仍属空白，并且存在以下亟待解决的技术问题：</w:t>
      </w:r>
    </w:p>
    <w:p w14:paraId="7B822B12">
      <w:pPr>
        <w:ind w:firstLine="480"/>
        <w:rPr>
          <w:color w:val="auto"/>
          <w:highlight w:val="yellow"/>
        </w:rPr>
      </w:pPr>
      <w:r>
        <w:rPr>
          <w:rFonts w:hint="eastAsia"/>
          <w:color w:val="auto"/>
          <w:highlight w:val="yellow"/>
        </w:rPr>
        <w:t>在数据层面，存在医疗器械垂直领域自动化标注的置信度评价机制缺失。目前尚无经NMPA备案的标注协议支撑的公开语料库，可靠监督信号的缺失导致垂直领域模型在训练初期极易捕获错误的技术逻辑关联，进而产生知识幻觉。同时缺乏针对医疗器械垂直领域标注质量的评价标准。标注数据的缺失与自动化标注逻辑偏差严重影响模型在实际应用场景中的可靠性。因此，建立系统性的置信度评价机制，识别并剔除原始弱标签中的噪声数据，是构建稳健分类模型的前提，也是医疗器械专利垂直领域数据治理方面亟待解决的问题之一。</w:t>
      </w:r>
    </w:p>
    <w:p w14:paraId="4BBB43BB">
      <w:pPr>
        <w:ind w:firstLine="480"/>
        <w:rPr>
          <w:color w:val="auto"/>
          <w:highlight w:val="yellow"/>
        </w:rPr>
      </w:pPr>
      <w:r>
        <w:rPr>
          <w:rFonts w:hint="eastAsia"/>
          <w:color w:val="auto"/>
          <w:highlight w:val="yellow"/>
        </w:rPr>
        <w:t>在模型层面，现有专利文本分类模型及预训练模型虽在通用专利分类（如IPC、CPC系统）任务中取得了显著成果，但直接面向医疗器械专利与《医疗器械分类目录》自动映射的专用模型仍属研究空白。目前的研究多侧重于通用技术语义的提取，忽略了</w:t>
      </w:r>
      <w:r>
        <w:rPr>
          <w:rFonts w:hint="eastAsia"/>
          <w:color w:val="auto"/>
          <w:highlight w:val="yellow"/>
          <w:lang w:val="en-US" w:eastAsia="zh-CN"/>
        </w:rPr>
        <w:t>医疗器械领域知识所代表的</w:t>
      </w:r>
      <w:r>
        <w:rPr>
          <w:rFonts w:hint="eastAsia"/>
          <w:color w:val="auto"/>
          <w:highlight w:val="yellow"/>
        </w:rPr>
        <w:t>语境与专利文本的技术原理语境之间的逻辑错位。如何有效利用RAG等技术将医疗器械监管背景知识注入模型推理过程，从而实现跨体系的语义精准对齐，是当前模型研究所面临的新挑战。此外，模型向细粒度目录层级的精准映射也是现有模型所面临的技术难点。</w:t>
      </w:r>
    </w:p>
    <w:p w14:paraId="6A222FE1">
      <w:pPr>
        <w:ind w:firstLine="480"/>
        <w:rPr>
          <w:color w:val="auto"/>
          <w:highlight w:val="yellow"/>
        </w:rPr>
      </w:pPr>
      <w:r>
        <w:rPr>
          <w:rFonts w:hint="eastAsia"/>
          <w:color w:val="auto"/>
          <w:highlight w:val="yellow"/>
        </w:rPr>
        <w:t>在应用层面，现有的专利数据库与检索平台主要基于IPC或CPC体系构建，难以直接输出符合NMPA监管逻辑的分类结果，面向医疗器械垂直领域的智能化专利数据平台仍处于匮乏状态。而在实际业务中，企业与监管机构往往依赖高成本、低效率的人工检索和筛选完成不同体系下的数据映射，这不仅造成大量人力与时间成本的浪费，更容易因为标注人员专业知识的匮乏导致分类精度与一致性下降。医疗器械专利数据集成化应用工具的缺乏导致专利技术特征与监管风险等级之间存在严重的信息断层，直接制约了企业在知识产权预警、合规性查新及研发方向决策上的效率。因此，构建具备跨体系自动化映射能力的专用服务平台，是打通技术创新与行业标准之间壁垒的实际需求。</w:t>
      </w:r>
    </w:p>
    <w:p w14:paraId="3C93A780">
      <w:pPr>
        <w:pStyle w:val="3"/>
        <w:numPr>
          <w:ilvl w:val="1"/>
          <w:numId w:val="1"/>
        </w:numPr>
        <w:tabs>
          <w:tab w:val="clear" w:pos="420"/>
        </w:tabs>
        <w:rPr>
          <w:color w:val="auto"/>
          <w:highlight w:val="yellow"/>
        </w:rPr>
      </w:pPr>
      <w:bookmarkStart w:id="29" w:name="_Toc216114468"/>
      <w:bookmarkStart w:id="30" w:name="_Toc229086853"/>
      <w:bookmarkStart w:id="31" w:name="_Toc22027"/>
      <w:r>
        <w:rPr>
          <w:rFonts w:hint="eastAsia"/>
          <w:color w:val="auto"/>
          <w:highlight w:val="yellow"/>
        </w:rPr>
        <w:t>研究内容及流程</w:t>
      </w:r>
      <w:bookmarkEnd w:id="29"/>
      <w:bookmarkEnd w:id="30"/>
      <w:bookmarkEnd w:id="31"/>
    </w:p>
    <w:p w14:paraId="078DAE66">
      <w:pPr>
        <w:ind w:firstLine="480"/>
        <w:rPr>
          <w:color w:val="auto"/>
          <w:highlight w:val="yellow"/>
        </w:rPr>
      </w:pPr>
      <w:r>
        <w:rPr>
          <w:rFonts w:hint="eastAsia"/>
          <w:color w:val="auto"/>
          <w:highlight w:val="yellow"/>
        </w:rPr>
        <w:t>针对现有研究存在的不足，本文以主IPC分类号属于A61B的医疗器械相关发明专利为研究对象，围绕《医疗器械分类目录》一级产品类别开展自动分类研究。与IPC或CPC体系内部的专利分类不同，分类任务需要将以技术原理为主要依据的专利文本映射到以临床用途、产品属性和监管逻辑为主要依据的医疗器械目录类别。由于两类分类体系在分类目标和判定依据上存在显著的差异，二者之间难以通过简单的规则实现直接关联。因此，本文主要围绕原始标签存在噪声、跨体系语义映射困难以及模型应用效果验证等问题展开研究。</w:t>
      </w:r>
    </w:p>
    <w:p w14:paraId="61682AD0">
      <w:pPr>
        <w:pStyle w:val="4"/>
        <w:numPr>
          <w:ilvl w:val="2"/>
          <w:numId w:val="1"/>
        </w:numPr>
        <w:tabs>
          <w:tab w:val="clear" w:pos="420"/>
        </w:tabs>
        <w:rPr>
          <w:color w:val="auto"/>
          <w:highlight w:val="yellow"/>
        </w:rPr>
      </w:pPr>
      <w:bookmarkStart w:id="32" w:name="_Toc229086854"/>
      <w:bookmarkStart w:id="33" w:name="_Toc15723"/>
      <w:r>
        <w:rPr>
          <w:rFonts w:hint="eastAsia"/>
          <w:color w:val="auto"/>
          <w:highlight w:val="yellow"/>
        </w:rPr>
        <w:t>研究内容</w:t>
      </w:r>
      <w:bookmarkEnd w:id="32"/>
      <w:bookmarkEnd w:id="33"/>
    </w:p>
    <w:p w14:paraId="743F4A65">
      <w:pPr>
        <w:ind w:firstLine="420" w:firstLineChars="0"/>
        <w:rPr>
          <w:color w:val="auto"/>
          <w:highlight w:val="yellow"/>
        </w:rPr>
      </w:pPr>
      <w:r>
        <w:rPr>
          <w:rFonts w:hint="eastAsia"/>
          <w:color w:val="auto"/>
          <w:highlight w:val="yellow"/>
        </w:rPr>
        <w:t>本文主要开展以下三方面研究工作：</w:t>
      </w:r>
    </w:p>
    <w:p w14:paraId="3B1606EB">
      <w:pPr>
        <w:numPr>
          <w:ilvl w:val="0"/>
          <w:numId w:val="2"/>
        </w:numPr>
        <w:ind w:firstLine="420" w:firstLineChars="0"/>
        <w:rPr>
          <w:color w:val="auto"/>
          <w:highlight w:val="yellow"/>
        </w:rPr>
      </w:pPr>
      <w:r>
        <w:rPr>
          <w:rFonts w:hint="eastAsia"/>
          <w:color w:val="auto"/>
          <w:highlight w:val="yellow"/>
        </w:rPr>
        <w:t>面向弱标签条件的医疗器械专利数据治理与标签质量控制</w:t>
      </w:r>
    </w:p>
    <w:p w14:paraId="57143385">
      <w:pPr>
        <w:ind w:firstLine="480"/>
        <w:rPr>
          <w:color w:val="auto"/>
          <w:highlight w:val="yellow"/>
        </w:rPr>
      </w:pPr>
      <w:r>
        <w:rPr>
          <w:rFonts w:hint="eastAsia"/>
          <w:color w:val="auto"/>
          <w:highlight w:val="yellow"/>
        </w:rPr>
        <w:t>目前，在专利数据中，尚没有公开的，直接面向《医疗器械分类目录》的高质量标注语料。而完全依赖具有专业知识背景的专家进行人工校对难以覆盖大规模专利样本。为缓解这一问题，本文从智慧芽专利数据库</w:t>
      </w:r>
      <w:r>
        <w:rPr>
          <w:rStyle w:val="33"/>
          <w:rFonts w:hint="eastAsia"/>
          <w:color w:val="auto"/>
          <w:highlight w:val="yellow"/>
        </w:rPr>
        <w:t>[35]</w:t>
      </w:r>
      <w:r>
        <w:rPr>
          <w:rFonts w:hint="eastAsia"/>
          <w:color w:val="auto"/>
          <w:highlight w:val="yellow"/>
        </w:rPr>
        <w:t>获取主IPC分类号属于A61B的医疗器械相关发明专利数据，并依据授权状态、附图、一级产品类别标签和文本完整性等条件进行筛选与清洗。在此基础上，构建专家校对数据集，用于评价自动标注结果和分析标签质量。随后，引入Qwen模型、Dify工作流、《医疗器械分类目录》和《医疗器械分类规则》构建自动标注流程，并通过原始标签与自动标注标签的一致性分析、抽样验证和TOST等价性检验筛选高置信训练样本，以降低噪声标签对模型训练的影响。</w:t>
      </w:r>
    </w:p>
    <w:p w14:paraId="3D096077">
      <w:pPr>
        <w:numPr>
          <w:ilvl w:val="0"/>
          <w:numId w:val="2"/>
        </w:numPr>
        <w:ind w:firstLine="420" w:firstLineChars="0"/>
        <w:rPr>
          <w:color w:val="auto"/>
          <w:highlight w:val="yellow"/>
        </w:rPr>
      </w:pPr>
      <w:r>
        <w:rPr>
          <w:rFonts w:hint="eastAsia"/>
          <w:color w:val="auto"/>
          <w:highlight w:val="yellow"/>
        </w:rPr>
        <w:t>面向跨体系映射的医疗器械专利语义表征与分类模型构建</w:t>
      </w:r>
    </w:p>
    <w:p w14:paraId="2BC68555">
      <w:pPr>
        <w:ind w:firstLine="420" w:firstLineChars="0"/>
        <w:rPr>
          <w:color w:val="auto"/>
          <w:highlight w:val="yellow"/>
        </w:rPr>
      </w:pPr>
      <w:r>
        <w:rPr>
          <w:rFonts w:hint="eastAsia"/>
          <w:color w:val="auto"/>
          <w:highlight w:val="yellow"/>
        </w:rPr>
        <w:t>本文研究的分类目标不是专利技术体系内部的类别细分，而是将医疗器械专利映射到《医疗器械分类目录》中的22个一级产品类别。由于两套体系的分类依据不同，模型难以仅依赖关键词或浅层文本相似度完成判断。针对专利摘要术语密集、类别边界交叉等特点，本文构建BERT-TextCNN分类模型，以Chinese-RoBERTa-WWM-Ext提取上下文语义表示，并通过TextCNN捕获局部短语、关键术语和类别判别特征。本文通过模型对比实验、消融实验和外部验证，分析模型的分类效果、结构贡献和泛化能力。</w:t>
      </w:r>
    </w:p>
    <w:p w14:paraId="79F5C805">
      <w:pPr>
        <w:numPr>
          <w:ilvl w:val="0"/>
          <w:numId w:val="2"/>
        </w:numPr>
        <w:ind w:firstLine="420" w:firstLineChars="0"/>
        <w:rPr>
          <w:color w:val="auto"/>
          <w:highlight w:val="yellow"/>
        </w:rPr>
      </w:pPr>
      <w:r>
        <w:rPr>
          <w:rFonts w:hint="eastAsia"/>
          <w:color w:val="auto"/>
          <w:highlight w:val="yellow"/>
        </w:rPr>
        <w:t>面向实际分类场景的模型接入与应用验证</w:t>
      </w:r>
    </w:p>
    <w:p w14:paraId="65076638">
      <w:pPr>
        <w:ind w:firstLine="420" w:firstLineChars="0"/>
        <w:rPr>
          <w:color w:val="auto"/>
          <w:highlight w:val="yellow"/>
        </w:rPr>
      </w:pPr>
      <w:r>
        <w:rPr>
          <w:rFonts w:hint="eastAsia"/>
          <w:color w:val="auto"/>
          <w:highlight w:val="yellow"/>
        </w:rPr>
        <w:t>医疗器械专利分类在实际使用中涉及单条查询、批量处理、结果留存和结果导出等操作。为验证分类模型的应用可用性，本文设计并实现医疗器械专利自动分类原型系统。系统采用Vue前端、Spring Boot后端、Flask推理服务和MySQL数据库，支持单条分类、批量分类、历史查询、结果导出和类别概率可视化等功能。系统部分并非将通用B/S架构开发作为主要创新，而是作为模型接入和应用验证的载体，用于检验分类模型在实际专利分类流程中的使用效果，并为研究成果后续服务产业实际需求奠定基础。</w:t>
      </w:r>
    </w:p>
    <w:p w14:paraId="67E95CAA">
      <w:pPr>
        <w:pStyle w:val="4"/>
        <w:numPr>
          <w:ilvl w:val="2"/>
          <w:numId w:val="1"/>
        </w:numPr>
        <w:tabs>
          <w:tab w:val="clear" w:pos="420"/>
        </w:tabs>
        <w:rPr>
          <w:rFonts w:eastAsia="宋体"/>
          <w:color w:val="auto"/>
          <w:highlight w:val="yellow"/>
        </w:rPr>
      </w:pPr>
      <w:bookmarkStart w:id="34" w:name="_Toc229086855"/>
      <w:bookmarkStart w:id="35" w:name="_Toc1072"/>
      <w:r>
        <w:rPr>
          <w:rFonts w:hint="eastAsia"/>
          <w:color w:val="auto"/>
          <w:highlight w:val="yellow"/>
        </w:rPr>
        <w:t>研究流程</w:t>
      </w:r>
      <w:bookmarkEnd w:id="34"/>
      <w:bookmarkEnd w:id="35"/>
    </w:p>
    <w:p w14:paraId="7E94DC4A">
      <w:pPr>
        <w:ind w:firstLine="480"/>
        <w:rPr>
          <w:color w:val="auto"/>
          <w:highlight w:val="yellow"/>
        </w:rPr>
      </w:pPr>
      <w:r>
        <w:rPr>
          <w:rFonts w:hint="eastAsia"/>
          <w:color w:val="auto"/>
          <w:highlight w:val="yellow"/>
        </w:rPr>
        <w:t>本文研究流程围绕数据质量控制、跨体系分类建模以及模型验证与应用三个环节展开，如图1-1所示。数据质量控制为模型训练提供监督信号，分类模型承担从专利技术文本到监管目录类别的映射任务，实验验证和系统应用则用于检验方法的有效性与可用性。</w:t>
      </w:r>
    </w:p>
    <w:p w14:paraId="2FD410B9">
      <w:pPr>
        <w:pStyle w:val="25"/>
        <w:rPr>
          <w:rFonts w:hint="default" w:eastAsia="宋体"/>
          <w:color w:val="auto"/>
          <w:highlight w:val="yellow"/>
        </w:rPr>
      </w:pPr>
      <w:r>
        <w:rPr>
          <w:rFonts w:eastAsia="宋体"/>
          <w:color w:val="auto"/>
          <w:highlight w:val="yellow"/>
        </w:rPr>
        <w:drawing>
          <wp:inline distT="0" distB="0" distL="114300" distR="114300">
            <wp:extent cx="5271135" cy="3876040"/>
            <wp:effectExtent l="0" t="0" r="7620" b="10160"/>
            <wp:docPr id="9" name="图片 9" descr="academic_styled_flowchart_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academic_styled_flowchart_v1"/>
                    <pic:cNvPicPr>
                      <a:picLocks noChangeAspect="1"/>
                    </pic:cNvPicPr>
                  </pic:nvPicPr>
                  <pic:blipFill>
                    <a:blip r:embed="rId35"/>
                    <a:stretch>
                      <a:fillRect/>
                    </a:stretch>
                  </pic:blipFill>
                  <pic:spPr>
                    <a:xfrm>
                      <a:off x="0" y="0"/>
                      <a:ext cx="5271135" cy="3876040"/>
                    </a:xfrm>
                    <a:prstGeom prst="rect">
                      <a:avLst/>
                    </a:prstGeom>
                  </pic:spPr>
                </pic:pic>
              </a:graphicData>
            </a:graphic>
          </wp:inline>
        </w:drawing>
      </w:r>
    </w:p>
    <w:p w14:paraId="75925D33">
      <w:pPr>
        <w:pStyle w:val="25"/>
        <w:rPr>
          <w:rFonts w:hint="default"/>
          <w:color w:val="auto"/>
          <w:highlight w:val="yellow"/>
        </w:rPr>
      </w:pPr>
      <w:r>
        <w:rPr>
          <w:color w:val="auto"/>
          <w:highlight w:val="yellow"/>
        </w:rPr>
        <w:t>图1-1  研究流程</w:t>
      </w:r>
    </w:p>
    <w:p w14:paraId="0B0E5F1F">
      <w:pPr>
        <w:ind w:firstLine="480"/>
        <w:rPr>
          <w:rFonts w:cs="Times New Roman"/>
          <w:bCs/>
          <w:color w:val="auto"/>
          <w:highlight w:val="yellow"/>
        </w:rPr>
      </w:pPr>
      <w:r>
        <w:rPr>
          <w:rFonts w:hint="eastAsia" w:cs="Times New Roman"/>
          <w:bCs/>
          <w:color w:val="auto"/>
          <w:highlight w:val="yellow"/>
        </w:rPr>
        <w:t>在数据质量控制环节，以智慧芽专利数据库中的A61B类发明专利为候选数据来源，经过条件筛选、申请号去重和文本清洗后形成候选专利数据集。随后，通过分层抽样构建专家校对数据集D2，并基于Qwen模型和Dify</w:t>
      </w:r>
      <w:r>
        <w:rPr>
          <w:rStyle w:val="33"/>
          <w:rFonts w:hint="eastAsia"/>
          <w:color w:val="auto"/>
          <w:highlight w:val="yellow"/>
        </w:rPr>
        <w:t>[32]</w:t>
      </w:r>
      <w:r>
        <w:rPr>
          <w:rFonts w:hint="eastAsia" w:cs="Times New Roman"/>
          <w:bCs/>
          <w:color w:val="auto"/>
          <w:highlight w:val="yellow"/>
        </w:rPr>
        <w:t>平台搭建引入《医疗器械分类目录》和《医疗器械分类规则》等领域知识的自动标注工作流。通过比较原始标签与自动标注标签的一致性，结合抽样验证和TOST等价性检验筛选高置信样本，并对少数难学习类别进行定向数据增强，最终形成高置信训练数据集。</w:t>
      </w:r>
    </w:p>
    <w:p w14:paraId="4163E9D3">
      <w:pPr>
        <w:ind w:firstLine="480"/>
        <w:rPr>
          <w:rFonts w:cs="Times New Roman"/>
          <w:bCs/>
          <w:color w:val="auto"/>
          <w:highlight w:val="yellow"/>
        </w:rPr>
      </w:pPr>
      <w:r>
        <w:rPr>
          <w:rFonts w:hint="eastAsia" w:cs="Times New Roman"/>
          <w:bCs/>
          <w:color w:val="auto"/>
          <w:highlight w:val="yellow"/>
        </w:rPr>
        <w:t>在跨体系分类建模环节，以高置信训练数据集中的专利摘要文本作为输入，构建BERT-TextCNN分类模型。模型先由Chinese-RoBERTa-WWM-Ext获得上下文语义表示，再由TextCNN提取局部术语特征，融合后完成《医疗器械分类目录》22个一级产品类别的分类预测。</w:t>
      </w:r>
    </w:p>
    <w:p w14:paraId="310E1B05">
      <w:pPr>
        <w:ind w:firstLine="480"/>
        <w:rPr>
          <w:rFonts w:cs="Times New Roman"/>
          <w:bCs/>
          <w:color w:val="auto"/>
        </w:rPr>
      </w:pPr>
      <w:r>
        <w:rPr>
          <w:rFonts w:hint="eastAsia" w:cs="Times New Roman"/>
          <w:bCs/>
          <w:color w:val="auto"/>
          <w:highlight w:val="yellow"/>
        </w:rPr>
        <w:t>在模型验证与应用环节，通过模型对比实验、消融实验和外部验证评估分类模型，并将训练得到的分类模型接入原型系统，通过单条分类、批量分类、历史查询、结果导出和类别概率可视化等功能验证模型在实际分类场景中的应用效果。</w:t>
      </w:r>
    </w:p>
    <w:p w14:paraId="052F60B8">
      <w:pPr>
        <w:pStyle w:val="3"/>
        <w:numPr>
          <w:ilvl w:val="1"/>
          <w:numId w:val="1"/>
        </w:numPr>
        <w:tabs>
          <w:tab w:val="clear" w:pos="420"/>
        </w:tabs>
        <w:rPr>
          <w:color w:val="auto"/>
        </w:rPr>
      </w:pPr>
      <w:bookmarkStart w:id="36" w:name="_Toc216114469"/>
      <w:bookmarkStart w:id="37" w:name="_Toc229086856"/>
      <w:bookmarkStart w:id="38" w:name="_Toc29471"/>
      <w:r>
        <w:rPr>
          <w:rFonts w:hint="eastAsia"/>
          <w:color w:val="auto"/>
        </w:rPr>
        <w:t>论文</w:t>
      </w:r>
      <w:bookmarkEnd w:id="36"/>
      <w:r>
        <w:rPr>
          <w:rFonts w:hint="eastAsia"/>
          <w:color w:val="auto"/>
        </w:rPr>
        <w:t>结构</w:t>
      </w:r>
      <w:bookmarkEnd w:id="37"/>
      <w:bookmarkEnd w:id="38"/>
    </w:p>
    <w:p w14:paraId="059E146A">
      <w:pPr>
        <w:bidi w:val="0"/>
        <w:rPr>
          <w:color w:val="auto"/>
        </w:rPr>
      </w:pPr>
      <w:r>
        <w:rPr>
          <w:rFonts w:hint="eastAsia"/>
          <w:color w:val="auto"/>
        </w:rPr>
        <w:t>本文共分为六章，各章节安排如下：</w:t>
      </w:r>
    </w:p>
    <w:p w14:paraId="1C81E85F">
      <w:pPr>
        <w:bidi w:val="0"/>
        <w:rPr>
          <w:color w:val="auto"/>
        </w:rPr>
      </w:pPr>
      <w:r>
        <w:rPr>
          <w:rFonts w:hint="eastAsia"/>
          <w:color w:val="auto"/>
        </w:rPr>
        <w:t>第一章为绪论，主要介绍研究背景与意义、国内外研究现状、研究内容、研究流程和论文结构。</w:t>
      </w:r>
    </w:p>
    <w:p w14:paraId="3EBC5163">
      <w:pPr>
        <w:bidi w:val="0"/>
        <w:rPr>
          <w:color w:val="auto"/>
        </w:rPr>
      </w:pPr>
      <w:r>
        <w:rPr>
          <w:rFonts w:hint="eastAsia"/>
          <w:color w:val="auto"/>
        </w:rPr>
        <w:t>第二章为相关理论与技术概述，主要介绍专利数据特征与医疗器械监管体系、自动标注数据质量控制方法、语义表征方法与分类模型的演进、大语言模型与知识增强技术。</w:t>
      </w:r>
    </w:p>
    <w:p w14:paraId="598B2ABD">
      <w:pPr>
        <w:bidi w:val="0"/>
        <w:rPr>
          <w:color w:val="auto"/>
        </w:rPr>
      </w:pPr>
      <w:r>
        <w:rPr>
          <w:rFonts w:hint="eastAsia"/>
          <w:color w:val="auto"/>
        </w:rPr>
        <w:t>第三章为数据集与预处理，主要说明候选专利数据的筛选与清洗、专家校对数据集构建、自动标注流程、置信度过滤、案例分析和定向数据增强过程。</w:t>
      </w:r>
    </w:p>
    <w:p w14:paraId="4AF38474">
      <w:pPr>
        <w:bidi w:val="0"/>
        <w:rPr>
          <w:color w:val="auto"/>
        </w:rPr>
      </w:pPr>
      <w:r>
        <w:rPr>
          <w:rFonts w:hint="eastAsia"/>
          <w:color w:val="auto"/>
        </w:rPr>
        <w:t>第四章为分类模型设计与评估，主要介绍传统机器学习模型和BERT-TextCNN模型的构建，并通过模型对比实验、消融实验和外部验证评估模型性能。</w:t>
      </w:r>
    </w:p>
    <w:p w14:paraId="7B2D3047">
      <w:pPr>
        <w:bidi w:val="0"/>
        <w:rPr>
          <w:color w:val="auto"/>
        </w:rPr>
      </w:pPr>
      <w:r>
        <w:rPr>
          <w:rFonts w:hint="eastAsia"/>
          <w:color w:val="auto"/>
        </w:rPr>
        <w:t>第五章为系统设计与实现，主要介绍医疗器械专利自动分类系统的需求分析、系统架构、数据库设计、核心功能实现以及系统测试与验证。</w:t>
      </w:r>
    </w:p>
    <w:p w14:paraId="0FA20157">
      <w:pPr>
        <w:bidi w:val="0"/>
        <w:rPr>
          <w:color w:val="auto"/>
        </w:rPr>
        <w:sectPr>
          <w:footerReference r:id="rId22" w:type="default"/>
          <w:footerReference r:id="rId23"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0" w:num="1"/>
          <w:docGrid w:type="lines" w:linePitch="312" w:charSpace="0"/>
        </w:sectPr>
      </w:pPr>
      <w:r>
        <w:rPr>
          <w:rFonts w:hint="eastAsia"/>
          <w:color w:val="auto"/>
        </w:rPr>
        <w:t>第六章为总结与展望，主要总结全文工作和创新点，分析当前研究不足，并提出后续研究方向</w:t>
      </w:r>
      <w:r>
        <w:rPr>
          <w:rFonts w:hint="eastAsia"/>
          <w:color w:val="auto"/>
        </w:rPr>
        <w:t>。</w:t>
      </w:r>
    </w:p>
    <w:p w14:paraId="551A2FA9">
      <w:pPr>
        <w:pStyle w:val="2"/>
        <w:numPr>
          <w:ilvl w:val="0"/>
          <w:numId w:val="1"/>
        </w:numPr>
        <w:tabs>
          <w:tab w:val="clear" w:pos="0"/>
        </w:tabs>
        <w:rPr>
          <w:color w:val="auto"/>
        </w:rPr>
      </w:pPr>
      <w:bookmarkStart w:id="39" w:name="_Toc229086857"/>
      <w:bookmarkStart w:id="40" w:name="_Toc216114470"/>
      <w:bookmarkStart w:id="41" w:name="_Toc28358"/>
      <w:r>
        <w:rPr>
          <w:rFonts w:hint="eastAsia"/>
          <w:color w:val="auto"/>
        </w:rPr>
        <w:t>医疗器械专利分类模型相关理论基础</w:t>
      </w:r>
      <w:bookmarkEnd w:id="39"/>
      <w:bookmarkEnd w:id="40"/>
      <w:bookmarkEnd w:id="41"/>
    </w:p>
    <w:p w14:paraId="68A3440E">
      <w:pPr>
        <w:ind w:firstLine="480"/>
        <w:rPr>
          <w:color w:val="auto"/>
        </w:rPr>
      </w:pPr>
      <w:r>
        <w:rPr>
          <w:rFonts w:hint="eastAsia"/>
          <w:color w:val="auto"/>
        </w:rPr>
        <w:t>本章围绕医疗器械专利自动分类任务展开相关理论与技术分析，内容包括专利文本特征与监管分类体系、弱标签数据质量控制、语义表征模型、大语言模型知识增强标注方法以及层次文本分类技术。上述内容分别对应本文研究中的跨体系映射、原始标签噪声控制、分类模型构建和后续细粒度分类扩展问题。</w:t>
      </w:r>
      <w:bookmarkStart w:id="42" w:name="_Toc216116676"/>
      <w:bookmarkEnd w:id="42"/>
      <w:bookmarkStart w:id="43" w:name="_Toc216114471"/>
      <w:bookmarkEnd w:id="43"/>
      <w:bookmarkStart w:id="44" w:name="_Toc216117035"/>
      <w:bookmarkEnd w:id="44"/>
      <w:bookmarkStart w:id="45" w:name="_Toc216115271"/>
      <w:bookmarkEnd w:id="45"/>
      <w:bookmarkStart w:id="46" w:name="_Toc216115272"/>
      <w:bookmarkEnd w:id="46"/>
      <w:bookmarkStart w:id="47" w:name="_Toc216116605"/>
      <w:bookmarkEnd w:id="47"/>
      <w:bookmarkStart w:id="48" w:name="_Toc216114472"/>
      <w:bookmarkEnd w:id="48"/>
      <w:bookmarkStart w:id="49" w:name="_Toc216117034"/>
      <w:bookmarkEnd w:id="49"/>
      <w:bookmarkStart w:id="50" w:name="_Toc216114401"/>
      <w:bookmarkEnd w:id="50"/>
      <w:bookmarkStart w:id="51" w:name="_Toc216114632"/>
      <w:bookmarkEnd w:id="51"/>
      <w:bookmarkStart w:id="52" w:name="_Toc216116604"/>
      <w:bookmarkEnd w:id="52"/>
      <w:bookmarkStart w:id="53" w:name="_Toc216114330"/>
      <w:bookmarkEnd w:id="53"/>
      <w:bookmarkStart w:id="54" w:name="_Toc216114329"/>
      <w:bookmarkEnd w:id="54"/>
      <w:bookmarkStart w:id="55" w:name="_Toc216115340"/>
      <w:bookmarkEnd w:id="55"/>
      <w:bookmarkStart w:id="56" w:name="_Toc216114631"/>
      <w:bookmarkEnd w:id="56"/>
      <w:bookmarkStart w:id="57" w:name="_Toc216114400"/>
      <w:bookmarkEnd w:id="57"/>
      <w:bookmarkStart w:id="58" w:name="_Toc216116677"/>
      <w:bookmarkEnd w:id="58"/>
      <w:bookmarkStart w:id="59" w:name="_Toc216115341"/>
      <w:bookmarkEnd w:id="59"/>
    </w:p>
    <w:p w14:paraId="5A76A8DF">
      <w:pPr>
        <w:pStyle w:val="3"/>
        <w:numPr>
          <w:ilvl w:val="1"/>
          <w:numId w:val="1"/>
        </w:numPr>
        <w:tabs>
          <w:tab w:val="clear" w:pos="420"/>
        </w:tabs>
        <w:rPr>
          <w:color w:val="auto"/>
        </w:rPr>
      </w:pPr>
      <w:bookmarkStart w:id="60" w:name="_Toc229086858"/>
      <w:bookmarkStart w:id="61" w:name="_Toc11239"/>
      <w:bookmarkStart w:id="62" w:name="_Toc216114474"/>
      <w:r>
        <w:rPr>
          <w:rFonts w:hint="eastAsia"/>
          <w:color w:val="auto"/>
        </w:rPr>
        <w:t>专利数据特征与医疗器械监管体系结构</w:t>
      </w:r>
      <w:bookmarkEnd w:id="60"/>
      <w:bookmarkEnd w:id="61"/>
    </w:p>
    <w:p w14:paraId="15396069">
      <w:pPr>
        <w:pStyle w:val="4"/>
        <w:numPr>
          <w:ilvl w:val="2"/>
          <w:numId w:val="1"/>
        </w:numPr>
        <w:tabs>
          <w:tab w:val="clear" w:pos="420"/>
        </w:tabs>
        <w:rPr>
          <w:rFonts w:eastAsia="宋体"/>
          <w:color w:val="auto"/>
        </w:rPr>
      </w:pPr>
      <w:bookmarkStart w:id="63" w:name="_Toc229086859"/>
      <w:bookmarkStart w:id="64" w:name="_Toc2037"/>
      <w:r>
        <w:rPr>
          <w:rFonts w:hint="eastAsia"/>
          <w:color w:val="auto"/>
        </w:rPr>
        <w:t>专利数据</w:t>
      </w:r>
      <w:bookmarkEnd w:id="63"/>
      <w:bookmarkEnd w:id="64"/>
    </w:p>
    <w:p w14:paraId="5534571D">
      <w:pPr>
        <w:ind w:firstLine="480"/>
        <w:rPr>
          <w:color w:val="auto"/>
        </w:rPr>
      </w:pPr>
      <w:r>
        <w:rPr>
          <w:rFonts w:hint="eastAsia"/>
          <w:color w:val="auto"/>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因此，了解专利文献的数据组织方式以及主要特点，是进行中文发明专利文本分类的重要基础</w:t>
      </w:r>
      <w:r>
        <w:rPr>
          <w:color w:val="auto"/>
        </w:rPr>
        <w:t>。</w:t>
      </w:r>
    </w:p>
    <w:p w14:paraId="53FECB80">
      <w:pPr>
        <w:ind w:firstLine="480"/>
        <w:rPr>
          <w:color w:val="auto"/>
        </w:rPr>
      </w:pPr>
      <w:r>
        <w:rPr>
          <w:rFonts w:hint="eastAsia"/>
          <w:color w:val="auto"/>
        </w:rPr>
        <w:t>一篇中文发明专利主要由以下核心要素组成：</w:t>
      </w:r>
    </w:p>
    <w:p w14:paraId="70D1D0C7">
      <w:pPr>
        <w:numPr>
          <w:ilvl w:val="0"/>
          <w:numId w:val="3"/>
        </w:numPr>
        <w:ind w:firstLine="480"/>
        <w:rPr>
          <w:color w:val="auto"/>
        </w:rPr>
      </w:pPr>
      <w:r>
        <w:rPr>
          <w:color w:val="auto"/>
        </w:rPr>
        <w:t>标题</w:t>
      </w:r>
    </w:p>
    <w:p w14:paraId="3C4355FC">
      <w:pPr>
        <w:ind w:firstLine="480"/>
        <w:rPr>
          <w:color w:val="auto"/>
        </w:rPr>
      </w:pPr>
      <w:r>
        <w:rPr>
          <w:rFonts w:hint="eastAsia"/>
          <w:color w:val="auto"/>
        </w:rPr>
        <w:t>即专利名称，应简洁、明确地反映该发明创造的技术领域以及主要技术特征与创新点等信息。</w:t>
      </w:r>
    </w:p>
    <w:p w14:paraId="7E466967">
      <w:pPr>
        <w:numPr>
          <w:ilvl w:val="0"/>
          <w:numId w:val="3"/>
        </w:numPr>
        <w:ind w:firstLine="480"/>
        <w:rPr>
          <w:color w:val="auto"/>
        </w:rPr>
      </w:pPr>
      <w:r>
        <w:rPr>
          <w:color w:val="auto"/>
        </w:rPr>
        <w:t>摘要</w:t>
      </w:r>
    </w:p>
    <w:p w14:paraId="6E4691D8">
      <w:pPr>
        <w:ind w:firstLine="420" w:firstLineChars="0"/>
        <w:rPr>
          <w:color w:val="auto"/>
        </w:rPr>
      </w:pPr>
      <w:r>
        <w:rPr>
          <w:rFonts w:hint="eastAsia"/>
          <w:color w:val="auto"/>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rPr>
          <w:color w:val="auto"/>
        </w:rPr>
        <w:t>。</w:t>
      </w:r>
    </w:p>
    <w:p w14:paraId="24560E5F">
      <w:pPr>
        <w:numPr>
          <w:ilvl w:val="0"/>
          <w:numId w:val="3"/>
        </w:numPr>
        <w:ind w:firstLine="480"/>
        <w:rPr>
          <w:color w:val="auto"/>
        </w:rPr>
      </w:pPr>
      <w:r>
        <w:rPr>
          <w:color w:val="auto"/>
        </w:rPr>
        <w:t>权利要求书</w:t>
      </w:r>
    </w:p>
    <w:p w14:paraId="14721294">
      <w:pPr>
        <w:ind w:firstLine="420" w:firstLineChars="0"/>
        <w:rPr>
          <w:color w:val="auto"/>
        </w:rPr>
      </w:pPr>
      <w:r>
        <w:rPr>
          <w:rFonts w:hint="eastAsia"/>
          <w:color w:val="auto"/>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rPr>
          <w:color w:val="auto"/>
        </w:rPr>
        <w:t>。</w:t>
      </w:r>
    </w:p>
    <w:p w14:paraId="773F76DA">
      <w:pPr>
        <w:numPr>
          <w:ilvl w:val="0"/>
          <w:numId w:val="3"/>
        </w:numPr>
        <w:ind w:firstLine="480"/>
        <w:rPr>
          <w:color w:val="auto"/>
        </w:rPr>
      </w:pPr>
      <w:r>
        <w:rPr>
          <w:color w:val="auto"/>
        </w:rPr>
        <w:t>说明书</w:t>
      </w:r>
    </w:p>
    <w:p w14:paraId="58BF8726">
      <w:pPr>
        <w:ind w:firstLine="420" w:firstLineChars="0"/>
        <w:rPr>
          <w:color w:val="auto"/>
        </w:rPr>
      </w:pPr>
      <w:r>
        <w:rPr>
          <w:color w:val="auto"/>
        </w:rPr>
        <w:t>说明书是对发明内容的详细介绍，必须清楚、完整地描述发明或实用新型，以所属技术领域的技术人员能够实现为准。说明书是专利文档中篇幅最长的部分，通常包含技术领域、背景技术、发明内容、附图说明和具体实施方式五个部分。</w:t>
      </w:r>
    </w:p>
    <w:p w14:paraId="0184331D">
      <w:pPr>
        <w:pStyle w:val="4"/>
        <w:numPr>
          <w:ilvl w:val="2"/>
          <w:numId w:val="1"/>
        </w:numPr>
        <w:tabs>
          <w:tab w:val="clear" w:pos="420"/>
        </w:tabs>
        <w:rPr>
          <w:color w:val="auto"/>
        </w:rPr>
      </w:pPr>
      <w:bookmarkStart w:id="65" w:name="_Toc229086861"/>
      <w:bookmarkStart w:id="66" w:name="_Toc3689"/>
      <w:r>
        <w:rPr>
          <w:rFonts w:hint="eastAsia"/>
          <w:color w:val="auto"/>
        </w:rPr>
        <w:t>专利分类</w:t>
      </w:r>
      <w:bookmarkEnd w:id="62"/>
      <w:r>
        <w:rPr>
          <w:rFonts w:hint="eastAsia"/>
          <w:color w:val="auto"/>
        </w:rPr>
        <w:t>体系</w:t>
      </w:r>
      <w:bookmarkEnd w:id="65"/>
      <w:bookmarkEnd w:id="66"/>
    </w:p>
    <w:p w14:paraId="47A99E66">
      <w:pPr>
        <w:ind w:firstLine="480"/>
        <w:rPr>
          <w:color w:val="auto"/>
        </w:rPr>
      </w:pPr>
      <w:r>
        <w:rPr>
          <w:rFonts w:hint="eastAsia"/>
          <w:color w:val="auto"/>
        </w:rPr>
        <w:t>在医疗器械领域，由于技术的高度交叉性以及监管政策的严格性，理解不同分类体系的逻辑架构对于构建自动分类模型至关重要。</w:t>
      </w:r>
    </w:p>
    <w:p w14:paraId="512E981B">
      <w:pPr>
        <w:numPr>
          <w:ilvl w:val="0"/>
          <w:numId w:val="4"/>
        </w:numPr>
        <w:ind w:firstLine="480"/>
        <w:rPr>
          <w:color w:val="auto"/>
        </w:rPr>
      </w:pPr>
      <w:bookmarkStart w:id="67" w:name="_Toc216114475"/>
      <w:r>
        <w:rPr>
          <w:rFonts w:hint="eastAsia"/>
          <w:color w:val="auto"/>
        </w:rPr>
        <w:t>国际专利分类体系</w:t>
      </w:r>
      <w:bookmarkEnd w:id="67"/>
    </w:p>
    <w:p w14:paraId="038E1C14">
      <w:pPr>
        <w:ind w:firstLine="480"/>
        <w:rPr>
          <w:color w:val="auto"/>
        </w:rPr>
      </w:pPr>
      <w:r>
        <w:rPr>
          <w:rFonts w:hint="eastAsia"/>
          <w:color w:val="auto"/>
        </w:rPr>
        <w:t>IPC是在1971年缔结的《斯特拉斯堡协定》基础上由世界知识产权组织（World Intellectual Property Organization, WIPO）制定并维护的一个分级分类体系，在全世界范围内被广泛采用的专利文献分类方法。IPC每5年更新一次，从2006年开始核心版每年更新，高级版每3个月更新，以便及时反映新技术的发展变化情况</w:t>
      </w:r>
      <w:r>
        <w:rPr>
          <w:rStyle w:val="33"/>
          <w:color w:val="auto"/>
        </w:rPr>
        <w:fldChar w:fldCharType="begin"/>
      </w:r>
      <w:r>
        <w:rPr>
          <w:rStyle w:val="33"/>
          <w:color w:val="auto"/>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3"/>
          <w:color w:val="auto"/>
        </w:rPr>
        <w:fldChar w:fldCharType="separate"/>
      </w:r>
      <w:r>
        <w:rPr>
          <w:rStyle w:val="33"/>
          <w:color w:val="auto"/>
        </w:rPr>
        <w:t>[7]</w:t>
      </w:r>
      <w:r>
        <w:rPr>
          <w:rStyle w:val="33"/>
          <w:color w:val="auto"/>
        </w:rPr>
        <w:fldChar w:fldCharType="end"/>
      </w:r>
      <w:r>
        <w:rPr>
          <w:rFonts w:hint="eastAsia"/>
          <w:color w:val="auto"/>
        </w:rPr>
        <w:t>。</w:t>
      </w:r>
    </w:p>
    <w:p w14:paraId="7DD7DDB0">
      <w:pPr>
        <w:ind w:firstLine="480"/>
        <w:rPr>
          <w:color w:val="auto"/>
        </w:rPr>
      </w:pPr>
      <w:r>
        <w:rPr>
          <w:rFonts w:hint="eastAsia"/>
          <w:color w:val="auto"/>
        </w:rPr>
        <w:t>IPC有五个级别，分别是部（Section）、大类（Class）、小类（Subclass）、大组（MainGroup）以及小组（Subgroup）。而IPC分类的原则主要是以功能或者用途，也就是根据发明的技术主题来进行划分。</w:t>
      </w:r>
    </w:p>
    <w:p w14:paraId="6223D2A6">
      <w:pPr>
        <w:ind w:firstLine="480"/>
        <w:rPr>
          <w:color w:val="auto"/>
        </w:rPr>
      </w:pPr>
      <w:r>
        <w:rPr>
          <w:rFonts w:hint="eastAsia"/>
          <w:color w:val="auto"/>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13550A37">
      <w:pPr>
        <w:pStyle w:val="25"/>
        <w:rPr>
          <w:rFonts w:hint="default"/>
          <w:color w:val="auto"/>
        </w:rPr>
      </w:pPr>
      <w:r>
        <w:rPr>
          <w:color w:val="auto"/>
        </w:rPr>
        <w:t>表2-1  A61B1/005 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456BB8D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8" w:space="0"/>
              <w:bottom w:val="single" w:color="auto" w:sz="6" w:space="0"/>
            </w:tcBorders>
          </w:tcPr>
          <w:p w14:paraId="4075A6A3">
            <w:pPr>
              <w:ind w:firstLine="0" w:firstLineChars="0"/>
              <w:jc w:val="center"/>
              <w:rPr>
                <w:color w:val="auto"/>
                <w:sz w:val="21"/>
                <w:szCs w:val="21"/>
              </w:rPr>
            </w:pPr>
            <w:r>
              <w:rPr>
                <w:rFonts w:hint="eastAsia"/>
                <w:color w:val="auto"/>
                <w:sz w:val="21"/>
                <w:szCs w:val="21"/>
              </w:rPr>
              <w:t>层级</w:t>
            </w:r>
          </w:p>
        </w:tc>
        <w:tc>
          <w:tcPr>
            <w:tcW w:w="1873" w:type="dxa"/>
            <w:tcBorders>
              <w:top w:val="single" w:color="auto" w:sz="8" w:space="0"/>
              <w:bottom w:val="single" w:color="auto" w:sz="6" w:space="0"/>
            </w:tcBorders>
          </w:tcPr>
          <w:p w14:paraId="7C86A011">
            <w:pPr>
              <w:ind w:firstLine="0" w:firstLineChars="0"/>
              <w:jc w:val="center"/>
              <w:rPr>
                <w:color w:val="auto"/>
                <w:sz w:val="21"/>
                <w:szCs w:val="21"/>
              </w:rPr>
            </w:pPr>
            <w:r>
              <w:rPr>
                <w:rFonts w:hint="eastAsia"/>
                <w:color w:val="auto"/>
                <w:sz w:val="21"/>
                <w:szCs w:val="21"/>
              </w:rPr>
              <w:t>代码</w:t>
            </w:r>
          </w:p>
        </w:tc>
        <w:tc>
          <w:tcPr>
            <w:tcW w:w="5378" w:type="dxa"/>
            <w:tcBorders>
              <w:top w:val="single" w:color="auto" w:sz="8" w:space="0"/>
              <w:bottom w:val="single" w:color="auto" w:sz="6" w:space="0"/>
            </w:tcBorders>
          </w:tcPr>
          <w:p w14:paraId="53B798BF">
            <w:pPr>
              <w:ind w:firstLine="0" w:firstLineChars="0"/>
              <w:jc w:val="center"/>
              <w:rPr>
                <w:color w:val="auto"/>
                <w:sz w:val="21"/>
                <w:szCs w:val="21"/>
              </w:rPr>
            </w:pPr>
            <w:r>
              <w:rPr>
                <w:rFonts w:hint="eastAsia"/>
                <w:color w:val="auto"/>
                <w:sz w:val="21"/>
                <w:szCs w:val="21"/>
              </w:rPr>
              <w:t>含义</w:t>
            </w:r>
          </w:p>
        </w:tc>
      </w:tr>
      <w:tr w14:paraId="79E424A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A0028D">
            <w:pPr>
              <w:ind w:firstLine="0" w:firstLineChars="0"/>
              <w:jc w:val="center"/>
              <w:rPr>
                <w:color w:val="auto"/>
                <w:sz w:val="21"/>
                <w:szCs w:val="21"/>
              </w:rPr>
            </w:pPr>
            <w:r>
              <w:rPr>
                <w:rFonts w:hint="eastAsia"/>
                <w:color w:val="auto"/>
                <w:sz w:val="21"/>
                <w:szCs w:val="21"/>
              </w:rPr>
              <w:t>部</w:t>
            </w:r>
          </w:p>
        </w:tc>
        <w:tc>
          <w:tcPr>
            <w:tcW w:w="1873" w:type="dxa"/>
            <w:tcBorders>
              <w:top w:val="single" w:color="auto" w:sz="6" w:space="0"/>
              <w:bottom w:val="nil"/>
            </w:tcBorders>
          </w:tcPr>
          <w:p w14:paraId="258EB643">
            <w:pPr>
              <w:ind w:firstLine="0" w:firstLineChars="0"/>
              <w:jc w:val="center"/>
              <w:rPr>
                <w:color w:val="auto"/>
                <w:sz w:val="21"/>
                <w:szCs w:val="21"/>
              </w:rPr>
            </w:pPr>
            <w:r>
              <w:rPr>
                <w:rFonts w:hint="eastAsia"/>
                <w:color w:val="auto"/>
                <w:sz w:val="21"/>
                <w:szCs w:val="21"/>
              </w:rPr>
              <w:t>A</w:t>
            </w:r>
          </w:p>
        </w:tc>
        <w:tc>
          <w:tcPr>
            <w:tcW w:w="5378" w:type="dxa"/>
            <w:tcBorders>
              <w:top w:val="single" w:color="auto" w:sz="6" w:space="0"/>
              <w:bottom w:val="nil"/>
            </w:tcBorders>
          </w:tcPr>
          <w:p w14:paraId="6EF2F66A">
            <w:pPr>
              <w:ind w:firstLine="0" w:firstLineChars="0"/>
              <w:jc w:val="center"/>
              <w:rPr>
                <w:color w:val="auto"/>
                <w:sz w:val="21"/>
                <w:szCs w:val="21"/>
              </w:rPr>
            </w:pPr>
            <w:r>
              <w:rPr>
                <w:rFonts w:hint="eastAsia"/>
                <w:color w:val="auto"/>
                <w:sz w:val="21"/>
                <w:szCs w:val="21"/>
              </w:rPr>
              <w:t>人类生活需要</w:t>
            </w:r>
          </w:p>
        </w:tc>
      </w:tr>
      <w:tr w14:paraId="3E0E736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4060483B">
            <w:pPr>
              <w:ind w:firstLine="0" w:firstLineChars="0"/>
              <w:jc w:val="center"/>
              <w:rPr>
                <w:color w:val="auto"/>
                <w:sz w:val="21"/>
                <w:szCs w:val="21"/>
              </w:rPr>
            </w:pPr>
            <w:r>
              <w:rPr>
                <w:rFonts w:hint="eastAsia"/>
                <w:color w:val="auto"/>
                <w:sz w:val="21"/>
                <w:szCs w:val="21"/>
              </w:rPr>
              <w:t>大类</w:t>
            </w:r>
          </w:p>
        </w:tc>
        <w:tc>
          <w:tcPr>
            <w:tcW w:w="1873" w:type="dxa"/>
            <w:tcBorders>
              <w:top w:val="nil"/>
              <w:bottom w:val="nil"/>
            </w:tcBorders>
          </w:tcPr>
          <w:p w14:paraId="48BFE69C">
            <w:pPr>
              <w:ind w:firstLine="0" w:firstLineChars="0"/>
              <w:jc w:val="center"/>
              <w:rPr>
                <w:color w:val="auto"/>
                <w:sz w:val="21"/>
                <w:szCs w:val="21"/>
              </w:rPr>
            </w:pPr>
            <w:r>
              <w:rPr>
                <w:rFonts w:hint="eastAsia"/>
                <w:color w:val="auto"/>
                <w:sz w:val="21"/>
                <w:szCs w:val="21"/>
              </w:rPr>
              <w:t>A61</w:t>
            </w:r>
          </w:p>
        </w:tc>
        <w:tc>
          <w:tcPr>
            <w:tcW w:w="5378" w:type="dxa"/>
            <w:tcBorders>
              <w:top w:val="nil"/>
              <w:bottom w:val="nil"/>
            </w:tcBorders>
          </w:tcPr>
          <w:p w14:paraId="04FECD16">
            <w:pPr>
              <w:ind w:firstLine="0" w:firstLineChars="0"/>
              <w:jc w:val="center"/>
              <w:rPr>
                <w:color w:val="auto"/>
                <w:sz w:val="21"/>
                <w:szCs w:val="21"/>
              </w:rPr>
            </w:pPr>
            <w:r>
              <w:rPr>
                <w:color w:val="auto"/>
                <w:sz w:val="21"/>
                <w:szCs w:val="21"/>
              </w:rPr>
              <w:t>医学或兽医学；卫生学</w:t>
            </w:r>
          </w:p>
        </w:tc>
      </w:tr>
      <w:tr w14:paraId="64E3BB9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4B6CEE0F">
            <w:pPr>
              <w:ind w:firstLine="0" w:firstLineChars="0"/>
              <w:jc w:val="center"/>
              <w:rPr>
                <w:color w:val="auto"/>
                <w:sz w:val="21"/>
                <w:szCs w:val="21"/>
              </w:rPr>
            </w:pPr>
            <w:r>
              <w:rPr>
                <w:rFonts w:hint="eastAsia"/>
                <w:color w:val="auto"/>
                <w:sz w:val="21"/>
                <w:szCs w:val="21"/>
              </w:rPr>
              <w:t>小类</w:t>
            </w:r>
          </w:p>
        </w:tc>
        <w:tc>
          <w:tcPr>
            <w:tcW w:w="1873" w:type="dxa"/>
            <w:tcBorders>
              <w:top w:val="nil"/>
              <w:bottom w:val="nil"/>
            </w:tcBorders>
          </w:tcPr>
          <w:p w14:paraId="2CF59A87">
            <w:pPr>
              <w:ind w:firstLine="0" w:firstLineChars="0"/>
              <w:jc w:val="center"/>
              <w:rPr>
                <w:color w:val="auto"/>
                <w:sz w:val="21"/>
                <w:szCs w:val="21"/>
              </w:rPr>
            </w:pPr>
            <w:r>
              <w:rPr>
                <w:rFonts w:hint="eastAsia"/>
                <w:color w:val="auto"/>
                <w:sz w:val="21"/>
                <w:szCs w:val="21"/>
              </w:rPr>
              <w:t>A61B</w:t>
            </w:r>
          </w:p>
        </w:tc>
        <w:tc>
          <w:tcPr>
            <w:tcW w:w="5378" w:type="dxa"/>
            <w:tcBorders>
              <w:top w:val="nil"/>
              <w:bottom w:val="nil"/>
            </w:tcBorders>
          </w:tcPr>
          <w:p w14:paraId="65360827">
            <w:pPr>
              <w:widowControl/>
              <w:ind w:firstLine="0" w:firstLineChars="0"/>
              <w:jc w:val="center"/>
              <w:rPr>
                <w:color w:val="auto"/>
                <w:sz w:val="21"/>
                <w:szCs w:val="21"/>
              </w:rPr>
            </w:pPr>
            <w:r>
              <w:rPr>
                <w:rFonts w:hint="eastAsia" w:ascii="宋体" w:hAnsi="宋体" w:cs="宋体"/>
                <w:color w:val="auto"/>
                <w:kern w:val="0"/>
                <w:sz w:val="21"/>
                <w:szCs w:val="21"/>
                <w:lang w:bidi="ar"/>
              </w:rPr>
              <w:t>诊断；外科；鉴定</w:t>
            </w:r>
          </w:p>
        </w:tc>
      </w:tr>
      <w:tr w14:paraId="1BD4BDA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F9FD677">
            <w:pPr>
              <w:ind w:firstLine="0" w:firstLineChars="0"/>
              <w:jc w:val="center"/>
              <w:rPr>
                <w:color w:val="auto"/>
                <w:sz w:val="21"/>
                <w:szCs w:val="21"/>
              </w:rPr>
            </w:pPr>
            <w:r>
              <w:rPr>
                <w:rFonts w:hint="eastAsia"/>
                <w:color w:val="auto"/>
                <w:sz w:val="21"/>
                <w:szCs w:val="21"/>
              </w:rPr>
              <w:t>大组</w:t>
            </w:r>
          </w:p>
        </w:tc>
        <w:tc>
          <w:tcPr>
            <w:tcW w:w="1873" w:type="dxa"/>
            <w:tcBorders>
              <w:top w:val="nil"/>
              <w:bottom w:val="nil"/>
            </w:tcBorders>
          </w:tcPr>
          <w:p w14:paraId="01F34177">
            <w:pPr>
              <w:ind w:firstLine="0" w:firstLineChars="0"/>
              <w:jc w:val="center"/>
              <w:rPr>
                <w:color w:val="auto"/>
                <w:sz w:val="21"/>
                <w:szCs w:val="21"/>
              </w:rPr>
            </w:pPr>
            <w:r>
              <w:rPr>
                <w:rFonts w:hint="eastAsia"/>
                <w:color w:val="auto"/>
                <w:sz w:val="21"/>
                <w:szCs w:val="21"/>
              </w:rPr>
              <w:t>A61B1/00</w:t>
            </w:r>
          </w:p>
        </w:tc>
        <w:tc>
          <w:tcPr>
            <w:tcW w:w="5378" w:type="dxa"/>
            <w:tcBorders>
              <w:top w:val="nil"/>
              <w:bottom w:val="nil"/>
            </w:tcBorders>
          </w:tcPr>
          <w:p w14:paraId="6C23287A">
            <w:pPr>
              <w:widowControl/>
              <w:ind w:firstLine="0" w:firstLineChars="0"/>
              <w:jc w:val="center"/>
              <w:rPr>
                <w:color w:val="auto"/>
                <w:sz w:val="21"/>
                <w:szCs w:val="21"/>
              </w:rPr>
            </w:pPr>
            <w:r>
              <w:rPr>
                <w:rFonts w:hint="eastAsia" w:ascii="宋体" w:hAnsi="宋体" w:cs="宋体"/>
                <w:color w:val="auto"/>
                <w:kern w:val="0"/>
                <w:sz w:val="21"/>
                <w:szCs w:val="21"/>
                <w:lang w:bidi="ar"/>
              </w:rPr>
              <w:t>用目视或照相检查人体的腔或管的仪器，例如内窥镜...</w:t>
            </w:r>
          </w:p>
        </w:tc>
      </w:tr>
      <w:tr w14:paraId="4AE8A36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4B7C2DF2">
            <w:pPr>
              <w:ind w:firstLine="0" w:firstLineChars="0"/>
              <w:jc w:val="center"/>
              <w:rPr>
                <w:color w:val="auto"/>
                <w:sz w:val="21"/>
                <w:szCs w:val="21"/>
              </w:rPr>
            </w:pPr>
            <w:r>
              <w:rPr>
                <w:rFonts w:hint="eastAsia"/>
                <w:color w:val="auto"/>
                <w:sz w:val="21"/>
                <w:szCs w:val="21"/>
              </w:rPr>
              <w:t>小组</w:t>
            </w:r>
          </w:p>
        </w:tc>
        <w:tc>
          <w:tcPr>
            <w:tcW w:w="1873" w:type="dxa"/>
            <w:tcBorders>
              <w:top w:val="nil"/>
              <w:bottom w:val="single" w:color="auto" w:sz="8" w:space="0"/>
            </w:tcBorders>
          </w:tcPr>
          <w:p w14:paraId="75FB6FEF">
            <w:pPr>
              <w:ind w:firstLine="0" w:firstLineChars="0"/>
              <w:jc w:val="center"/>
              <w:rPr>
                <w:color w:val="auto"/>
                <w:sz w:val="21"/>
                <w:szCs w:val="21"/>
              </w:rPr>
            </w:pPr>
            <w:r>
              <w:rPr>
                <w:rFonts w:hint="eastAsia"/>
                <w:color w:val="auto"/>
                <w:sz w:val="21"/>
                <w:szCs w:val="21"/>
              </w:rPr>
              <w:t>A61B1/005</w:t>
            </w:r>
          </w:p>
        </w:tc>
        <w:tc>
          <w:tcPr>
            <w:tcW w:w="5378" w:type="dxa"/>
            <w:tcBorders>
              <w:top w:val="nil"/>
              <w:bottom w:val="single" w:color="auto" w:sz="8" w:space="0"/>
            </w:tcBorders>
          </w:tcPr>
          <w:p w14:paraId="4A02078E">
            <w:pPr>
              <w:widowControl/>
              <w:ind w:firstLine="0" w:firstLineChars="0"/>
              <w:jc w:val="center"/>
              <w:rPr>
                <w:color w:val="auto"/>
                <w:sz w:val="21"/>
                <w:szCs w:val="21"/>
              </w:rPr>
            </w:pPr>
            <w:r>
              <w:rPr>
                <w:rFonts w:hint="eastAsia" w:ascii="宋体" w:hAnsi="宋体" w:cs="宋体"/>
                <w:color w:val="auto"/>
                <w:kern w:val="0"/>
                <w:sz w:val="21"/>
                <w:szCs w:val="21"/>
                <w:lang w:bidi="ar"/>
              </w:rPr>
              <w:t>可弯曲的内窥镜[2006.01]</w:t>
            </w:r>
          </w:p>
        </w:tc>
      </w:tr>
    </w:tbl>
    <w:p w14:paraId="59D2B2CA">
      <w:pPr>
        <w:ind w:firstLine="420" w:firstLineChars="0"/>
        <w:rPr>
          <w:color w:val="auto"/>
        </w:rPr>
      </w:pPr>
      <w:r>
        <w:rPr>
          <w:rFonts w:hint="eastAsia"/>
          <w:color w:val="auto"/>
        </w:rPr>
        <w:t>IPC分类的优势在于其通用性和稳定性，但其基于功能的分类逻辑有时难以直接对应医疗器械的临床监管类别。</w:t>
      </w:r>
    </w:p>
    <w:p w14:paraId="0321C495">
      <w:pPr>
        <w:numPr>
          <w:ilvl w:val="0"/>
          <w:numId w:val="4"/>
        </w:numPr>
        <w:ind w:firstLine="480"/>
        <w:rPr>
          <w:color w:val="auto"/>
        </w:rPr>
      </w:pPr>
      <w:r>
        <w:rPr>
          <w:rFonts w:hint="eastAsia"/>
          <w:color w:val="auto"/>
        </w:rPr>
        <w:t>联合专利分类体系</w:t>
      </w:r>
    </w:p>
    <w:p w14:paraId="417F2966">
      <w:pPr>
        <w:ind w:firstLine="480"/>
        <w:rPr>
          <w:color w:val="auto"/>
        </w:rPr>
      </w:pPr>
      <w:r>
        <w:rPr>
          <w:rFonts w:hint="eastAsia"/>
          <w:color w:val="auto"/>
        </w:rPr>
        <w:t>CPC是EPO与美国专利商标局（U.S. Patent and Trademark Office, USPTO）于2013年共同开发的一种分类体系</w:t>
      </w:r>
      <w:r>
        <w:rPr>
          <w:rStyle w:val="33"/>
          <w:color w:val="auto"/>
        </w:rPr>
        <w:fldChar w:fldCharType="begin"/>
      </w:r>
      <w:r>
        <w:rPr>
          <w:rStyle w:val="33"/>
          <w:color w:val="auto"/>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3"/>
          <w:color w:val="auto"/>
        </w:rPr>
        <w:fldChar w:fldCharType="separate"/>
      </w:r>
      <w:r>
        <w:rPr>
          <w:rStyle w:val="33"/>
          <w:color w:val="auto"/>
        </w:rPr>
        <w:t>[8]</w:t>
      </w:r>
      <w:r>
        <w:rPr>
          <w:rStyle w:val="33"/>
          <w:color w:val="auto"/>
        </w:rPr>
        <w:fldChar w:fldCharType="end"/>
      </w:r>
      <w:r>
        <w:rPr>
          <w:rFonts w:hint="eastAsia"/>
          <w:color w:val="auto"/>
        </w:rPr>
        <w:t>。CPC是在IPC的基础上进行大幅度扩充而形成的，目的是为了更好地进行专利检索。</w:t>
      </w:r>
    </w:p>
    <w:p w14:paraId="4663FA69">
      <w:pPr>
        <w:ind w:firstLine="480"/>
        <w:rPr>
          <w:color w:val="auto"/>
        </w:rPr>
      </w:pPr>
      <w:r>
        <w:rPr>
          <w:rFonts w:hint="eastAsia"/>
          <w:color w:val="auto"/>
        </w:rPr>
        <w:t>尽管CPC在部、大类、小类层级上与IPC保持一致，但在小组层级上，CPC的粒度要细得多。IPC约有7万个分类条目，而CPC则拥有超过25万个分类条目，CPC还通过Y部（YSection）引入了交叉技术分类，用于标记跨领域的创新。</w:t>
      </w:r>
    </w:p>
    <w:p w14:paraId="048A5C26">
      <w:pPr>
        <w:ind w:firstLine="480"/>
        <w:rPr>
          <w:color w:val="auto"/>
        </w:rPr>
      </w:pPr>
      <w:r>
        <w:rPr>
          <w:rFonts w:hint="eastAsia"/>
          <w:color w:val="auto"/>
        </w:rPr>
        <w:t>这种高精度的分类体系使得CPC在捕捉技术细节方面具有显著优势，但也为分类增加了难度。</w:t>
      </w:r>
    </w:p>
    <w:p w14:paraId="4AFDD4A7">
      <w:pPr>
        <w:pStyle w:val="4"/>
        <w:numPr>
          <w:ilvl w:val="2"/>
          <w:numId w:val="1"/>
        </w:numPr>
        <w:tabs>
          <w:tab w:val="clear" w:pos="420"/>
        </w:tabs>
        <w:rPr>
          <w:color w:val="auto"/>
        </w:rPr>
      </w:pPr>
      <w:bookmarkStart w:id="68" w:name="_Toc216114477"/>
      <w:bookmarkStart w:id="69" w:name="_Toc229086862"/>
      <w:bookmarkStart w:id="70" w:name="_Toc27745"/>
      <w:r>
        <w:rPr>
          <w:rFonts w:hint="eastAsia"/>
          <w:color w:val="auto"/>
        </w:rPr>
        <w:t>医疗器械监管分类体系</w:t>
      </w:r>
      <w:bookmarkEnd w:id="68"/>
      <w:bookmarkEnd w:id="69"/>
      <w:bookmarkEnd w:id="70"/>
    </w:p>
    <w:p w14:paraId="06D3E303">
      <w:pPr>
        <w:ind w:firstLine="480"/>
        <w:rPr>
          <w:color w:val="auto"/>
        </w:rPr>
      </w:pPr>
      <w:r>
        <w:rPr>
          <w:rFonts w:hint="eastAsia"/>
          <w:color w:val="auto"/>
        </w:rPr>
        <w:t>与IPC、CPC关注技术原理不同，NMPA发布的《医疗器械分类目录》是医疗器械注册、生产、经营和使用的法定依据</w:t>
      </w:r>
      <w:r>
        <w:rPr>
          <w:rStyle w:val="33"/>
          <w:rFonts w:hint="eastAsia"/>
          <w:color w:val="auto"/>
        </w:rPr>
        <w:t>[9]</w:t>
      </w:r>
      <w:r>
        <w:rPr>
          <w:rFonts w:hint="eastAsia"/>
          <w:color w:val="auto"/>
        </w:rPr>
        <w:t>。</w:t>
      </w:r>
    </w:p>
    <w:p w14:paraId="09B8A37D">
      <w:pPr>
        <w:ind w:firstLine="480"/>
        <w:rPr>
          <w:color w:val="auto"/>
        </w:rPr>
      </w:pPr>
      <w:r>
        <w:rPr>
          <w:rFonts w:hint="eastAsia"/>
          <w:color w:val="auto"/>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0B64AB22">
      <w:pPr>
        <w:ind w:firstLine="480"/>
        <w:rPr>
          <w:color w:val="auto"/>
        </w:rPr>
      </w:pPr>
      <w:r>
        <w:rPr>
          <w:rFonts w:hint="eastAsia"/>
          <w:color w:val="auto"/>
        </w:rPr>
        <w:t>为贯彻实施《医疗器械监督管理条例》和《国务院关于改革药品医疗器械审评审批制度的意见》的要求，国家食品药品监督管理总局发布的目录，目录调整工作原则上每年不少于一次</w:t>
      </w:r>
      <w:r>
        <w:rPr>
          <w:rStyle w:val="33"/>
          <w:rFonts w:hint="eastAsia"/>
          <w:color w:val="auto"/>
        </w:rPr>
        <w:t>[37]</w:t>
      </w:r>
      <w:r>
        <w:rPr>
          <w:rFonts w:hint="eastAsia"/>
          <w:color w:val="auto"/>
        </w:rPr>
        <w:t>。</w:t>
      </w:r>
    </w:p>
    <w:p w14:paraId="611692A1">
      <w:pPr>
        <w:ind w:firstLine="480"/>
        <w:rPr>
          <w:color w:val="auto"/>
        </w:rPr>
      </w:pPr>
      <w:r>
        <w:rPr>
          <w:rFonts w:hint="eastAsia"/>
          <w:color w:val="auto"/>
        </w:rPr>
        <w:t>2017年颁布的《医疗器械分类目录》是对原有分类的一个较大调整，在这个新分类中将原来43类简化成22个一级产品类别</w:t>
      </w:r>
      <w:r>
        <w:rPr>
          <w:rStyle w:val="33"/>
          <w:rFonts w:hint="eastAsia"/>
          <w:color w:val="auto"/>
        </w:rPr>
        <w:t>[38]</w:t>
      </w:r>
      <w:r>
        <w:rPr>
          <w:rFonts w:hint="eastAsia"/>
          <w:color w:val="auto"/>
        </w:rPr>
        <w:t>，见表2-2，并有三级层次划分。而这22种一级产品类别是中国医疗器械监管顶层架构，也是本文中所进行自动分类的任务类别。</w:t>
      </w:r>
    </w:p>
    <w:p w14:paraId="345D4792">
      <w:pPr>
        <w:ind w:firstLine="480"/>
        <w:rPr>
          <w:color w:val="auto"/>
        </w:rPr>
      </w:pPr>
    </w:p>
    <w:p w14:paraId="5B6173A0">
      <w:pPr>
        <w:ind w:firstLine="480"/>
        <w:rPr>
          <w:color w:val="auto"/>
        </w:rPr>
      </w:pPr>
    </w:p>
    <w:p w14:paraId="3005FE16">
      <w:pPr>
        <w:pStyle w:val="25"/>
        <w:rPr>
          <w:rFonts w:hint="default"/>
          <w:color w:val="auto"/>
        </w:rPr>
      </w:pPr>
      <w:r>
        <w:rPr>
          <w:color w:val="auto"/>
        </w:rPr>
        <w:t>表2-2  《医疗器械分类目录》一级产品类别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3218F6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8" w:space="0"/>
              <w:bottom w:val="single" w:color="auto" w:sz="6" w:space="0"/>
            </w:tcBorders>
            <w:vAlign w:val="center"/>
          </w:tcPr>
          <w:p w14:paraId="70F15773">
            <w:pPr>
              <w:pStyle w:val="26"/>
              <w:rPr>
                <w:rFonts w:hint="default"/>
                <w:color w:val="auto"/>
              </w:rPr>
            </w:pPr>
            <w:r>
              <w:rPr>
                <w:color w:val="auto"/>
              </w:rPr>
              <w:t>序号</w:t>
            </w:r>
          </w:p>
        </w:tc>
        <w:tc>
          <w:tcPr>
            <w:tcW w:w="7065" w:type="dxa"/>
            <w:tcBorders>
              <w:top w:val="single" w:color="auto" w:sz="8" w:space="0"/>
              <w:bottom w:val="single" w:color="auto" w:sz="6" w:space="0"/>
            </w:tcBorders>
            <w:vAlign w:val="center"/>
          </w:tcPr>
          <w:p w14:paraId="75B4BF39">
            <w:pPr>
              <w:pStyle w:val="26"/>
              <w:rPr>
                <w:rFonts w:hint="default"/>
                <w:color w:val="auto"/>
              </w:rPr>
            </w:pPr>
            <w:r>
              <w:rPr>
                <w:rFonts w:hint="default"/>
                <w:color w:val="auto"/>
              </w:rPr>
              <w:t>一级序号/产品类别</w:t>
            </w:r>
          </w:p>
        </w:tc>
      </w:tr>
      <w:tr w14:paraId="200B28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02A2476E">
            <w:pPr>
              <w:pStyle w:val="26"/>
              <w:rPr>
                <w:rFonts w:hint="default"/>
                <w:color w:val="auto"/>
              </w:rPr>
            </w:pPr>
            <w:r>
              <w:rPr>
                <w:rFonts w:hint="default"/>
                <w:color w:val="auto"/>
              </w:rPr>
              <w:t>1</w:t>
            </w:r>
          </w:p>
        </w:tc>
        <w:tc>
          <w:tcPr>
            <w:tcW w:w="7065" w:type="dxa"/>
            <w:tcBorders>
              <w:top w:val="single" w:color="auto" w:sz="6" w:space="0"/>
            </w:tcBorders>
            <w:vAlign w:val="center"/>
          </w:tcPr>
          <w:p w14:paraId="269AE9E1">
            <w:pPr>
              <w:pStyle w:val="26"/>
              <w:rPr>
                <w:rFonts w:hint="default"/>
                <w:color w:val="auto"/>
              </w:rPr>
            </w:pPr>
            <w:r>
              <w:rPr>
                <w:rFonts w:hint="default"/>
                <w:color w:val="auto"/>
              </w:rPr>
              <w:t>有源手术器械</w:t>
            </w:r>
          </w:p>
        </w:tc>
      </w:tr>
      <w:tr w14:paraId="0B34E4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72E8BFA">
            <w:pPr>
              <w:pStyle w:val="26"/>
              <w:rPr>
                <w:rFonts w:hint="default"/>
                <w:color w:val="auto"/>
              </w:rPr>
            </w:pPr>
            <w:r>
              <w:rPr>
                <w:rFonts w:hint="default"/>
                <w:color w:val="auto"/>
              </w:rPr>
              <w:t>2</w:t>
            </w:r>
          </w:p>
        </w:tc>
        <w:tc>
          <w:tcPr>
            <w:tcW w:w="7065" w:type="dxa"/>
            <w:vAlign w:val="center"/>
          </w:tcPr>
          <w:p w14:paraId="7FBCDB45">
            <w:pPr>
              <w:pStyle w:val="26"/>
              <w:rPr>
                <w:rFonts w:hint="default"/>
                <w:color w:val="auto"/>
              </w:rPr>
            </w:pPr>
            <w:r>
              <w:rPr>
                <w:rFonts w:hint="default"/>
                <w:color w:val="auto"/>
              </w:rPr>
              <w:t>无源手术器械</w:t>
            </w:r>
          </w:p>
        </w:tc>
      </w:tr>
      <w:tr w14:paraId="744FA6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71C7AB2">
            <w:pPr>
              <w:pStyle w:val="26"/>
              <w:rPr>
                <w:rFonts w:hint="default"/>
                <w:color w:val="auto"/>
              </w:rPr>
            </w:pPr>
            <w:r>
              <w:rPr>
                <w:rFonts w:hint="default"/>
                <w:color w:val="auto"/>
              </w:rPr>
              <w:t>3</w:t>
            </w:r>
          </w:p>
        </w:tc>
        <w:tc>
          <w:tcPr>
            <w:tcW w:w="7065" w:type="dxa"/>
            <w:vAlign w:val="center"/>
          </w:tcPr>
          <w:p w14:paraId="6A9BC133">
            <w:pPr>
              <w:pStyle w:val="26"/>
              <w:rPr>
                <w:rFonts w:hint="default"/>
                <w:color w:val="auto"/>
              </w:rPr>
            </w:pPr>
            <w:r>
              <w:rPr>
                <w:rFonts w:hint="default"/>
                <w:color w:val="auto"/>
              </w:rPr>
              <w:t>神经和心血管手术器械</w:t>
            </w:r>
          </w:p>
        </w:tc>
      </w:tr>
      <w:tr w14:paraId="38EC1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EBD232A">
            <w:pPr>
              <w:pStyle w:val="26"/>
              <w:rPr>
                <w:rFonts w:hint="default"/>
                <w:color w:val="auto"/>
              </w:rPr>
            </w:pPr>
            <w:r>
              <w:rPr>
                <w:rFonts w:hint="default"/>
                <w:color w:val="auto"/>
              </w:rPr>
              <w:t>4</w:t>
            </w:r>
          </w:p>
        </w:tc>
        <w:tc>
          <w:tcPr>
            <w:tcW w:w="7065" w:type="dxa"/>
            <w:vAlign w:val="center"/>
          </w:tcPr>
          <w:p w14:paraId="28FACF36">
            <w:pPr>
              <w:pStyle w:val="26"/>
              <w:rPr>
                <w:rFonts w:hint="default"/>
                <w:color w:val="auto"/>
              </w:rPr>
            </w:pPr>
            <w:r>
              <w:rPr>
                <w:rFonts w:hint="default"/>
                <w:color w:val="auto"/>
              </w:rPr>
              <w:t>骨科手术器械</w:t>
            </w:r>
          </w:p>
        </w:tc>
      </w:tr>
      <w:tr w14:paraId="773F5A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3A1AC4F">
            <w:pPr>
              <w:pStyle w:val="26"/>
              <w:rPr>
                <w:rFonts w:hint="default"/>
                <w:color w:val="auto"/>
              </w:rPr>
            </w:pPr>
            <w:r>
              <w:rPr>
                <w:rFonts w:hint="default"/>
                <w:color w:val="auto"/>
              </w:rPr>
              <w:t>5</w:t>
            </w:r>
          </w:p>
        </w:tc>
        <w:tc>
          <w:tcPr>
            <w:tcW w:w="7065" w:type="dxa"/>
            <w:vAlign w:val="center"/>
          </w:tcPr>
          <w:p w14:paraId="7C5C2D36">
            <w:pPr>
              <w:pStyle w:val="26"/>
              <w:rPr>
                <w:rFonts w:hint="default"/>
                <w:color w:val="auto"/>
              </w:rPr>
            </w:pPr>
            <w:r>
              <w:rPr>
                <w:rFonts w:hint="default"/>
                <w:color w:val="auto"/>
              </w:rPr>
              <w:t>放射治疗器械</w:t>
            </w:r>
          </w:p>
        </w:tc>
      </w:tr>
      <w:tr w14:paraId="2DB10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852051">
            <w:pPr>
              <w:pStyle w:val="26"/>
              <w:rPr>
                <w:rFonts w:hint="default"/>
                <w:color w:val="auto"/>
              </w:rPr>
            </w:pPr>
            <w:r>
              <w:rPr>
                <w:rFonts w:hint="default"/>
                <w:color w:val="auto"/>
              </w:rPr>
              <w:t>6</w:t>
            </w:r>
          </w:p>
        </w:tc>
        <w:tc>
          <w:tcPr>
            <w:tcW w:w="7065" w:type="dxa"/>
            <w:vAlign w:val="center"/>
          </w:tcPr>
          <w:p w14:paraId="12359C12">
            <w:pPr>
              <w:pStyle w:val="26"/>
              <w:rPr>
                <w:rFonts w:hint="default"/>
                <w:color w:val="auto"/>
              </w:rPr>
            </w:pPr>
            <w:r>
              <w:rPr>
                <w:rFonts w:hint="default"/>
                <w:color w:val="auto"/>
              </w:rPr>
              <w:t>医用成像器械</w:t>
            </w:r>
          </w:p>
        </w:tc>
      </w:tr>
      <w:tr w14:paraId="50D29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C5D9D03">
            <w:pPr>
              <w:pStyle w:val="26"/>
              <w:rPr>
                <w:rFonts w:hint="default"/>
                <w:color w:val="auto"/>
              </w:rPr>
            </w:pPr>
            <w:r>
              <w:rPr>
                <w:rFonts w:hint="default"/>
                <w:color w:val="auto"/>
              </w:rPr>
              <w:t>7</w:t>
            </w:r>
          </w:p>
        </w:tc>
        <w:tc>
          <w:tcPr>
            <w:tcW w:w="7065" w:type="dxa"/>
            <w:vAlign w:val="center"/>
          </w:tcPr>
          <w:p w14:paraId="2E5D6AAF">
            <w:pPr>
              <w:pStyle w:val="26"/>
              <w:rPr>
                <w:rFonts w:hint="default"/>
                <w:color w:val="auto"/>
              </w:rPr>
            </w:pPr>
            <w:r>
              <w:rPr>
                <w:rFonts w:hint="default"/>
                <w:color w:val="auto"/>
              </w:rPr>
              <w:t>医用诊察和监护器械</w:t>
            </w:r>
          </w:p>
        </w:tc>
      </w:tr>
      <w:tr w14:paraId="38E341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A504E75">
            <w:pPr>
              <w:pStyle w:val="26"/>
              <w:rPr>
                <w:rFonts w:hint="default"/>
                <w:color w:val="auto"/>
              </w:rPr>
            </w:pPr>
            <w:r>
              <w:rPr>
                <w:rFonts w:hint="default"/>
                <w:color w:val="auto"/>
              </w:rPr>
              <w:t>8</w:t>
            </w:r>
          </w:p>
        </w:tc>
        <w:tc>
          <w:tcPr>
            <w:tcW w:w="7065" w:type="dxa"/>
            <w:vAlign w:val="center"/>
          </w:tcPr>
          <w:p w14:paraId="35DEA16A">
            <w:pPr>
              <w:pStyle w:val="26"/>
              <w:rPr>
                <w:rFonts w:hint="default"/>
                <w:color w:val="auto"/>
              </w:rPr>
            </w:pPr>
            <w:r>
              <w:rPr>
                <w:rFonts w:hint="default"/>
                <w:color w:val="auto"/>
              </w:rPr>
              <w:t>呼吸、麻醉和急救器械</w:t>
            </w:r>
          </w:p>
        </w:tc>
      </w:tr>
      <w:tr w14:paraId="4212C7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149AF6E">
            <w:pPr>
              <w:pStyle w:val="26"/>
              <w:rPr>
                <w:rFonts w:hint="default"/>
                <w:color w:val="auto"/>
              </w:rPr>
            </w:pPr>
            <w:r>
              <w:rPr>
                <w:rFonts w:hint="default"/>
                <w:color w:val="auto"/>
              </w:rPr>
              <w:t>9</w:t>
            </w:r>
          </w:p>
        </w:tc>
        <w:tc>
          <w:tcPr>
            <w:tcW w:w="7065" w:type="dxa"/>
            <w:vAlign w:val="center"/>
          </w:tcPr>
          <w:p w14:paraId="02DBB747">
            <w:pPr>
              <w:pStyle w:val="26"/>
              <w:rPr>
                <w:rFonts w:hint="default"/>
                <w:color w:val="auto"/>
              </w:rPr>
            </w:pPr>
            <w:r>
              <w:rPr>
                <w:rFonts w:hint="default"/>
                <w:color w:val="auto"/>
              </w:rPr>
              <w:t>物理治疗器械</w:t>
            </w:r>
          </w:p>
        </w:tc>
      </w:tr>
      <w:tr w14:paraId="272338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581509A">
            <w:pPr>
              <w:pStyle w:val="26"/>
              <w:rPr>
                <w:rFonts w:hint="default"/>
                <w:color w:val="auto"/>
              </w:rPr>
            </w:pPr>
            <w:r>
              <w:rPr>
                <w:rFonts w:hint="default"/>
                <w:color w:val="auto"/>
              </w:rPr>
              <w:t>10</w:t>
            </w:r>
          </w:p>
        </w:tc>
        <w:tc>
          <w:tcPr>
            <w:tcW w:w="7065" w:type="dxa"/>
            <w:vAlign w:val="center"/>
          </w:tcPr>
          <w:p w14:paraId="2CFDFEC3">
            <w:pPr>
              <w:pStyle w:val="26"/>
              <w:rPr>
                <w:rFonts w:hint="default"/>
                <w:color w:val="auto"/>
              </w:rPr>
            </w:pPr>
            <w:r>
              <w:rPr>
                <w:rFonts w:hint="default"/>
                <w:color w:val="auto"/>
              </w:rPr>
              <w:t>输血、透析和体外循环器械</w:t>
            </w:r>
          </w:p>
        </w:tc>
      </w:tr>
      <w:tr w14:paraId="58974E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289546">
            <w:pPr>
              <w:pStyle w:val="26"/>
              <w:rPr>
                <w:rFonts w:hint="default"/>
                <w:color w:val="auto"/>
              </w:rPr>
            </w:pPr>
            <w:r>
              <w:rPr>
                <w:rFonts w:hint="default"/>
                <w:color w:val="auto"/>
              </w:rPr>
              <w:t>11</w:t>
            </w:r>
          </w:p>
        </w:tc>
        <w:tc>
          <w:tcPr>
            <w:tcW w:w="7065" w:type="dxa"/>
            <w:vAlign w:val="center"/>
          </w:tcPr>
          <w:p w14:paraId="68F34B29">
            <w:pPr>
              <w:pStyle w:val="26"/>
              <w:rPr>
                <w:rFonts w:hint="default"/>
                <w:color w:val="auto"/>
              </w:rPr>
            </w:pPr>
            <w:r>
              <w:rPr>
                <w:rFonts w:hint="default"/>
                <w:color w:val="auto"/>
              </w:rPr>
              <w:t>医疗器械消毒灭菌器械</w:t>
            </w:r>
          </w:p>
        </w:tc>
      </w:tr>
      <w:tr w14:paraId="5162C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FAEE9DF">
            <w:pPr>
              <w:pStyle w:val="26"/>
              <w:rPr>
                <w:rFonts w:hint="default"/>
                <w:color w:val="auto"/>
              </w:rPr>
            </w:pPr>
            <w:r>
              <w:rPr>
                <w:rFonts w:hint="default"/>
                <w:color w:val="auto"/>
              </w:rPr>
              <w:t>12</w:t>
            </w:r>
          </w:p>
        </w:tc>
        <w:tc>
          <w:tcPr>
            <w:tcW w:w="7065" w:type="dxa"/>
            <w:vAlign w:val="center"/>
          </w:tcPr>
          <w:p w14:paraId="344EE2E2">
            <w:pPr>
              <w:pStyle w:val="26"/>
              <w:rPr>
                <w:rFonts w:hint="default"/>
                <w:color w:val="auto"/>
              </w:rPr>
            </w:pPr>
            <w:r>
              <w:rPr>
                <w:rFonts w:hint="default"/>
                <w:color w:val="auto"/>
              </w:rPr>
              <w:t>有源植入器械</w:t>
            </w:r>
          </w:p>
        </w:tc>
      </w:tr>
      <w:tr w14:paraId="44A9B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681A335">
            <w:pPr>
              <w:pStyle w:val="26"/>
              <w:rPr>
                <w:rFonts w:hint="default"/>
                <w:color w:val="auto"/>
              </w:rPr>
            </w:pPr>
            <w:r>
              <w:rPr>
                <w:rFonts w:hint="default"/>
                <w:color w:val="auto"/>
              </w:rPr>
              <w:t>13</w:t>
            </w:r>
          </w:p>
        </w:tc>
        <w:tc>
          <w:tcPr>
            <w:tcW w:w="7065" w:type="dxa"/>
            <w:vAlign w:val="center"/>
          </w:tcPr>
          <w:p w14:paraId="465EFA00">
            <w:pPr>
              <w:pStyle w:val="26"/>
              <w:rPr>
                <w:rFonts w:hint="default"/>
                <w:color w:val="auto"/>
              </w:rPr>
            </w:pPr>
            <w:r>
              <w:rPr>
                <w:rFonts w:hint="default"/>
                <w:color w:val="auto"/>
              </w:rPr>
              <w:t>无源植入器械</w:t>
            </w:r>
          </w:p>
        </w:tc>
      </w:tr>
      <w:tr w14:paraId="10E1D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D2C3D87">
            <w:pPr>
              <w:pStyle w:val="26"/>
              <w:rPr>
                <w:rFonts w:hint="default"/>
                <w:color w:val="auto"/>
              </w:rPr>
            </w:pPr>
            <w:r>
              <w:rPr>
                <w:rFonts w:hint="default"/>
                <w:color w:val="auto"/>
              </w:rPr>
              <w:t>14</w:t>
            </w:r>
          </w:p>
        </w:tc>
        <w:tc>
          <w:tcPr>
            <w:tcW w:w="7065" w:type="dxa"/>
            <w:vAlign w:val="center"/>
          </w:tcPr>
          <w:p w14:paraId="6541302B">
            <w:pPr>
              <w:pStyle w:val="26"/>
              <w:rPr>
                <w:rFonts w:hint="default"/>
                <w:color w:val="auto"/>
              </w:rPr>
            </w:pPr>
            <w:r>
              <w:rPr>
                <w:rFonts w:hint="default"/>
                <w:color w:val="auto"/>
              </w:rPr>
              <w:t>注输、护理和防护器械</w:t>
            </w:r>
          </w:p>
        </w:tc>
      </w:tr>
      <w:tr w14:paraId="2AC3CD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064B54">
            <w:pPr>
              <w:pStyle w:val="26"/>
              <w:rPr>
                <w:rFonts w:hint="default"/>
                <w:color w:val="auto"/>
              </w:rPr>
            </w:pPr>
            <w:r>
              <w:rPr>
                <w:rFonts w:hint="default"/>
                <w:color w:val="auto"/>
              </w:rPr>
              <w:t>15</w:t>
            </w:r>
          </w:p>
        </w:tc>
        <w:tc>
          <w:tcPr>
            <w:tcW w:w="7065" w:type="dxa"/>
            <w:vAlign w:val="center"/>
          </w:tcPr>
          <w:p w14:paraId="0684ABE9">
            <w:pPr>
              <w:pStyle w:val="26"/>
              <w:rPr>
                <w:rFonts w:hint="default"/>
                <w:color w:val="auto"/>
              </w:rPr>
            </w:pPr>
            <w:r>
              <w:rPr>
                <w:rFonts w:hint="default"/>
                <w:color w:val="auto"/>
              </w:rPr>
              <w:t>患者承载器械</w:t>
            </w:r>
          </w:p>
        </w:tc>
      </w:tr>
      <w:tr w14:paraId="452E6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4B6635B">
            <w:pPr>
              <w:pStyle w:val="26"/>
              <w:rPr>
                <w:rFonts w:hint="default"/>
                <w:color w:val="auto"/>
              </w:rPr>
            </w:pPr>
            <w:r>
              <w:rPr>
                <w:rFonts w:hint="default"/>
                <w:color w:val="auto"/>
              </w:rPr>
              <w:t>16</w:t>
            </w:r>
          </w:p>
        </w:tc>
        <w:tc>
          <w:tcPr>
            <w:tcW w:w="7065" w:type="dxa"/>
            <w:vAlign w:val="center"/>
          </w:tcPr>
          <w:p w14:paraId="540E570D">
            <w:pPr>
              <w:pStyle w:val="26"/>
              <w:rPr>
                <w:rFonts w:hint="default"/>
                <w:color w:val="auto"/>
              </w:rPr>
            </w:pPr>
            <w:r>
              <w:rPr>
                <w:rFonts w:hint="default"/>
                <w:color w:val="auto"/>
              </w:rPr>
              <w:t>眼科器械</w:t>
            </w:r>
          </w:p>
        </w:tc>
      </w:tr>
      <w:tr w14:paraId="189E92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F731A8F">
            <w:pPr>
              <w:pStyle w:val="26"/>
              <w:rPr>
                <w:rFonts w:hint="default"/>
                <w:color w:val="auto"/>
              </w:rPr>
            </w:pPr>
            <w:r>
              <w:rPr>
                <w:rFonts w:hint="default"/>
                <w:color w:val="auto"/>
              </w:rPr>
              <w:t>17</w:t>
            </w:r>
          </w:p>
        </w:tc>
        <w:tc>
          <w:tcPr>
            <w:tcW w:w="7065" w:type="dxa"/>
            <w:vAlign w:val="center"/>
          </w:tcPr>
          <w:p w14:paraId="1DCE9108">
            <w:pPr>
              <w:pStyle w:val="26"/>
              <w:rPr>
                <w:rFonts w:hint="default"/>
                <w:color w:val="auto"/>
              </w:rPr>
            </w:pPr>
            <w:r>
              <w:rPr>
                <w:rFonts w:hint="default"/>
                <w:color w:val="auto"/>
              </w:rPr>
              <w:t>口腔科器械</w:t>
            </w:r>
          </w:p>
        </w:tc>
      </w:tr>
      <w:tr w14:paraId="1B5099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66389F5">
            <w:pPr>
              <w:pStyle w:val="26"/>
              <w:rPr>
                <w:rFonts w:hint="default"/>
                <w:color w:val="auto"/>
              </w:rPr>
            </w:pPr>
            <w:r>
              <w:rPr>
                <w:rFonts w:hint="default"/>
                <w:color w:val="auto"/>
              </w:rPr>
              <w:t>18</w:t>
            </w:r>
          </w:p>
        </w:tc>
        <w:tc>
          <w:tcPr>
            <w:tcW w:w="7065" w:type="dxa"/>
            <w:vAlign w:val="center"/>
          </w:tcPr>
          <w:p w14:paraId="03B03E3F">
            <w:pPr>
              <w:pStyle w:val="26"/>
              <w:rPr>
                <w:rFonts w:hint="default"/>
                <w:color w:val="auto"/>
              </w:rPr>
            </w:pPr>
            <w:r>
              <w:rPr>
                <w:rFonts w:hint="default"/>
                <w:color w:val="auto"/>
              </w:rPr>
              <w:t>妇产科、辅助生殖和避孕器械</w:t>
            </w:r>
          </w:p>
        </w:tc>
      </w:tr>
      <w:tr w14:paraId="54EB4A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E2C1FE8">
            <w:pPr>
              <w:pStyle w:val="26"/>
              <w:rPr>
                <w:rFonts w:hint="default"/>
                <w:color w:val="auto"/>
              </w:rPr>
            </w:pPr>
            <w:r>
              <w:rPr>
                <w:rFonts w:hint="default"/>
                <w:color w:val="auto"/>
              </w:rPr>
              <w:t>19</w:t>
            </w:r>
          </w:p>
        </w:tc>
        <w:tc>
          <w:tcPr>
            <w:tcW w:w="7065" w:type="dxa"/>
            <w:vAlign w:val="center"/>
          </w:tcPr>
          <w:p w14:paraId="7DD0F8F2">
            <w:pPr>
              <w:pStyle w:val="26"/>
              <w:rPr>
                <w:rFonts w:hint="default"/>
                <w:color w:val="auto"/>
              </w:rPr>
            </w:pPr>
            <w:r>
              <w:rPr>
                <w:rFonts w:hint="default"/>
                <w:color w:val="auto"/>
              </w:rPr>
              <w:t>医用康复器械</w:t>
            </w:r>
          </w:p>
        </w:tc>
      </w:tr>
      <w:tr w14:paraId="2B2DD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1A49A63">
            <w:pPr>
              <w:pStyle w:val="26"/>
              <w:rPr>
                <w:rFonts w:hint="default"/>
                <w:color w:val="auto"/>
              </w:rPr>
            </w:pPr>
            <w:r>
              <w:rPr>
                <w:rFonts w:hint="default"/>
                <w:color w:val="auto"/>
              </w:rPr>
              <w:t>20</w:t>
            </w:r>
          </w:p>
        </w:tc>
        <w:tc>
          <w:tcPr>
            <w:tcW w:w="7065" w:type="dxa"/>
            <w:vAlign w:val="center"/>
          </w:tcPr>
          <w:p w14:paraId="02C3C373">
            <w:pPr>
              <w:pStyle w:val="26"/>
              <w:rPr>
                <w:rFonts w:hint="default"/>
                <w:color w:val="auto"/>
              </w:rPr>
            </w:pPr>
            <w:r>
              <w:rPr>
                <w:rFonts w:hint="default"/>
                <w:color w:val="auto"/>
              </w:rPr>
              <w:t>中医器械</w:t>
            </w:r>
          </w:p>
        </w:tc>
      </w:tr>
      <w:tr w14:paraId="2C717E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8156687">
            <w:pPr>
              <w:pStyle w:val="26"/>
              <w:rPr>
                <w:rFonts w:hint="default"/>
                <w:color w:val="auto"/>
              </w:rPr>
            </w:pPr>
            <w:r>
              <w:rPr>
                <w:rFonts w:hint="default"/>
                <w:color w:val="auto"/>
              </w:rPr>
              <w:t>21</w:t>
            </w:r>
          </w:p>
        </w:tc>
        <w:tc>
          <w:tcPr>
            <w:tcW w:w="7065" w:type="dxa"/>
            <w:vAlign w:val="center"/>
          </w:tcPr>
          <w:p w14:paraId="080B16AC">
            <w:pPr>
              <w:pStyle w:val="26"/>
              <w:rPr>
                <w:rFonts w:hint="default"/>
                <w:color w:val="auto"/>
              </w:rPr>
            </w:pPr>
            <w:r>
              <w:rPr>
                <w:rFonts w:hint="default"/>
                <w:color w:val="auto"/>
              </w:rPr>
              <w:t>医用软件</w:t>
            </w:r>
          </w:p>
        </w:tc>
      </w:tr>
      <w:tr w14:paraId="714B96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191C5E25">
            <w:pPr>
              <w:pStyle w:val="26"/>
              <w:rPr>
                <w:rFonts w:hint="default"/>
                <w:color w:val="auto"/>
              </w:rPr>
            </w:pPr>
            <w:r>
              <w:rPr>
                <w:color w:val="auto"/>
              </w:rPr>
              <w:t>22</w:t>
            </w:r>
          </w:p>
        </w:tc>
        <w:tc>
          <w:tcPr>
            <w:tcW w:w="7065" w:type="dxa"/>
            <w:tcBorders>
              <w:bottom w:val="single" w:color="auto" w:sz="8" w:space="0"/>
            </w:tcBorders>
            <w:vAlign w:val="center"/>
          </w:tcPr>
          <w:p w14:paraId="705468F6">
            <w:pPr>
              <w:pStyle w:val="26"/>
              <w:rPr>
                <w:rFonts w:hint="default"/>
                <w:color w:val="auto"/>
              </w:rPr>
            </w:pPr>
            <w:r>
              <w:rPr>
                <w:color w:val="auto"/>
              </w:rPr>
              <w:t>临床检验器械</w:t>
            </w:r>
          </w:p>
        </w:tc>
      </w:tr>
    </w:tbl>
    <w:p w14:paraId="5A74B737">
      <w:pPr>
        <w:pStyle w:val="4"/>
        <w:numPr>
          <w:ilvl w:val="2"/>
          <w:numId w:val="1"/>
        </w:numPr>
        <w:tabs>
          <w:tab w:val="clear" w:pos="420"/>
        </w:tabs>
        <w:rPr>
          <w:color w:val="auto"/>
          <w:highlight w:val="yellow"/>
        </w:rPr>
      </w:pPr>
      <w:bookmarkStart w:id="71" w:name="_Toc31469"/>
      <w:bookmarkStart w:id="72" w:name="_Toc229086864"/>
      <w:r>
        <w:rPr>
          <w:rFonts w:hint="eastAsia"/>
          <w:color w:val="auto"/>
          <w:highlight w:val="yellow"/>
        </w:rPr>
        <w:t>跨体系语义映射问题定义与分析</w:t>
      </w:r>
      <w:bookmarkEnd w:id="71"/>
      <w:bookmarkEnd w:id="72"/>
    </w:p>
    <w:p w14:paraId="4AA58D6D">
      <w:pPr>
        <w:ind w:firstLine="480"/>
        <w:rPr>
          <w:color w:val="auto"/>
          <w:highlight w:val="yellow"/>
        </w:rPr>
      </w:pPr>
      <w:r>
        <w:rPr>
          <w:rFonts w:hint="eastAsia"/>
          <w:color w:val="auto"/>
          <w:highlight w:val="yellow"/>
        </w:rPr>
        <w:t>医疗器械专利的跨体系语义映射，是从以技术原理为特征的技术发明向以临床监管为特征的管理层级进行跨域知识对齐的过程。其核心挑战在于两套体系存在显著的逻辑断层：IPC体系关注发明的物理实现与功能特征，而《医疗器械分类目录》则注重临床用途、专科归属以及风险等因素。因此，该映射本质上是复杂的跨域语义内在关联的深度挖掘，将泛化的技术描述精准映射至监管规则之中。</w:t>
      </w:r>
    </w:p>
    <w:p w14:paraId="4C2F5D46">
      <w:pPr>
        <w:ind w:firstLine="480"/>
        <w:rPr>
          <w:color w:val="auto"/>
          <w:highlight w:val="yellow"/>
        </w:rPr>
      </w:pPr>
      <w:r>
        <w:rPr>
          <w:rFonts w:hint="eastAsia"/>
          <w:color w:val="auto"/>
          <w:highlight w:val="yellow"/>
        </w:rPr>
        <w:t>实现跨域精准映射需在数据治理、自动标注、知识增强和表征学习等多个维度协同突破，确保分类路径在多级监管目录中具备严格的逻辑一致性，从而打通从通用技术语义向垂直监管逻辑的映射路径。</w:t>
      </w:r>
    </w:p>
    <w:p w14:paraId="501A15A1">
      <w:pPr>
        <w:pStyle w:val="3"/>
        <w:numPr>
          <w:ilvl w:val="1"/>
          <w:numId w:val="1"/>
        </w:numPr>
        <w:tabs>
          <w:tab w:val="clear" w:pos="420"/>
        </w:tabs>
        <w:rPr>
          <w:color w:val="auto"/>
          <w:highlight w:val="yellow"/>
        </w:rPr>
      </w:pPr>
      <w:bookmarkStart w:id="73" w:name="_Toc229086865"/>
      <w:bookmarkStart w:id="74" w:name="_Toc8353"/>
      <w:r>
        <w:rPr>
          <w:rFonts w:hint="eastAsia"/>
          <w:color w:val="auto"/>
          <w:highlight w:val="yellow"/>
        </w:rPr>
        <w:t>自动标注数据质量控制方法</w:t>
      </w:r>
      <w:bookmarkEnd w:id="73"/>
      <w:bookmarkEnd w:id="74"/>
    </w:p>
    <w:p w14:paraId="13BC9B1B">
      <w:pPr>
        <w:ind w:firstLine="480"/>
        <w:rPr>
          <w:color w:val="auto"/>
          <w:highlight w:val="yellow"/>
        </w:rPr>
      </w:pPr>
      <w:r>
        <w:rPr>
          <w:rFonts w:hint="eastAsia"/>
          <w:color w:val="auto"/>
          <w:highlight w:val="yellow"/>
        </w:rPr>
        <w:t>由于缺乏标准数据集，医疗器械专利数据自动化标注存在知识幻觉与标签噪声问题。</w:t>
      </w:r>
      <w:r>
        <w:rPr>
          <w:rFonts w:hint="eastAsia"/>
          <w:color w:val="auto"/>
          <w:highlight w:val="yellow"/>
        </w:rPr>
        <w:t>为确保数据质量，本文借鉴置信学习中标签错误检测的思想，并结合一致性筛选与统计等价性检验，为构建高质量数据集提供方法支撑。</w:t>
      </w:r>
    </w:p>
    <w:p w14:paraId="45971793">
      <w:pPr>
        <w:pStyle w:val="4"/>
        <w:numPr>
          <w:ilvl w:val="2"/>
          <w:numId w:val="1"/>
        </w:numPr>
        <w:tabs>
          <w:tab w:val="clear" w:pos="420"/>
        </w:tabs>
        <w:rPr>
          <w:color w:val="auto"/>
          <w:highlight w:val="yellow"/>
        </w:rPr>
      </w:pPr>
      <w:bookmarkStart w:id="75" w:name="_Toc7022"/>
      <w:bookmarkStart w:id="76" w:name="_Toc229086866"/>
      <w:r>
        <w:rPr>
          <w:rFonts w:hint="eastAsia"/>
          <w:color w:val="auto"/>
          <w:highlight w:val="yellow"/>
        </w:rPr>
        <w:t>一致性筛选与标签错误检测</w:t>
      </w:r>
      <w:bookmarkEnd w:id="75"/>
      <w:bookmarkEnd w:id="76"/>
    </w:p>
    <w:p w14:paraId="50704827">
      <w:pPr>
        <w:ind w:firstLine="480"/>
        <w:rPr>
          <w:color w:val="auto"/>
          <w:highlight w:val="yellow"/>
        </w:rPr>
      </w:pPr>
      <w:r>
        <w:rPr>
          <w:rFonts w:hint="eastAsia"/>
          <w:color w:val="auto"/>
          <w:highlight w:val="yellow"/>
        </w:rPr>
        <w:t>在缺少大规模专家标注数据的情况下，训练数据中的噪声标签会直接影响模型学习效果。置信学习相关研究表明，标签质量可以通过给定标签与模型预测结果之间的关系进行估计，从而识别可能存在错误的样本</w:t>
      </w:r>
      <w:r>
        <w:rPr>
          <w:rStyle w:val="33"/>
          <w:rFonts w:hint="eastAsia"/>
          <w:color w:val="auto"/>
          <w:highlight w:val="yellow"/>
        </w:rPr>
        <w:t>[39]</w:t>
      </w:r>
      <w:r>
        <w:rPr>
          <w:rFonts w:hint="eastAsia"/>
          <w:color w:val="auto"/>
          <w:highlight w:val="yellow"/>
        </w:rPr>
        <w:t>。同时，已有研究表明，大语言模型可用于文本标注任务，并在部分场景中取得较高的一致性和准确率</w:t>
      </w:r>
      <w:r>
        <w:rPr>
          <w:rStyle w:val="33"/>
          <w:rFonts w:hint="eastAsia"/>
          <w:color w:val="auto"/>
          <w:highlight w:val="yellow"/>
        </w:rPr>
        <w:t>[40]</w:t>
      </w:r>
      <w:r>
        <w:rPr>
          <w:rFonts w:hint="eastAsia"/>
          <w:color w:val="auto"/>
          <w:highlight w:val="yellow"/>
        </w:rPr>
        <w:t>。</w:t>
      </w:r>
    </w:p>
    <w:p w14:paraId="7E8CF3A1">
      <w:pPr>
        <w:ind w:firstLine="480"/>
        <w:rPr>
          <w:color w:val="auto"/>
          <w:highlight w:val="yellow"/>
        </w:rPr>
      </w:pPr>
      <w:r>
        <w:rPr>
          <w:rFonts w:hint="eastAsia"/>
          <w:color w:val="auto"/>
          <w:highlight w:val="yellow"/>
        </w:rPr>
        <w:t>结合本文任务，本文将原始标签与自动标注工作流输出标签视为两个来源不同的标签信号。原始标签可能受到类别边界模糊、人工判断偏差等因素影响；自动标注标签则可能受到模型理解偏差、摘要信息不足和易混类别判断错误等因素影响。二者错误来源并不完全相同，因此可通过标签一致性对样本质量进行初步判断。</w:t>
      </w:r>
    </w:p>
    <w:p w14:paraId="006B642C">
      <w:pPr>
        <w:ind w:firstLine="480"/>
        <w:rPr>
          <w:color w:val="auto"/>
          <w:highlight w:val="yellow"/>
        </w:rPr>
      </w:pPr>
      <w:r>
        <w:rPr>
          <w:rFonts w:hint="eastAsia"/>
          <w:color w:val="auto"/>
          <w:highlight w:val="yellow"/>
        </w:rPr>
        <w:t>当原始标签与自动标注标签一致时，样本被划为高置信候选；当二者不一致时，样本被划为低置信候选。需要说明的是，一致性筛选只能作为初步质量控制依据，不能直接证明标签一定正确，后续仍需结合抽样校对和统计检验进一步验证。</w:t>
      </w:r>
    </w:p>
    <w:p w14:paraId="32EEA90D">
      <w:pPr>
        <w:pStyle w:val="4"/>
        <w:numPr>
          <w:ilvl w:val="2"/>
          <w:numId w:val="1"/>
        </w:numPr>
        <w:tabs>
          <w:tab w:val="clear" w:pos="420"/>
        </w:tabs>
        <w:rPr>
          <w:color w:val="auto"/>
          <w:highlight w:val="yellow"/>
        </w:rPr>
      </w:pPr>
      <w:bookmarkStart w:id="77" w:name="_Toc1913"/>
      <w:bookmarkStart w:id="78" w:name="_Toc229086867"/>
      <w:r>
        <w:rPr>
          <w:rFonts w:hint="eastAsia"/>
          <w:color w:val="auto"/>
          <w:highlight w:val="yellow"/>
        </w:rPr>
        <w:t>统计等价性检验</w:t>
      </w:r>
      <w:bookmarkEnd w:id="77"/>
      <w:bookmarkEnd w:id="78"/>
    </w:p>
    <w:p w14:paraId="08D832FD">
      <w:pPr>
        <w:ind w:firstLine="480"/>
        <w:rPr>
          <w:color w:val="auto"/>
          <w:highlight w:val="yellow"/>
        </w:rPr>
      </w:pPr>
      <w:r>
        <w:rPr>
          <w:rFonts w:hint="eastAsia"/>
          <w:color w:val="auto"/>
          <w:highlight w:val="yellow"/>
        </w:rPr>
        <w:t>为了对LLM自动标注的弱标签数据质量进行评价，可以采用双单侧等价性检验（Two One-Sided Tests, TOST）作为数据质量检验方法</w:t>
      </w:r>
      <w:r>
        <w:rPr>
          <w:rStyle w:val="33"/>
          <w:rFonts w:hint="eastAsia"/>
          <w:color w:val="auto"/>
          <w:highlight w:val="yellow"/>
        </w:rPr>
        <w:t>[</w:t>
      </w:r>
      <w:r>
        <w:rPr>
          <w:rStyle w:val="33"/>
          <w:color w:val="auto"/>
          <w:highlight w:val="yellow"/>
        </w:rPr>
        <w:t>41]</w:t>
      </w:r>
      <w:r>
        <w:rPr>
          <w:rFonts w:hint="eastAsia"/>
          <w:color w:val="auto"/>
          <w:highlight w:val="yellow"/>
        </w:rPr>
        <w:t>。传统的统计假设检验中，研究者通常试图拒绝原假设，以证明样本间差异的显著性。然而，在数据集质量评估中，目标是证明两个分布足够接近。单纯</w:t>
      </w:r>
      <w:r>
        <w:rPr>
          <w:rFonts w:hint="eastAsia"/>
          <w:i w:val="0"/>
          <w:iCs w:val="0"/>
          <w:color w:val="auto"/>
          <w:highlight w:val="yellow"/>
        </w:rPr>
        <w:t>的</w:t>
      </w:r>
      <m:oMath>
        <m:r>
          <m:rPr>
            <m:nor/>
            <m:sty m:val="p"/>
          </m:rPr>
          <w:rPr>
            <w:rFonts w:hint="default" w:ascii="Times New Roman" w:hAnsi="Times New Roman" w:cs="Times New Roman"/>
            <w:b w:val="0"/>
            <w:i w:val="0"/>
            <w:iCs w:val="0"/>
            <w:color w:val="auto"/>
            <w:highlight w:val="yellow"/>
          </w:rPr>
          <m:t>p</m:t>
        </m:r>
      </m:oMath>
      <w:r>
        <w:rPr>
          <w:rFonts w:hint="eastAsia"/>
          <w:i w:val="0"/>
          <w:iCs w:val="0"/>
          <w:color w:val="auto"/>
          <w:highlight w:val="yellow"/>
        </w:rPr>
        <w:t>值不</w:t>
      </w:r>
      <w:r>
        <w:rPr>
          <w:rFonts w:hint="eastAsia"/>
          <w:color w:val="auto"/>
          <w:highlight w:val="yellow"/>
        </w:rPr>
        <w:t>显著并不能说明两者无显著差异，也就是统计学上的“无法拒绝原假设并不代表原假设成立”理论。</w:t>
      </w:r>
    </w:p>
    <w:p w14:paraId="6928DC07">
      <w:pPr>
        <w:ind w:firstLine="480"/>
        <w:rPr>
          <w:color w:val="auto"/>
          <w:highlight w:val="yellow"/>
        </w:rPr>
      </w:pPr>
      <w:r>
        <w:rPr>
          <w:rFonts w:hint="eastAsia"/>
          <w:color w:val="auto"/>
          <w:highlight w:val="yellow"/>
        </w:rPr>
        <w:t xml:space="preserve">TOST通过对等价性区间（Equivalence Margin, </w:t>
      </w:r>
      <m:oMath>
        <m:r>
          <m:rPr>
            <m:nor/>
            <m:sty m:val="p"/>
          </m:rPr>
          <w:rPr>
            <w:rFonts w:cs="Times New Roman"/>
            <w:b w:val="0"/>
            <w:i w:val="0"/>
            <w:color w:val="auto"/>
            <w:highlight w:val="yellow"/>
          </w:rPr>
          <m:t>Δ</m:t>
        </m:r>
      </m:oMath>
      <w:r>
        <w:rPr>
          <w:rFonts w:hint="eastAsia"/>
          <w:color w:val="auto"/>
          <w:highlight w:val="yellow"/>
        </w:rPr>
        <w:t>）的设定，通过判断两者差异在统计上是否落入一个可接受的微小区间内，来验证自动标注数据集与专家标注数据集在数据质量上是否具有统计学意义的等效性。其原理是通过同时执行两个方向相反的单侧假设检验，证明两组数据的指标均值差异被严格限制在预设的界限之内</w:t>
      </w:r>
      <w:r>
        <w:rPr>
          <w:rStyle w:val="33"/>
          <w:rFonts w:hint="eastAsia"/>
          <w:color w:val="auto"/>
          <w:highlight w:val="yellow"/>
        </w:rPr>
        <w:t>[41]</w:t>
      </w:r>
      <w:r>
        <w:rPr>
          <w:rFonts w:hint="eastAsia"/>
          <w:color w:val="auto"/>
          <w:highlight w:val="yellow"/>
        </w:rPr>
        <w:t>：</w:t>
      </w:r>
    </w:p>
    <w:p w14:paraId="5F8DDF01">
      <w:pPr>
        <w:ind w:firstLine="480"/>
        <w:rPr>
          <w:color w:val="auto"/>
          <w:highlight w:val="yellow"/>
        </w:rPr>
      </w:pPr>
      <m:oMathPara>
        <m:oMath>
          <m:eqArr>
            <m:eqArrPr>
              <m:maxDist m:val="1"/>
              <m:ctrlPr>
                <w:rPr>
                  <w:rFonts w:ascii="Cambria Math" w:hAnsi="Cambria Math" w:cs="Times New Roman"/>
                  <w:color w:val="auto"/>
                  <w:highlight w:val="yellow"/>
                </w:rPr>
              </m:ctrlPr>
            </m:eqArrPr>
            <m:e>
              <m:sSub>
                <m:sSubPr>
                  <m:ctrlPr>
                    <w:rPr>
                      <w:rFonts w:ascii="Cambria Math" w:hAnsi="Cambria Math" w:cs="Times New Roman"/>
                      <w:color w:val="auto"/>
                      <w:highlight w:val="yellow"/>
                    </w:rPr>
                  </m:ctrlPr>
                </m:sSubPr>
                <m:e>
                  <m:r>
                    <m:rPr>
                      <m:nor/>
                      <m:sty m:val="p"/>
                    </m:rPr>
                    <w:rPr>
                      <w:rFonts w:cs="Times New Roman"/>
                      <w:b w:val="0"/>
                      <w:i w:val="0"/>
                      <w:color w:val="auto"/>
                      <w:highlight w:val="yellow"/>
                    </w:rPr>
                    <m:t>H</m:t>
                  </m:r>
                  <m:ctrlPr>
                    <w:rPr>
                      <w:rFonts w:ascii="Cambria Math" w:hAnsi="Cambria Math" w:cs="Times New Roman"/>
                      <w:color w:val="auto"/>
                      <w:highlight w:val="yellow"/>
                    </w:rPr>
                  </m:ctrlPr>
                </m:e>
                <m:sub>
                  <m:r>
                    <m:rPr>
                      <m:nor/>
                      <m:sty m:val="p"/>
                    </m:rPr>
                    <w:rPr>
                      <w:rFonts w:cs="Times New Roman"/>
                      <w:b w:val="0"/>
                      <w:i w:val="0"/>
                      <w:color w:val="auto"/>
                      <w:highlight w:val="yellow"/>
                    </w:rPr>
                    <m:t>0</m:t>
                  </m:r>
                  <m:ctrlPr>
                    <w:rPr>
                      <w:rFonts w:ascii="Cambria Math" w:hAnsi="Cambria Math" w:cs="Times New Roman"/>
                      <w:color w:val="auto"/>
                      <w:highlight w:val="yellow"/>
                    </w:rPr>
                  </m:ctrlPr>
                </m:sub>
              </m:sSub>
              <m:r>
                <m:rPr>
                  <m:nor/>
                  <m:sty m:val="p"/>
                </m:rPr>
                <w:rPr>
                  <w:rFonts w:cs="Times New Roman"/>
                  <w:b w:val="0"/>
                  <w:i w:val="0"/>
                  <w:color w:val="auto"/>
                  <w:highlight w:val="yellow"/>
                </w:rPr>
                <m:t>:</m:t>
              </m:r>
              <m:d>
                <m:dPr>
                  <m:begChr m:val="|"/>
                  <m:endChr m:val="|"/>
                  <m:ctrlPr>
                    <w:rPr>
                      <w:rFonts w:ascii="Cambria Math" w:hAnsi="Cambria Math" w:cs="Times New Roman"/>
                      <w:color w:val="auto"/>
                      <w:highlight w:val="yellow"/>
                    </w:rPr>
                  </m:ctrlPr>
                </m:dPr>
                <m:e>
                  <m:sSub>
                    <m:sSubPr>
                      <m:ctrlPr>
                        <w:rPr>
                          <w:rFonts w:ascii="Cambria Math" w:hAnsi="Cambria Math" w:cs="Times New Roman"/>
                          <w:color w:val="auto"/>
                          <w:highlight w:val="yellow"/>
                        </w:rPr>
                      </m:ctrlPr>
                    </m:sSubPr>
                    <m:e>
                      <m:r>
                        <m:rPr>
                          <m:nor/>
                          <m:sty m:val="p"/>
                        </m:rPr>
                        <w:rPr>
                          <w:rFonts w:cs="Times New Roman"/>
                          <w:b w:val="0"/>
                          <w:i w:val="0"/>
                          <w:color w:val="auto"/>
                          <w:highlight w:val="yellow"/>
                        </w:rPr>
                        <m:t>μ</m:t>
                      </m:r>
                      <m:ctrlPr>
                        <w:rPr>
                          <w:rFonts w:ascii="Cambria Math" w:hAnsi="Cambria Math" w:cs="Times New Roman"/>
                          <w:color w:val="auto"/>
                          <w:highlight w:val="yellow"/>
                        </w:rPr>
                      </m:ctrlPr>
                    </m:e>
                    <m:sub>
                      <m:r>
                        <m:rPr>
                          <m:nor/>
                          <m:sty m:val="p"/>
                        </m:rPr>
                        <w:rPr>
                          <w:rFonts w:cs="Times New Roman"/>
                          <w:b w:val="0"/>
                          <w:i w:val="0"/>
                          <w:color w:val="auto"/>
                          <w:highlight w:val="yellow"/>
                        </w:rPr>
                        <m:t>1</m:t>
                      </m:r>
                      <m:ctrlPr>
                        <w:rPr>
                          <w:rFonts w:ascii="Cambria Math" w:hAnsi="Cambria Math" w:cs="Times New Roman"/>
                          <w:color w:val="auto"/>
                          <w:highlight w:val="yellow"/>
                        </w:rPr>
                      </m:ctrlPr>
                    </m:sub>
                  </m:sSub>
                  <m:r>
                    <m:rPr>
                      <m:nor/>
                      <m:sty m:val="p"/>
                    </m:rPr>
                    <w:rPr>
                      <w:rFonts w:cs="Times New Roman"/>
                      <w:b w:val="0"/>
                      <w:i w:val="0"/>
                      <w:color w:val="auto"/>
                      <w:highlight w:val="yellow"/>
                    </w:rPr>
                    <m:t>-</m:t>
                  </m:r>
                  <m:sSub>
                    <m:sSubPr>
                      <m:ctrlPr>
                        <w:rPr>
                          <w:rFonts w:ascii="Cambria Math" w:hAnsi="Cambria Math" w:cs="Times New Roman"/>
                          <w:color w:val="auto"/>
                          <w:highlight w:val="yellow"/>
                        </w:rPr>
                      </m:ctrlPr>
                    </m:sSubPr>
                    <m:e>
                      <m:r>
                        <m:rPr>
                          <m:nor/>
                          <m:sty m:val="p"/>
                        </m:rPr>
                        <w:rPr>
                          <w:rFonts w:cs="Times New Roman"/>
                          <w:b w:val="0"/>
                          <w:i w:val="0"/>
                          <w:color w:val="auto"/>
                          <w:highlight w:val="yellow"/>
                        </w:rPr>
                        <m:t>μ</m:t>
                      </m:r>
                      <m:ctrlPr>
                        <w:rPr>
                          <w:rFonts w:ascii="Cambria Math" w:hAnsi="Cambria Math" w:cs="Times New Roman"/>
                          <w:color w:val="auto"/>
                          <w:highlight w:val="yellow"/>
                        </w:rPr>
                      </m:ctrlPr>
                    </m:e>
                    <m:sub>
                      <m:r>
                        <m:rPr>
                          <m:nor/>
                          <m:sty m:val="p"/>
                        </m:rPr>
                        <w:rPr>
                          <w:rFonts w:cs="Times New Roman"/>
                          <w:b w:val="0"/>
                          <w:i w:val="0"/>
                          <w:color w:val="auto"/>
                          <w:highlight w:val="yellow"/>
                        </w:rPr>
                        <m:t>2</m:t>
                      </m:r>
                      <m:ctrlPr>
                        <w:rPr>
                          <w:rFonts w:ascii="Cambria Math" w:hAnsi="Cambria Math" w:cs="Times New Roman"/>
                          <w:color w:val="auto"/>
                          <w:highlight w:val="yellow"/>
                        </w:rPr>
                      </m:ctrlPr>
                    </m:sub>
                  </m:sSub>
                  <m:ctrlPr>
                    <w:rPr>
                      <w:rFonts w:ascii="Cambria Math" w:hAnsi="Cambria Math" w:cs="Times New Roman"/>
                      <w:color w:val="auto"/>
                      <w:highlight w:val="yellow"/>
                    </w:rPr>
                  </m:ctrlPr>
                </m:e>
              </m:d>
              <m:r>
                <m:rPr>
                  <m:nor/>
                  <m:sty m:val="p"/>
                </m:rPr>
                <w:rPr>
                  <w:rFonts w:cs="Times New Roman"/>
                  <w:b w:val="0"/>
                  <w:i w:val="0"/>
                  <w:color w:val="auto"/>
                  <w:highlight w:val="yellow"/>
                </w:rPr>
                <m:t>≥Δ</m:t>
              </m:r>
              <m:r>
                <m:rPr>
                  <m:sty m:val="p"/>
                </m:rPr>
                <w:rPr>
                  <w:rFonts w:ascii="Cambria Math" w:hAnsi="Cambria Math" w:cs="Times New Roman"/>
                  <w:color w:val="auto"/>
                  <w:highlight w:val="yellow"/>
                </w:rPr>
                <m:t>#</m:t>
              </m:r>
              <m:d>
                <m:dPr>
                  <m:ctrlPr>
                    <w:rPr>
                      <w:rFonts w:ascii="Cambria Math" w:hAnsi="Cambria Math" w:cs="Times New Roman"/>
                      <w:color w:val="auto"/>
                      <w:highlight w:val="yellow"/>
                    </w:rPr>
                  </m:ctrlPr>
                </m:dPr>
                <m:e>
                  <m:r>
                    <m:rPr>
                      <m:nor/>
                      <m:sty m:val="p"/>
                    </m:rPr>
                    <w:rPr>
                      <w:rFonts w:cs="Times New Roman"/>
                      <w:b w:val="0"/>
                      <w:i w:val="0"/>
                      <w:color w:val="auto"/>
                      <w:highlight w:val="yellow"/>
                    </w:rPr>
                    <m:t>2-1</m:t>
                  </m:r>
                  <m:ctrlPr>
                    <w:rPr>
                      <w:rFonts w:ascii="Cambria Math" w:hAnsi="Cambria Math" w:cs="Times New Roman"/>
                      <w:color w:val="auto"/>
                      <w:highlight w:val="yellow"/>
                    </w:rPr>
                  </m:ctrlPr>
                </m:e>
              </m:d>
              <m:ctrlPr>
                <w:rPr>
                  <w:rFonts w:ascii="Cambria Math" w:hAnsi="Cambria Math" w:cs="Times New Roman"/>
                  <w:color w:val="auto"/>
                  <w:highlight w:val="yellow"/>
                </w:rPr>
              </m:ctrlPr>
            </m:e>
          </m:eqArr>
        </m:oMath>
      </m:oMathPara>
    </w:p>
    <w:p w14:paraId="60B12571">
      <w:pPr>
        <w:ind w:firstLine="480"/>
        <w:rPr>
          <w:color w:val="auto"/>
          <w:highlight w:val="yellow"/>
        </w:rPr>
      </w:pPr>
      <m:oMathPara>
        <m:oMath>
          <m:eqArr>
            <m:eqArrPr>
              <m:maxDist m:val="1"/>
              <m:ctrlPr>
                <w:rPr>
                  <w:rFonts w:ascii="Cambria Math" w:hAnsi="Cambria Math" w:cs="Times New Roman"/>
                  <w:color w:val="auto"/>
                  <w:highlight w:val="yellow"/>
                </w:rPr>
              </m:ctrlPr>
            </m:eqArrPr>
            <m:e>
              <m:sSub>
                <m:sSubPr>
                  <m:ctrlPr>
                    <w:rPr>
                      <w:rFonts w:ascii="Cambria Math" w:hAnsi="Cambria Math" w:cs="Times New Roman"/>
                      <w:color w:val="auto"/>
                      <w:highlight w:val="yellow"/>
                    </w:rPr>
                  </m:ctrlPr>
                </m:sSubPr>
                <m:e>
                  <m:r>
                    <m:rPr>
                      <m:nor/>
                      <m:sty m:val="p"/>
                    </m:rPr>
                    <w:rPr>
                      <w:rFonts w:cs="Times New Roman"/>
                      <w:b w:val="0"/>
                      <w:i w:val="0"/>
                      <w:color w:val="auto"/>
                      <w:highlight w:val="yellow"/>
                    </w:rPr>
                    <m:t>H</m:t>
                  </m:r>
                  <m:ctrlPr>
                    <w:rPr>
                      <w:rFonts w:ascii="Cambria Math" w:hAnsi="Cambria Math" w:cs="Times New Roman"/>
                      <w:color w:val="auto"/>
                      <w:highlight w:val="yellow"/>
                    </w:rPr>
                  </m:ctrlPr>
                </m:e>
                <m:sub>
                  <m:r>
                    <m:rPr>
                      <m:nor/>
                      <m:sty m:val="p"/>
                    </m:rPr>
                    <w:rPr>
                      <w:rFonts w:cs="Times New Roman"/>
                      <w:b w:val="0"/>
                      <w:i w:val="0"/>
                      <w:color w:val="auto"/>
                      <w:highlight w:val="yellow"/>
                    </w:rPr>
                    <m:t>1</m:t>
                  </m:r>
                  <m:ctrlPr>
                    <w:rPr>
                      <w:rFonts w:ascii="Cambria Math" w:hAnsi="Cambria Math" w:cs="Times New Roman"/>
                      <w:color w:val="auto"/>
                      <w:highlight w:val="yellow"/>
                    </w:rPr>
                  </m:ctrlPr>
                </m:sub>
              </m:sSub>
              <m:r>
                <m:rPr>
                  <m:nor/>
                  <m:sty m:val="p"/>
                </m:rPr>
                <w:rPr>
                  <w:rFonts w:cs="Times New Roman"/>
                  <w:b w:val="0"/>
                  <w:i w:val="0"/>
                  <w:color w:val="auto"/>
                  <w:highlight w:val="yellow"/>
                </w:rPr>
                <m:t>:</m:t>
              </m:r>
              <m:d>
                <m:dPr>
                  <m:begChr m:val="|"/>
                  <m:endChr m:val="|"/>
                  <m:ctrlPr>
                    <w:rPr>
                      <w:rFonts w:ascii="Cambria Math" w:hAnsi="Cambria Math" w:cs="Times New Roman"/>
                      <w:color w:val="auto"/>
                      <w:highlight w:val="yellow"/>
                    </w:rPr>
                  </m:ctrlPr>
                </m:dPr>
                <m:e>
                  <m:sSub>
                    <m:sSubPr>
                      <m:ctrlPr>
                        <w:rPr>
                          <w:rFonts w:ascii="Cambria Math" w:hAnsi="Cambria Math" w:cs="Times New Roman"/>
                          <w:color w:val="auto"/>
                          <w:highlight w:val="yellow"/>
                        </w:rPr>
                      </m:ctrlPr>
                    </m:sSubPr>
                    <m:e>
                      <m:r>
                        <m:rPr>
                          <m:nor/>
                          <m:sty m:val="p"/>
                        </m:rPr>
                        <w:rPr>
                          <w:rFonts w:cs="Times New Roman"/>
                          <w:b w:val="0"/>
                          <w:i w:val="0"/>
                          <w:color w:val="auto"/>
                          <w:highlight w:val="yellow"/>
                        </w:rPr>
                        <m:t>μ</m:t>
                      </m:r>
                      <m:ctrlPr>
                        <w:rPr>
                          <w:rFonts w:ascii="Cambria Math" w:hAnsi="Cambria Math" w:cs="Times New Roman"/>
                          <w:color w:val="auto"/>
                          <w:highlight w:val="yellow"/>
                        </w:rPr>
                      </m:ctrlPr>
                    </m:e>
                    <m:sub>
                      <m:r>
                        <m:rPr>
                          <m:nor/>
                          <m:sty m:val="p"/>
                        </m:rPr>
                        <w:rPr>
                          <w:rFonts w:cs="Times New Roman"/>
                          <w:b w:val="0"/>
                          <w:i w:val="0"/>
                          <w:color w:val="auto"/>
                          <w:highlight w:val="yellow"/>
                        </w:rPr>
                        <m:t>1</m:t>
                      </m:r>
                      <m:ctrlPr>
                        <w:rPr>
                          <w:rFonts w:ascii="Cambria Math" w:hAnsi="Cambria Math" w:cs="Times New Roman"/>
                          <w:color w:val="auto"/>
                          <w:highlight w:val="yellow"/>
                        </w:rPr>
                      </m:ctrlPr>
                    </m:sub>
                  </m:sSub>
                  <m:r>
                    <m:rPr>
                      <m:nor/>
                      <m:sty m:val="p"/>
                    </m:rPr>
                    <w:rPr>
                      <w:rFonts w:cs="Times New Roman"/>
                      <w:b w:val="0"/>
                      <w:i w:val="0"/>
                      <w:color w:val="auto"/>
                      <w:highlight w:val="yellow"/>
                    </w:rPr>
                    <m:t>-</m:t>
                  </m:r>
                  <m:sSub>
                    <m:sSubPr>
                      <m:ctrlPr>
                        <w:rPr>
                          <w:rFonts w:ascii="Cambria Math" w:hAnsi="Cambria Math" w:cs="Times New Roman"/>
                          <w:color w:val="auto"/>
                          <w:highlight w:val="yellow"/>
                        </w:rPr>
                      </m:ctrlPr>
                    </m:sSubPr>
                    <m:e>
                      <m:r>
                        <m:rPr>
                          <m:nor/>
                          <m:sty m:val="p"/>
                        </m:rPr>
                        <w:rPr>
                          <w:rFonts w:cs="Times New Roman"/>
                          <w:b w:val="0"/>
                          <w:i w:val="0"/>
                          <w:color w:val="auto"/>
                          <w:highlight w:val="yellow"/>
                        </w:rPr>
                        <m:t>μ</m:t>
                      </m:r>
                      <m:ctrlPr>
                        <w:rPr>
                          <w:rFonts w:ascii="Cambria Math" w:hAnsi="Cambria Math" w:cs="Times New Roman"/>
                          <w:color w:val="auto"/>
                          <w:highlight w:val="yellow"/>
                        </w:rPr>
                      </m:ctrlPr>
                    </m:e>
                    <m:sub>
                      <m:r>
                        <m:rPr>
                          <m:nor/>
                          <m:sty m:val="p"/>
                        </m:rPr>
                        <w:rPr>
                          <w:rFonts w:cs="Times New Roman"/>
                          <w:b w:val="0"/>
                          <w:i w:val="0"/>
                          <w:color w:val="auto"/>
                          <w:highlight w:val="yellow"/>
                        </w:rPr>
                        <m:t>2</m:t>
                      </m:r>
                      <m:ctrlPr>
                        <w:rPr>
                          <w:rFonts w:ascii="Cambria Math" w:hAnsi="Cambria Math" w:cs="Times New Roman"/>
                          <w:color w:val="auto"/>
                          <w:highlight w:val="yellow"/>
                        </w:rPr>
                      </m:ctrlPr>
                    </m:sub>
                  </m:sSub>
                  <m:ctrlPr>
                    <w:rPr>
                      <w:rFonts w:ascii="Cambria Math" w:hAnsi="Cambria Math" w:cs="Times New Roman"/>
                      <w:color w:val="auto"/>
                      <w:highlight w:val="yellow"/>
                    </w:rPr>
                  </m:ctrlPr>
                </m:e>
              </m:d>
              <m:r>
                <m:rPr>
                  <m:nor/>
                  <m:sty m:val="p"/>
                </m:rPr>
                <w:rPr>
                  <w:rFonts w:cs="Times New Roman"/>
                  <w:b w:val="0"/>
                  <w:i w:val="0"/>
                  <w:color w:val="auto"/>
                  <w:highlight w:val="yellow"/>
                </w:rPr>
                <m:t>&lt;Δ</m:t>
              </m:r>
              <m:r>
                <m:rPr>
                  <m:sty m:val="p"/>
                </m:rPr>
                <w:rPr>
                  <w:rFonts w:ascii="Cambria Math" w:hAnsi="Cambria Math" w:cs="Times New Roman"/>
                  <w:color w:val="auto"/>
                  <w:highlight w:val="yellow"/>
                </w:rPr>
                <m:t>#</m:t>
              </m:r>
              <m:d>
                <m:dPr>
                  <m:ctrlPr>
                    <w:rPr>
                      <w:rFonts w:ascii="Cambria Math" w:hAnsi="Cambria Math" w:cs="Times New Roman"/>
                      <w:color w:val="auto"/>
                      <w:highlight w:val="yellow"/>
                    </w:rPr>
                  </m:ctrlPr>
                </m:dPr>
                <m:e>
                  <m:r>
                    <m:rPr>
                      <m:nor/>
                      <m:sty m:val="p"/>
                    </m:rPr>
                    <w:rPr>
                      <w:rFonts w:cs="Times New Roman"/>
                      <w:b w:val="0"/>
                      <w:i w:val="0"/>
                      <w:color w:val="auto"/>
                      <w:highlight w:val="yellow"/>
                    </w:rPr>
                    <m:t>2-2</m:t>
                  </m:r>
                  <m:ctrlPr>
                    <w:rPr>
                      <w:rFonts w:ascii="Cambria Math" w:hAnsi="Cambria Math" w:cs="Times New Roman"/>
                      <w:color w:val="auto"/>
                      <w:highlight w:val="yellow"/>
                    </w:rPr>
                  </m:ctrlPr>
                </m:e>
              </m:d>
              <m:ctrlPr>
                <w:rPr>
                  <w:rFonts w:ascii="Cambria Math" w:hAnsi="Cambria Math" w:cs="Times New Roman"/>
                  <w:color w:val="auto"/>
                  <w:highlight w:val="yellow"/>
                </w:rPr>
              </m:ctrlPr>
            </m:e>
          </m:eqArr>
        </m:oMath>
      </m:oMathPara>
    </w:p>
    <w:p w14:paraId="06F65877">
      <w:pPr>
        <w:ind w:firstLine="480"/>
        <w:rPr>
          <w:color w:val="auto"/>
          <w:highlight w:val="yellow"/>
        </w:rPr>
      </w:pPr>
      <w:r>
        <w:rPr>
          <w:rFonts w:hint="eastAsia"/>
          <w:color w:val="auto"/>
          <w:highlight w:val="yellow"/>
        </w:rPr>
        <w:t>其中，</w:t>
      </w:r>
      <m:oMath>
        <m:sSub>
          <m:sSubPr>
            <m:ctrlPr>
              <w:rPr>
                <w:rFonts w:ascii="Cambria Math" w:hAnsi="Cambria Math"/>
                <w:color w:val="auto"/>
                <w:highlight w:val="yellow"/>
              </w:rPr>
            </m:ctrlPr>
          </m:sSubPr>
          <m:e>
            <m:r>
              <m:rPr>
                <m:sty m:val="p"/>
              </m:rPr>
              <w:rPr>
                <w:rFonts w:ascii="Cambria Math" w:hAnsi="Cambria Math"/>
                <w:color w:val="auto"/>
                <w:highlight w:val="yellow"/>
              </w:rPr>
              <m:t>μ</m:t>
            </m:r>
            <m:ctrlPr>
              <w:rPr>
                <w:rFonts w:ascii="Cambria Math" w:hAnsi="Cambria Math"/>
                <w:color w:val="auto"/>
                <w:highlight w:val="yellow"/>
              </w:rPr>
            </m:ctrlPr>
          </m:e>
          <m:sub>
            <m:r>
              <m:rPr>
                <m:sty m:val="p"/>
              </m:rPr>
              <w:rPr>
                <w:rFonts w:ascii="Cambria Math" w:hAnsi="Cambria Math"/>
                <w:color w:val="auto"/>
                <w:highlight w:val="yellow"/>
              </w:rPr>
              <m:t>1</m:t>
            </m:r>
            <m:ctrlPr>
              <w:rPr>
                <w:rFonts w:ascii="Cambria Math" w:hAnsi="Cambria Math"/>
                <w:color w:val="auto"/>
                <w:highlight w:val="yellow"/>
              </w:rPr>
            </m:ctrlPr>
          </m:sub>
        </m:sSub>
      </m:oMath>
      <w:r>
        <w:rPr>
          <w:rFonts w:hint="eastAsia"/>
          <w:color w:val="auto"/>
          <w:highlight w:val="yellow"/>
        </w:rPr>
        <w:t xml:space="preserve">与 </w:t>
      </w:r>
      <m:oMath>
        <m:sSub>
          <m:sSubPr>
            <m:ctrlPr>
              <w:rPr>
                <w:rFonts w:ascii="Cambria Math" w:hAnsi="Cambria Math"/>
                <w:color w:val="auto"/>
                <w:highlight w:val="yellow"/>
              </w:rPr>
            </m:ctrlPr>
          </m:sSubPr>
          <m:e>
            <m:r>
              <m:rPr>
                <m:sty m:val="p"/>
              </m:rPr>
              <w:rPr>
                <w:rFonts w:ascii="Cambria Math" w:hAnsi="Cambria Math"/>
                <w:color w:val="auto"/>
                <w:highlight w:val="yellow"/>
              </w:rPr>
              <m:t>μ</m:t>
            </m:r>
            <m:ctrlPr>
              <w:rPr>
                <w:rFonts w:ascii="Cambria Math" w:hAnsi="Cambria Math"/>
                <w:color w:val="auto"/>
                <w:highlight w:val="yellow"/>
              </w:rPr>
            </m:ctrlPr>
          </m:e>
          <m:sub>
            <m:r>
              <m:rPr>
                <m:sty m:val="p"/>
              </m:rPr>
              <w:rPr>
                <w:rFonts w:ascii="Cambria Math" w:hAnsi="Cambria Math"/>
                <w:color w:val="auto"/>
                <w:highlight w:val="yellow"/>
              </w:rPr>
              <m:t>2</m:t>
            </m:r>
            <m:ctrlPr>
              <w:rPr>
                <w:rFonts w:ascii="Cambria Math" w:hAnsi="Cambria Math"/>
                <w:color w:val="auto"/>
                <w:highlight w:val="yellow"/>
              </w:rPr>
            </m:ctrlPr>
          </m:sub>
        </m:sSub>
      </m:oMath>
      <w:r>
        <w:rPr>
          <w:rFonts w:hint="eastAsia"/>
          <w:color w:val="auto"/>
          <w:highlight w:val="yellow"/>
        </w:rPr>
        <w:t>分别代表不同标注来源的准确率基准与观测值。当且仅当两者差异的置信区间完全落在</w:t>
      </w:r>
      <m:oMath>
        <m:r>
          <m:rPr>
            <m:nor/>
            <m:sty m:val="p"/>
          </m:rPr>
          <w:rPr>
            <w:rFonts w:cs="Times New Roman"/>
            <w:b w:val="0"/>
            <w:i w:val="0"/>
            <w:color w:val="auto"/>
            <w:highlight w:val="yellow"/>
          </w:rPr>
          <m:t>(-Δ,Δ)</m:t>
        </m:r>
      </m:oMath>
      <w:r>
        <w:rPr>
          <w:rFonts w:hint="eastAsia"/>
          <w:color w:val="auto"/>
          <w:highlight w:val="yellow"/>
        </w:rPr>
        <w:t>这一等价区间内时，方可拒绝原假设</w:t>
      </w:r>
      <m:oMath>
        <m:sSub>
          <m:sSubPr>
            <m:ctrlPr>
              <w:rPr>
                <w:rFonts w:ascii="Cambria Math" w:hAnsi="Cambria Math"/>
                <w:i/>
                <w:color w:val="auto"/>
                <w:highlight w:val="yellow"/>
              </w:rPr>
            </m:ctrlPr>
          </m:sSubPr>
          <m:e>
            <m:r>
              <m:rPr/>
              <w:rPr>
                <w:rFonts w:ascii="Cambria Math" w:hAnsi="Cambria Math"/>
                <w:color w:val="auto"/>
                <w:highlight w:val="yellow"/>
              </w:rPr>
              <m:t>H</m:t>
            </m:r>
            <m:ctrlPr>
              <w:rPr>
                <w:rFonts w:ascii="Cambria Math" w:hAnsi="Cambria Math"/>
                <w:i/>
                <w:color w:val="auto"/>
                <w:highlight w:val="yellow"/>
              </w:rPr>
            </m:ctrlPr>
          </m:e>
          <m:sub>
            <m:r>
              <m:rPr/>
              <w:rPr>
                <w:rFonts w:ascii="Cambria Math" w:hAnsi="Cambria Math"/>
                <w:color w:val="auto"/>
                <w:highlight w:val="yellow"/>
              </w:rPr>
              <m:t>0</m:t>
            </m:r>
            <m:ctrlPr>
              <w:rPr>
                <w:rFonts w:ascii="Cambria Math" w:hAnsi="Cambria Math"/>
                <w:i/>
                <w:color w:val="auto"/>
                <w:highlight w:val="yellow"/>
              </w:rPr>
            </m:ctrlPr>
          </m:sub>
        </m:sSub>
      </m:oMath>
      <w:r>
        <w:rPr>
          <w:rFonts w:hint="eastAsia"/>
          <w:color w:val="auto"/>
          <w:highlight w:val="yellow"/>
        </w:rPr>
        <w:t>，认定自动标注数据集在质量层面与专家标注数据集具有统计学意义上的等价性。</w:t>
      </w:r>
    </w:p>
    <w:p w14:paraId="33AC7CBC">
      <w:pPr>
        <w:pStyle w:val="3"/>
        <w:numPr>
          <w:ilvl w:val="1"/>
          <w:numId w:val="1"/>
        </w:numPr>
        <w:tabs>
          <w:tab w:val="clear" w:pos="420"/>
        </w:tabs>
        <w:rPr>
          <w:color w:val="auto"/>
          <w:highlight w:val="yellow"/>
        </w:rPr>
      </w:pPr>
      <w:bookmarkStart w:id="79" w:name="_Toc3445"/>
      <w:bookmarkStart w:id="80" w:name="_Toc229086868"/>
      <w:r>
        <w:rPr>
          <w:rFonts w:hint="eastAsia"/>
          <w:color w:val="auto"/>
          <w:highlight w:val="yellow"/>
        </w:rPr>
        <w:t>语义表征与分类模型</w:t>
      </w:r>
      <w:bookmarkEnd w:id="79"/>
      <w:bookmarkEnd w:id="80"/>
    </w:p>
    <w:p w14:paraId="7B3A1847">
      <w:pPr>
        <w:ind w:firstLine="480"/>
        <w:rPr>
          <w:color w:val="auto"/>
          <w:highlight w:val="yellow"/>
        </w:rPr>
      </w:pPr>
      <w:r>
        <w:rPr>
          <w:rFonts w:hint="eastAsia"/>
          <w:color w:val="auto"/>
          <w:highlight w:val="yellow"/>
        </w:rPr>
        <w:t>文本分类技术经历了从统计学特征到深度语义表征的演进历程。针对医疗器械专利这一垂直领域的特殊性，分析各阶段主流模型在本研究任务中的适配性与局限性，为后续模型的构建奠定理论基础。</w:t>
      </w:r>
    </w:p>
    <w:p w14:paraId="7EC24FC7">
      <w:pPr>
        <w:pStyle w:val="4"/>
        <w:numPr>
          <w:ilvl w:val="2"/>
          <w:numId w:val="1"/>
        </w:numPr>
        <w:tabs>
          <w:tab w:val="clear" w:pos="420"/>
        </w:tabs>
        <w:rPr>
          <w:color w:val="auto"/>
        </w:rPr>
      </w:pPr>
      <w:bookmarkStart w:id="81" w:name="_Toc229086869"/>
      <w:bookmarkStart w:id="82" w:name="_Toc16089"/>
      <w:r>
        <w:rPr>
          <w:rFonts w:hint="eastAsia"/>
          <w:color w:val="auto"/>
        </w:rPr>
        <w:t>传统机器学习模型</w:t>
      </w:r>
      <w:bookmarkEnd w:id="81"/>
      <w:bookmarkEnd w:id="82"/>
    </w:p>
    <w:p w14:paraId="7F7B8C63">
      <w:pPr>
        <w:ind w:firstLine="480"/>
        <w:rPr>
          <w:color w:val="auto"/>
        </w:rPr>
      </w:pPr>
      <w:r>
        <w:rPr>
          <w:rFonts w:hint="eastAsia"/>
          <w:color w:val="auto"/>
        </w:rPr>
        <w:t>传统机器学习模型通常以TF-IDF、N-gram等统计特征作为输入，再通过分类器完成文本类别预测。这类方法结构清晰、训练成本较低。但在医疗器械专利分类任务中，统计特征难以表达专业术语之间的语义关系，也难以处理专利技术描述与监管目录类别之间的跨体系对应关系。因此，传统机器学习模型仅作为与本文构建的分类模型进行性能对比的基线模型。</w:t>
      </w:r>
    </w:p>
    <w:p w14:paraId="41C59EFC">
      <w:pPr>
        <w:numPr>
          <w:ilvl w:val="0"/>
          <w:numId w:val="5"/>
        </w:numPr>
        <w:ind w:firstLine="480" w:firstLineChars="0"/>
        <w:rPr>
          <w:color w:val="auto"/>
        </w:rPr>
      </w:pPr>
      <w:r>
        <w:rPr>
          <w:rFonts w:hint="eastAsia"/>
          <w:color w:val="auto"/>
        </w:rPr>
        <w:t>逻辑回归（LR）</w:t>
      </w:r>
    </w:p>
    <w:p w14:paraId="55710E79">
      <w:pPr>
        <w:ind w:firstLine="480"/>
        <w:rPr>
          <w:color w:val="auto"/>
        </w:rPr>
      </w:pPr>
      <w:r>
        <w:rPr>
          <w:rFonts w:hint="eastAsia"/>
          <w:color w:val="auto"/>
        </w:rPr>
        <w:t>LR是自然语言处理领域常用的判别式分类的基本方法</w:t>
      </w:r>
      <w:r>
        <w:rPr>
          <w:rStyle w:val="32"/>
          <w:color w:val="auto"/>
        </w:rPr>
        <w:fldChar w:fldCharType="begin"/>
      </w:r>
      <w:r>
        <w:rPr>
          <w:rStyle w:val="32"/>
          <w:color w:val="auto"/>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color w:val="auto"/>
        </w:rPr>
        <w:fldChar w:fldCharType="separate"/>
      </w:r>
      <w:r>
        <w:rPr>
          <w:rFonts w:cs="Times New Roman"/>
          <w:color w:val="auto"/>
          <w:kern w:val="0"/>
          <w:sz w:val="21"/>
          <w:vertAlign w:val="superscript"/>
        </w:rPr>
        <w:t>[42]</w:t>
      </w:r>
      <w:r>
        <w:rPr>
          <w:rStyle w:val="32"/>
          <w:color w:val="auto"/>
        </w:rPr>
        <w:fldChar w:fldCharType="end"/>
      </w:r>
      <w:r>
        <w:rPr>
          <w:rFonts w:hint="eastAsia"/>
          <w:color w:val="auto"/>
        </w:rPr>
        <w:t>。其思路是将输入特征进行加权求和之后再使用Sigmoid函数将其映射到(0,1)之间得到一个直观的概率预测值。尽管通过引入L1/L2正则可增强模型的稀疏性并抑制过拟合，但LR本质上仍属于线性分类器，难以捕捉专利文本中复杂的非线性语义逻辑。</w:t>
      </w:r>
    </w:p>
    <w:p w14:paraId="6D452B7E">
      <w:pPr>
        <w:numPr>
          <w:ilvl w:val="0"/>
          <w:numId w:val="5"/>
        </w:numPr>
        <w:ind w:firstLine="480" w:firstLineChars="0"/>
        <w:rPr>
          <w:color w:val="auto"/>
        </w:rPr>
      </w:pPr>
      <w:r>
        <w:rPr>
          <w:rFonts w:hint="eastAsia"/>
          <w:color w:val="auto"/>
        </w:rPr>
        <w:t>K最近邻（KNN）</w:t>
      </w:r>
    </w:p>
    <w:p w14:paraId="11A2846D">
      <w:pPr>
        <w:ind w:firstLine="480"/>
        <w:rPr>
          <w:color w:val="auto"/>
        </w:rPr>
      </w:pPr>
      <w:r>
        <w:rPr>
          <w:rFonts w:hint="eastAsia"/>
          <w:color w:val="auto"/>
        </w:rPr>
        <w:t>KNN是基于实例的一种懒惰学习方法，在KNN中相似文档在向量空间中距离较近并且具有相同的类别</w:t>
      </w:r>
      <w:r>
        <w:rPr>
          <w:rStyle w:val="32"/>
          <w:color w:val="auto"/>
        </w:rPr>
        <w:fldChar w:fldCharType="begin"/>
      </w:r>
      <w:r>
        <w:rPr>
          <w:rStyle w:val="32"/>
          <w:color w:val="auto"/>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color w:val="auto"/>
        </w:rPr>
        <w:fldChar w:fldCharType="separate"/>
      </w:r>
      <w:r>
        <w:rPr>
          <w:rFonts w:cs="Times New Roman"/>
          <w:color w:val="auto"/>
          <w:kern w:val="0"/>
          <w:sz w:val="21"/>
          <w:vertAlign w:val="superscript"/>
        </w:rPr>
        <w:t>[43]</w:t>
      </w:r>
      <w:r>
        <w:rPr>
          <w:rStyle w:val="32"/>
          <w:color w:val="auto"/>
        </w:rPr>
        <w:fldChar w:fldCharType="end"/>
      </w:r>
      <w:r>
        <w:rPr>
          <w:rFonts w:hint="eastAsia"/>
          <w:color w:val="auto"/>
        </w:rPr>
        <w:t>。虽然基于余弦相似度的距离计算更适合文本任务，但在处理高维稀疏的医疗专利数据时，维数灾难导致计算量巨大，且无法识别术语间的同义关系。</w:t>
      </w:r>
    </w:p>
    <w:p w14:paraId="22BF029F">
      <w:pPr>
        <w:numPr>
          <w:ilvl w:val="0"/>
          <w:numId w:val="5"/>
        </w:numPr>
        <w:ind w:firstLine="480" w:firstLineChars="0"/>
        <w:rPr>
          <w:color w:val="auto"/>
        </w:rPr>
      </w:pPr>
      <w:r>
        <w:rPr>
          <w:rFonts w:hint="eastAsia"/>
          <w:color w:val="auto"/>
        </w:rPr>
        <w:t>随机森林（RF）</w:t>
      </w:r>
    </w:p>
    <w:p w14:paraId="14D44A02">
      <w:pPr>
        <w:ind w:firstLine="480"/>
        <w:rPr>
          <w:color w:val="auto"/>
        </w:rPr>
      </w:pPr>
      <w:r>
        <w:rPr>
          <w:rFonts w:hint="eastAsia"/>
          <w:color w:val="auto"/>
        </w:rPr>
        <w:t>RF是建立在决策树基础上的一种集成学习方法，在许多决策树基础上进行投票以减少过拟合带来的不良影响，提高模型鲁棒性</w:t>
      </w:r>
      <w:r>
        <w:rPr>
          <w:rStyle w:val="32"/>
          <w:color w:val="auto"/>
        </w:rPr>
        <w:fldChar w:fldCharType="begin"/>
      </w:r>
      <w:r>
        <w:rPr>
          <w:rStyle w:val="32"/>
          <w:color w:val="auto"/>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color w:val="auto"/>
        </w:rPr>
        <w:fldChar w:fldCharType="separate"/>
      </w:r>
      <w:r>
        <w:rPr>
          <w:rFonts w:cs="Times New Roman"/>
          <w:color w:val="auto"/>
          <w:kern w:val="0"/>
          <w:sz w:val="21"/>
          <w:vertAlign w:val="superscript"/>
        </w:rPr>
        <w:t>[44]</w:t>
      </w:r>
      <w:r>
        <w:rPr>
          <w:rStyle w:val="32"/>
          <w:color w:val="auto"/>
        </w:rPr>
        <w:fldChar w:fldCharType="end"/>
      </w:r>
      <w:r>
        <w:rPr>
          <w:rFonts w:hint="eastAsia"/>
          <w:color w:val="auto"/>
        </w:rPr>
        <w:t>。它的基本原理是Bootstrap Aggregating，在样本以及特征选取上具有一定的随机性。RF作为一种基于集成思想的模型虽然可以学习到复杂的非线性关系，但受限于TF-IDF的浅层统计特征，其无法理解医疗器械专利中极具判别性的技术上下文语义。</w:t>
      </w:r>
    </w:p>
    <w:p w14:paraId="2F27E3B4">
      <w:pPr>
        <w:numPr>
          <w:ilvl w:val="0"/>
          <w:numId w:val="5"/>
        </w:numPr>
        <w:ind w:firstLine="480" w:firstLineChars="0"/>
        <w:rPr>
          <w:color w:val="auto"/>
        </w:rPr>
      </w:pPr>
      <w:r>
        <w:rPr>
          <w:rFonts w:hint="eastAsia"/>
          <w:color w:val="auto"/>
        </w:rPr>
        <w:t>XGBoost</w:t>
      </w:r>
    </w:p>
    <w:p w14:paraId="285733FA">
      <w:pPr>
        <w:ind w:firstLine="480"/>
        <w:rPr>
          <w:color w:val="auto"/>
        </w:rPr>
      </w:pPr>
      <w:r>
        <w:rPr>
          <w:rFonts w:hint="eastAsia"/>
          <w:color w:val="auto"/>
        </w:rPr>
        <w:t>XGBoost（eXtreme Gradient Boosting）是Gradient Boosting Decision Tree的一个更快速、更强大的版本，被大量应用于文本分类领域</w:t>
      </w:r>
      <w:r>
        <w:rPr>
          <w:rStyle w:val="32"/>
          <w:color w:val="auto"/>
        </w:rPr>
        <w:fldChar w:fldCharType="begin"/>
      </w:r>
      <w:r>
        <w:rPr>
          <w:rStyle w:val="32"/>
          <w:color w:val="auto"/>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color w:val="auto"/>
        </w:rPr>
        <w:fldChar w:fldCharType="separate"/>
      </w:r>
      <w:r>
        <w:rPr>
          <w:rFonts w:cs="Times New Roman"/>
          <w:color w:val="auto"/>
          <w:kern w:val="0"/>
          <w:sz w:val="21"/>
          <w:vertAlign w:val="superscript"/>
        </w:rPr>
        <w:t>[45]</w:t>
      </w:r>
      <w:r>
        <w:rPr>
          <w:rStyle w:val="32"/>
          <w:color w:val="auto"/>
        </w:rPr>
        <w:fldChar w:fldCharType="end"/>
      </w:r>
      <w:r>
        <w:rPr>
          <w:rFonts w:hint="eastAsia"/>
          <w:color w:val="auto"/>
        </w:rPr>
        <w:t>，它的预测结果是每棵树预测结果求和之后再乘以相应权重。</w:t>
      </w:r>
    </w:p>
    <w:p w14:paraId="3471D184">
      <w:pPr>
        <w:widowControl/>
        <w:spacing w:line="10" w:lineRule="atLeast"/>
        <w:ind w:firstLine="480"/>
        <w:jc w:val="left"/>
        <w:rPr>
          <w:iCs/>
          <w:color w:val="auto"/>
        </w:rPr>
      </w:pPr>
      <m:oMathPara>
        <m:oMath>
          <m:eqArr>
            <m:eqArrPr>
              <m:maxDist m:val="1"/>
              <m:ctrlPr>
                <w:rPr>
                  <w:rFonts w:ascii="Cambria Math" w:hAnsi="Cambria Math" w:eastAsia="MS Mincho" w:cs="Times New Roman"/>
                  <w:iCs/>
                  <w:color w:val="auto"/>
                </w:rPr>
              </m:ctrlPr>
            </m:eqArrPr>
            <m:e>
              <m:sSub>
                <m:sSubPr>
                  <m:ctrlPr>
                    <w:rPr>
                      <w:rFonts w:ascii="Cambria Math" w:hAnsi="Cambria Math" w:cs="Times New Roman"/>
                      <w:iCs/>
                      <w:color w:val="auto"/>
                    </w:rPr>
                  </m:ctrlPr>
                </m:sSubPr>
                <m:e>
                  <m:acc>
                    <m:accPr>
                      <m:ctrlPr>
                        <w:rPr>
                          <w:rFonts w:ascii="Cambria Math" w:hAnsi="Cambria Math" w:cs="Times New Roman"/>
                          <w:iCs/>
                          <w:color w:val="auto"/>
                        </w:rPr>
                      </m:ctrlPr>
                    </m:accPr>
                    <m:e>
                      <m:r>
                        <m:rPr>
                          <m:nor/>
                          <m:sty m:val="p"/>
                        </m:rPr>
                        <w:rPr>
                          <w:rFonts w:cs="Times New Roman"/>
                          <w:b w:val="0"/>
                          <w:i w:val="0"/>
                          <w:iCs/>
                          <w:color w:val="auto"/>
                        </w:rPr>
                        <m:t>y</m:t>
                      </m:r>
                      <m:ctrlPr>
                        <w:rPr>
                          <w:rFonts w:ascii="Cambria Math" w:hAnsi="Cambria Math" w:cs="Times New Roman"/>
                          <w:iCs/>
                          <w:color w:val="auto"/>
                        </w:rPr>
                      </m:ctrlPr>
                    </m:e>
                  </m:acc>
                  <m:ctrlPr>
                    <w:rPr>
                      <w:rFonts w:ascii="Cambria Math" w:hAnsi="Cambria Math" w:cs="Times New Roman"/>
                      <w:iCs/>
                      <w:color w:val="auto"/>
                    </w:rPr>
                  </m:ctrlPr>
                </m:e>
                <m:sub>
                  <m:r>
                    <m:rPr>
                      <m:nor/>
                      <m:sty m:val="p"/>
                    </m:rPr>
                    <w:rPr>
                      <w:rFonts w:cs="Times New Roman"/>
                      <w:b w:val="0"/>
                      <w:i w:val="0"/>
                      <w:iCs/>
                      <w:color w:val="auto"/>
                    </w:rPr>
                    <m:t>i</m:t>
                  </m:r>
                  <m:ctrlPr>
                    <w:rPr>
                      <w:rFonts w:ascii="Cambria Math" w:hAnsi="Cambria Math" w:cs="Times New Roman"/>
                      <w:iCs/>
                      <w:color w:val="auto"/>
                    </w:rPr>
                  </m:ctrlPr>
                </m:sub>
              </m:sSub>
              <m:r>
                <m:rPr>
                  <m:nor/>
                  <m:sty m:val="p"/>
                </m:rPr>
                <w:rPr>
                  <w:rFonts w:cs="Times New Roman"/>
                  <w:b w:val="0"/>
                  <w:i w:val="0"/>
                  <w:iCs/>
                  <w:color w:val="auto"/>
                </w:rPr>
                <m:t>=</m:t>
              </m:r>
              <m:nary>
                <m:naryPr>
                  <m:chr m:val="∑"/>
                  <m:limLoc m:val="undOvr"/>
                  <m:ctrlPr>
                    <w:rPr>
                      <w:rFonts w:ascii="Cambria Math" w:hAnsi="Cambria Math" w:cs="Times New Roman"/>
                      <w:iCs/>
                      <w:color w:val="auto"/>
                    </w:rPr>
                  </m:ctrlPr>
                </m:naryPr>
                <m:sub>
                  <m:r>
                    <m:rPr>
                      <m:nor/>
                      <m:sty m:val="p"/>
                    </m:rPr>
                    <w:rPr>
                      <w:rFonts w:cs="Times New Roman"/>
                      <w:b w:val="0"/>
                      <w:i w:val="0"/>
                      <w:iCs/>
                      <w:color w:val="auto"/>
                    </w:rPr>
                    <m:t>k=1</m:t>
                  </m:r>
                  <m:ctrlPr>
                    <w:rPr>
                      <w:rFonts w:ascii="Cambria Math" w:hAnsi="Cambria Math" w:cs="Times New Roman"/>
                      <w:iCs/>
                      <w:color w:val="auto"/>
                    </w:rPr>
                  </m:ctrlPr>
                </m:sub>
                <m:sup>
                  <m:r>
                    <m:rPr>
                      <m:nor/>
                      <m:sty m:val="p"/>
                    </m:rPr>
                    <w:rPr>
                      <w:rFonts w:cs="Times New Roman"/>
                      <w:b w:val="0"/>
                      <w:i w:val="0"/>
                      <w:iCs/>
                      <w:color w:val="auto"/>
                    </w:rPr>
                    <m:t>K</m:t>
                  </m:r>
                  <m:ctrlPr>
                    <w:rPr>
                      <w:rFonts w:ascii="Cambria Math" w:hAnsi="Cambria Math" w:cs="Times New Roman"/>
                      <w:iCs/>
                      <w:color w:val="auto"/>
                    </w:rPr>
                  </m:ctrlPr>
                </m:sup>
                <m:e>
                  <m:sSub>
                    <m:sSubPr>
                      <m:ctrlPr>
                        <w:rPr>
                          <w:rFonts w:ascii="Cambria Math" w:hAnsi="Cambria Math" w:cs="Times New Roman"/>
                          <w:iCs/>
                          <w:color w:val="auto"/>
                        </w:rPr>
                      </m:ctrlPr>
                    </m:sSubPr>
                    <m:e>
                      <m:r>
                        <m:rPr>
                          <m:nor/>
                          <m:sty m:val="p"/>
                        </m:rPr>
                        <w:rPr>
                          <w:rFonts w:cs="Times New Roman"/>
                          <w:b w:val="0"/>
                          <w:i w:val="0"/>
                          <w:iCs/>
                          <w:color w:val="auto"/>
                        </w:rPr>
                        <m:t>f</m:t>
                      </m:r>
                      <m:ctrlPr>
                        <w:rPr>
                          <w:rFonts w:ascii="Cambria Math" w:hAnsi="Cambria Math" w:cs="Times New Roman"/>
                          <w:iCs/>
                          <w:color w:val="auto"/>
                        </w:rPr>
                      </m:ctrlPr>
                    </m:e>
                    <m:sub>
                      <m:r>
                        <m:rPr>
                          <m:nor/>
                          <m:sty m:val="p"/>
                        </m:rPr>
                        <w:rPr>
                          <w:rFonts w:cs="Times New Roman"/>
                          <w:b w:val="0"/>
                          <w:i w:val="0"/>
                          <w:iCs/>
                          <w:color w:val="auto"/>
                        </w:rPr>
                        <m:t>k</m:t>
                      </m:r>
                      <m:ctrlPr>
                        <w:rPr>
                          <w:rFonts w:ascii="Cambria Math" w:hAnsi="Cambria Math" w:cs="Times New Roman"/>
                          <w:iCs/>
                          <w:color w:val="auto"/>
                        </w:rPr>
                      </m:ctrlPr>
                    </m:sub>
                  </m:sSub>
                  <m:ctrlPr>
                    <w:rPr>
                      <w:rFonts w:ascii="Cambria Math" w:hAnsi="Cambria Math" w:cs="Times New Roman"/>
                      <w:iCs/>
                      <w:color w:val="auto"/>
                    </w:rPr>
                  </m:ctrlPr>
                </m:e>
              </m:nary>
              <m:d>
                <m:dPr>
                  <m:ctrlPr>
                    <w:rPr>
                      <w:rFonts w:ascii="Cambria Math" w:hAnsi="Cambria Math" w:cs="Times New Roman"/>
                      <w:iCs/>
                      <w:color w:val="auto"/>
                    </w:rPr>
                  </m:ctrlPr>
                </m:dPr>
                <m:e>
                  <m:sSub>
                    <m:sSubPr>
                      <m:ctrlPr>
                        <w:rPr>
                          <w:rFonts w:ascii="Cambria Math" w:hAnsi="Cambria Math" w:cs="Times New Roman"/>
                          <w:iCs/>
                          <w:color w:val="auto"/>
                        </w:rPr>
                      </m:ctrlPr>
                    </m:sSubPr>
                    <m:e>
                      <m:r>
                        <m:rPr>
                          <m:nor/>
                          <m:sty m:val="p"/>
                        </m:rPr>
                        <w:rPr>
                          <w:rFonts w:cs="Times New Roman"/>
                          <w:b w:val="0"/>
                          <w:i w:val="0"/>
                          <w:iCs/>
                          <w:color w:val="auto"/>
                        </w:rPr>
                        <m:t>x</m:t>
                      </m:r>
                      <m:ctrlPr>
                        <w:rPr>
                          <w:rFonts w:ascii="Cambria Math" w:hAnsi="Cambria Math" w:cs="Times New Roman"/>
                          <w:iCs/>
                          <w:color w:val="auto"/>
                        </w:rPr>
                      </m:ctrlPr>
                    </m:e>
                    <m:sub>
                      <m:r>
                        <m:rPr>
                          <m:nor/>
                          <m:sty m:val="p"/>
                        </m:rPr>
                        <w:rPr>
                          <w:rFonts w:cs="Times New Roman"/>
                          <w:b w:val="0"/>
                          <w:i w:val="0"/>
                          <w:iCs/>
                          <w:color w:val="auto"/>
                        </w:rPr>
                        <m:t>i</m:t>
                      </m:r>
                      <m:ctrlPr>
                        <w:rPr>
                          <w:rFonts w:ascii="Cambria Math" w:hAnsi="Cambria Math" w:cs="Times New Roman"/>
                          <w:iCs/>
                          <w:color w:val="auto"/>
                        </w:rPr>
                      </m:ctrlPr>
                    </m:sub>
                  </m:sSub>
                  <m:ctrlPr>
                    <w:rPr>
                      <w:rFonts w:ascii="Cambria Math" w:hAnsi="Cambria Math" w:cs="Times New Roman"/>
                      <w:iCs/>
                      <w:color w:val="auto"/>
                    </w:rPr>
                  </m:ctrlPr>
                </m:e>
              </m:d>
              <m:r>
                <m:rPr>
                  <m:nor/>
                  <m:sty m:val="p"/>
                </m:rPr>
                <w:rPr>
                  <w:rFonts w:cs="Times New Roman"/>
                  <w:b w:val="0"/>
                  <w:i w:val="0"/>
                  <w:iCs/>
                  <w:color w:val="auto"/>
                </w:rPr>
                <m:t>,</m:t>
              </m:r>
              <m:sSub>
                <m:sSubPr>
                  <m:ctrlPr>
                    <w:rPr>
                      <w:rFonts w:ascii="Cambria Math" w:hAnsi="Cambria Math" w:cs="Times New Roman"/>
                      <w:iCs/>
                      <w:color w:val="auto"/>
                    </w:rPr>
                  </m:ctrlPr>
                </m:sSubPr>
                <m:e>
                  <m:r>
                    <m:rPr>
                      <m:nor/>
                      <m:sty m:val="p"/>
                    </m:rPr>
                    <w:rPr>
                      <w:rFonts w:cs="Times New Roman"/>
                      <w:b w:val="0"/>
                      <w:i w:val="0"/>
                      <w:iCs/>
                      <w:color w:val="auto"/>
                    </w:rPr>
                    <m:t>f</m:t>
                  </m:r>
                  <m:ctrlPr>
                    <w:rPr>
                      <w:rFonts w:ascii="Cambria Math" w:hAnsi="Cambria Math" w:cs="Times New Roman"/>
                      <w:iCs/>
                      <w:color w:val="auto"/>
                    </w:rPr>
                  </m:ctrlPr>
                </m:e>
                <m:sub>
                  <m:r>
                    <m:rPr>
                      <m:nor/>
                      <m:sty m:val="p"/>
                    </m:rPr>
                    <w:rPr>
                      <w:rFonts w:cs="Times New Roman"/>
                      <w:b w:val="0"/>
                      <w:i w:val="0"/>
                      <w:iCs/>
                      <w:color w:val="auto"/>
                    </w:rPr>
                    <m:t>k</m:t>
                  </m:r>
                  <m:ctrlPr>
                    <w:rPr>
                      <w:rFonts w:ascii="Cambria Math" w:hAnsi="Cambria Math" w:cs="Times New Roman"/>
                      <w:iCs/>
                      <w:color w:val="auto"/>
                    </w:rPr>
                  </m:ctrlPr>
                </m:sub>
              </m:sSub>
              <m:r>
                <m:rPr>
                  <m:nor/>
                  <m:sty m:val="p"/>
                </m:rPr>
                <w:rPr>
                  <w:rFonts w:cs="Times New Roman"/>
                  <w:b w:val="0"/>
                  <w:i w:val="0"/>
                  <w:iCs/>
                  <w:color w:val="auto"/>
                </w:rPr>
                <m:t>∈F</m:t>
              </m:r>
              <m:r>
                <m:rPr>
                  <m:sty m:val="p"/>
                </m:rPr>
                <w:rPr>
                  <w:rFonts w:ascii="Cambria Math" w:hAnsi="Cambria Math" w:cs="Times New Roman"/>
                  <w:color w:val="auto"/>
                </w:rPr>
                <m:t>#</m:t>
              </m:r>
              <m:d>
                <m:dPr>
                  <m:ctrlPr>
                    <w:rPr>
                      <w:rFonts w:ascii="Cambria Math" w:hAnsi="Cambria Math" w:cs="Times New Roman"/>
                      <w:iCs/>
                      <w:color w:val="auto"/>
                    </w:rPr>
                  </m:ctrlPr>
                </m:dPr>
                <m:e>
                  <m:r>
                    <m:rPr>
                      <m:nor/>
                      <m:sty m:val="p"/>
                    </m:rPr>
                    <w:rPr>
                      <w:rFonts w:cs="Times New Roman"/>
                      <w:b w:val="0"/>
                      <w:i w:val="0"/>
                      <w:iCs/>
                      <w:color w:val="auto"/>
                    </w:rPr>
                    <m:t>2-</m:t>
                  </m:r>
                  <m:r>
                    <m:rPr>
                      <m:nor/>
                      <m:sty m:val="p"/>
                    </m:rPr>
                    <w:rPr>
                      <w:rFonts w:hint="eastAsia" w:cs="Times New Roman"/>
                      <w:b w:val="0"/>
                      <w:i w:val="0"/>
                      <w:iCs/>
                      <w:color w:val="auto"/>
                    </w:rPr>
                    <m:t>3</m:t>
                  </m:r>
                  <m:ctrlPr>
                    <w:rPr>
                      <w:rFonts w:ascii="Cambria Math" w:hAnsi="Cambria Math" w:cs="Times New Roman"/>
                      <w:iCs/>
                      <w:color w:val="auto"/>
                    </w:rPr>
                  </m:ctrlPr>
                </m:e>
              </m:d>
              <m:ctrlPr>
                <w:rPr>
                  <w:rFonts w:ascii="Cambria Math" w:hAnsi="Cambria Math" w:eastAsia="sans-serif" w:cs="Times New Roman"/>
                  <w:iCs/>
                  <w:color w:val="auto"/>
                </w:rPr>
              </m:ctrlPr>
            </m:e>
          </m:eqArr>
        </m:oMath>
      </m:oMathPara>
    </w:p>
    <w:p w14:paraId="0D7F8AAD">
      <w:pPr>
        <w:widowControl/>
        <w:spacing w:line="10" w:lineRule="atLeast"/>
        <w:ind w:firstLine="480"/>
        <w:jc w:val="left"/>
        <w:rPr>
          <w:rFonts w:hAnsi="Cambria Math" w:eastAsia="MS Mincho"/>
          <w:color w:val="auto"/>
        </w:rPr>
      </w:pPr>
      <w:r>
        <w:rPr>
          <w:rFonts w:hint="eastAsia" w:ascii="宋体" w:hAnsi="宋体" w:cs="宋体"/>
          <w:color w:val="auto"/>
        </w:rPr>
        <w:t>其中</w:t>
      </w:r>
      <m:oMath>
        <m:r>
          <m:rPr>
            <m:nor/>
            <m:sty m:val="p"/>
          </m:rPr>
          <w:rPr>
            <w:rFonts w:cs="Times New Roman"/>
            <w:b w:val="0"/>
            <w:i w:val="0"/>
            <w:iCs/>
            <w:color w:val="auto"/>
          </w:rPr>
          <m:t>F</m:t>
        </m:r>
      </m:oMath>
      <w:r>
        <w:rPr>
          <w:rFonts w:hint="eastAsia" w:ascii="宋体" w:hAnsi="宋体" w:cs="宋体"/>
          <w:color w:val="auto"/>
        </w:rPr>
        <w:t>是回归树空间</w:t>
      </w:r>
      <w:r>
        <w:rPr>
          <w:rFonts w:hint="eastAsia" w:hAnsi="Cambria Math" w:eastAsia="MS Mincho"/>
          <w:color w:val="auto"/>
        </w:rPr>
        <w:t>。</w:t>
      </w:r>
    </w:p>
    <w:p w14:paraId="70F7BA87">
      <w:pPr>
        <w:ind w:firstLine="480"/>
        <w:rPr>
          <w:color w:val="auto"/>
        </w:rPr>
      </w:pPr>
      <w:r>
        <w:rPr>
          <w:rFonts w:hint="eastAsia"/>
          <w:color w:val="auto"/>
        </w:rPr>
        <w:t>XGBoost支持特征级别的并行运算以及对缺失值的支持，在文本分类任务中面对大量的稀疏特征时它可以学习到更加复杂的非线性关系来弥补线性模型所不能表达的内容。与RF相同，XGBoost仍然难以捕获医疗器械专利中深层的语义逻辑与技术脉络，对复杂语境表征能力的缺失，使传统机器学习算法在面对专业领域文本语义表征时存在明显局限。</w:t>
      </w:r>
    </w:p>
    <w:p w14:paraId="6ABBC946">
      <w:pPr>
        <w:pStyle w:val="4"/>
        <w:numPr>
          <w:ilvl w:val="2"/>
          <w:numId w:val="1"/>
        </w:numPr>
        <w:tabs>
          <w:tab w:val="clear" w:pos="420"/>
        </w:tabs>
        <w:rPr>
          <w:color w:val="auto"/>
        </w:rPr>
      </w:pPr>
      <w:bookmarkStart w:id="83" w:name="_Toc15248"/>
      <w:bookmarkStart w:id="84" w:name="_Toc229086870"/>
      <w:r>
        <w:rPr>
          <w:rFonts w:hint="eastAsia"/>
          <w:color w:val="auto"/>
        </w:rPr>
        <w:t>基于深度学习与预训练模型的语义表征</w:t>
      </w:r>
      <w:bookmarkEnd w:id="83"/>
      <w:bookmarkEnd w:id="84"/>
    </w:p>
    <w:p w14:paraId="41256290">
      <w:pPr>
        <w:ind w:firstLine="480"/>
        <w:rPr>
          <w:color w:val="auto"/>
        </w:rPr>
      </w:pPr>
      <w:r>
        <w:rPr>
          <w:rFonts w:hint="eastAsia"/>
          <w:color w:val="auto"/>
        </w:rPr>
        <w:t>深度学习的发展，尤其是卷积神经网络和Transformer在自然语言处理中的应用，推动了文本分类方法的改进。这类方法能够学习文本的低维稠密表示，并捕获局部短语或上下文语义信息，为跨体系映射中的文本表征提供了基础。但分类体系差异仍需结合任务数据和领域知识进一步处理。</w:t>
      </w:r>
    </w:p>
    <w:p w14:paraId="524309E0">
      <w:pPr>
        <w:pStyle w:val="25"/>
        <w:bidi w:val="0"/>
        <w:rPr>
          <w:color w:val="auto"/>
        </w:rPr>
      </w:pPr>
      <w:r>
        <w:rPr>
          <w:color w:val="auto"/>
        </w:rPr>
        <w:drawing>
          <wp:inline distT="0" distB="0" distL="114300" distR="114300">
            <wp:extent cx="3726815" cy="2967990"/>
            <wp:effectExtent l="0" t="0" r="8255" b="635"/>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3726815" cy="2967990"/>
                    </a:xfrm>
                    <a:prstGeom prst="rect">
                      <a:avLst/>
                    </a:prstGeom>
                    <a:noFill/>
                    <a:ln w="9525">
                      <a:noFill/>
                    </a:ln>
                  </pic:spPr>
                </pic:pic>
              </a:graphicData>
            </a:graphic>
          </wp:inline>
        </w:drawing>
      </w:r>
    </w:p>
    <w:p w14:paraId="70DEAEDD">
      <w:pPr>
        <w:pStyle w:val="25"/>
        <w:rPr>
          <w:rFonts w:hint="default"/>
          <w:color w:val="auto"/>
        </w:rPr>
      </w:pPr>
      <w:r>
        <w:rPr>
          <w:color w:val="auto"/>
        </w:rPr>
        <w:t>图2-1  TextCNN</w:t>
      </w:r>
    </w:p>
    <w:p w14:paraId="29E741FB">
      <w:pPr>
        <w:numPr>
          <w:ilvl w:val="0"/>
          <w:numId w:val="6"/>
        </w:numPr>
        <w:ind w:firstLine="480" w:firstLineChars="0"/>
        <w:rPr>
          <w:color w:val="auto"/>
        </w:rPr>
      </w:pPr>
      <w:r>
        <w:rPr>
          <w:rFonts w:hint="eastAsia"/>
          <w:color w:val="auto"/>
        </w:rPr>
        <w:t>基于TextCNN的局部语义表征</w:t>
      </w:r>
    </w:p>
    <w:p w14:paraId="27DB1107">
      <w:pPr>
        <w:ind w:firstLine="480"/>
        <w:rPr>
          <w:color w:val="auto"/>
        </w:rPr>
      </w:pPr>
      <w:r>
        <w:rPr>
          <w:rFonts w:hint="eastAsia"/>
          <w:color w:val="auto"/>
        </w:rPr>
        <w:t>TextCNN是Kim于2014年提出的将卷积神经网络应用于文本分类的一种方法，证明了卷积对于学习短语级别的语义有效</w:t>
      </w:r>
      <w:r>
        <w:rPr>
          <w:rStyle w:val="33"/>
          <w:color w:val="auto"/>
        </w:rPr>
        <w:fldChar w:fldCharType="begin"/>
      </w:r>
      <w:r>
        <w:rPr>
          <w:rStyle w:val="33"/>
          <w:color w:val="auto"/>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3"/>
          <w:color w:val="auto"/>
        </w:rPr>
        <w:fldChar w:fldCharType="separate"/>
      </w:r>
      <w:r>
        <w:rPr>
          <w:rStyle w:val="33"/>
          <w:color w:val="auto"/>
        </w:rPr>
        <w:t>[18]</w:t>
      </w:r>
      <w:r>
        <w:rPr>
          <w:rStyle w:val="33"/>
          <w:color w:val="auto"/>
        </w:rPr>
        <w:fldChar w:fldCharType="end"/>
      </w:r>
      <w:r>
        <w:rPr>
          <w:rFonts w:hint="eastAsia"/>
          <w:color w:val="auto"/>
        </w:rPr>
        <w:t>。如图2-1所示，它包括输入层、卷积层、池化层以及输出层。</w:t>
      </w:r>
    </w:p>
    <w:p w14:paraId="1A290107">
      <w:pPr>
        <w:ind w:firstLine="480"/>
        <w:rPr>
          <w:color w:val="auto"/>
        </w:rPr>
      </w:pPr>
      <w:r>
        <w:rPr>
          <w:rFonts w:hint="eastAsia"/>
          <w:color w:val="auto"/>
        </w:rPr>
        <w:t>在输入层，将长度为</w:t>
      </w:r>
      <m:oMath>
        <m:r>
          <m:rPr>
            <m:nor/>
          </m:rPr>
          <w:rPr>
            <w:rFonts w:cs="Times New Roman"/>
            <w:i/>
            <w:color w:val="auto"/>
          </w:rPr>
          <m:t>n</m:t>
        </m:r>
      </m:oMath>
      <w:r>
        <w:rPr>
          <w:rFonts w:hint="eastAsia"/>
          <w:color w:val="auto"/>
        </w:rPr>
        <w:t>的文本用</w:t>
      </w:r>
      <m:oMath>
        <m:r>
          <m:rPr>
            <m:nor/>
            <m:sty m:val="p"/>
          </m:rPr>
          <w:rPr>
            <w:rFonts w:cs="Times New Roman"/>
            <w:b w:val="0"/>
            <w:i w:val="0"/>
            <w:color w:val="auto"/>
          </w:rPr>
          <m:t>n×k</m:t>
        </m:r>
      </m:oMath>
      <w:r>
        <w:rPr>
          <w:rFonts w:hint="eastAsia"/>
          <w:color w:val="auto"/>
        </w:rPr>
        <w:t>的词向量矩阵来表示。在卷积层使用多个不同高度</w:t>
      </w:r>
      <m:oMath>
        <m:r>
          <m:rPr>
            <m:nor/>
            <m:sty m:val="p"/>
          </m:rPr>
          <w:rPr>
            <w:rFonts w:cs="Times New Roman"/>
            <w:b w:val="0"/>
            <w:i w:val="0"/>
            <w:color w:val="auto"/>
          </w:rPr>
          <m:t>h</m:t>
        </m:r>
      </m:oMath>
      <w:r>
        <w:rPr>
          <w:rFonts w:hint="eastAsia"/>
          <w:color w:val="auto"/>
        </w:rPr>
        <w:t>的卷积核，例如</w:t>
      </w:r>
      <m:oMath>
        <m:r>
          <m:rPr>
            <m:nor/>
            <m:sty m:val="p"/>
          </m:rPr>
          <w:rPr>
            <w:rFonts w:cs="Times New Roman"/>
            <w:b w:val="0"/>
            <w:i w:val="0"/>
            <w:color w:val="auto"/>
          </w:rPr>
          <m:t>h∈{2,3,4,5,6}</m:t>
        </m:r>
      </m:oMath>
      <w:r>
        <w:rPr>
          <w:rFonts w:hint="eastAsia"/>
          <w:color w:val="auto"/>
        </w:rPr>
        <w:t>，沿着词序方向移动得到不同大小的N-gram特征，在池化层一般使用最大池化，对于每一个特征图求最大值：</w:t>
      </w:r>
    </w:p>
    <w:p w14:paraId="321927F6">
      <w:pPr>
        <w:widowControl/>
        <w:spacing w:line="10" w:lineRule="atLeast"/>
        <w:ind w:firstLine="480"/>
        <w:jc w:val="left"/>
        <w:rPr>
          <w:color w:val="auto"/>
        </w:rPr>
      </w:pPr>
      <m:oMathPara>
        <m:oMath>
          <m:eqArr>
            <m:eqArrPr>
              <m:maxDist m:val="1"/>
              <m:ctrlPr>
                <w:rPr>
                  <w:rFonts w:ascii="Cambria Math" w:hAnsi="Cambria Math" w:eastAsia="sans-serif" w:cs="Times New Roman"/>
                  <w:i/>
                  <w:color w:val="auto"/>
                </w:rPr>
              </m:ctrlPr>
            </m:eqArrPr>
            <m:e>
              <m:acc>
                <m:accPr>
                  <m:ctrlPr>
                    <w:rPr>
                      <w:rFonts w:ascii="Cambria Math" w:hAnsi="Cambria Math" w:eastAsia="sans-serif" w:cs="Times New Roman"/>
                      <w:color w:val="auto"/>
                    </w:rPr>
                  </m:ctrlPr>
                </m:accPr>
                <m:e>
                  <m:r>
                    <m:rPr>
                      <m:nor/>
                    </m:rPr>
                    <w:rPr>
                      <w:rFonts w:eastAsia="sans-serif" w:cs="Times New Roman"/>
                      <w:i/>
                      <w:color w:val="auto"/>
                    </w:rPr>
                    <m:t>c</m:t>
                  </m:r>
                  <m:ctrlPr>
                    <w:rPr>
                      <w:rFonts w:ascii="Cambria Math" w:hAnsi="Cambria Math" w:eastAsia="sans-serif" w:cs="Times New Roman"/>
                      <w:color w:val="auto"/>
                    </w:rPr>
                  </m:ctrlPr>
                </m:e>
              </m:acc>
              <m:r>
                <m:rPr>
                  <m:nor/>
                  <m:sty m:val="p"/>
                </m:rPr>
                <w:rPr>
                  <w:rFonts w:ascii="Cambria Math" w:hAnsi="Cambria Math" w:cs="Times New Roman"/>
                  <w:b w:val="0"/>
                  <w:i w:val="0"/>
                  <w:color w:val="auto"/>
                </w:rPr>
                <m:t xml:space="preserve"> </m:t>
              </m:r>
              <m:r>
                <m:rPr>
                  <m:nor/>
                  <m:sty m:val="p"/>
                </m:rPr>
                <w:rPr>
                  <w:rFonts w:eastAsia="sans-serif" w:cs="Times New Roman"/>
                  <w:b w:val="0"/>
                  <w:i w:val="0"/>
                  <w:color w:val="auto"/>
                </w:rPr>
                <m:t>=</m:t>
              </m:r>
              <m:func>
                <m:funcPr>
                  <m:ctrlPr>
                    <w:rPr>
                      <w:rFonts w:ascii="Cambria Math" w:hAnsi="Cambria Math" w:eastAsia="sans-serif" w:cs="Times New Roman"/>
                      <w:color w:val="auto"/>
                    </w:rPr>
                  </m:ctrlPr>
                </m:funcPr>
                <m:fName>
                  <m:r>
                    <m:rPr>
                      <m:nor/>
                      <m:sty m:val="p"/>
                    </m:rPr>
                    <w:rPr>
                      <w:rFonts w:eastAsia="sans-serif" w:cs="Times New Roman"/>
                      <w:b w:val="0"/>
                      <w:i w:val="0"/>
                      <w:color w:val="auto"/>
                    </w:rPr>
                    <m:t>max</m:t>
                  </m:r>
                  <m:ctrlPr>
                    <w:rPr>
                      <w:rFonts w:ascii="Cambria Math" w:hAnsi="Cambria Math" w:eastAsia="sans-serif" w:cs="Times New Roman"/>
                      <w:color w:val="auto"/>
                    </w:rPr>
                  </m:ctrlPr>
                </m:fName>
                <m:e>
                  <m:r>
                    <m:rPr>
                      <m:nor/>
                      <m:sty m:val="p"/>
                    </m:rPr>
                    <w:rPr>
                      <w:rFonts w:hint="eastAsia" w:ascii="Cambria Math" w:hAnsi="Cambria Math" w:cs="Times New Roman"/>
                      <w:b w:val="0"/>
                      <w:i w:val="0"/>
                      <w:color w:val="auto"/>
                    </w:rPr>
                    <m:t>{</m:t>
                  </m:r>
                  <m:r>
                    <m:rPr>
                      <m:nor/>
                      <m:sty m:val="p"/>
                    </m:rPr>
                    <w:rPr>
                      <w:rFonts w:eastAsia="sans-serif" w:cs="Times New Roman"/>
                      <w:b w:val="0"/>
                      <w:i w:val="0"/>
                      <w:color w:val="auto"/>
                    </w:rPr>
                    <m:t>c</m:t>
                  </m:r>
                  <m:r>
                    <m:rPr>
                      <m:nor/>
                      <m:sty m:val="p"/>
                    </m:rPr>
                    <w:rPr>
                      <w:rFonts w:hint="eastAsia" w:cs="Times New Roman"/>
                      <w:b w:val="0"/>
                      <w:i w:val="0"/>
                      <w:color w:val="auto"/>
                    </w:rPr>
                    <m:t>}</m:t>
                  </m:r>
                  <m:ctrlPr>
                    <w:rPr>
                      <w:rFonts w:ascii="Cambria Math" w:hAnsi="Cambria Math" w:eastAsia="sans-serif" w:cs="Times New Roman"/>
                      <w:color w:val="auto"/>
                    </w:rPr>
                  </m:ctrlPr>
                </m:e>
              </m:func>
              <m:r>
                <m:rPr>
                  <m:sty m:val="p"/>
                </m:rPr>
                <w:rPr>
                  <w:rFonts w:ascii="Cambria Math" w:hAnsi="Cambria Math" w:eastAsia="sans-serif" w:cs="Times New Roman"/>
                  <w:color w:val="auto"/>
                </w:rPr>
                <m:t>#</m:t>
              </m:r>
              <m:d>
                <m:dPr>
                  <m:ctrlPr>
                    <w:rPr>
                      <w:rFonts w:ascii="Cambria Math" w:hAnsi="Cambria Math" w:eastAsia="sans-serif" w:cs="Times New Roman"/>
                      <w:i/>
                      <w:color w:val="auto"/>
                    </w:rPr>
                  </m:ctrlPr>
                </m:dPr>
                <m:e>
                  <m:r>
                    <m:rPr>
                      <m:nor/>
                      <m:sty m:val="p"/>
                    </m:rPr>
                    <w:rPr>
                      <w:rFonts w:eastAsia="sans-serif" w:cs="Times New Roman"/>
                      <w:b w:val="0"/>
                      <w:i w:val="0"/>
                      <w:color w:val="auto"/>
                    </w:rPr>
                    <m:t>2-</m:t>
                  </m:r>
                  <m:r>
                    <m:rPr>
                      <m:nor/>
                      <m:sty m:val="p"/>
                    </m:rPr>
                    <w:rPr>
                      <w:rFonts w:hint="eastAsia" w:cs="Times New Roman"/>
                      <w:b w:val="0"/>
                      <w:i w:val="0"/>
                      <w:color w:val="auto"/>
                    </w:rPr>
                    <m:t>4</m:t>
                  </m:r>
                  <m:ctrlPr>
                    <w:rPr>
                      <w:rFonts w:ascii="Cambria Math" w:hAnsi="Cambria Math" w:eastAsia="sans-serif" w:cs="Times New Roman"/>
                      <w:i/>
                      <w:color w:val="auto"/>
                    </w:rPr>
                  </m:ctrlPr>
                </m:e>
              </m:d>
              <m:ctrlPr>
                <w:rPr>
                  <w:rFonts w:ascii="Cambria Math" w:hAnsi="Cambria Math" w:eastAsia="sans-serif" w:cs="Times New Roman"/>
                  <w:i/>
                  <w:color w:val="auto"/>
                </w:rPr>
              </m:ctrlPr>
            </m:e>
          </m:eqArr>
        </m:oMath>
      </m:oMathPara>
    </w:p>
    <w:p w14:paraId="0A1EC79C">
      <w:pPr>
        <w:ind w:firstLine="480"/>
        <w:rPr>
          <w:color w:val="auto"/>
        </w:rPr>
      </w:pPr>
      <w:r>
        <w:rPr>
          <w:rFonts w:hint="eastAsia"/>
          <w:color w:val="auto"/>
        </w:rPr>
        <w:t>这一步可以找出一个句子最突出的地方并且把变长的文本转化为定长表示，然后把每一个卷积核的最大值连接在一起作为特征向量，经过Dropout再送入到Softmax进行分类。</w:t>
      </w:r>
    </w:p>
    <w:p w14:paraId="59DC6AD6">
      <w:pPr>
        <w:ind w:firstLine="480"/>
        <w:rPr>
          <w:color w:val="auto"/>
        </w:rPr>
      </w:pPr>
      <w:r>
        <w:rPr>
          <w:rFonts w:hint="eastAsia"/>
          <w:color w:val="auto"/>
        </w:rPr>
        <w:t>TextCNN是常用的N-gram特征提取器，具有较好的并行性和较低的时间复杂度。在医疗器械专利文本中包含如“有源手术器械”、“超声换能器”或“血管支架”等专业术语，这些短语特征通常是界定分类的核心依据。TextCNN利用多尺度卷积核可以有效提取这些具有强判别性的局部语义特征，然而，受限于卷积感受野的固定宽度，在处理复杂的长程语义时仍存在局限性。</w:t>
      </w:r>
    </w:p>
    <w:p w14:paraId="77FB724C">
      <w:pPr>
        <w:numPr>
          <w:ilvl w:val="0"/>
          <w:numId w:val="6"/>
        </w:numPr>
        <w:ind w:firstLine="480" w:firstLineChars="0"/>
        <w:rPr>
          <w:color w:val="auto"/>
        </w:rPr>
      </w:pPr>
      <w:r>
        <w:rPr>
          <w:rFonts w:hint="eastAsia"/>
          <w:color w:val="auto"/>
        </w:rPr>
        <w:t>基于预训练模型的全局语义表征</w:t>
      </w:r>
    </w:p>
    <w:p w14:paraId="045CD6A8">
      <w:pPr>
        <w:ind w:firstLine="480"/>
        <w:rPr>
          <w:color w:val="auto"/>
        </w:rPr>
      </w:pPr>
      <w:r>
        <w:rPr>
          <w:rFonts w:hint="eastAsia"/>
          <w:color w:val="auto"/>
        </w:rPr>
        <w:t>预训练模型的兴起解决了深度学习模型在处理长距离语义依赖及一词多义问题上存在的局限性。以BERT为代表的模型基于Transformer编码器结构，利用双向自注意力机制计算序列中各Token之间的关联权重</w:t>
      </w:r>
      <w:r>
        <w:rPr>
          <w:rStyle w:val="33"/>
          <w:color w:val="auto"/>
        </w:rPr>
        <w:fldChar w:fldCharType="begin"/>
      </w:r>
      <w:r>
        <w:rPr>
          <w:rStyle w:val="33"/>
          <w:color w:val="auto"/>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3"/>
          <w:color w:val="auto"/>
        </w:rPr>
        <w:fldChar w:fldCharType="separate"/>
      </w:r>
      <w:r>
        <w:rPr>
          <w:rStyle w:val="33"/>
          <w:color w:val="auto"/>
        </w:rPr>
        <w:t>[20]</w:t>
      </w:r>
      <w:r>
        <w:rPr>
          <w:rStyle w:val="33"/>
          <w:color w:val="auto"/>
        </w:rPr>
        <w:fldChar w:fldCharType="end"/>
      </w:r>
      <w:r>
        <w:rPr>
          <w:rFonts w:hint="eastAsia"/>
          <w:color w:val="auto"/>
        </w:rPr>
        <w:t>。</w:t>
      </w:r>
    </w:p>
    <w:p w14:paraId="78A3A70C">
      <w:pPr>
        <w:ind w:firstLine="480"/>
        <w:rPr>
          <w:color w:val="auto"/>
        </w:rPr>
      </w:pPr>
      <w:r>
        <w:rPr>
          <w:rFonts w:hint="eastAsia"/>
          <w:color w:val="auto"/>
        </w:rPr>
        <w:t>如图2-2所示，BERT是基于Transformer中Encoder部分，有多个自注意力层加上前向连接的feed-forward neural network构成，在自注意力层中，用于捕捉词与词之间联系的是自注意力机制，计算方式是如下所示：</w:t>
      </w:r>
    </w:p>
    <w:p w14:paraId="394C6428">
      <w:pPr>
        <w:widowControl/>
        <w:spacing w:line="10" w:lineRule="atLeast"/>
        <w:ind w:firstLine="480"/>
        <w:jc w:val="left"/>
        <w:rPr>
          <w:iCs/>
          <w:color w:val="auto"/>
        </w:rPr>
      </w:pPr>
      <m:oMathPara>
        <m:oMath>
          <m:eqArr>
            <m:eqArrPr>
              <m:maxDist m:val="1"/>
              <m:ctrlPr>
                <w:rPr>
                  <w:rFonts w:ascii="Cambria Math" w:hAnsi="Cambria Math" w:eastAsia="sans-serif" w:cs="Times New Roman"/>
                  <w:iCs/>
                  <w:color w:val="auto"/>
                </w:rPr>
              </m:ctrlPr>
            </m:eqArrPr>
            <m:e>
              <m:r>
                <m:rPr>
                  <m:nor/>
                  <m:sty m:val="p"/>
                </m:rPr>
                <w:rPr>
                  <w:rFonts w:eastAsia="sans-serif" w:cs="Times New Roman"/>
                  <w:b w:val="0"/>
                  <w:i w:val="0"/>
                  <w:iCs/>
                  <w:color w:val="auto"/>
                </w:rPr>
                <m:t>Attention</m:t>
              </m:r>
              <m:d>
                <m:dPr>
                  <m:ctrlPr>
                    <w:rPr>
                      <w:rFonts w:ascii="Cambria Math" w:hAnsi="Cambria Math" w:eastAsia="sans-serif" w:cs="Times New Roman"/>
                      <w:iCs/>
                      <w:color w:val="auto"/>
                    </w:rPr>
                  </m:ctrlPr>
                </m:dPr>
                <m:e>
                  <m:r>
                    <m:rPr>
                      <m:nor/>
                      <m:sty m:val="p"/>
                    </m:rPr>
                    <w:rPr>
                      <w:rFonts w:eastAsia="sans-serif" w:cs="Times New Roman"/>
                      <w:b w:val="0"/>
                      <w:i w:val="0"/>
                      <w:iCs/>
                      <w:color w:val="auto"/>
                    </w:rPr>
                    <m:t>Q,K,V</m:t>
                  </m:r>
                  <m:ctrlPr>
                    <w:rPr>
                      <w:rFonts w:ascii="Cambria Math" w:hAnsi="Cambria Math" w:eastAsia="sans-serif" w:cs="Times New Roman"/>
                      <w:iCs/>
                      <w:color w:val="auto"/>
                    </w:rPr>
                  </m:ctrlPr>
                </m:e>
              </m:d>
              <m:r>
                <m:rPr>
                  <m:nor/>
                  <m:sty m:val="p"/>
                </m:rPr>
                <w:rPr>
                  <w:rFonts w:eastAsia="sans-serif" w:cs="Times New Roman"/>
                  <w:b w:val="0"/>
                  <w:i w:val="0"/>
                  <w:iCs/>
                  <w:color w:val="auto"/>
                </w:rPr>
                <m:t>=softmax</m:t>
              </m:r>
              <m:d>
                <m:dPr>
                  <m:ctrlPr>
                    <w:rPr>
                      <w:rFonts w:ascii="Cambria Math" w:hAnsi="Cambria Math" w:eastAsia="sans-serif" w:cs="Times New Roman"/>
                      <w:iCs/>
                      <w:color w:val="auto"/>
                    </w:rPr>
                  </m:ctrlPr>
                </m:dPr>
                <m:e>
                  <m:f>
                    <m:fPr>
                      <m:ctrlPr>
                        <w:rPr>
                          <w:rFonts w:ascii="Cambria Math" w:hAnsi="Cambria Math" w:eastAsia="sans-serif" w:cs="Times New Roman"/>
                          <w:iCs/>
                          <w:color w:val="auto"/>
                        </w:rPr>
                      </m:ctrlPr>
                    </m:fPr>
                    <m:num>
                      <m:r>
                        <m:rPr>
                          <m:nor/>
                          <m:sty m:val="p"/>
                        </m:rPr>
                        <w:rPr>
                          <w:rFonts w:eastAsia="sans-serif" w:cs="Times New Roman"/>
                          <w:b w:val="0"/>
                          <w:i w:val="0"/>
                          <w:iCs/>
                          <w:color w:val="auto"/>
                        </w:rPr>
                        <m:t>Q</m:t>
                      </m:r>
                      <m:sSup>
                        <m:sSupPr>
                          <m:ctrlPr>
                            <w:rPr>
                              <w:rFonts w:ascii="Cambria Math" w:hAnsi="Cambria Math" w:eastAsia="sans-serif" w:cs="Times New Roman"/>
                              <w:iCs/>
                              <w:color w:val="auto"/>
                            </w:rPr>
                          </m:ctrlPr>
                        </m:sSupPr>
                        <m:e>
                          <m:r>
                            <m:rPr>
                              <m:nor/>
                              <m:sty m:val="p"/>
                            </m:rPr>
                            <w:rPr>
                              <w:rFonts w:eastAsia="sans-serif" w:cs="Times New Roman"/>
                              <w:b w:val="0"/>
                              <w:i w:val="0"/>
                              <w:iCs/>
                              <w:color w:val="auto"/>
                            </w:rPr>
                            <m:t>K</m:t>
                          </m:r>
                          <m:ctrlPr>
                            <w:rPr>
                              <w:rFonts w:ascii="Cambria Math" w:hAnsi="Cambria Math" w:eastAsia="sans-serif" w:cs="Times New Roman"/>
                              <w:iCs/>
                              <w:color w:val="auto"/>
                            </w:rPr>
                          </m:ctrlPr>
                        </m:e>
                        <m:sup>
                          <m:r>
                            <m:rPr>
                              <m:nor/>
                              <m:sty m:val="p"/>
                            </m:rPr>
                            <w:rPr>
                              <w:rFonts w:eastAsia="sans-serif" w:cs="Times New Roman"/>
                              <w:b w:val="0"/>
                              <w:i w:val="0"/>
                              <w:iCs/>
                              <w:color w:val="auto"/>
                            </w:rPr>
                            <m:t>T</m:t>
                          </m:r>
                          <m:ctrlPr>
                            <w:rPr>
                              <w:rFonts w:ascii="Cambria Math" w:hAnsi="Cambria Math" w:eastAsia="sans-serif" w:cs="Times New Roman"/>
                              <w:iCs/>
                              <w:color w:val="auto"/>
                            </w:rPr>
                          </m:ctrlPr>
                        </m:sup>
                      </m:sSup>
                      <m:ctrlPr>
                        <w:rPr>
                          <w:rFonts w:ascii="Cambria Math" w:hAnsi="Cambria Math" w:eastAsia="sans-serif" w:cs="Times New Roman"/>
                          <w:iCs/>
                          <w:color w:val="auto"/>
                        </w:rPr>
                      </m:ctrlPr>
                    </m:num>
                    <m:den>
                      <m:rad>
                        <m:radPr>
                          <m:degHide m:val="1"/>
                          <m:ctrlPr>
                            <w:rPr>
                              <w:rFonts w:ascii="Cambria Math" w:hAnsi="Cambria Math" w:eastAsia="sans-serif" w:cs="Times New Roman"/>
                              <w:iCs/>
                              <w:color w:val="auto"/>
                            </w:rPr>
                          </m:ctrlPr>
                        </m:radPr>
                        <m:deg>
                          <m:ctrlPr>
                            <w:rPr>
                              <w:rFonts w:ascii="Cambria Math" w:hAnsi="Cambria Math" w:eastAsia="sans-serif" w:cs="Times New Roman"/>
                              <w:iCs/>
                              <w:color w:val="auto"/>
                            </w:rPr>
                          </m:ctrlPr>
                        </m:deg>
                        <m:e>
                          <m:sSub>
                            <m:sSubPr>
                              <m:ctrlPr>
                                <w:rPr>
                                  <w:rFonts w:ascii="Cambria Math" w:hAnsi="Cambria Math" w:eastAsia="sans-serif" w:cs="Times New Roman"/>
                                  <w:iCs/>
                                  <w:color w:val="auto"/>
                                </w:rPr>
                              </m:ctrlPr>
                            </m:sSubPr>
                            <m:e>
                              <m:r>
                                <m:rPr>
                                  <m:nor/>
                                  <m:sty m:val="p"/>
                                </m:rPr>
                                <w:rPr>
                                  <w:rFonts w:eastAsia="sans-serif" w:cs="Times New Roman"/>
                                  <w:b w:val="0"/>
                                  <w:i w:val="0"/>
                                  <w:iCs/>
                                  <w:color w:val="auto"/>
                                </w:rPr>
                                <m:t>d</m:t>
                              </m:r>
                              <m:ctrlPr>
                                <w:rPr>
                                  <w:rFonts w:ascii="Cambria Math" w:hAnsi="Cambria Math" w:eastAsia="sans-serif" w:cs="Times New Roman"/>
                                  <w:iCs/>
                                  <w:color w:val="auto"/>
                                </w:rPr>
                              </m:ctrlPr>
                            </m:e>
                            <m:sub>
                              <m:r>
                                <m:rPr>
                                  <m:nor/>
                                  <m:sty m:val="p"/>
                                </m:rPr>
                                <w:rPr>
                                  <w:rFonts w:eastAsia="sans-serif" w:cs="Times New Roman"/>
                                  <w:b w:val="0"/>
                                  <w:i w:val="0"/>
                                  <w:iCs/>
                                  <w:color w:val="auto"/>
                                </w:rPr>
                                <m:t>k</m:t>
                              </m:r>
                              <m:ctrlPr>
                                <w:rPr>
                                  <w:rFonts w:ascii="Cambria Math" w:hAnsi="Cambria Math" w:eastAsia="sans-serif" w:cs="Times New Roman"/>
                                  <w:iCs/>
                                  <w:color w:val="auto"/>
                                </w:rPr>
                              </m:ctrlPr>
                            </m:sub>
                          </m:sSub>
                          <m:ctrlPr>
                            <w:rPr>
                              <w:rFonts w:ascii="Cambria Math" w:hAnsi="Cambria Math" w:eastAsia="sans-serif" w:cs="Times New Roman"/>
                              <w:iCs/>
                              <w:color w:val="auto"/>
                            </w:rPr>
                          </m:ctrlPr>
                        </m:e>
                      </m:rad>
                      <m:ctrlPr>
                        <w:rPr>
                          <w:rFonts w:ascii="Cambria Math" w:hAnsi="Cambria Math" w:eastAsia="sans-serif" w:cs="Times New Roman"/>
                          <w:iCs/>
                          <w:color w:val="auto"/>
                        </w:rPr>
                      </m:ctrlPr>
                    </m:den>
                  </m:f>
                  <m:ctrlPr>
                    <w:rPr>
                      <w:rFonts w:ascii="Cambria Math" w:hAnsi="Cambria Math" w:eastAsia="sans-serif" w:cs="Times New Roman"/>
                      <w:iCs/>
                      <w:color w:val="auto"/>
                    </w:rPr>
                  </m:ctrlPr>
                </m:e>
              </m:d>
              <m:r>
                <m:rPr>
                  <m:nor/>
                  <m:sty m:val="p"/>
                </m:rPr>
                <w:rPr>
                  <w:rFonts w:eastAsia="sans-serif" w:cs="Times New Roman"/>
                  <w:b w:val="0"/>
                  <w:i w:val="0"/>
                  <w:iCs/>
                  <w:color w:val="auto"/>
                </w:rPr>
                <m:t>V</m:t>
              </m:r>
              <m:r>
                <m:rPr>
                  <m:sty m:val="p"/>
                </m:rPr>
                <w:rPr>
                  <w:rFonts w:ascii="Cambria Math" w:hAnsi="Cambria Math" w:eastAsia="sans-serif" w:cs="Times New Roman"/>
                  <w:color w:val="auto"/>
                </w:rPr>
                <m:t>#</m:t>
              </m:r>
              <m:d>
                <m:dPr>
                  <m:ctrlPr>
                    <w:rPr>
                      <w:rFonts w:ascii="Cambria Math" w:hAnsi="Cambria Math" w:cs="Times New Roman"/>
                      <w:iCs/>
                      <w:color w:val="auto"/>
                    </w:rPr>
                  </m:ctrlPr>
                </m:dPr>
                <m:e>
                  <m:r>
                    <m:rPr>
                      <m:nor/>
                      <m:sty m:val="p"/>
                    </m:rPr>
                    <w:rPr>
                      <w:rFonts w:cs="Times New Roman"/>
                      <w:b w:val="0"/>
                      <w:i w:val="0"/>
                      <w:iCs/>
                      <w:color w:val="auto"/>
                    </w:rPr>
                    <m:t>2-</m:t>
                  </m:r>
                  <m:r>
                    <m:rPr>
                      <m:nor/>
                      <m:sty m:val="p"/>
                    </m:rPr>
                    <w:rPr>
                      <w:rFonts w:hint="eastAsia" w:cs="Times New Roman"/>
                      <w:b w:val="0"/>
                      <w:i w:val="0"/>
                      <w:iCs/>
                      <w:color w:val="auto"/>
                    </w:rPr>
                    <m:t>5</m:t>
                  </m:r>
                  <m:ctrlPr>
                    <w:rPr>
                      <w:rFonts w:ascii="Cambria Math" w:hAnsi="Cambria Math" w:cs="Times New Roman"/>
                      <w:iCs/>
                      <w:color w:val="auto"/>
                    </w:rPr>
                  </m:ctrlPr>
                </m:e>
              </m:d>
              <m:ctrlPr>
                <w:rPr>
                  <w:rFonts w:ascii="Cambria Math" w:hAnsi="Cambria Math" w:eastAsia="sans-serif" w:cs="Times New Roman"/>
                  <w:iCs/>
                  <w:color w:val="auto"/>
                </w:rPr>
              </m:ctrlPr>
            </m:e>
          </m:eqArr>
        </m:oMath>
      </m:oMathPara>
    </w:p>
    <w:p w14:paraId="42AB227B">
      <w:pPr>
        <w:ind w:firstLine="480"/>
        <w:rPr>
          <w:color w:val="auto"/>
        </w:rPr>
      </w:pPr>
      <w:r>
        <w:rPr>
          <w:rFonts w:hint="eastAsia"/>
          <w:color w:val="auto"/>
        </w:rPr>
        <w:t>其中</w:t>
      </w:r>
      <m:oMath>
        <m:r>
          <m:rPr>
            <m:nor/>
            <m:sty m:val="p"/>
          </m:rPr>
          <w:rPr>
            <w:rFonts w:cs="Times New Roman"/>
            <w:b w:val="0"/>
            <w:i w:val="0"/>
            <w:iCs/>
            <w:color w:val="auto"/>
          </w:rPr>
          <m:t>Q</m:t>
        </m:r>
      </m:oMath>
      <w:r>
        <w:rPr>
          <w:rFonts w:hint="eastAsia"/>
          <w:iCs/>
          <w:color w:val="auto"/>
        </w:rPr>
        <w:t>、</w:t>
      </w:r>
      <m:oMath>
        <m:r>
          <m:rPr>
            <m:nor/>
            <m:sty m:val="p"/>
          </m:rPr>
          <w:rPr>
            <w:rFonts w:cs="Times New Roman"/>
            <w:b w:val="0"/>
            <w:i w:val="0"/>
            <w:iCs/>
            <w:color w:val="auto"/>
          </w:rPr>
          <m:t>K</m:t>
        </m:r>
      </m:oMath>
      <w:r>
        <w:rPr>
          <w:rFonts w:hint="eastAsia"/>
          <w:iCs/>
          <w:color w:val="auto"/>
        </w:rPr>
        <w:t>、</w:t>
      </w:r>
      <m:oMath>
        <m:r>
          <m:rPr>
            <m:nor/>
            <m:sty m:val="p"/>
          </m:rPr>
          <w:rPr>
            <w:rFonts w:cs="Times New Roman"/>
            <w:b w:val="0"/>
            <w:i w:val="0"/>
            <w:iCs/>
            <w:color w:val="auto"/>
          </w:rPr>
          <m:t>V</m:t>
        </m:r>
      </m:oMath>
      <w:r>
        <w:rPr>
          <w:rFonts w:hint="eastAsia"/>
          <w:color w:val="auto"/>
        </w:rPr>
        <w:t>代表表示查询、键和值向量，</w:t>
      </w:r>
      <m:oMath>
        <m:sSub>
          <m:sSubPr>
            <m:ctrlPr>
              <w:rPr>
                <w:rFonts w:ascii="Cambria Math" w:hAnsi="Cambria Math" w:cs="Times New Roman"/>
                <w:color w:val="auto"/>
              </w:rPr>
            </m:ctrlPr>
          </m:sSubPr>
          <m:e>
            <m:r>
              <m:rPr>
                <m:nor/>
                <m:sty m:val="p"/>
              </m:rPr>
              <w:rPr>
                <w:rFonts w:cs="Times New Roman"/>
                <w:b w:val="0"/>
                <w:i w:val="0"/>
                <w:color w:val="auto"/>
              </w:rPr>
              <m:t>d</m:t>
            </m:r>
            <m:ctrlPr>
              <w:rPr>
                <w:rFonts w:ascii="Cambria Math" w:hAnsi="Cambria Math" w:cs="Times New Roman"/>
                <w:color w:val="auto"/>
              </w:rPr>
            </m:ctrlPr>
          </m:e>
          <m:sub>
            <m:r>
              <m:rPr>
                <m:nor/>
                <m:sty m:val="p"/>
              </m:rPr>
              <w:rPr>
                <w:rFonts w:cs="Times New Roman"/>
                <w:b w:val="0"/>
                <w:i w:val="0"/>
                <w:color w:val="auto"/>
              </w:rPr>
              <m:t>k</m:t>
            </m:r>
            <m:ctrlPr>
              <w:rPr>
                <w:rFonts w:ascii="Cambria Math" w:hAnsi="Cambria Math" w:cs="Times New Roman"/>
                <w:color w:val="auto"/>
              </w:rPr>
            </m:ctrlPr>
          </m:sub>
        </m:sSub>
      </m:oMath>
      <w:r>
        <w:rPr>
          <w:rFonts w:hint="eastAsia"/>
          <w:color w:val="auto"/>
        </w:rPr>
        <w:t>是</w:t>
      </w:r>
      <w:r>
        <w:rPr>
          <w:rFonts w:hint="eastAsia"/>
          <w:iCs/>
          <w:color w:val="auto"/>
        </w:rPr>
        <w:t>向量维度。这种方法通过计算词语之间关联性以及赋予相应权重聚合信息来发现远距离依存。此外，多头注意力由于对</w:t>
      </w:r>
      <m:oMath>
        <m:r>
          <m:rPr>
            <m:nor/>
            <m:sty m:val="p"/>
          </m:rPr>
          <w:rPr>
            <w:rFonts w:cs="Times New Roman"/>
            <w:b w:val="0"/>
            <w:i w:val="0"/>
            <w:iCs/>
            <w:color w:val="auto"/>
          </w:rPr>
          <m:t>Q</m:t>
        </m:r>
      </m:oMath>
      <w:r>
        <w:rPr>
          <w:rFonts w:hint="eastAsia"/>
          <w:iCs/>
          <w:color w:val="auto"/>
        </w:rPr>
        <w:t>、</w:t>
      </w:r>
      <m:oMath>
        <m:r>
          <m:rPr>
            <m:nor/>
            <m:sty m:val="p"/>
          </m:rPr>
          <w:rPr>
            <w:rFonts w:cs="Times New Roman"/>
            <w:b w:val="0"/>
            <w:i w:val="0"/>
            <w:iCs/>
            <w:color w:val="auto"/>
          </w:rPr>
          <m:t>K</m:t>
        </m:r>
      </m:oMath>
      <w:r>
        <w:rPr>
          <w:rFonts w:hint="eastAsia"/>
          <w:iCs/>
          <w:color w:val="auto"/>
        </w:rPr>
        <w:t>、</w:t>
      </w:r>
      <m:oMath>
        <m:r>
          <m:rPr>
            <m:nor/>
            <m:sty m:val="p"/>
          </m:rPr>
          <w:rPr>
            <w:rFonts w:cs="Times New Roman"/>
            <w:b w:val="0"/>
            <w:i w:val="0"/>
            <w:iCs/>
            <w:color w:val="auto"/>
          </w:rPr>
          <m:t>V</m:t>
        </m:r>
      </m:oMath>
      <w:r>
        <w:rPr>
          <w:rFonts w:hint="eastAsia"/>
          <w:iCs/>
          <w:color w:val="auto"/>
        </w:rPr>
        <w:t>成若干</w:t>
      </w:r>
      <w:r>
        <w:rPr>
          <w:rFonts w:hint="eastAsia"/>
          <w:color w:val="auto"/>
        </w:rPr>
        <w:t>组并行计算而让网络可以同时学习到各种类型的语义联系。</w:t>
      </w:r>
    </w:p>
    <w:p w14:paraId="3A569B41">
      <w:pPr>
        <w:pStyle w:val="25"/>
        <w:rPr>
          <w:rFonts w:hint="default"/>
          <w:color w:val="auto"/>
        </w:rPr>
      </w:pPr>
      <w:r>
        <w:rPr>
          <w:color w:val="auto"/>
        </w:rPr>
        <w:drawing>
          <wp:inline distT="0" distB="0" distL="114300" distR="114300">
            <wp:extent cx="5272405" cy="2370455"/>
            <wp:effectExtent l="0" t="0" r="0" b="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rcRect t="3151" b="4218"/>
                    <a:stretch>
                      <a:fillRect/>
                    </a:stretch>
                  </pic:blipFill>
                  <pic:spPr>
                    <a:xfrm>
                      <a:off x="0" y="0"/>
                      <a:ext cx="5272405" cy="2370455"/>
                    </a:xfrm>
                    <a:prstGeom prst="rect">
                      <a:avLst/>
                    </a:prstGeom>
                  </pic:spPr>
                </pic:pic>
              </a:graphicData>
            </a:graphic>
          </wp:inline>
        </w:drawing>
      </w:r>
    </w:p>
    <w:p w14:paraId="278EECE6">
      <w:pPr>
        <w:pStyle w:val="25"/>
        <w:rPr>
          <w:rFonts w:hint="default"/>
          <w:color w:val="auto"/>
        </w:rPr>
      </w:pPr>
      <w:r>
        <w:rPr>
          <w:color w:val="auto"/>
        </w:rPr>
        <w:t>图2-2  自注意力机制</w:t>
      </w:r>
    </w:p>
    <w:p w14:paraId="3122F6B1">
      <w:pPr>
        <w:ind w:firstLine="480"/>
        <w:rPr>
          <w:color w:val="auto"/>
        </w:rPr>
      </w:pPr>
      <w:r>
        <w:rPr>
          <w:rFonts w:hint="eastAsia"/>
          <w:color w:val="auto"/>
        </w:rPr>
        <w:t>在BERT基础上，研究者提出了多种改进模型以进一步提升中文建模能力。本文主要使用bert-base-chinese</w:t>
      </w:r>
      <w:r>
        <w:rPr>
          <w:rStyle w:val="33"/>
          <w:rFonts w:hint="eastAsia"/>
          <w:color w:val="auto"/>
        </w:rPr>
        <w:t>[46]</w:t>
      </w:r>
      <w:r>
        <w:rPr>
          <w:rFonts w:hint="eastAsia"/>
          <w:color w:val="auto"/>
        </w:rPr>
        <w:t>、chinese-roberta-wwm-ext</w:t>
      </w:r>
      <w:r>
        <w:rPr>
          <w:rStyle w:val="33"/>
          <w:rFonts w:hint="eastAsia"/>
          <w:color w:val="auto"/>
        </w:rPr>
        <w:t>[47]</w:t>
      </w:r>
      <w:r>
        <w:rPr>
          <w:rFonts w:hint="eastAsia"/>
          <w:color w:val="auto"/>
        </w:rPr>
        <w:t>和chinese-macbert-base</w:t>
      </w:r>
      <w:r>
        <w:rPr>
          <w:rStyle w:val="32"/>
          <w:color w:val="auto"/>
        </w:rPr>
        <w:fldChar w:fldCharType="begin"/>
      </w:r>
      <w:r>
        <w:rPr>
          <w:rStyle w:val="32"/>
          <w:color w:val="auto"/>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color w:val="auto"/>
        </w:rPr>
        <w:fldChar w:fldCharType="separate"/>
      </w:r>
      <w:r>
        <w:rPr>
          <w:rFonts w:cs="Times New Roman"/>
          <w:color w:val="auto"/>
          <w:kern w:val="0"/>
          <w:sz w:val="21"/>
          <w:vertAlign w:val="superscript"/>
        </w:rPr>
        <w:t>[</w:t>
      </w:r>
      <w:r>
        <w:rPr>
          <w:rFonts w:hint="eastAsia" w:cs="Times New Roman"/>
          <w:color w:val="auto"/>
          <w:kern w:val="0"/>
          <w:sz w:val="21"/>
          <w:vertAlign w:val="superscript"/>
        </w:rPr>
        <w:t>48</w:t>
      </w:r>
      <w:r>
        <w:rPr>
          <w:rFonts w:cs="Times New Roman"/>
          <w:color w:val="auto"/>
          <w:kern w:val="0"/>
          <w:sz w:val="21"/>
          <w:vertAlign w:val="superscript"/>
        </w:rPr>
        <w:t>]</w:t>
      </w:r>
      <w:r>
        <w:rPr>
          <w:rStyle w:val="32"/>
          <w:color w:val="auto"/>
        </w:rPr>
        <w:fldChar w:fldCharType="end"/>
      </w:r>
      <w:r>
        <w:rPr>
          <w:rFonts w:hint="eastAsia"/>
          <w:color w:val="auto"/>
        </w:rPr>
        <w:t>这三个模型进行了研究，它们各自的特点如表2-3所示。</w:t>
      </w:r>
    </w:p>
    <w:p w14:paraId="255EB48D">
      <w:pPr>
        <w:pStyle w:val="25"/>
        <w:rPr>
          <w:rFonts w:hint="default"/>
          <w:color w:val="auto"/>
        </w:rPr>
      </w:pPr>
      <w:r>
        <w:rPr>
          <w:color w:val="auto"/>
        </w:rPr>
        <w:t>表2-3  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370AF8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bottom w:val="single" w:color="auto" w:sz="6" w:space="0"/>
              <w:tl2br w:val="nil"/>
              <w:tr2bl w:val="nil"/>
            </w:tcBorders>
            <w:vAlign w:val="center"/>
          </w:tcPr>
          <w:p w14:paraId="3D414D4E">
            <w:pPr>
              <w:pStyle w:val="26"/>
              <w:rPr>
                <w:rFonts w:hint="default"/>
                <w:color w:val="auto"/>
              </w:rPr>
            </w:pPr>
            <w:r>
              <w:rPr>
                <w:color w:val="auto"/>
              </w:rPr>
              <w:t>模型</w:t>
            </w:r>
          </w:p>
        </w:tc>
        <w:tc>
          <w:tcPr>
            <w:tcW w:w="2445" w:type="dxa"/>
            <w:tcBorders>
              <w:bottom w:val="single" w:color="auto" w:sz="6" w:space="0"/>
              <w:tl2br w:val="nil"/>
              <w:tr2bl w:val="nil"/>
            </w:tcBorders>
            <w:vAlign w:val="center"/>
          </w:tcPr>
          <w:p w14:paraId="0D3F7923">
            <w:pPr>
              <w:pStyle w:val="26"/>
              <w:rPr>
                <w:rFonts w:hint="default"/>
                <w:color w:val="auto"/>
              </w:rPr>
            </w:pPr>
            <w:r>
              <w:rPr>
                <w:color w:val="auto"/>
              </w:rPr>
              <w:t>bert-base-chinese</w:t>
            </w:r>
          </w:p>
        </w:tc>
        <w:tc>
          <w:tcPr>
            <w:tcW w:w="2481" w:type="dxa"/>
            <w:tcBorders>
              <w:bottom w:val="single" w:color="auto" w:sz="6" w:space="0"/>
              <w:tl2br w:val="nil"/>
              <w:tr2bl w:val="nil"/>
            </w:tcBorders>
            <w:vAlign w:val="center"/>
          </w:tcPr>
          <w:p w14:paraId="5716F859">
            <w:pPr>
              <w:pStyle w:val="26"/>
              <w:rPr>
                <w:rFonts w:hint="default"/>
                <w:color w:val="auto"/>
              </w:rPr>
            </w:pPr>
            <w:r>
              <w:rPr>
                <w:color w:val="auto"/>
              </w:rPr>
              <w:t>chinese-roberta-wwm-ext</w:t>
            </w:r>
          </w:p>
        </w:tc>
        <w:tc>
          <w:tcPr>
            <w:tcW w:w="2121" w:type="dxa"/>
            <w:tcBorders>
              <w:bottom w:val="single" w:color="auto" w:sz="6" w:space="0"/>
              <w:tl2br w:val="nil"/>
              <w:tr2bl w:val="nil"/>
            </w:tcBorders>
            <w:vAlign w:val="center"/>
          </w:tcPr>
          <w:p w14:paraId="274256DC">
            <w:pPr>
              <w:pStyle w:val="26"/>
              <w:rPr>
                <w:rFonts w:hint="default"/>
                <w:color w:val="auto"/>
              </w:rPr>
            </w:pPr>
            <w:r>
              <w:rPr>
                <w:color w:val="auto"/>
              </w:rPr>
              <w:t>chinese-macbert-base</w:t>
            </w:r>
          </w:p>
        </w:tc>
      </w:tr>
      <w:tr w14:paraId="26B1D2B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3AE4C5FE">
            <w:pPr>
              <w:pStyle w:val="26"/>
              <w:rPr>
                <w:rFonts w:hint="default"/>
                <w:color w:val="auto"/>
              </w:rPr>
            </w:pPr>
            <w:r>
              <w:rPr>
                <w:rFonts w:hint="default"/>
                <w:color w:val="auto"/>
              </w:rPr>
              <w:t>发布机构</w:t>
            </w:r>
          </w:p>
        </w:tc>
        <w:tc>
          <w:tcPr>
            <w:tcW w:w="2445" w:type="dxa"/>
            <w:tcBorders>
              <w:top w:val="single" w:color="auto" w:sz="6" w:space="0"/>
            </w:tcBorders>
            <w:vAlign w:val="center"/>
          </w:tcPr>
          <w:p w14:paraId="758C6C33">
            <w:pPr>
              <w:pStyle w:val="26"/>
              <w:rPr>
                <w:rFonts w:hint="default"/>
                <w:color w:val="auto"/>
              </w:rPr>
            </w:pPr>
            <w:r>
              <w:rPr>
                <w:rFonts w:hint="default"/>
                <w:color w:val="auto"/>
              </w:rPr>
              <w:t>Google</w:t>
            </w:r>
          </w:p>
        </w:tc>
        <w:tc>
          <w:tcPr>
            <w:tcW w:w="2481" w:type="dxa"/>
            <w:tcBorders>
              <w:top w:val="single" w:color="auto" w:sz="6" w:space="0"/>
            </w:tcBorders>
            <w:vAlign w:val="center"/>
          </w:tcPr>
          <w:p w14:paraId="271FD2F2">
            <w:pPr>
              <w:pStyle w:val="26"/>
              <w:rPr>
                <w:rFonts w:hint="default"/>
                <w:color w:val="auto"/>
              </w:rPr>
            </w:pPr>
            <w:r>
              <w:rPr>
                <w:rFonts w:hint="default"/>
                <w:color w:val="auto"/>
              </w:rPr>
              <w:t>HFL</w:t>
            </w:r>
          </w:p>
        </w:tc>
        <w:tc>
          <w:tcPr>
            <w:tcW w:w="2121" w:type="dxa"/>
            <w:tcBorders>
              <w:top w:val="single" w:color="auto" w:sz="6" w:space="0"/>
            </w:tcBorders>
            <w:vAlign w:val="center"/>
          </w:tcPr>
          <w:p w14:paraId="0AEC4F7B">
            <w:pPr>
              <w:pStyle w:val="26"/>
              <w:rPr>
                <w:rFonts w:hint="default"/>
                <w:color w:val="auto"/>
              </w:rPr>
            </w:pPr>
            <w:r>
              <w:rPr>
                <w:rFonts w:hint="default"/>
                <w:color w:val="auto"/>
              </w:rPr>
              <w:t>HFL</w:t>
            </w:r>
          </w:p>
        </w:tc>
      </w:tr>
      <w:tr w14:paraId="3E37C8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0EEC7BD6">
            <w:pPr>
              <w:pStyle w:val="26"/>
              <w:rPr>
                <w:rFonts w:hint="default"/>
                <w:color w:val="auto"/>
              </w:rPr>
            </w:pPr>
            <w:r>
              <w:rPr>
                <w:rFonts w:hint="default"/>
                <w:color w:val="auto"/>
              </w:rPr>
              <w:t>模型体量</w:t>
            </w:r>
          </w:p>
        </w:tc>
        <w:tc>
          <w:tcPr>
            <w:tcW w:w="2445" w:type="dxa"/>
            <w:tcBorders>
              <w:tl2br w:val="nil"/>
              <w:tr2bl w:val="nil"/>
            </w:tcBorders>
            <w:vAlign w:val="center"/>
          </w:tcPr>
          <w:p w14:paraId="215788AD">
            <w:pPr>
              <w:pStyle w:val="26"/>
              <w:rPr>
                <w:rFonts w:hint="default"/>
                <w:color w:val="auto"/>
              </w:rPr>
            </w:pPr>
            <w:r>
              <w:rPr>
                <w:rFonts w:hint="default"/>
                <w:color w:val="auto"/>
              </w:rPr>
              <w:t>12层，768隐藏维度</w:t>
            </w:r>
          </w:p>
        </w:tc>
        <w:tc>
          <w:tcPr>
            <w:tcW w:w="2481" w:type="dxa"/>
            <w:tcBorders>
              <w:tl2br w:val="nil"/>
              <w:tr2bl w:val="nil"/>
            </w:tcBorders>
            <w:vAlign w:val="center"/>
          </w:tcPr>
          <w:p w14:paraId="362316B6">
            <w:pPr>
              <w:pStyle w:val="26"/>
              <w:rPr>
                <w:rFonts w:hint="default"/>
                <w:color w:val="auto"/>
              </w:rPr>
            </w:pPr>
            <w:r>
              <w:rPr>
                <w:rFonts w:hint="default"/>
                <w:color w:val="auto"/>
              </w:rPr>
              <w:t>同左</w:t>
            </w:r>
          </w:p>
        </w:tc>
        <w:tc>
          <w:tcPr>
            <w:tcW w:w="2121" w:type="dxa"/>
            <w:tcBorders>
              <w:tl2br w:val="nil"/>
              <w:tr2bl w:val="nil"/>
            </w:tcBorders>
            <w:vAlign w:val="center"/>
          </w:tcPr>
          <w:p w14:paraId="7B2B10FE">
            <w:pPr>
              <w:pStyle w:val="26"/>
              <w:rPr>
                <w:rFonts w:hint="default"/>
                <w:color w:val="auto"/>
              </w:rPr>
            </w:pPr>
            <w:r>
              <w:rPr>
                <w:rFonts w:hint="default"/>
                <w:color w:val="auto"/>
              </w:rPr>
              <w:t>同左</w:t>
            </w:r>
          </w:p>
        </w:tc>
      </w:tr>
      <w:tr w14:paraId="614401D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026439">
            <w:pPr>
              <w:pStyle w:val="26"/>
              <w:rPr>
                <w:rFonts w:hint="default"/>
                <w:color w:val="auto"/>
              </w:rPr>
            </w:pPr>
            <w:r>
              <w:rPr>
                <w:rFonts w:hint="default"/>
                <w:color w:val="auto"/>
              </w:rPr>
              <w:t>字表</w:t>
            </w:r>
          </w:p>
        </w:tc>
        <w:tc>
          <w:tcPr>
            <w:tcW w:w="2445" w:type="dxa"/>
            <w:tcBorders>
              <w:tl2br w:val="nil"/>
              <w:tr2bl w:val="nil"/>
            </w:tcBorders>
            <w:vAlign w:val="center"/>
          </w:tcPr>
          <w:p w14:paraId="5FCBE62D">
            <w:pPr>
              <w:pStyle w:val="26"/>
              <w:rPr>
                <w:rFonts w:hint="default"/>
                <w:color w:val="auto"/>
              </w:rPr>
            </w:pPr>
            <w:r>
              <w:rPr>
                <w:rFonts w:hint="default"/>
                <w:color w:val="auto"/>
              </w:rPr>
              <w:t>21128</w:t>
            </w:r>
            <w:r>
              <w:rPr>
                <w:color w:val="auto"/>
              </w:rPr>
              <w:t>，</w:t>
            </w:r>
            <w:r>
              <w:rPr>
                <w:rFonts w:hint="default"/>
                <w:color w:val="auto"/>
              </w:rPr>
              <w:t>基于BERTvocab</w:t>
            </w:r>
          </w:p>
        </w:tc>
        <w:tc>
          <w:tcPr>
            <w:tcW w:w="2481" w:type="dxa"/>
            <w:tcBorders>
              <w:tl2br w:val="nil"/>
              <w:tr2bl w:val="nil"/>
            </w:tcBorders>
            <w:vAlign w:val="center"/>
          </w:tcPr>
          <w:p w14:paraId="2C4A35C6">
            <w:pPr>
              <w:pStyle w:val="26"/>
              <w:rPr>
                <w:rFonts w:hint="default"/>
                <w:color w:val="auto"/>
              </w:rPr>
            </w:pPr>
            <w:r>
              <w:rPr>
                <w:rFonts w:hint="default"/>
                <w:color w:val="auto"/>
              </w:rPr>
              <w:t>同左</w:t>
            </w:r>
          </w:p>
        </w:tc>
        <w:tc>
          <w:tcPr>
            <w:tcW w:w="2121" w:type="dxa"/>
            <w:tcBorders>
              <w:tl2br w:val="nil"/>
              <w:tr2bl w:val="nil"/>
            </w:tcBorders>
            <w:vAlign w:val="center"/>
          </w:tcPr>
          <w:p w14:paraId="35FDB636">
            <w:pPr>
              <w:pStyle w:val="26"/>
              <w:rPr>
                <w:rFonts w:hint="default"/>
                <w:color w:val="auto"/>
              </w:rPr>
            </w:pPr>
            <w:r>
              <w:rPr>
                <w:rFonts w:hint="default"/>
                <w:color w:val="auto"/>
              </w:rPr>
              <w:t>同左</w:t>
            </w:r>
          </w:p>
        </w:tc>
      </w:tr>
      <w:tr w14:paraId="228A9F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0906A4B7">
            <w:pPr>
              <w:pStyle w:val="26"/>
              <w:rPr>
                <w:rFonts w:hint="default"/>
                <w:color w:val="auto"/>
              </w:rPr>
            </w:pPr>
            <w:r>
              <w:rPr>
                <w:rFonts w:hint="default"/>
                <w:color w:val="auto"/>
              </w:rPr>
              <w:t>训练语料</w:t>
            </w:r>
          </w:p>
        </w:tc>
        <w:tc>
          <w:tcPr>
            <w:tcW w:w="2445" w:type="dxa"/>
            <w:tcBorders>
              <w:tl2br w:val="nil"/>
              <w:tr2bl w:val="nil"/>
            </w:tcBorders>
            <w:vAlign w:val="center"/>
          </w:tcPr>
          <w:p w14:paraId="5EE9C8A3">
            <w:pPr>
              <w:pStyle w:val="26"/>
              <w:rPr>
                <w:rFonts w:hint="default"/>
                <w:color w:val="auto"/>
              </w:rPr>
            </w:pPr>
            <w:r>
              <w:rPr>
                <w:rFonts w:hint="default"/>
                <w:color w:val="auto"/>
              </w:rPr>
              <w:t>中文Wikipedia</w:t>
            </w:r>
          </w:p>
        </w:tc>
        <w:tc>
          <w:tcPr>
            <w:tcW w:w="2481" w:type="dxa"/>
            <w:tcBorders>
              <w:tl2br w:val="nil"/>
              <w:tr2bl w:val="nil"/>
            </w:tcBorders>
            <w:vAlign w:val="center"/>
          </w:tcPr>
          <w:p w14:paraId="49C2EBFB">
            <w:pPr>
              <w:pStyle w:val="26"/>
              <w:rPr>
                <w:rFonts w:hint="default"/>
                <w:color w:val="auto"/>
              </w:rPr>
            </w:pPr>
            <w:r>
              <w:rPr>
                <w:rFonts w:hint="default"/>
                <w:color w:val="auto"/>
              </w:rPr>
              <w:t>中文Wikipedia+扩展语料</w:t>
            </w:r>
          </w:p>
        </w:tc>
        <w:tc>
          <w:tcPr>
            <w:tcW w:w="2121" w:type="dxa"/>
            <w:tcBorders>
              <w:tl2br w:val="nil"/>
              <w:tr2bl w:val="nil"/>
            </w:tcBorders>
            <w:vAlign w:val="center"/>
          </w:tcPr>
          <w:p w14:paraId="55E3E30F">
            <w:pPr>
              <w:pStyle w:val="26"/>
              <w:rPr>
                <w:rFonts w:hint="default"/>
                <w:color w:val="auto"/>
              </w:rPr>
            </w:pPr>
            <w:r>
              <w:rPr>
                <w:rFonts w:hint="default"/>
                <w:color w:val="auto"/>
              </w:rPr>
              <w:t>中文Wiki+CLUE语料+新闻等通用语料</w:t>
            </w:r>
          </w:p>
        </w:tc>
      </w:tr>
      <w:tr w14:paraId="4E33499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B0FFE90">
            <w:pPr>
              <w:pStyle w:val="26"/>
              <w:rPr>
                <w:rFonts w:hint="default"/>
                <w:color w:val="auto"/>
              </w:rPr>
            </w:pPr>
            <w:r>
              <w:rPr>
                <w:rFonts w:hint="default"/>
                <w:color w:val="auto"/>
              </w:rPr>
              <w:t>预训练策略</w:t>
            </w:r>
          </w:p>
        </w:tc>
        <w:tc>
          <w:tcPr>
            <w:tcW w:w="2445" w:type="dxa"/>
            <w:tcBorders>
              <w:tl2br w:val="nil"/>
              <w:tr2bl w:val="nil"/>
            </w:tcBorders>
            <w:vAlign w:val="center"/>
          </w:tcPr>
          <w:p w14:paraId="6FA59CFF">
            <w:pPr>
              <w:pStyle w:val="26"/>
              <w:rPr>
                <w:rFonts w:hint="default"/>
                <w:color w:val="auto"/>
              </w:rPr>
            </w:pPr>
            <w:r>
              <w:rPr>
                <w:rFonts w:hint="default"/>
                <w:color w:val="auto"/>
              </w:rPr>
              <w:t>MLM+NSP</w:t>
            </w:r>
          </w:p>
        </w:tc>
        <w:tc>
          <w:tcPr>
            <w:tcW w:w="2481" w:type="dxa"/>
            <w:tcBorders>
              <w:tl2br w:val="nil"/>
              <w:tr2bl w:val="nil"/>
            </w:tcBorders>
            <w:vAlign w:val="center"/>
          </w:tcPr>
          <w:p w14:paraId="3F84D5CD">
            <w:pPr>
              <w:pStyle w:val="26"/>
              <w:rPr>
                <w:rFonts w:hint="default"/>
                <w:color w:val="auto"/>
              </w:rPr>
            </w:pPr>
            <w:r>
              <w:rPr>
                <w:rFonts w:hint="default"/>
                <w:color w:val="auto"/>
              </w:rPr>
              <w:t>MLM+WWM,去除NSP</w:t>
            </w:r>
          </w:p>
        </w:tc>
        <w:tc>
          <w:tcPr>
            <w:tcW w:w="2121" w:type="dxa"/>
            <w:tcBorders>
              <w:tl2br w:val="nil"/>
              <w:tr2bl w:val="nil"/>
            </w:tcBorders>
            <w:vAlign w:val="center"/>
          </w:tcPr>
          <w:p w14:paraId="660AFA5A">
            <w:pPr>
              <w:pStyle w:val="26"/>
              <w:rPr>
                <w:rFonts w:hint="default"/>
                <w:color w:val="auto"/>
              </w:rPr>
            </w:pPr>
            <w:r>
              <w:rPr>
                <w:rFonts w:hint="default"/>
                <w:color w:val="auto"/>
              </w:rPr>
              <w:t>MAC+SOP+WWM</w:t>
            </w:r>
          </w:p>
        </w:tc>
      </w:tr>
    </w:tbl>
    <w:p w14:paraId="209A8869">
      <w:pPr>
        <w:ind w:firstLine="480"/>
        <w:rPr>
          <w:color w:val="auto"/>
        </w:rPr>
      </w:pPr>
      <w:r>
        <w:rPr>
          <w:color w:val="auto"/>
        </w:rPr>
        <w:t>其中，Whole Word Masking（WWM）针对中文语言特点进行了改进。在传统</w:t>
      </w:r>
      <w:r>
        <w:rPr>
          <w:rFonts w:hint="eastAsia"/>
          <w:color w:val="auto"/>
        </w:rPr>
        <w:t>掩码语言模型（</w:t>
      </w:r>
      <w:r>
        <w:rPr>
          <w:color w:val="auto"/>
        </w:rPr>
        <w:t>Masked Language Modeling, MLM</w:t>
      </w:r>
      <w:r>
        <w:rPr>
          <w:rFonts w:hint="eastAsia"/>
          <w:color w:val="auto"/>
        </w:rPr>
        <w:t>）</w:t>
      </w:r>
      <w:r>
        <w:rPr>
          <w:color w:val="auto"/>
        </w:rPr>
        <w:t>中，掩码单位通常为单个字，容易破坏完整词语的语义结构</w:t>
      </w:r>
      <w:r>
        <w:rPr>
          <w:rStyle w:val="33"/>
          <w:rFonts w:hint="eastAsia"/>
          <w:color w:val="auto"/>
        </w:rPr>
        <w:t>[</w:t>
      </w:r>
      <w:r>
        <w:rPr>
          <w:rStyle w:val="33"/>
          <w:color w:val="auto"/>
        </w:rPr>
        <w:t>20, 49]</w:t>
      </w:r>
      <w:r>
        <w:rPr>
          <w:color w:val="auto"/>
        </w:rPr>
        <w:t>。WWM以词为最小掩码单位，对同一词中的所有字同时进行遮蔽，使模型在预测时更加依赖完整词级语义，从而提升对专业术语和固定搭配的建模能力。</w:t>
      </w:r>
    </w:p>
    <w:p w14:paraId="636FEF39">
      <w:pPr>
        <w:ind w:firstLine="480"/>
        <w:rPr>
          <w:color w:val="auto"/>
        </w:rPr>
      </w:pPr>
      <w:r>
        <w:rPr>
          <w:color w:val="auto"/>
        </w:rPr>
        <w:t>MacBERT进一步提出了Masked Attribute Classification（MAC）任务，用语义相近的词替换被掩码位置，而非使用特殊的[MASK]符号，缩小了预训练与下游任务之间的分布差异，使模型学习到更加贴近真实语言使用场景的表示</w:t>
      </w:r>
      <w:r>
        <w:rPr>
          <w:rStyle w:val="33"/>
          <w:rFonts w:hint="eastAsia"/>
          <w:color w:val="auto"/>
        </w:rPr>
        <w:t>[49]</w:t>
      </w:r>
      <w:r>
        <w:rPr>
          <w:color w:val="auto"/>
        </w:rPr>
        <w:t>。同时，MacBERT采用Sentence Order Prediction（SOP）任务替代NSP，通过判断句子顺序是否正确来建模篇章连贯性，更有利于学习长文本中的逻辑顺序关系。</w:t>
      </w:r>
    </w:p>
    <w:p w14:paraId="583937B2">
      <w:pPr>
        <w:numPr>
          <w:ilvl w:val="0"/>
          <w:numId w:val="6"/>
        </w:numPr>
        <w:ind w:firstLine="480" w:firstLineChars="0"/>
        <w:rPr>
          <w:color w:val="auto"/>
          <w:highlight w:val="yellow"/>
        </w:rPr>
      </w:pPr>
      <w:r>
        <w:rPr>
          <w:rFonts w:hint="eastAsia"/>
          <w:color w:val="auto"/>
          <w:highlight w:val="yellow"/>
        </w:rPr>
        <w:t>专利领域专用预训练模型</w:t>
      </w:r>
    </w:p>
    <w:p w14:paraId="261A8746">
      <w:pPr>
        <w:ind w:firstLine="480"/>
        <w:rPr>
          <w:color w:val="auto"/>
          <w:highlight w:val="yellow"/>
        </w:rPr>
      </w:pPr>
      <w:r>
        <w:rPr>
          <w:rFonts w:hint="eastAsia"/>
          <w:color w:val="auto"/>
          <w:highlight w:val="yellow"/>
        </w:rPr>
        <w:t>通用预训练模型的词表主要基于维基百科等通用语料库构建，在面对专利中的高度专业化学术语时，常出现词表外（Out-of-Vocabulary, OOV）问题。因此，研究者构建了针对专利语料的专用预训练模型，其中以PatentBERT与PatentSBERTa最具代表性。</w:t>
      </w:r>
    </w:p>
    <w:p w14:paraId="62C45993">
      <w:pPr>
        <w:ind w:firstLine="480"/>
        <w:rPr>
          <w:color w:val="auto"/>
          <w:highlight w:val="yellow"/>
        </w:rPr>
      </w:pPr>
      <w:r>
        <w:rPr>
          <w:rFonts w:hint="eastAsia"/>
          <w:color w:val="auto"/>
          <w:highlight w:val="yellow"/>
        </w:rPr>
        <w:t>PatentBERT是由Lee等人提出的专门针对专利分类任务优化的预训练架构，通过在专利语料上重新构建词表，有效提升了模型对技术文本的表征精度</w:t>
      </w:r>
      <w:r>
        <w:rPr>
          <w:rStyle w:val="33"/>
          <w:rFonts w:hint="eastAsia"/>
          <w:color w:val="auto"/>
          <w:highlight w:val="yellow"/>
        </w:rPr>
        <w:t>[26]</w:t>
      </w:r>
      <w:r>
        <w:rPr>
          <w:rFonts w:hint="eastAsia"/>
          <w:color w:val="auto"/>
          <w:highlight w:val="yellow"/>
        </w:rPr>
        <w:t>。模型在预训练阶段通过MLM任务学习专利特有的上下文关联，通过对大量技术权利要求书的学习，PatentBERT能够建立起技术术语与法律效力之间的语义映射。</w:t>
      </w:r>
    </w:p>
    <w:p w14:paraId="21AD51BE">
      <w:pPr>
        <w:ind w:firstLine="480"/>
        <w:rPr>
          <w:color w:val="auto"/>
          <w:highlight w:val="yellow"/>
        </w:rPr>
      </w:pPr>
      <w:r>
        <w:rPr>
          <w:rFonts w:hint="eastAsia"/>
          <w:color w:val="auto"/>
          <w:highlight w:val="yellow"/>
        </w:rPr>
        <w:t>PatentSBERTa由Bekamiri等人提出，该方法利用增强的SBERT生成专利文本向量，用于计算专利之间的语义距离，并进一步结合近邻方法完成CPC分类和语义检索任务</w:t>
      </w:r>
      <w:r>
        <w:rPr>
          <w:rStyle w:val="33"/>
          <w:rFonts w:hint="eastAsia"/>
          <w:color w:val="auto"/>
          <w:highlight w:val="yellow"/>
        </w:rPr>
        <w:t>[27]</w:t>
      </w:r>
      <w:r>
        <w:rPr>
          <w:rFonts w:hint="eastAsia"/>
          <w:color w:val="auto"/>
          <w:highlight w:val="yellow"/>
        </w:rPr>
        <w:t>。与直接进行类别预测的模型不同，PatentSBERTa更强调专利文本之间的相似度建模，适合用于专利距离计算、语义检索和基于相似样本的分类场景。</w:t>
      </w:r>
    </w:p>
    <w:p w14:paraId="1125AABC">
      <w:pPr>
        <w:ind w:firstLine="480"/>
        <w:rPr>
          <w:color w:val="auto"/>
          <w:highlight w:val="yellow"/>
        </w:rPr>
      </w:pPr>
      <w:r>
        <w:rPr>
          <w:rFonts w:hint="eastAsia"/>
          <w:color w:val="auto"/>
          <w:highlight w:val="yellow"/>
        </w:rPr>
        <w:t>PatentBERT和PatentSBERTa等方法能够增强模型对专利技术语义的表示能力，但它们主要面向IPC、CPC等通用专利分类或专利相似度任务。本文研究对象并不是单一专利分类体系内部的类别预测，而是医疗器械专利文本与《医疗器械分类目录》之间的跨体系映射。该任务除技术原理外，还需要关注分类目录、监管规则以及“有源”、“无源”、“接触部位”等局部判别特征。因此，本文在第四章实验中引入具有代表性的专利表示与分类模型与本文构建的BERT-TextCNN模型进行性能对比，以检验全局语义表示与局部短语特征结合后在本文任务中的适用性。</w:t>
      </w:r>
    </w:p>
    <w:p w14:paraId="6D13B76D">
      <w:pPr>
        <w:pStyle w:val="3"/>
        <w:numPr>
          <w:ilvl w:val="1"/>
          <w:numId w:val="1"/>
        </w:numPr>
        <w:tabs>
          <w:tab w:val="clear" w:pos="420"/>
        </w:tabs>
        <w:rPr>
          <w:color w:val="auto"/>
        </w:rPr>
      </w:pPr>
      <w:bookmarkStart w:id="85" w:name="_Toc16886"/>
      <w:bookmarkStart w:id="86" w:name="_Toc26311"/>
      <w:bookmarkStart w:id="87" w:name="_Toc229086871"/>
      <w:r>
        <w:rPr>
          <w:rFonts w:hint="eastAsia"/>
          <w:color w:val="auto"/>
        </w:rPr>
        <w:t>大语言模型与知识增强技术</w:t>
      </w:r>
      <w:bookmarkEnd w:id="85"/>
      <w:bookmarkEnd w:id="86"/>
      <w:bookmarkEnd w:id="87"/>
    </w:p>
    <w:p w14:paraId="2870B53A">
      <w:pPr>
        <w:ind w:firstLine="480"/>
        <w:rPr>
          <w:color w:val="auto"/>
        </w:rPr>
      </w:pPr>
      <w:r>
        <w:rPr>
          <w:rFonts w:hint="eastAsia"/>
          <w:color w:val="auto"/>
        </w:rPr>
        <w:t>预训练模型可以提升专利文本的语义表征能力，但难以直接解决医疗器械垂直领域标注数据不足和人工标注成本较高的问题，LLM与知识增强技术的兴起，为实现跨体系语义映射中的自动化标注提供了新的技术路径。</w:t>
      </w:r>
    </w:p>
    <w:p w14:paraId="06E549D1">
      <w:pPr>
        <w:ind w:firstLine="480"/>
        <w:rPr>
          <w:color w:val="auto"/>
        </w:rPr>
      </w:pPr>
      <w:r>
        <w:rPr>
          <w:rFonts w:hint="eastAsia"/>
          <w:color w:val="auto"/>
        </w:rPr>
        <w:t>与BERT侧重于特征编码不同，LLM在少量样本学习、逻辑推理以及对长文档的深度理解等方面表现出卓越的性能。通过引入RAG，非参数化的领域知识可在生成过程中作为外部依据参与推理，从而为跨体系映射任务提供带有领域约束的标注依据。</w:t>
      </w:r>
    </w:p>
    <w:p w14:paraId="254D7EF0">
      <w:pPr>
        <w:pStyle w:val="4"/>
        <w:numPr>
          <w:ilvl w:val="2"/>
          <w:numId w:val="1"/>
        </w:numPr>
        <w:tabs>
          <w:tab w:val="clear" w:pos="420"/>
        </w:tabs>
        <w:rPr>
          <w:color w:val="auto"/>
        </w:rPr>
      </w:pPr>
      <w:bookmarkStart w:id="88" w:name="_Toc2212"/>
      <w:bookmarkStart w:id="89" w:name="_Toc216114485"/>
      <w:bookmarkStart w:id="90" w:name="_Toc27541"/>
      <w:bookmarkStart w:id="91" w:name="_Toc229086872"/>
      <w:r>
        <w:rPr>
          <w:rFonts w:hint="eastAsia"/>
          <w:color w:val="auto"/>
        </w:rPr>
        <w:t>基于</w:t>
      </w:r>
      <w:r>
        <w:rPr>
          <w:color w:val="auto"/>
        </w:rPr>
        <w:t>Q</w:t>
      </w:r>
      <w:r>
        <w:rPr>
          <w:rFonts w:hint="eastAsia"/>
          <w:color w:val="auto"/>
        </w:rPr>
        <w:t>wen</w:t>
      </w:r>
      <w:bookmarkEnd w:id="88"/>
      <w:bookmarkEnd w:id="89"/>
      <w:r>
        <w:rPr>
          <w:rFonts w:hint="eastAsia"/>
          <w:color w:val="auto"/>
        </w:rPr>
        <w:t>的数据标注推理</w:t>
      </w:r>
      <w:bookmarkEnd w:id="90"/>
      <w:bookmarkEnd w:id="91"/>
    </w:p>
    <w:p w14:paraId="290B96E1">
      <w:pPr>
        <w:ind w:firstLine="480"/>
        <w:rPr>
          <w:color w:val="auto"/>
        </w:rPr>
      </w:pPr>
      <w:r>
        <w:rPr>
          <w:rFonts w:hint="eastAsia"/>
          <w:color w:val="auto"/>
        </w:rPr>
        <w:t>Qwen是阿里云推出的通义千问系列大模型，而Qwen3是该系列第三代模型，其在通用性、推理能力和对长上下文支持上都有较大改善并且在多个评估任务中性能优异</w:t>
      </w:r>
      <w:r>
        <w:rPr>
          <w:rStyle w:val="33"/>
          <w:rFonts w:hint="eastAsia"/>
          <w:color w:val="auto"/>
        </w:rPr>
        <w:t>[23]</w:t>
      </w:r>
      <w:r>
        <w:rPr>
          <w:rFonts w:hint="eastAsia"/>
          <w:color w:val="auto"/>
        </w:rPr>
        <w:t>。</w:t>
      </w:r>
    </w:p>
    <w:p w14:paraId="3CA7F979">
      <w:pPr>
        <w:ind w:firstLine="480"/>
        <w:rPr>
          <w:color w:val="auto"/>
          <w:highlight w:val="yellow"/>
        </w:rPr>
      </w:pPr>
      <w:r>
        <w:rPr>
          <w:rFonts w:hint="eastAsia"/>
          <w:color w:val="auto"/>
          <w:highlight w:val="yellow"/>
        </w:rPr>
        <w:t>医疗器械专利自动分类</w:t>
      </w:r>
      <w:r>
        <w:rPr>
          <w:rFonts w:hint="eastAsia"/>
          <w:color w:val="auto"/>
          <w:highlight w:val="yellow"/>
          <w:lang w:val="en-US" w:eastAsia="zh-CN"/>
        </w:rPr>
        <w:t>是</w:t>
      </w:r>
      <w:r>
        <w:rPr>
          <w:rFonts w:hint="eastAsia"/>
          <w:color w:val="auto"/>
          <w:highlight w:val="yellow"/>
        </w:rPr>
        <w:t>一个严谨的逻辑推理过程。Qwen3通过构建思维链，能够模拟行业专家的判定路径（识别技术特征—关联临床用途—匹配分类目录），从而显著提升自动标注的逻辑一致性。由于医疗器械专利摘要中常同时包含技术结构、用途场景和产品属性等信息，自动标注过程需要模型具备较强的语义理解和规则匹配能力。Qwen3在指令理解和推理生成方面具有较好表现，可用于辅助识别摘要中的关键技术特征，并结合分类目录知识生成初步标签。</w:t>
      </w:r>
    </w:p>
    <w:p w14:paraId="131A7897">
      <w:pPr>
        <w:pStyle w:val="4"/>
        <w:numPr>
          <w:ilvl w:val="2"/>
          <w:numId w:val="1"/>
        </w:numPr>
        <w:tabs>
          <w:tab w:val="clear" w:pos="420"/>
        </w:tabs>
        <w:rPr>
          <w:color w:val="auto"/>
        </w:rPr>
      </w:pPr>
      <w:bookmarkStart w:id="92" w:name="_Toc229086873"/>
      <w:bookmarkStart w:id="93" w:name="_Toc24816"/>
      <w:r>
        <w:rPr>
          <w:rFonts w:hint="eastAsia"/>
          <w:color w:val="auto"/>
        </w:rPr>
        <w:t>RAG检索增强</w:t>
      </w:r>
      <w:bookmarkEnd w:id="92"/>
      <w:bookmarkEnd w:id="93"/>
    </w:p>
    <w:p w14:paraId="79910654">
      <w:pPr>
        <w:ind w:firstLine="480"/>
        <w:rPr>
          <w:color w:val="auto"/>
        </w:rPr>
      </w:pPr>
      <w:r>
        <w:rPr>
          <w:rFonts w:hint="eastAsia"/>
          <w:color w:val="auto"/>
        </w:rPr>
        <w:t>大型语言模型虽然具有很强的泛化能力，但是在专利分类等领域仍然存在幻觉以及知识过时的问题，导致结果的准确性和时效性不足。Lewis等人在2020年提出的RAG技术为解决该问题提供了解决方案</w:t>
      </w:r>
      <w:r>
        <w:rPr>
          <w:rStyle w:val="32"/>
          <w:color w:val="auto"/>
        </w:rPr>
        <w:fldChar w:fldCharType="begin"/>
      </w:r>
      <w:r>
        <w:rPr>
          <w:rStyle w:val="32"/>
          <w:color w:val="auto"/>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color w:val="auto"/>
        </w:rPr>
        <w:fldChar w:fldCharType="separate"/>
      </w:r>
      <w:r>
        <w:rPr>
          <w:rFonts w:cs="Times New Roman"/>
          <w:color w:val="auto"/>
          <w:kern w:val="0"/>
          <w:sz w:val="21"/>
          <w:vertAlign w:val="superscript"/>
        </w:rPr>
        <w:t>[31]</w:t>
      </w:r>
      <w:r>
        <w:rPr>
          <w:rStyle w:val="32"/>
          <w:color w:val="auto"/>
        </w:rPr>
        <w:fldChar w:fldCharType="end"/>
      </w:r>
      <w:r>
        <w:rPr>
          <w:rFonts w:hint="eastAsia"/>
          <w:color w:val="auto"/>
        </w:rPr>
        <w:t>。</w:t>
      </w:r>
    </w:p>
    <w:p w14:paraId="4BACBDAD">
      <w:pPr>
        <w:ind w:firstLine="480"/>
        <w:rPr>
          <w:color w:val="auto"/>
        </w:rPr>
      </w:pPr>
      <w:r>
        <w:rPr>
          <w:rFonts w:hint="eastAsia"/>
          <w:color w:val="auto"/>
        </w:rPr>
        <w:t>《医疗器械分类目录》具有高度的法定权威性并且处于常动态调整中。LLM内部的参数化知识往往无法实时覆盖动态调整的领域知识。RAG将非参数化的外部知识库（Knowledge Base）与参数化的生成模型结合，其工作流程如图 2-3 所示。</w:t>
      </w:r>
    </w:p>
    <w:p w14:paraId="3CF564BF">
      <w:pPr>
        <w:ind w:firstLine="0" w:firstLineChars="0"/>
        <w:rPr>
          <w:color w:val="auto"/>
        </w:rPr>
      </w:pPr>
      <w:r>
        <w:rPr>
          <w:rFonts w:hint="eastAsia"/>
          <w:color w:val="auto"/>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2D26D77E">
      <w:pPr>
        <w:pStyle w:val="25"/>
        <w:rPr>
          <w:rFonts w:hint="default"/>
          <w:color w:val="auto"/>
        </w:rPr>
      </w:pPr>
      <w:r>
        <w:rPr>
          <w:color w:val="auto"/>
        </w:rPr>
        <w:t>图2-3  RAG流程</w:t>
      </w:r>
    </w:p>
    <w:p w14:paraId="4625CA06">
      <w:pPr>
        <w:ind w:firstLine="480"/>
        <w:rPr>
          <w:color w:val="auto"/>
          <w:highlight w:val="yellow"/>
        </w:rPr>
      </w:pPr>
      <w:r>
        <w:rPr>
          <w:rFonts w:hint="eastAsia"/>
          <w:color w:val="auto"/>
          <w:highlight w:val="yellow"/>
        </w:rPr>
        <w:t>RAG通过编码器将领域知识文本转化为向量表示，在标注查询阶段为LLM提供外部知识依据，使模型判断能够更多参考现行分类规则和目录条目。这种方式可以在一定程度上缓解自动标注过程中的知识过时和语义漂移问题，但标注结果仍需结合专家校对和统计检验进行质量控制。</w:t>
      </w:r>
    </w:p>
    <w:p w14:paraId="32C42C6F">
      <w:pPr>
        <w:pStyle w:val="4"/>
        <w:numPr>
          <w:ilvl w:val="2"/>
          <w:numId w:val="1"/>
        </w:numPr>
        <w:tabs>
          <w:tab w:val="clear" w:pos="420"/>
        </w:tabs>
        <w:rPr>
          <w:color w:val="auto"/>
        </w:rPr>
      </w:pPr>
      <w:bookmarkStart w:id="94" w:name="_Toc18233"/>
      <w:bookmarkStart w:id="95" w:name="_Toc28710"/>
      <w:bookmarkStart w:id="96" w:name="_Toc229086874"/>
      <w:r>
        <w:rPr>
          <w:rFonts w:hint="eastAsia"/>
          <w:color w:val="auto"/>
        </w:rPr>
        <w:t>基于</w:t>
      </w:r>
      <w:r>
        <w:rPr>
          <w:color w:val="auto"/>
        </w:rPr>
        <w:t>D</w:t>
      </w:r>
      <w:r>
        <w:rPr>
          <w:rFonts w:hint="eastAsia"/>
          <w:color w:val="auto"/>
        </w:rPr>
        <w:t>ify</w:t>
      </w:r>
      <w:bookmarkEnd w:id="94"/>
      <w:r>
        <w:rPr>
          <w:rFonts w:hint="eastAsia"/>
          <w:color w:val="auto"/>
        </w:rPr>
        <w:t>的标注工程化</w:t>
      </w:r>
      <w:bookmarkEnd w:id="95"/>
      <w:bookmarkEnd w:id="96"/>
    </w:p>
    <w:p w14:paraId="2AE97983">
      <w:pPr>
        <w:ind w:firstLine="480"/>
        <w:rPr>
          <w:color w:val="auto"/>
        </w:rPr>
      </w:pPr>
      <w:r>
        <w:rPr>
          <w:rFonts w:hint="eastAsia"/>
          <w:color w:val="auto"/>
        </w:rPr>
        <w:t>开发以大模型为基础的应用程序需要解决的问题不仅仅是模型本身的问题，在此基础上还需要考虑复杂的业务及鲁棒性等问题，因此一个中间件是必不可少的，而Dify</w:t>
      </w:r>
      <w:r>
        <w:rPr>
          <w:rStyle w:val="32"/>
          <w:color w:val="auto"/>
        </w:rPr>
        <w:fldChar w:fldCharType="begin"/>
      </w:r>
      <w:r>
        <w:rPr>
          <w:rStyle w:val="32"/>
          <w:color w:val="auto"/>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color w:val="auto"/>
        </w:rPr>
        <w:fldChar w:fldCharType="separate"/>
      </w:r>
      <w:r>
        <w:rPr>
          <w:rFonts w:cs="Times New Roman"/>
          <w:color w:val="auto"/>
          <w:kern w:val="0"/>
          <w:sz w:val="21"/>
          <w:vertAlign w:val="superscript"/>
        </w:rPr>
        <w:t>[32]</w:t>
      </w:r>
      <w:r>
        <w:rPr>
          <w:rStyle w:val="32"/>
          <w:color w:val="auto"/>
        </w:rPr>
        <w:fldChar w:fldCharType="end"/>
      </w:r>
      <w:r>
        <w:rPr>
          <w:rFonts w:hint="eastAsia"/>
          <w:color w:val="auto"/>
        </w:rPr>
        <w:t>是一个开源LLMOps平台，结合了BaaS以及模型运维的理念，提供了从模型调用到最后部署的一整套工程化的解决方案。</w:t>
      </w:r>
    </w:p>
    <w:p w14:paraId="59E7729A">
      <w:pPr>
        <w:ind w:firstLine="0" w:firstLineChars="0"/>
        <w:rPr>
          <w:color w:val="auto"/>
        </w:rPr>
      </w:pPr>
      <w:r>
        <w:rPr>
          <w:rFonts w:hint="eastAsia"/>
          <w:color w:val="auto"/>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F2459E2">
      <w:pPr>
        <w:pStyle w:val="25"/>
        <w:rPr>
          <w:rFonts w:hint="default"/>
          <w:color w:val="auto"/>
        </w:rPr>
      </w:pPr>
      <w:r>
        <w:rPr>
          <w:color w:val="auto"/>
        </w:rPr>
        <w:t>图2-4  Dify架构图</w:t>
      </w:r>
    </w:p>
    <w:p w14:paraId="50990812">
      <w:pPr>
        <w:ind w:firstLine="480"/>
        <w:rPr>
          <w:color w:val="auto"/>
          <w:highlight w:val="yellow"/>
        </w:rPr>
      </w:pPr>
      <w:r>
        <w:rPr>
          <w:rFonts w:hint="eastAsia"/>
          <w:color w:val="auto"/>
          <w:highlight w:val="yellow"/>
        </w:rPr>
        <w:t>如图2-4所示，基于Dify构建了一套具备感知</w:t>
      </w:r>
      <w:r>
        <w:rPr>
          <w:rFonts w:hint="eastAsia"/>
          <w:color w:val="auto"/>
          <w:highlight w:val="yellow"/>
          <w:lang w:eastAsia="zh-CN"/>
        </w:rPr>
        <w:t>、</w:t>
      </w:r>
      <w:r>
        <w:rPr>
          <w:rFonts w:hint="eastAsia"/>
          <w:color w:val="auto"/>
          <w:highlight w:val="yellow"/>
        </w:rPr>
        <w:t>推理</w:t>
      </w:r>
      <w:r>
        <w:rPr>
          <w:rFonts w:hint="eastAsia"/>
          <w:color w:val="auto"/>
          <w:highlight w:val="yellow"/>
          <w:lang w:val="en-US" w:eastAsia="zh-CN"/>
        </w:rPr>
        <w:t>和</w:t>
      </w:r>
      <w:r>
        <w:rPr>
          <w:rFonts w:hint="eastAsia"/>
          <w:color w:val="auto"/>
          <w:highlight w:val="yellow"/>
        </w:rPr>
        <w:t>修正能力的模块化的自动标注系统。其中，编排引擎负责Qwen等模型的封装与调用，工作流工作室用于编排标注流程和RAG检索流程，部署中心则将应用以API形式对外提供服务。这种流程化标注方式可以提高批量标注效率，并使分类规则、目录知识和纠错条件在不同样本上保持相对一致。需要说明的是，Dify工作流本身并不能保证标签完全正确，其输出仍需经过专家校对、一致性分析和统计检验后，才能作为模型训练数据使用。</w:t>
      </w:r>
    </w:p>
    <w:p w14:paraId="19D773A2">
      <w:pPr>
        <w:pStyle w:val="3"/>
        <w:numPr>
          <w:ilvl w:val="1"/>
          <w:numId w:val="1"/>
        </w:numPr>
        <w:tabs>
          <w:tab w:val="clear" w:pos="420"/>
        </w:tabs>
        <w:rPr>
          <w:color w:val="auto"/>
        </w:rPr>
      </w:pPr>
      <w:bookmarkStart w:id="97" w:name="_Toc229086875"/>
      <w:bookmarkStart w:id="98" w:name="_Toc25315"/>
      <w:r>
        <w:rPr>
          <w:rFonts w:hint="eastAsia"/>
          <w:color w:val="auto"/>
        </w:rPr>
        <w:t>层次文本分类模型</w:t>
      </w:r>
      <w:bookmarkEnd w:id="97"/>
      <w:bookmarkEnd w:id="98"/>
    </w:p>
    <w:p w14:paraId="797BC033">
      <w:pPr>
        <w:ind w:firstLine="480"/>
        <w:rPr>
          <w:color w:val="auto"/>
          <w:highlight w:val="yellow"/>
        </w:rPr>
      </w:pPr>
      <w:r>
        <w:rPr>
          <w:rFonts w:hint="eastAsia"/>
          <w:color w:val="auto"/>
          <w:highlight w:val="yellow"/>
        </w:rPr>
        <w:t>《医疗器械分类目录》具有较清晰的三级层级结构，层次文本分类（Hierarchical Text Classification, HTC）作为文本分类领域的前沿研究方向，利用类别间的先验隶属关系来约束并增强模型对复杂语义路径的表征能力。HTC为实现医疗器械专利文本与分类目录三级层级之间的精细化映射提供了技术基础。</w:t>
      </w:r>
    </w:p>
    <w:p w14:paraId="1B896721">
      <w:pPr>
        <w:pStyle w:val="4"/>
        <w:numPr>
          <w:ilvl w:val="2"/>
          <w:numId w:val="1"/>
        </w:numPr>
        <w:tabs>
          <w:tab w:val="clear" w:pos="420"/>
        </w:tabs>
        <w:rPr>
          <w:color w:val="auto"/>
          <w:highlight w:val="yellow"/>
        </w:rPr>
      </w:pPr>
      <w:bookmarkStart w:id="99" w:name="_Toc229086876"/>
      <w:bookmarkStart w:id="100" w:name="_Toc7937"/>
      <w:r>
        <w:rPr>
          <w:color w:val="auto"/>
          <w:highlight w:val="yellow"/>
        </w:rPr>
        <w:t>HiTIN</w:t>
      </w:r>
      <w:r>
        <w:rPr>
          <w:rFonts w:hint="eastAsia"/>
          <w:color w:val="auto"/>
          <w:highlight w:val="yellow"/>
        </w:rPr>
        <w:t>模型</w:t>
      </w:r>
      <w:bookmarkEnd w:id="99"/>
      <w:bookmarkEnd w:id="100"/>
    </w:p>
    <w:p w14:paraId="0146278C">
      <w:pPr>
        <w:ind w:firstLine="480"/>
        <w:rPr>
          <w:color w:val="auto"/>
          <w:highlight w:val="yellow"/>
        </w:rPr>
      </w:pPr>
      <w:r>
        <w:rPr>
          <w:rFonts w:hint="eastAsia"/>
          <w:color w:val="auto"/>
          <w:highlight w:val="yellow"/>
        </w:rPr>
        <w:t>HiTIN（Hierarchy-aware Transformer with Interaction and Notification）是 2023 年提出的一种深度融合层次结构信息的Transformer变体</w:t>
      </w:r>
      <w:r>
        <w:rPr>
          <w:rStyle w:val="33"/>
          <w:rFonts w:hint="eastAsia"/>
          <w:color w:val="auto"/>
          <w:highlight w:val="yellow"/>
        </w:rPr>
        <w:t>[30]</w:t>
      </w:r>
      <w:r>
        <w:rPr>
          <w:rFonts w:hint="eastAsia"/>
          <w:color w:val="auto"/>
          <w:highlight w:val="yellow"/>
        </w:rPr>
        <w:t>。HiTIN引入层级交互与结构通知，解决了传统模型在处理深度层级时出现的语义稀释问题。</w:t>
      </w:r>
    </w:p>
    <w:p w14:paraId="7B67CF11">
      <w:pPr>
        <w:ind w:firstLine="480"/>
        <w:rPr>
          <w:color w:val="auto"/>
          <w:highlight w:val="yellow"/>
        </w:rPr>
      </w:pPr>
      <w:r>
        <w:rPr>
          <w:rFonts w:hint="eastAsia"/>
          <w:color w:val="auto"/>
          <w:highlight w:val="yellow"/>
        </w:rPr>
        <w:t>HiTIN采用分层编码器，每一层不仅负责当前层级的类别预测，还通过交互模块接收来自上一层级的语义特征。基于层次感知注意力机制，通过引入层级掩码矩阵对注意力范围进行限制，从而确保模型聚焦于合理的分类路径。</w:t>
      </w:r>
    </w:p>
    <w:p w14:paraId="587FBBA2">
      <w:pPr>
        <w:ind w:firstLine="480"/>
        <w:rPr>
          <w:color w:val="auto"/>
          <w:highlight w:val="yellow"/>
        </w:rPr>
      </w:pPr>
      <w:r>
        <w:rPr>
          <w:rFonts w:hint="eastAsia"/>
          <w:color w:val="auto"/>
          <w:highlight w:val="yellow"/>
        </w:rPr>
        <w:t>HiTIN的通知机制利用底层的预测结果反向校准高层的分布。基于双向特征传递，模型能够学习到更加严密的逻辑一致性，避免出现上一层级预测正确、下一层级预测结果矛盾的问题。</w:t>
      </w:r>
    </w:p>
    <w:p w14:paraId="374E0FFE">
      <w:pPr>
        <w:pStyle w:val="4"/>
        <w:numPr>
          <w:ilvl w:val="2"/>
          <w:numId w:val="1"/>
        </w:numPr>
        <w:tabs>
          <w:tab w:val="clear" w:pos="420"/>
        </w:tabs>
        <w:rPr>
          <w:color w:val="auto"/>
          <w:highlight w:val="yellow"/>
        </w:rPr>
      </w:pPr>
      <w:bookmarkStart w:id="101" w:name="_Toc3419"/>
      <w:bookmarkStart w:id="102" w:name="_Toc229086877"/>
      <w:r>
        <w:rPr>
          <w:rFonts w:hint="eastAsia"/>
          <w:color w:val="auto"/>
          <w:highlight w:val="yellow"/>
        </w:rPr>
        <w:t>HGCLR模型</w:t>
      </w:r>
      <w:bookmarkEnd w:id="101"/>
      <w:bookmarkEnd w:id="102"/>
    </w:p>
    <w:p w14:paraId="48C84A75">
      <w:pPr>
        <w:ind w:firstLine="480"/>
        <w:rPr>
          <w:color w:val="auto"/>
          <w:highlight w:val="yellow"/>
        </w:rPr>
      </w:pPr>
      <w:r>
        <w:rPr>
          <w:rFonts w:hint="eastAsia"/>
          <w:color w:val="auto"/>
          <w:highlight w:val="yellow"/>
        </w:rPr>
        <w:t>利用对比学习来显式对齐文本语义与层级结构的HGCLR（Hierarchy-Guided Contrastive Learning）模型是一种将分类层级视为一种语义约束的层次文本分类模型。HGCLR通过拉近同路径样本、拉远跨路径样本来增强表征的判别性</w:t>
      </w:r>
      <w:r>
        <w:rPr>
          <w:rStyle w:val="33"/>
          <w:rFonts w:hint="eastAsia"/>
          <w:color w:val="auto"/>
          <w:highlight w:val="yellow"/>
        </w:rPr>
        <w:t>[50]</w:t>
      </w:r>
      <w:r>
        <w:rPr>
          <w:rFonts w:hint="eastAsia"/>
          <w:color w:val="auto"/>
          <w:highlight w:val="yellow"/>
        </w:rPr>
        <w:t>。</w:t>
      </w:r>
    </w:p>
    <w:p w14:paraId="46DD3369">
      <w:pPr>
        <w:ind w:firstLine="480"/>
        <w:rPr>
          <w:color w:val="auto"/>
          <w:highlight w:val="yellow"/>
        </w:rPr>
      </w:pPr>
      <w:r>
        <w:rPr>
          <w:rFonts w:hint="eastAsia"/>
          <w:color w:val="auto"/>
          <w:highlight w:val="yellow"/>
        </w:rPr>
        <w:t>HGCLR采用层次约束下的对比损失函数替代传统模型中的交叉熵损失，要求文本表征与其对应的层级路径表征之间的相似度最大化。通过损失函数的约束，模型能够在高维空间中学习到符合层级拓扑结构的语义分布，有效提升了模型在处理极度相似类别时的区分能力。</w:t>
      </w:r>
    </w:p>
    <w:p w14:paraId="2F0A12DF">
      <w:pPr>
        <w:ind w:firstLine="480"/>
        <w:rPr>
          <w:color w:val="auto"/>
          <w:highlight w:val="yellow"/>
        </w:rPr>
      </w:pPr>
      <w:r>
        <w:rPr>
          <w:rFonts w:hint="eastAsia"/>
          <w:color w:val="auto"/>
          <w:highlight w:val="yellow"/>
        </w:rPr>
        <w:t>尽管HiTIN与HGCLR等模型在标准的文本层次分类任务上表现优异，但在医疗器械专利跨体系语义映射中，实现IPC体系向监管分类体系的对齐并非单一体系内的细分任务。在一级类别尚未实现高置信度自动化标注的情况下，直接扩展到二级、三级目录分类面临着严重的样本不均衡，从而增加监督信号的噪声。因此，本文将研究范围限定在一级产品类别映射，先建立稳定的高质量标注基础和分类基准，二级、三级目录的层次化分类则作为后续研究方向展开。</w:t>
      </w:r>
    </w:p>
    <w:p w14:paraId="3082B2AE">
      <w:pPr>
        <w:ind w:firstLine="480"/>
        <w:rPr>
          <w:color w:val="auto"/>
        </w:rPr>
      </w:pPr>
      <w:r>
        <w:rPr>
          <w:rFonts w:hint="eastAsia"/>
          <w:color w:val="auto"/>
        </w:rPr>
        <w:br w:type="page"/>
      </w:r>
    </w:p>
    <w:p w14:paraId="210D837F">
      <w:pPr>
        <w:pStyle w:val="2"/>
        <w:numPr>
          <w:ilvl w:val="0"/>
          <w:numId w:val="1"/>
        </w:numPr>
        <w:tabs>
          <w:tab w:val="clear" w:pos="0"/>
        </w:tabs>
        <w:rPr>
          <w:color w:val="auto"/>
        </w:rPr>
      </w:pPr>
      <w:bookmarkStart w:id="103" w:name="_Toc229086878"/>
      <w:bookmarkStart w:id="104" w:name="_Toc216114489"/>
      <w:bookmarkStart w:id="105" w:name="_Toc31522"/>
      <w:r>
        <w:rPr>
          <w:rFonts w:hint="eastAsia"/>
          <w:color w:val="auto"/>
        </w:rPr>
        <w:t>数据集与预处理</w:t>
      </w:r>
      <w:bookmarkEnd w:id="103"/>
      <w:bookmarkEnd w:id="104"/>
      <w:bookmarkEnd w:id="105"/>
      <w:bookmarkStart w:id="106" w:name="_Toc216114490"/>
      <w:bookmarkEnd w:id="106"/>
      <w:bookmarkStart w:id="107" w:name="_Toc216117056"/>
      <w:bookmarkEnd w:id="107"/>
      <w:bookmarkStart w:id="108" w:name="_Toc216116698"/>
      <w:bookmarkEnd w:id="108"/>
      <w:bookmarkStart w:id="109" w:name="_Toc216116626"/>
      <w:bookmarkEnd w:id="109"/>
      <w:bookmarkStart w:id="110" w:name="_Toc216114421"/>
      <w:bookmarkEnd w:id="110"/>
      <w:bookmarkStart w:id="111" w:name="_Toc216114492"/>
      <w:bookmarkEnd w:id="111"/>
      <w:bookmarkStart w:id="112" w:name="_Toc216114350"/>
      <w:bookmarkEnd w:id="112"/>
      <w:bookmarkStart w:id="113" w:name="_Toc216114650"/>
      <w:bookmarkEnd w:id="113"/>
      <w:bookmarkStart w:id="114" w:name="_Toc216117054"/>
      <w:bookmarkEnd w:id="114"/>
      <w:bookmarkStart w:id="115" w:name="_Toc216115288"/>
      <w:bookmarkEnd w:id="115"/>
      <w:bookmarkStart w:id="116" w:name="_Toc216114419"/>
      <w:bookmarkEnd w:id="116"/>
      <w:bookmarkStart w:id="117" w:name="_Toc216116696"/>
      <w:bookmarkEnd w:id="117"/>
      <w:bookmarkStart w:id="118" w:name="_Toc216115290"/>
      <w:bookmarkEnd w:id="118"/>
      <w:bookmarkStart w:id="119" w:name="_Toc216115357"/>
      <w:bookmarkEnd w:id="119"/>
      <w:bookmarkStart w:id="120" w:name="_Toc216114652"/>
      <w:bookmarkEnd w:id="120"/>
      <w:bookmarkStart w:id="121" w:name="_Toc216116624"/>
      <w:bookmarkEnd w:id="121"/>
      <w:bookmarkStart w:id="122" w:name="_Toc216114348"/>
      <w:bookmarkEnd w:id="122"/>
      <w:bookmarkStart w:id="123" w:name="_Toc216115359"/>
      <w:bookmarkEnd w:id="123"/>
    </w:p>
    <w:p w14:paraId="1E7A6127">
      <w:pPr>
        <w:ind w:firstLine="480"/>
        <w:rPr>
          <w:color w:val="auto"/>
        </w:rPr>
      </w:pPr>
      <w:r>
        <w:rPr>
          <w:rFonts w:hint="eastAsia"/>
          <w:color w:val="auto"/>
        </w:rPr>
        <w:t>专利分类模型的性能，很大程度上受制于数据本身。本章围绕医疗器械发明专利分类任务构建训练数据集，目标是得到一份覆盖《医疗器械分类目录》22个一级产品类别且质量经过校验的数据集。</w:t>
      </w:r>
    </w:p>
    <w:p w14:paraId="57EDC99E">
      <w:pPr>
        <w:ind w:firstLine="480"/>
        <w:rPr>
          <w:color w:val="auto"/>
          <w:highlight w:val="yellow"/>
        </w:rPr>
      </w:pPr>
      <w:r>
        <w:rPr>
          <w:rFonts w:hint="eastAsia"/>
          <w:color w:val="auto"/>
          <w:highlight w:val="yellow"/>
        </w:rPr>
        <w:t>本章的基本思路如下，先依据IPC分类表确定医疗器械专利的数据范围，并据此制定检索式；随后按授权状态、附图、标签和文本完整性进行筛选，按照申请号去重，得到包含58495条数据的数据集D1。在此基础上，本文抽取1104条样本构建专家校对数据集D2，用于评估不同自动标注方法，D1中的剩余数据计为数据集D3。根据D2上的评估结果，本文进一步将原始标签与工作流标签的一致性作为置信度划分依据，对未进入D2的样本进行高低置信分层，并通过抽样验证与TOST等价性检验确定高置信层的可用性。最终，本文保留D3中的33327条高置信样本，与D2合并形成34431条高质量标注数据。针对训练中无法有效学习的少数类别，本文再实施生成式数据增强，得到62条增强样本，第四章模型训练使用的数据总量为34493条。</w:t>
      </w:r>
    </w:p>
    <w:p w14:paraId="585C91EE">
      <w:pPr>
        <w:pStyle w:val="3"/>
        <w:numPr>
          <w:ilvl w:val="1"/>
          <w:numId w:val="1"/>
        </w:numPr>
        <w:tabs>
          <w:tab w:val="clear" w:pos="420"/>
        </w:tabs>
        <w:rPr>
          <w:color w:val="auto"/>
        </w:rPr>
      </w:pPr>
      <w:bookmarkStart w:id="124" w:name="_Toc216114494"/>
      <w:bookmarkStart w:id="125" w:name="_Toc229086879"/>
      <w:bookmarkStart w:id="126" w:name="_Toc25725"/>
      <w:r>
        <w:rPr>
          <w:rFonts w:hint="eastAsia"/>
          <w:color w:val="auto"/>
        </w:rPr>
        <w:t>数据集介绍</w:t>
      </w:r>
      <w:bookmarkEnd w:id="124"/>
      <w:bookmarkEnd w:id="125"/>
      <w:bookmarkEnd w:id="126"/>
    </w:p>
    <w:p w14:paraId="72574800">
      <w:pPr>
        <w:ind w:firstLine="480"/>
        <w:rPr>
          <w:color w:val="auto"/>
          <w:highlight w:val="yellow"/>
        </w:rPr>
      </w:pPr>
      <w:r>
        <w:rPr>
          <w:rFonts w:hint="eastAsia"/>
          <w:color w:val="auto"/>
          <w:highlight w:val="yellow"/>
        </w:rPr>
        <w:t>本研究的数据来源于智慧芽专利数据库</w:t>
      </w:r>
      <w:r>
        <w:rPr>
          <w:color w:val="auto"/>
          <w:highlight w:val="yellow"/>
        </w:rPr>
        <w:fldChar w:fldCharType="begin"/>
      </w:r>
      <w:r>
        <w:rPr>
          <w:color w:val="auto"/>
          <w:highlight w:val="yellow"/>
        </w:rPr>
        <w:instrText xml:space="preserve"> ADDIN ZOTERO_ITEM CSL_CITATION {"citationID":"a9R1ZAiN","properties":{"formattedCitation":"\\super [62]\\nosupersub{}","plainCitation":"[62]","noteIndex":0},"citationItems":[{"id":177,"uris":["http://zotero.org/users/local/2JDDwpa7/items/FWUWJZEM"],"item</w:instrText>
      </w:r>
      <w:r>
        <w:rPr>
          <w:rFonts w:hint="eastAsia"/>
          <w:color w:val="auto"/>
          <w:highlight w:val="yellow"/>
        </w:rPr>
        <w:instrText xml:space="preserve">Data":{"id":177,"type":"webpage","title":"分类目录库","URL":"https://app.nifdc.org.cn/biaogzx/dataGk.do?formAction=listFlmlk","accessed":{"date-parts":[["2026",3,17]]}}}],"schema":"https://github.com/citation-style-language/schema/raw/master/csl-citation.json"</w:instrText>
      </w:r>
      <w:r>
        <w:rPr>
          <w:color w:val="auto"/>
          <w:highlight w:val="yellow"/>
        </w:rPr>
        <w:instrText xml:space="preserve">} </w:instrText>
      </w:r>
      <w:r>
        <w:rPr>
          <w:color w:val="auto"/>
          <w:highlight w:val="yellow"/>
        </w:rPr>
        <w:fldChar w:fldCharType="separate"/>
      </w:r>
      <w:r>
        <w:rPr>
          <w:rFonts w:cs="Times New Roman"/>
          <w:color w:val="auto"/>
          <w:kern w:val="0"/>
          <w:highlight w:val="yellow"/>
          <w:vertAlign w:val="superscript"/>
        </w:rPr>
        <w:t>[</w:t>
      </w:r>
      <w:r>
        <w:rPr>
          <w:rFonts w:hint="eastAsia" w:cs="Times New Roman"/>
          <w:color w:val="auto"/>
          <w:kern w:val="0"/>
          <w:highlight w:val="yellow"/>
          <w:vertAlign w:val="superscript"/>
        </w:rPr>
        <w:t>35</w:t>
      </w:r>
      <w:r>
        <w:rPr>
          <w:rFonts w:cs="Times New Roman"/>
          <w:color w:val="auto"/>
          <w:kern w:val="0"/>
          <w:highlight w:val="yellow"/>
          <w:vertAlign w:val="superscript"/>
        </w:rPr>
        <w:t>]</w:t>
      </w:r>
      <w:r>
        <w:rPr>
          <w:color w:val="auto"/>
          <w:highlight w:val="yellow"/>
        </w:rPr>
        <w:fldChar w:fldCharType="end"/>
      </w:r>
      <w:r>
        <w:rPr>
          <w:rFonts w:hint="eastAsia"/>
          <w:color w:val="auto"/>
          <w:highlight w:val="yellow"/>
        </w:rPr>
        <w:t>。为了聚焦医疗器械发明专利，本文依据IPC分类表确定检索范围，图3-1给出了IPC分类表A部中A61B相关内容的节选。</w:t>
      </w:r>
    </w:p>
    <w:p w14:paraId="19722176">
      <w:pPr>
        <w:ind w:firstLine="480"/>
        <w:rPr>
          <w:color w:val="auto"/>
          <w:highlight w:val="yellow"/>
        </w:rPr>
      </w:pPr>
      <w:r>
        <w:rPr>
          <w:rFonts w:hint="eastAsia"/>
          <w:color w:val="auto"/>
          <w:highlight w:val="yellow"/>
        </w:rPr>
        <w:t>基于图内分类定义，本文将主要分类号属于A61B的发明专利视为医疗器械产品及其相关技术的候选集合。需要说明的是，A61B中同时包含器械和方法两类表述。在专利文本中，医疗器械产品权利要求与使用方法、控制方法或检测方法常出现在同一件申请中，方法描述通常依托具体器械完成，并未脱离医疗器械技术对象。因此，本文将A61B下涉及产品、装置、系统及其相关方法的专利均纳入候选范围，这样处理可以保留医疗器械技术方案的完整表达。</w:t>
      </w:r>
    </w:p>
    <w:p w14:paraId="4A7A7047">
      <w:pPr>
        <w:ind w:firstLine="480"/>
        <w:rPr>
          <w:color w:val="auto"/>
        </w:rPr>
      </w:pPr>
      <w:r>
        <w:rPr>
          <w:rFonts w:hint="eastAsia"/>
          <w:color w:val="auto"/>
          <w:highlight w:val="yellow"/>
        </w:rPr>
        <w:t>本文检索式设定为APD:[ * TO 20231231] AND MIPC:(A61B NOT A61B16)。其中，APD用于限定申请日期不晚于2023年12月31日，MIPC用于限定主要IPC分类号。检索式中排除A61B16，是因为该组虽然属于A61B小类，但未出现在医疗器械分组中，和本文以医疗器械一级产品类别为目标的分类任务不一致</w:t>
      </w:r>
      <w:r>
        <w:rPr>
          <w:rFonts w:hint="eastAsia"/>
          <w:color w:val="auto"/>
        </w:rPr>
        <w:t>。</w:t>
      </w:r>
    </w:p>
    <w:p w14:paraId="56322769">
      <w:pPr>
        <w:ind w:firstLine="0" w:firstLineChars="0"/>
        <w:rPr>
          <w:color w:val="auto"/>
        </w:rPr>
      </w:pPr>
      <w:r>
        <w:rPr>
          <w:color w:val="auto"/>
        </w:rP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5D1EDC42">
      <w:pPr>
        <w:pStyle w:val="25"/>
        <w:rPr>
          <w:rFonts w:hint="default"/>
          <w:color w:val="auto"/>
        </w:rPr>
      </w:pPr>
      <w:r>
        <w:rPr>
          <w:color w:val="auto"/>
        </w:rPr>
        <w:t>图3-1  2024年IPC分类表A部节选</w:t>
      </w:r>
    </w:p>
    <w:p w14:paraId="03F4A626">
      <w:pPr>
        <w:ind w:firstLine="480"/>
        <w:rPr>
          <w:color w:val="auto"/>
        </w:rPr>
      </w:pPr>
      <w:r>
        <w:rPr>
          <w:rFonts w:hint="eastAsia"/>
          <w:color w:val="auto"/>
        </w:rPr>
        <w:t>为保证数据可用性和文本完整性，本文规定数据集D1</w:t>
      </w:r>
      <w:r>
        <w:rPr>
          <w:rFonts w:hint="eastAsia" w:hAnsi="Cambria Math"/>
          <w:iCs/>
          <w:color w:val="auto"/>
        </w:rPr>
        <w:t>的筛选标准</w:t>
      </w:r>
      <w:r>
        <w:rPr>
          <w:rFonts w:hint="eastAsia"/>
          <w:color w:val="auto"/>
        </w:rPr>
        <w:t>为</w:t>
      </w:r>
      <w:r>
        <w:rPr>
          <w:color w:val="auto"/>
        </w:rPr>
        <w:t>：</w:t>
      </w:r>
    </w:p>
    <w:p w14:paraId="5B96AEEF">
      <w:pPr>
        <w:numPr>
          <w:ilvl w:val="0"/>
          <w:numId w:val="7"/>
        </w:numPr>
        <w:ind w:firstLine="480"/>
        <w:rPr>
          <w:color w:val="auto"/>
        </w:rPr>
      </w:pPr>
      <w:r>
        <w:rPr>
          <w:color w:val="auto"/>
        </w:rPr>
        <w:t>已授权</w:t>
      </w:r>
    </w:p>
    <w:p w14:paraId="3EC1EA54">
      <w:pPr>
        <w:ind w:firstLine="480"/>
        <w:rPr>
          <w:color w:val="auto"/>
        </w:rPr>
      </w:pPr>
      <w:r>
        <w:rPr>
          <w:rFonts w:hint="eastAsia"/>
          <w:color w:val="auto"/>
        </w:rPr>
        <w:t>保留法律状态为授权的有效专利，保证技术方案的可行性及专利文本质量。</w:t>
      </w:r>
    </w:p>
    <w:p w14:paraId="30477ABF">
      <w:pPr>
        <w:numPr>
          <w:ilvl w:val="0"/>
          <w:numId w:val="7"/>
        </w:numPr>
        <w:ind w:firstLine="480"/>
        <w:rPr>
          <w:color w:val="auto"/>
        </w:rPr>
      </w:pPr>
      <w:r>
        <w:rPr>
          <w:color w:val="auto"/>
        </w:rPr>
        <w:t>有附图</w:t>
      </w:r>
    </w:p>
    <w:p w14:paraId="413CD03F">
      <w:pPr>
        <w:ind w:firstLine="480"/>
        <w:rPr>
          <w:color w:val="auto"/>
        </w:rPr>
      </w:pPr>
      <w:r>
        <w:rPr>
          <w:rFonts w:hint="eastAsia"/>
          <w:color w:val="auto"/>
        </w:rPr>
        <w:t>保留包含说明书附图的专利，在本文以文本为主的情况下，附图为多模态扩展的基础，对后续工作有益</w:t>
      </w:r>
      <w:r>
        <w:rPr>
          <w:color w:val="auto"/>
        </w:rPr>
        <w:t>。</w:t>
      </w:r>
    </w:p>
    <w:p w14:paraId="550DD914">
      <w:pPr>
        <w:numPr>
          <w:ilvl w:val="0"/>
          <w:numId w:val="7"/>
        </w:numPr>
        <w:ind w:firstLine="480"/>
        <w:rPr>
          <w:color w:val="auto"/>
        </w:rPr>
      </w:pPr>
      <w:r>
        <w:rPr>
          <w:rFonts w:hint="eastAsia"/>
          <w:color w:val="auto"/>
        </w:rPr>
        <w:t>存在一级产品类别</w:t>
      </w:r>
      <w:r>
        <w:rPr>
          <w:color w:val="auto"/>
        </w:rPr>
        <w:t>标签</w:t>
      </w:r>
    </w:p>
    <w:p w14:paraId="0F4DA617">
      <w:pPr>
        <w:ind w:firstLine="480"/>
        <w:rPr>
          <w:color w:val="auto"/>
        </w:rPr>
      </w:pPr>
      <w:r>
        <w:rPr>
          <w:rFonts w:hint="eastAsia"/>
          <w:color w:val="auto"/>
        </w:rPr>
        <w:t>在从智慧芽专利平台收集数据后，已经用于日常的研究。因此，部分数据存在《医疗器械分类目录》的一级产品类别标签，但存在标签质量较低的问题。</w:t>
      </w:r>
    </w:p>
    <w:p w14:paraId="30E98152">
      <w:pPr>
        <w:numPr>
          <w:ilvl w:val="0"/>
          <w:numId w:val="7"/>
        </w:numPr>
        <w:ind w:firstLine="480"/>
        <w:rPr>
          <w:color w:val="auto"/>
        </w:rPr>
      </w:pPr>
      <w:r>
        <w:rPr>
          <w:rFonts w:hint="eastAsia"/>
          <w:color w:val="auto"/>
        </w:rPr>
        <w:t>文本未缺失</w:t>
      </w:r>
    </w:p>
    <w:p w14:paraId="0912ECC7">
      <w:pPr>
        <w:ind w:firstLine="420" w:firstLineChars="0"/>
        <w:rPr>
          <w:color w:val="auto"/>
        </w:rPr>
      </w:pPr>
      <w:r>
        <w:rPr>
          <w:rFonts w:hint="eastAsia"/>
          <w:color w:val="auto"/>
        </w:rPr>
        <w:t>针对文本的分类研究，文本存在缺失时，是无法纳入的，因为它无法通过插值等手段来填充。在智慧芽专利平台中，缺失文本一般用“-”占位，本文对包含该占位符的数据进行了过滤。</w:t>
      </w:r>
    </w:p>
    <w:p w14:paraId="3612346F">
      <w:pPr>
        <w:ind w:firstLine="480"/>
        <w:rPr>
          <w:color w:val="auto"/>
          <w:highlight w:val="yellow"/>
        </w:rPr>
      </w:pPr>
      <w:r>
        <w:rPr>
          <w:rFonts w:hint="eastAsia"/>
          <w:color w:val="auto"/>
          <w:highlight w:val="yellow"/>
        </w:rPr>
        <w:t>完成筛选后，文本依据申请号对数据进行去重，因为申请号能够对应一件专利申请记录，按申请号去重后可避免同一专利重复进入训练集。</w:t>
      </w:r>
    </w:p>
    <w:p w14:paraId="73724B41">
      <w:pPr>
        <w:ind w:firstLine="480"/>
        <w:rPr>
          <w:color w:val="auto"/>
        </w:rPr>
      </w:pPr>
      <w:r>
        <w:rPr>
          <w:rFonts w:hint="eastAsia"/>
          <w:color w:val="auto"/>
        </w:rPr>
        <w:t>原始专利文本一般带有HTML标签、非标准的特殊字符以及标点符号等噪声信息，这会影响模型对于其语义的理解。因此，在此基础上本文对原始数据中的摘要部分进行规范化操作。即：</w:t>
      </w:r>
    </w:p>
    <w:p w14:paraId="02BE0104">
      <w:pPr>
        <w:ind w:firstLine="480"/>
        <w:rPr>
          <w:color w:val="auto"/>
        </w:rPr>
      </w:pPr>
      <w:r>
        <w:rPr>
          <w:rFonts w:hint="eastAsia"/>
          <w:color w:val="auto"/>
        </w:rPr>
        <w:t>（1）去除HTML标签</w:t>
      </w:r>
    </w:p>
    <w:p w14:paraId="4E39A86E">
      <w:pPr>
        <w:ind w:firstLine="480"/>
        <w:rPr>
          <w:color w:val="auto"/>
        </w:rPr>
      </w:pPr>
      <w:r>
        <w:rPr>
          <w:rFonts w:hint="eastAsia"/>
          <w:color w:val="auto"/>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14FF63B9">
      <w:pPr>
        <w:ind w:firstLine="480"/>
        <w:rPr>
          <w:color w:val="auto"/>
        </w:rPr>
      </w:pPr>
      <w:r>
        <w:rPr>
          <w:rFonts w:hint="eastAsia"/>
          <w:color w:val="auto"/>
        </w:rPr>
        <w:t>（2）去除不可见字符</w:t>
      </w:r>
    </w:p>
    <w:p w14:paraId="24A17FEF">
      <w:pPr>
        <w:ind w:firstLine="480"/>
        <w:rPr>
          <w:color w:val="auto"/>
        </w:rPr>
      </w:pPr>
      <w:r>
        <w:rPr>
          <w:rFonts w:hint="eastAsia"/>
          <w:color w:val="auto"/>
        </w:rPr>
        <w:t>原始文本中可能包含制表符、回车符以外的控制字符。这些字符虽然眼睛看不见，但是会造成分词错误或者导致文本长度计算有误，在处理时本文尽量保留必要的换行符以便保持文章大致结构，而去除其他不可见控制字符，使得文本编码统一、可控。</w:t>
      </w:r>
    </w:p>
    <w:p w14:paraId="62B5B17D">
      <w:pPr>
        <w:ind w:firstLine="480"/>
        <w:rPr>
          <w:color w:val="auto"/>
        </w:rPr>
      </w:pPr>
      <w:r>
        <w:rPr>
          <w:rFonts w:hint="eastAsia"/>
          <w:color w:val="auto"/>
        </w:rPr>
        <w:t>（3）标点统一</w:t>
      </w:r>
    </w:p>
    <w:p w14:paraId="6F66F50E">
      <w:pPr>
        <w:ind w:firstLine="480"/>
        <w:rPr>
          <w:color w:val="auto"/>
        </w:rPr>
      </w:pPr>
      <w:r>
        <w:rPr>
          <w:rFonts w:hint="eastAsia"/>
          <w:color w:val="auto"/>
        </w:rPr>
        <w:t>因为数据来源多样化，在专利文本当中经常出现中英文标点混用的情况。同样的一个语义结构因为使用不同的标点而被当作不同的模式给模型学习造成困扰，为了降低由这种无关的形式所带来的影响，本文把所有的英文字母标点都替换成了相应的中文全角标点，使文本格式更加统一并且有利于模型更好地学习句子之间的语法关系。</w:t>
      </w:r>
    </w:p>
    <w:p w14:paraId="5BD40276">
      <w:pPr>
        <w:ind w:firstLine="480"/>
        <w:rPr>
          <w:color w:val="auto"/>
        </w:rPr>
      </w:pPr>
      <w:r>
        <w:rPr>
          <w:rFonts w:hint="eastAsia"/>
          <w:color w:val="auto"/>
        </w:rPr>
        <w:t>（4）空格处理</w:t>
      </w:r>
    </w:p>
    <w:p w14:paraId="6F6F43C1">
      <w:pPr>
        <w:ind w:firstLine="480"/>
        <w:rPr>
          <w:color w:val="auto"/>
        </w:rPr>
      </w:pPr>
      <w:r>
        <w:rPr>
          <w:rFonts w:hint="eastAsia"/>
          <w:color w:val="auto"/>
        </w:rPr>
        <w:t>在某些专利文本中，有较多连续空格或者多余的空白符，在一定程度上会使得文本过长，也会影响模型运行速度。本文对连续空格进行合并操作以缩短文本表示，在不影响文章内容的情况下删去不必要的字符，以便加快之后训练以及预测的速度。</w:t>
      </w:r>
    </w:p>
    <w:p w14:paraId="1A87299E">
      <w:pPr>
        <w:ind w:firstLine="480"/>
        <w:rPr>
          <w:color w:val="auto"/>
        </w:rPr>
      </w:pPr>
      <w:r>
        <w:rPr>
          <w:rFonts w:hint="eastAsia"/>
          <w:color w:val="auto"/>
        </w:rPr>
        <w:t>经过上述筛选、去重和清洗后</w:t>
      </w:r>
      <w:r>
        <w:rPr>
          <w:color w:val="auto"/>
        </w:rPr>
        <w:t>，数据集</w:t>
      </w:r>
      <w:r>
        <w:rPr>
          <w:rFonts w:hint="eastAsia"/>
          <w:color w:val="auto"/>
        </w:rPr>
        <w:t>D1</w:t>
      </w:r>
      <w:r>
        <w:rPr>
          <w:color w:val="auto"/>
        </w:rPr>
        <w:t>共包含58495条专利数据。</w:t>
      </w:r>
      <w:r>
        <w:rPr>
          <w:rFonts w:hint="eastAsia"/>
          <w:color w:val="auto"/>
        </w:rPr>
        <w:t>随后通过标注与置信度过滤，最终保留34431条高质量标注数据，经少数类增强后，第四章用于训练的数据总量为34493条，各一级产品类别的最终分布如表3-1所示。</w:t>
      </w:r>
    </w:p>
    <w:p w14:paraId="4E545875">
      <w:pPr>
        <w:ind w:firstLine="480"/>
        <w:rPr>
          <w:color w:val="auto"/>
        </w:rPr>
      </w:pPr>
    </w:p>
    <w:p w14:paraId="63EC5EA2">
      <w:pPr>
        <w:ind w:firstLine="480"/>
        <w:rPr>
          <w:color w:val="auto"/>
        </w:rPr>
      </w:pPr>
    </w:p>
    <w:p w14:paraId="7DF74B42">
      <w:pPr>
        <w:pStyle w:val="25"/>
        <w:rPr>
          <w:rFonts w:hint="default"/>
          <w:color w:val="auto"/>
        </w:rPr>
      </w:pPr>
      <w:r>
        <w:rPr>
          <w:color w:val="auto"/>
        </w:rPr>
        <w:t>表3-1  最终训练数据集一级产品类别分布</w:t>
      </w:r>
    </w:p>
    <w:tbl>
      <w:tblPr>
        <w:tblStyle w:val="15"/>
        <w:tblW w:w="4998"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09"/>
        <w:gridCol w:w="1808"/>
        <w:gridCol w:w="1551"/>
        <w:gridCol w:w="1551"/>
      </w:tblGrid>
      <w:tr w14:paraId="542AA45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bottom w:val="single" w:color="auto" w:sz="6" w:space="0"/>
            </w:tcBorders>
            <w:shd w:val="clear" w:color="auto" w:fill="FFFFFF"/>
            <w:vAlign w:val="center"/>
          </w:tcPr>
          <w:p w14:paraId="130F1E16">
            <w:pPr>
              <w:pStyle w:val="26"/>
              <w:rPr>
                <w:rFonts w:hint="default"/>
                <w:color w:val="auto"/>
              </w:rPr>
            </w:pPr>
            <w:r>
              <w:rPr>
                <w:rFonts w:hint="default"/>
                <w:color w:val="auto"/>
              </w:rPr>
              <w:t>一级产品类别</w:t>
            </w:r>
          </w:p>
        </w:tc>
        <w:tc>
          <w:tcPr>
            <w:tcW w:w="1061" w:type="pct"/>
            <w:tcBorders>
              <w:bottom w:val="single" w:color="auto" w:sz="6" w:space="0"/>
            </w:tcBorders>
            <w:shd w:val="clear" w:color="auto" w:fill="FFFFFF"/>
            <w:vAlign w:val="center"/>
          </w:tcPr>
          <w:p w14:paraId="4601F640">
            <w:pPr>
              <w:pStyle w:val="26"/>
              <w:rPr>
                <w:rFonts w:hint="default"/>
                <w:color w:val="auto"/>
              </w:rPr>
            </w:pPr>
            <w:r>
              <w:rPr>
                <w:rFonts w:hint="default"/>
                <w:color w:val="auto"/>
              </w:rPr>
              <w:t>样本量</w:t>
            </w:r>
          </w:p>
        </w:tc>
        <w:tc>
          <w:tcPr>
            <w:tcW w:w="910" w:type="pct"/>
            <w:tcBorders>
              <w:bottom w:val="single" w:color="auto" w:sz="6" w:space="0"/>
            </w:tcBorders>
            <w:shd w:val="clear" w:color="auto" w:fill="FFFFFF"/>
            <w:vAlign w:val="center"/>
          </w:tcPr>
          <w:p w14:paraId="5450E14C">
            <w:pPr>
              <w:pStyle w:val="26"/>
              <w:rPr>
                <w:rFonts w:hint="default"/>
                <w:color w:val="auto"/>
              </w:rPr>
            </w:pPr>
            <w:r>
              <w:rPr>
                <w:rFonts w:hint="default"/>
                <w:color w:val="auto"/>
              </w:rPr>
              <w:t>增强样本量</w:t>
            </w:r>
          </w:p>
        </w:tc>
        <w:tc>
          <w:tcPr>
            <w:tcW w:w="910" w:type="pct"/>
            <w:tcBorders>
              <w:bottom w:val="single" w:color="auto" w:sz="6" w:space="0"/>
            </w:tcBorders>
            <w:shd w:val="clear" w:color="auto" w:fill="FFFFFF"/>
            <w:vAlign w:val="center"/>
          </w:tcPr>
          <w:p w14:paraId="3DDFF79A">
            <w:pPr>
              <w:pStyle w:val="26"/>
              <w:rPr>
                <w:rFonts w:hint="default"/>
                <w:color w:val="auto"/>
              </w:rPr>
            </w:pPr>
            <w:r>
              <w:rPr>
                <w:rFonts w:hint="default"/>
                <w:color w:val="auto"/>
              </w:rPr>
              <w:t>最终样本量</w:t>
            </w:r>
          </w:p>
        </w:tc>
      </w:tr>
      <w:tr w14:paraId="324CDFE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op w:val="single" w:color="auto" w:sz="6" w:space="0"/>
              <w:tl2br w:val="nil"/>
              <w:tr2bl w:val="nil"/>
            </w:tcBorders>
            <w:shd w:val="clear" w:color="auto" w:fill="FFFFFF"/>
          </w:tcPr>
          <w:p w14:paraId="02F06053">
            <w:pPr>
              <w:pStyle w:val="26"/>
              <w:rPr>
                <w:rFonts w:hint="default"/>
                <w:color w:val="auto"/>
              </w:rPr>
            </w:pPr>
            <w:r>
              <w:rPr>
                <w:rFonts w:hint="default"/>
                <w:color w:val="auto"/>
              </w:rPr>
              <w:t>医用成像器械</w:t>
            </w:r>
          </w:p>
        </w:tc>
        <w:tc>
          <w:tcPr>
            <w:tcW w:w="1061" w:type="pct"/>
            <w:tcBorders>
              <w:top w:val="single" w:color="auto" w:sz="6" w:space="0"/>
              <w:tl2br w:val="nil"/>
              <w:tr2bl w:val="nil"/>
            </w:tcBorders>
            <w:shd w:val="clear" w:color="auto" w:fill="FFFFFF"/>
          </w:tcPr>
          <w:p w14:paraId="5AAC1024">
            <w:pPr>
              <w:pStyle w:val="26"/>
              <w:rPr>
                <w:rFonts w:hint="default"/>
                <w:color w:val="auto"/>
              </w:rPr>
            </w:pPr>
            <w:r>
              <w:rPr>
                <w:rFonts w:hint="default"/>
                <w:color w:val="auto"/>
              </w:rPr>
              <w:t>9732</w:t>
            </w:r>
          </w:p>
        </w:tc>
        <w:tc>
          <w:tcPr>
            <w:tcW w:w="910" w:type="pct"/>
            <w:tcBorders>
              <w:top w:val="single" w:color="auto" w:sz="6" w:space="0"/>
              <w:tl2br w:val="nil"/>
              <w:tr2bl w:val="nil"/>
            </w:tcBorders>
            <w:shd w:val="clear" w:color="auto" w:fill="FFFFFF"/>
          </w:tcPr>
          <w:p w14:paraId="15F41391">
            <w:pPr>
              <w:pStyle w:val="26"/>
              <w:rPr>
                <w:rFonts w:hint="default"/>
                <w:color w:val="auto"/>
              </w:rPr>
            </w:pPr>
            <w:r>
              <w:rPr>
                <w:rFonts w:hint="default"/>
                <w:color w:val="auto"/>
              </w:rPr>
              <w:t>0</w:t>
            </w:r>
          </w:p>
        </w:tc>
        <w:tc>
          <w:tcPr>
            <w:tcW w:w="910" w:type="pct"/>
            <w:tcBorders>
              <w:top w:val="single" w:color="auto" w:sz="6" w:space="0"/>
              <w:tl2br w:val="nil"/>
              <w:tr2bl w:val="nil"/>
            </w:tcBorders>
            <w:shd w:val="clear" w:color="auto" w:fill="FFFFFF"/>
          </w:tcPr>
          <w:p w14:paraId="4F9F6E07">
            <w:pPr>
              <w:pStyle w:val="26"/>
              <w:rPr>
                <w:rFonts w:hint="default"/>
                <w:color w:val="auto"/>
              </w:rPr>
            </w:pPr>
            <w:r>
              <w:rPr>
                <w:rFonts w:hint="default"/>
                <w:color w:val="auto"/>
              </w:rPr>
              <w:t>9732</w:t>
            </w:r>
          </w:p>
        </w:tc>
      </w:tr>
      <w:tr w14:paraId="57BE3C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4A368732">
            <w:pPr>
              <w:pStyle w:val="26"/>
              <w:rPr>
                <w:rFonts w:hint="default"/>
                <w:color w:val="auto"/>
              </w:rPr>
            </w:pPr>
            <w:r>
              <w:rPr>
                <w:rFonts w:hint="default"/>
                <w:color w:val="auto"/>
              </w:rPr>
              <w:t>医用诊察和监护器械</w:t>
            </w:r>
          </w:p>
        </w:tc>
        <w:tc>
          <w:tcPr>
            <w:tcW w:w="1061" w:type="pct"/>
            <w:tcBorders>
              <w:tl2br w:val="nil"/>
              <w:tr2bl w:val="nil"/>
            </w:tcBorders>
            <w:shd w:val="clear" w:color="auto" w:fill="FFFFFF"/>
          </w:tcPr>
          <w:p w14:paraId="28ED60AF">
            <w:pPr>
              <w:pStyle w:val="26"/>
              <w:rPr>
                <w:rFonts w:hint="default"/>
                <w:color w:val="auto"/>
              </w:rPr>
            </w:pPr>
            <w:r>
              <w:rPr>
                <w:rFonts w:hint="default"/>
                <w:color w:val="auto"/>
              </w:rPr>
              <w:t>6115</w:t>
            </w:r>
          </w:p>
        </w:tc>
        <w:tc>
          <w:tcPr>
            <w:tcW w:w="910" w:type="pct"/>
            <w:tcBorders>
              <w:tl2br w:val="nil"/>
              <w:tr2bl w:val="nil"/>
            </w:tcBorders>
            <w:shd w:val="clear" w:color="auto" w:fill="FFFFFF"/>
          </w:tcPr>
          <w:p w14:paraId="35A2D30C">
            <w:pPr>
              <w:pStyle w:val="26"/>
              <w:rPr>
                <w:rFonts w:hint="default"/>
                <w:color w:val="auto"/>
              </w:rPr>
            </w:pPr>
            <w:r>
              <w:rPr>
                <w:rFonts w:hint="default"/>
                <w:color w:val="auto"/>
              </w:rPr>
              <w:t>0</w:t>
            </w:r>
          </w:p>
        </w:tc>
        <w:tc>
          <w:tcPr>
            <w:tcW w:w="910" w:type="pct"/>
            <w:tcBorders>
              <w:tl2br w:val="nil"/>
              <w:tr2bl w:val="nil"/>
            </w:tcBorders>
            <w:shd w:val="clear" w:color="auto" w:fill="FFFFFF"/>
          </w:tcPr>
          <w:p w14:paraId="4287330C">
            <w:pPr>
              <w:pStyle w:val="26"/>
              <w:rPr>
                <w:rFonts w:hint="default"/>
                <w:color w:val="auto"/>
              </w:rPr>
            </w:pPr>
            <w:r>
              <w:rPr>
                <w:rFonts w:hint="default"/>
                <w:color w:val="auto"/>
              </w:rPr>
              <w:t>6115</w:t>
            </w:r>
          </w:p>
        </w:tc>
      </w:tr>
      <w:tr w14:paraId="0DF80C5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381D7513">
            <w:pPr>
              <w:pStyle w:val="26"/>
              <w:rPr>
                <w:rFonts w:hint="default"/>
                <w:color w:val="auto"/>
              </w:rPr>
            </w:pPr>
            <w:r>
              <w:rPr>
                <w:rFonts w:hint="default"/>
                <w:color w:val="auto"/>
              </w:rPr>
              <w:t>无源手术器械</w:t>
            </w:r>
          </w:p>
        </w:tc>
        <w:tc>
          <w:tcPr>
            <w:tcW w:w="1061" w:type="pct"/>
            <w:tcBorders>
              <w:tl2br w:val="nil"/>
              <w:tr2bl w:val="nil"/>
            </w:tcBorders>
            <w:shd w:val="clear" w:color="auto" w:fill="FFFFFF"/>
          </w:tcPr>
          <w:p w14:paraId="5D213ED4">
            <w:pPr>
              <w:pStyle w:val="26"/>
              <w:rPr>
                <w:rFonts w:hint="default"/>
                <w:color w:val="auto"/>
              </w:rPr>
            </w:pPr>
            <w:r>
              <w:rPr>
                <w:rFonts w:hint="default"/>
                <w:color w:val="auto"/>
              </w:rPr>
              <w:t>4288</w:t>
            </w:r>
          </w:p>
        </w:tc>
        <w:tc>
          <w:tcPr>
            <w:tcW w:w="910" w:type="pct"/>
            <w:tcBorders>
              <w:tl2br w:val="nil"/>
              <w:tr2bl w:val="nil"/>
            </w:tcBorders>
            <w:shd w:val="clear" w:color="auto" w:fill="FFFFFF"/>
          </w:tcPr>
          <w:p w14:paraId="5F743E8E">
            <w:pPr>
              <w:pStyle w:val="26"/>
              <w:rPr>
                <w:rFonts w:hint="default"/>
                <w:color w:val="auto"/>
              </w:rPr>
            </w:pPr>
            <w:r>
              <w:rPr>
                <w:rFonts w:hint="default"/>
                <w:color w:val="auto"/>
              </w:rPr>
              <w:t>0</w:t>
            </w:r>
          </w:p>
        </w:tc>
        <w:tc>
          <w:tcPr>
            <w:tcW w:w="910" w:type="pct"/>
            <w:tcBorders>
              <w:tl2br w:val="nil"/>
              <w:tr2bl w:val="nil"/>
            </w:tcBorders>
            <w:shd w:val="clear" w:color="auto" w:fill="FFFFFF"/>
          </w:tcPr>
          <w:p w14:paraId="0990AAE0">
            <w:pPr>
              <w:pStyle w:val="26"/>
              <w:rPr>
                <w:rFonts w:hint="default"/>
                <w:color w:val="auto"/>
              </w:rPr>
            </w:pPr>
            <w:r>
              <w:rPr>
                <w:rFonts w:hint="default"/>
                <w:color w:val="auto"/>
              </w:rPr>
              <w:t>4288</w:t>
            </w:r>
          </w:p>
        </w:tc>
      </w:tr>
      <w:tr w14:paraId="74E44CC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7FFD816C">
            <w:pPr>
              <w:pStyle w:val="26"/>
              <w:rPr>
                <w:rFonts w:hint="default"/>
                <w:color w:val="auto"/>
              </w:rPr>
            </w:pPr>
            <w:r>
              <w:rPr>
                <w:rFonts w:hint="default"/>
                <w:color w:val="auto"/>
              </w:rPr>
              <w:t>骨科手术器械</w:t>
            </w:r>
          </w:p>
        </w:tc>
        <w:tc>
          <w:tcPr>
            <w:tcW w:w="1061" w:type="pct"/>
            <w:tcBorders>
              <w:tl2br w:val="nil"/>
              <w:tr2bl w:val="nil"/>
            </w:tcBorders>
            <w:shd w:val="clear" w:color="auto" w:fill="FFFFFF"/>
          </w:tcPr>
          <w:p w14:paraId="3B5B120F">
            <w:pPr>
              <w:pStyle w:val="26"/>
              <w:rPr>
                <w:rFonts w:hint="default"/>
                <w:color w:val="auto"/>
              </w:rPr>
            </w:pPr>
            <w:r>
              <w:rPr>
                <w:rFonts w:hint="default"/>
                <w:color w:val="auto"/>
              </w:rPr>
              <w:t>2992</w:t>
            </w:r>
          </w:p>
        </w:tc>
        <w:tc>
          <w:tcPr>
            <w:tcW w:w="910" w:type="pct"/>
            <w:tcBorders>
              <w:tl2br w:val="nil"/>
              <w:tr2bl w:val="nil"/>
            </w:tcBorders>
            <w:shd w:val="clear" w:color="auto" w:fill="FFFFFF"/>
          </w:tcPr>
          <w:p w14:paraId="2FD08CD0">
            <w:pPr>
              <w:pStyle w:val="26"/>
              <w:rPr>
                <w:rFonts w:hint="default"/>
                <w:color w:val="auto"/>
              </w:rPr>
            </w:pPr>
            <w:r>
              <w:rPr>
                <w:rFonts w:hint="default"/>
                <w:color w:val="auto"/>
              </w:rPr>
              <w:t>0</w:t>
            </w:r>
          </w:p>
        </w:tc>
        <w:tc>
          <w:tcPr>
            <w:tcW w:w="910" w:type="pct"/>
            <w:tcBorders>
              <w:tl2br w:val="nil"/>
              <w:tr2bl w:val="nil"/>
            </w:tcBorders>
            <w:shd w:val="clear" w:color="auto" w:fill="FFFFFF"/>
          </w:tcPr>
          <w:p w14:paraId="6EB6C65A">
            <w:pPr>
              <w:pStyle w:val="26"/>
              <w:rPr>
                <w:rFonts w:hint="default"/>
                <w:color w:val="auto"/>
              </w:rPr>
            </w:pPr>
            <w:r>
              <w:rPr>
                <w:rFonts w:hint="default"/>
                <w:color w:val="auto"/>
              </w:rPr>
              <w:t>2992</w:t>
            </w:r>
          </w:p>
        </w:tc>
      </w:tr>
      <w:tr w14:paraId="294655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75623F4A">
            <w:pPr>
              <w:pStyle w:val="26"/>
              <w:rPr>
                <w:rFonts w:hint="default"/>
                <w:color w:val="auto"/>
              </w:rPr>
            </w:pPr>
            <w:r>
              <w:rPr>
                <w:rFonts w:hint="default"/>
                <w:color w:val="auto"/>
              </w:rPr>
              <w:t>有源手术器械</w:t>
            </w:r>
          </w:p>
        </w:tc>
        <w:tc>
          <w:tcPr>
            <w:tcW w:w="1061" w:type="pct"/>
            <w:tcBorders>
              <w:tl2br w:val="nil"/>
              <w:tr2bl w:val="nil"/>
            </w:tcBorders>
            <w:shd w:val="clear" w:color="auto" w:fill="FFFFFF"/>
          </w:tcPr>
          <w:p w14:paraId="5522E15C">
            <w:pPr>
              <w:pStyle w:val="26"/>
              <w:rPr>
                <w:rFonts w:hint="default"/>
                <w:color w:val="auto"/>
              </w:rPr>
            </w:pPr>
            <w:r>
              <w:rPr>
                <w:rFonts w:hint="default"/>
                <w:color w:val="auto"/>
              </w:rPr>
              <w:t>2949</w:t>
            </w:r>
          </w:p>
        </w:tc>
        <w:tc>
          <w:tcPr>
            <w:tcW w:w="910" w:type="pct"/>
            <w:tcBorders>
              <w:tl2br w:val="nil"/>
              <w:tr2bl w:val="nil"/>
            </w:tcBorders>
            <w:shd w:val="clear" w:color="auto" w:fill="FFFFFF"/>
          </w:tcPr>
          <w:p w14:paraId="362C5A6B">
            <w:pPr>
              <w:pStyle w:val="26"/>
              <w:rPr>
                <w:rFonts w:hint="default"/>
                <w:color w:val="auto"/>
              </w:rPr>
            </w:pPr>
            <w:r>
              <w:rPr>
                <w:rFonts w:hint="default"/>
                <w:color w:val="auto"/>
              </w:rPr>
              <w:t>0</w:t>
            </w:r>
          </w:p>
        </w:tc>
        <w:tc>
          <w:tcPr>
            <w:tcW w:w="910" w:type="pct"/>
            <w:tcBorders>
              <w:tl2br w:val="nil"/>
              <w:tr2bl w:val="nil"/>
            </w:tcBorders>
            <w:shd w:val="clear" w:color="auto" w:fill="FFFFFF"/>
          </w:tcPr>
          <w:p w14:paraId="5E958619">
            <w:pPr>
              <w:pStyle w:val="26"/>
              <w:rPr>
                <w:rFonts w:hint="default"/>
                <w:color w:val="auto"/>
              </w:rPr>
            </w:pPr>
            <w:r>
              <w:rPr>
                <w:rFonts w:hint="default"/>
                <w:color w:val="auto"/>
              </w:rPr>
              <w:t>2949</w:t>
            </w:r>
          </w:p>
        </w:tc>
      </w:tr>
      <w:tr w14:paraId="7B020F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0A380519">
            <w:pPr>
              <w:pStyle w:val="26"/>
              <w:rPr>
                <w:rFonts w:hint="default"/>
                <w:color w:val="auto"/>
              </w:rPr>
            </w:pPr>
            <w:r>
              <w:rPr>
                <w:rFonts w:hint="default"/>
                <w:color w:val="auto"/>
              </w:rPr>
              <w:t>眼科器械</w:t>
            </w:r>
          </w:p>
        </w:tc>
        <w:tc>
          <w:tcPr>
            <w:tcW w:w="1061" w:type="pct"/>
            <w:tcBorders>
              <w:tl2br w:val="nil"/>
              <w:tr2bl w:val="nil"/>
            </w:tcBorders>
            <w:shd w:val="clear" w:color="auto" w:fill="FFFFFF"/>
          </w:tcPr>
          <w:p w14:paraId="22283B9E">
            <w:pPr>
              <w:pStyle w:val="26"/>
              <w:rPr>
                <w:rFonts w:hint="default"/>
                <w:color w:val="auto"/>
              </w:rPr>
            </w:pPr>
            <w:r>
              <w:rPr>
                <w:rFonts w:hint="default"/>
                <w:color w:val="auto"/>
              </w:rPr>
              <w:t>1591</w:t>
            </w:r>
          </w:p>
        </w:tc>
        <w:tc>
          <w:tcPr>
            <w:tcW w:w="910" w:type="pct"/>
            <w:tcBorders>
              <w:tl2br w:val="nil"/>
              <w:tr2bl w:val="nil"/>
            </w:tcBorders>
            <w:shd w:val="clear" w:color="auto" w:fill="FFFFFF"/>
          </w:tcPr>
          <w:p w14:paraId="7C83E454">
            <w:pPr>
              <w:pStyle w:val="26"/>
              <w:rPr>
                <w:rFonts w:hint="default"/>
                <w:color w:val="auto"/>
              </w:rPr>
            </w:pPr>
            <w:r>
              <w:rPr>
                <w:rFonts w:hint="default"/>
                <w:color w:val="auto"/>
              </w:rPr>
              <w:t>0</w:t>
            </w:r>
          </w:p>
        </w:tc>
        <w:tc>
          <w:tcPr>
            <w:tcW w:w="910" w:type="pct"/>
            <w:tcBorders>
              <w:tl2br w:val="nil"/>
              <w:tr2bl w:val="nil"/>
            </w:tcBorders>
            <w:shd w:val="clear" w:color="auto" w:fill="FFFFFF"/>
          </w:tcPr>
          <w:p w14:paraId="6ADB52BD">
            <w:pPr>
              <w:pStyle w:val="26"/>
              <w:rPr>
                <w:rFonts w:hint="default"/>
                <w:color w:val="auto"/>
              </w:rPr>
            </w:pPr>
            <w:r>
              <w:rPr>
                <w:rFonts w:hint="default"/>
                <w:color w:val="auto"/>
              </w:rPr>
              <w:t>1591</w:t>
            </w:r>
          </w:p>
        </w:tc>
      </w:tr>
      <w:tr w14:paraId="6BF12D4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192BB247">
            <w:pPr>
              <w:pStyle w:val="26"/>
              <w:rPr>
                <w:rFonts w:hint="default"/>
                <w:color w:val="auto"/>
              </w:rPr>
            </w:pPr>
            <w:r>
              <w:rPr>
                <w:rFonts w:hint="default"/>
                <w:color w:val="auto"/>
              </w:rPr>
              <w:t>注输、护理和防护器械</w:t>
            </w:r>
          </w:p>
        </w:tc>
        <w:tc>
          <w:tcPr>
            <w:tcW w:w="1061" w:type="pct"/>
            <w:tcBorders>
              <w:tl2br w:val="nil"/>
              <w:tr2bl w:val="nil"/>
            </w:tcBorders>
            <w:shd w:val="clear" w:color="auto" w:fill="FFFFFF"/>
          </w:tcPr>
          <w:p w14:paraId="3C631A25">
            <w:pPr>
              <w:pStyle w:val="26"/>
              <w:rPr>
                <w:rFonts w:hint="default"/>
                <w:color w:val="auto"/>
              </w:rPr>
            </w:pPr>
            <w:r>
              <w:rPr>
                <w:rFonts w:hint="default"/>
                <w:color w:val="auto"/>
              </w:rPr>
              <w:t>1063</w:t>
            </w:r>
          </w:p>
        </w:tc>
        <w:tc>
          <w:tcPr>
            <w:tcW w:w="910" w:type="pct"/>
            <w:tcBorders>
              <w:tl2br w:val="nil"/>
              <w:tr2bl w:val="nil"/>
            </w:tcBorders>
            <w:shd w:val="clear" w:color="auto" w:fill="FFFFFF"/>
          </w:tcPr>
          <w:p w14:paraId="40EEDACD">
            <w:pPr>
              <w:pStyle w:val="26"/>
              <w:rPr>
                <w:rFonts w:hint="default"/>
                <w:color w:val="auto"/>
              </w:rPr>
            </w:pPr>
            <w:r>
              <w:rPr>
                <w:rFonts w:hint="default"/>
                <w:color w:val="auto"/>
              </w:rPr>
              <w:t>0</w:t>
            </w:r>
          </w:p>
        </w:tc>
        <w:tc>
          <w:tcPr>
            <w:tcW w:w="910" w:type="pct"/>
            <w:tcBorders>
              <w:tl2br w:val="nil"/>
              <w:tr2bl w:val="nil"/>
            </w:tcBorders>
            <w:shd w:val="clear" w:color="auto" w:fill="FFFFFF"/>
          </w:tcPr>
          <w:p w14:paraId="264CD0C0">
            <w:pPr>
              <w:pStyle w:val="26"/>
              <w:rPr>
                <w:rFonts w:hint="default"/>
                <w:color w:val="auto"/>
              </w:rPr>
            </w:pPr>
            <w:r>
              <w:rPr>
                <w:rFonts w:hint="default"/>
                <w:color w:val="auto"/>
              </w:rPr>
              <w:t>1063</w:t>
            </w:r>
          </w:p>
        </w:tc>
      </w:tr>
      <w:tr w14:paraId="59241DE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1E62698A">
            <w:pPr>
              <w:pStyle w:val="26"/>
              <w:rPr>
                <w:rFonts w:hint="default"/>
                <w:color w:val="auto"/>
              </w:rPr>
            </w:pPr>
            <w:r>
              <w:rPr>
                <w:rFonts w:hint="default"/>
                <w:color w:val="auto"/>
              </w:rPr>
              <w:t>临床检验器械</w:t>
            </w:r>
          </w:p>
        </w:tc>
        <w:tc>
          <w:tcPr>
            <w:tcW w:w="1061" w:type="pct"/>
            <w:tcBorders>
              <w:tl2br w:val="nil"/>
              <w:tr2bl w:val="nil"/>
            </w:tcBorders>
            <w:shd w:val="clear" w:color="auto" w:fill="FFFFFF"/>
          </w:tcPr>
          <w:p w14:paraId="407792E6">
            <w:pPr>
              <w:pStyle w:val="26"/>
              <w:rPr>
                <w:rFonts w:hint="default"/>
                <w:color w:val="auto"/>
              </w:rPr>
            </w:pPr>
            <w:r>
              <w:rPr>
                <w:rFonts w:hint="default"/>
                <w:color w:val="auto"/>
              </w:rPr>
              <w:t>1002</w:t>
            </w:r>
          </w:p>
        </w:tc>
        <w:tc>
          <w:tcPr>
            <w:tcW w:w="910" w:type="pct"/>
            <w:tcBorders>
              <w:tl2br w:val="nil"/>
              <w:tr2bl w:val="nil"/>
            </w:tcBorders>
            <w:shd w:val="clear" w:color="auto" w:fill="FFFFFF"/>
          </w:tcPr>
          <w:p w14:paraId="464B4B22">
            <w:pPr>
              <w:pStyle w:val="26"/>
              <w:rPr>
                <w:rFonts w:hint="default"/>
                <w:color w:val="auto"/>
              </w:rPr>
            </w:pPr>
            <w:r>
              <w:rPr>
                <w:rFonts w:hint="default"/>
                <w:color w:val="auto"/>
              </w:rPr>
              <w:t>0</w:t>
            </w:r>
          </w:p>
        </w:tc>
        <w:tc>
          <w:tcPr>
            <w:tcW w:w="910" w:type="pct"/>
            <w:tcBorders>
              <w:tl2br w:val="nil"/>
              <w:tr2bl w:val="nil"/>
            </w:tcBorders>
            <w:shd w:val="clear" w:color="auto" w:fill="FFFFFF"/>
          </w:tcPr>
          <w:p w14:paraId="518E3F6D">
            <w:pPr>
              <w:pStyle w:val="26"/>
              <w:rPr>
                <w:rFonts w:hint="default"/>
                <w:color w:val="auto"/>
              </w:rPr>
            </w:pPr>
            <w:r>
              <w:rPr>
                <w:rFonts w:hint="default"/>
                <w:color w:val="auto"/>
              </w:rPr>
              <w:t>1002</w:t>
            </w:r>
          </w:p>
        </w:tc>
      </w:tr>
      <w:tr w14:paraId="1E8943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599BF092">
            <w:pPr>
              <w:pStyle w:val="26"/>
              <w:rPr>
                <w:rFonts w:hint="default"/>
                <w:color w:val="auto"/>
              </w:rPr>
            </w:pPr>
            <w:r>
              <w:rPr>
                <w:rFonts w:hint="default"/>
                <w:color w:val="auto"/>
              </w:rPr>
              <w:t>医用软件</w:t>
            </w:r>
          </w:p>
        </w:tc>
        <w:tc>
          <w:tcPr>
            <w:tcW w:w="1061" w:type="pct"/>
            <w:tcBorders>
              <w:tl2br w:val="nil"/>
              <w:tr2bl w:val="nil"/>
            </w:tcBorders>
            <w:shd w:val="clear" w:color="auto" w:fill="FFFFFF"/>
          </w:tcPr>
          <w:p w14:paraId="4E690015">
            <w:pPr>
              <w:pStyle w:val="26"/>
              <w:rPr>
                <w:rFonts w:hint="default"/>
                <w:color w:val="auto"/>
              </w:rPr>
            </w:pPr>
            <w:r>
              <w:rPr>
                <w:rFonts w:hint="default"/>
                <w:color w:val="auto"/>
              </w:rPr>
              <w:t>911</w:t>
            </w:r>
          </w:p>
        </w:tc>
        <w:tc>
          <w:tcPr>
            <w:tcW w:w="910" w:type="pct"/>
            <w:tcBorders>
              <w:tl2br w:val="nil"/>
              <w:tr2bl w:val="nil"/>
            </w:tcBorders>
            <w:shd w:val="clear" w:color="auto" w:fill="FFFFFF"/>
          </w:tcPr>
          <w:p w14:paraId="2D3506D0">
            <w:pPr>
              <w:pStyle w:val="26"/>
              <w:rPr>
                <w:rFonts w:hint="default"/>
                <w:color w:val="auto"/>
              </w:rPr>
            </w:pPr>
            <w:r>
              <w:rPr>
                <w:rFonts w:hint="default"/>
                <w:color w:val="auto"/>
              </w:rPr>
              <w:t>0</w:t>
            </w:r>
          </w:p>
        </w:tc>
        <w:tc>
          <w:tcPr>
            <w:tcW w:w="910" w:type="pct"/>
            <w:tcBorders>
              <w:tl2br w:val="nil"/>
              <w:tr2bl w:val="nil"/>
            </w:tcBorders>
            <w:shd w:val="clear" w:color="auto" w:fill="FFFFFF"/>
          </w:tcPr>
          <w:p w14:paraId="66532397">
            <w:pPr>
              <w:pStyle w:val="26"/>
              <w:rPr>
                <w:rFonts w:hint="default"/>
                <w:color w:val="auto"/>
              </w:rPr>
            </w:pPr>
            <w:r>
              <w:rPr>
                <w:rFonts w:hint="default"/>
                <w:color w:val="auto"/>
              </w:rPr>
              <w:t>911</w:t>
            </w:r>
          </w:p>
        </w:tc>
      </w:tr>
      <w:tr w14:paraId="1A1F5C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12EAACD1">
            <w:pPr>
              <w:pStyle w:val="26"/>
              <w:rPr>
                <w:rFonts w:hint="default"/>
                <w:color w:val="auto"/>
              </w:rPr>
            </w:pPr>
            <w:r>
              <w:rPr>
                <w:rFonts w:hint="default"/>
                <w:color w:val="auto"/>
              </w:rPr>
              <w:t>无源植入器械</w:t>
            </w:r>
          </w:p>
        </w:tc>
        <w:tc>
          <w:tcPr>
            <w:tcW w:w="1061" w:type="pct"/>
            <w:tcBorders>
              <w:tl2br w:val="nil"/>
              <w:tr2bl w:val="nil"/>
            </w:tcBorders>
            <w:shd w:val="clear" w:color="auto" w:fill="FFFFFF"/>
          </w:tcPr>
          <w:p w14:paraId="4FF499D4">
            <w:pPr>
              <w:pStyle w:val="26"/>
              <w:rPr>
                <w:rFonts w:hint="default"/>
                <w:color w:val="auto"/>
              </w:rPr>
            </w:pPr>
            <w:r>
              <w:rPr>
                <w:rFonts w:hint="default"/>
                <w:color w:val="auto"/>
              </w:rPr>
              <w:t>663</w:t>
            </w:r>
          </w:p>
        </w:tc>
        <w:tc>
          <w:tcPr>
            <w:tcW w:w="910" w:type="pct"/>
            <w:tcBorders>
              <w:tl2br w:val="nil"/>
              <w:tr2bl w:val="nil"/>
            </w:tcBorders>
            <w:shd w:val="clear" w:color="auto" w:fill="FFFFFF"/>
          </w:tcPr>
          <w:p w14:paraId="75BE33ED">
            <w:pPr>
              <w:pStyle w:val="26"/>
              <w:rPr>
                <w:rFonts w:hint="default"/>
                <w:color w:val="auto"/>
              </w:rPr>
            </w:pPr>
            <w:r>
              <w:rPr>
                <w:rFonts w:hint="default"/>
                <w:color w:val="auto"/>
              </w:rPr>
              <w:t>0</w:t>
            </w:r>
          </w:p>
        </w:tc>
        <w:tc>
          <w:tcPr>
            <w:tcW w:w="910" w:type="pct"/>
            <w:tcBorders>
              <w:tl2br w:val="nil"/>
              <w:tr2bl w:val="nil"/>
            </w:tcBorders>
            <w:shd w:val="clear" w:color="auto" w:fill="FFFFFF"/>
          </w:tcPr>
          <w:p w14:paraId="1CDB0A1B">
            <w:pPr>
              <w:pStyle w:val="26"/>
              <w:rPr>
                <w:rFonts w:hint="default"/>
                <w:color w:val="auto"/>
              </w:rPr>
            </w:pPr>
            <w:r>
              <w:rPr>
                <w:rFonts w:hint="default"/>
                <w:color w:val="auto"/>
              </w:rPr>
              <w:t>663</w:t>
            </w:r>
          </w:p>
        </w:tc>
      </w:tr>
      <w:tr w14:paraId="4880F33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403786F4">
            <w:pPr>
              <w:pStyle w:val="26"/>
              <w:rPr>
                <w:rFonts w:hint="default"/>
                <w:color w:val="auto"/>
              </w:rPr>
            </w:pPr>
            <w:r>
              <w:rPr>
                <w:rFonts w:hint="default"/>
                <w:color w:val="auto"/>
              </w:rPr>
              <w:t>神经和心血管手术器械</w:t>
            </w:r>
          </w:p>
        </w:tc>
        <w:tc>
          <w:tcPr>
            <w:tcW w:w="1061" w:type="pct"/>
            <w:tcBorders>
              <w:tl2br w:val="nil"/>
              <w:tr2bl w:val="nil"/>
            </w:tcBorders>
            <w:shd w:val="clear" w:color="auto" w:fill="FFFFFF"/>
          </w:tcPr>
          <w:p w14:paraId="2D4102C0">
            <w:pPr>
              <w:pStyle w:val="26"/>
              <w:rPr>
                <w:rFonts w:hint="default"/>
                <w:color w:val="auto"/>
              </w:rPr>
            </w:pPr>
            <w:r>
              <w:rPr>
                <w:rFonts w:hint="default"/>
                <w:color w:val="auto"/>
              </w:rPr>
              <w:t>616</w:t>
            </w:r>
          </w:p>
        </w:tc>
        <w:tc>
          <w:tcPr>
            <w:tcW w:w="910" w:type="pct"/>
            <w:tcBorders>
              <w:tl2br w:val="nil"/>
              <w:tr2bl w:val="nil"/>
            </w:tcBorders>
            <w:shd w:val="clear" w:color="auto" w:fill="FFFFFF"/>
          </w:tcPr>
          <w:p w14:paraId="32135DDC">
            <w:pPr>
              <w:pStyle w:val="26"/>
              <w:rPr>
                <w:rFonts w:hint="default"/>
                <w:color w:val="auto"/>
              </w:rPr>
            </w:pPr>
            <w:r>
              <w:rPr>
                <w:rFonts w:hint="default"/>
                <w:color w:val="auto"/>
              </w:rPr>
              <w:t>0</w:t>
            </w:r>
          </w:p>
        </w:tc>
        <w:tc>
          <w:tcPr>
            <w:tcW w:w="910" w:type="pct"/>
            <w:tcBorders>
              <w:tl2br w:val="nil"/>
              <w:tr2bl w:val="nil"/>
            </w:tcBorders>
            <w:shd w:val="clear" w:color="auto" w:fill="FFFFFF"/>
          </w:tcPr>
          <w:p w14:paraId="2C04A028">
            <w:pPr>
              <w:pStyle w:val="26"/>
              <w:rPr>
                <w:rFonts w:hint="default"/>
                <w:color w:val="auto"/>
              </w:rPr>
            </w:pPr>
            <w:r>
              <w:rPr>
                <w:rFonts w:hint="default"/>
                <w:color w:val="auto"/>
              </w:rPr>
              <w:t>616</w:t>
            </w:r>
          </w:p>
        </w:tc>
      </w:tr>
      <w:tr w14:paraId="1F2C80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15FECF1C">
            <w:pPr>
              <w:pStyle w:val="26"/>
              <w:rPr>
                <w:rFonts w:hint="default"/>
                <w:color w:val="auto"/>
              </w:rPr>
            </w:pPr>
            <w:r>
              <w:rPr>
                <w:rFonts w:hint="default"/>
                <w:color w:val="auto"/>
              </w:rPr>
              <w:t>妇产科、辅助生殖和避孕器械</w:t>
            </w:r>
          </w:p>
        </w:tc>
        <w:tc>
          <w:tcPr>
            <w:tcW w:w="1061" w:type="pct"/>
            <w:tcBorders>
              <w:tl2br w:val="nil"/>
              <w:tr2bl w:val="nil"/>
            </w:tcBorders>
            <w:shd w:val="clear" w:color="auto" w:fill="FFFFFF"/>
          </w:tcPr>
          <w:p w14:paraId="6B5C2801">
            <w:pPr>
              <w:pStyle w:val="26"/>
              <w:rPr>
                <w:rFonts w:hint="default"/>
                <w:color w:val="auto"/>
              </w:rPr>
            </w:pPr>
            <w:r>
              <w:rPr>
                <w:rFonts w:hint="default"/>
                <w:color w:val="auto"/>
              </w:rPr>
              <w:t>584</w:t>
            </w:r>
          </w:p>
        </w:tc>
        <w:tc>
          <w:tcPr>
            <w:tcW w:w="910" w:type="pct"/>
            <w:tcBorders>
              <w:tl2br w:val="nil"/>
              <w:tr2bl w:val="nil"/>
            </w:tcBorders>
            <w:shd w:val="clear" w:color="auto" w:fill="FFFFFF"/>
          </w:tcPr>
          <w:p w14:paraId="4977AF77">
            <w:pPr>
              <w:pStyle w:val="26"/>
              <w:rPr>
                <w:rFonts w:hint="default"/>
                <w:color w:val="auto"/>
              </w:rPr>
            </w:pPr>
            <w:r>
              <w:rPr>
                <w:rFonts w:hint="default"/>
                <w:color w:val="auto"/>
              </w:rPr>
              <w:t>0</w:t>
            </w:r>
          </w:p>
        </w:tc>
        <w:tc>
          <w:tcPr>
            <w:tcW w:w="910" w:type="pct"/>
            <w:tcBorders>
              <w:tl2br w:val="nil"/>
              <w:tr2bl w:val="nil"/>
            </w:tcBorders>
            <w:shd w:val="clear" w:color="auto" w:fill="FFFFFF"/>
          </w:tcPr>
          <w:p w14:paraId="0F9340E0">
            <w:pPr>
              <w:pStyle w:val="26"/>
              <w:rPr>
                <w:rFonts w:hint="default"/>
                <w:color w:val="auto"/>
              </w:rPr>
            </w:pPr>
            <w:r>
              <w:rPr>
                <w:rFonts w:hint="default"/>
                <w:color w:val="auto"/>
              </w:rPr>
              <w:t>584</w:t>
            </w:r>
          </w:p>
        </w:tc>
      </w:tr>
      <w:tr w14:paraId="50F119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094218C2">
            <w:pPr>
              <w:pStyle w:val="26"/>
              <w:rPr>
                <w:rFonts w:hint="default"/>
                <w:color w:val="auto"/>
              </w:rPr>
            </w:pPr>
            <w:r>
              <w:rPr>
                <w:rFonts w:hint="default"/>
                <w:color w:val="auto"/>
              </w:rPr>
              <w:t>口腔科器械</w:t>
            </w:r>
          </w:p>
        </w:tc>
        <w:tc>
          <w:tcPr>
            <w:tcW w:w="1061" w:type="pct"/>
            <w:tcBorders>
              <w:tl2br w:val="nil"/>
              <w:tr2bl w:val="nil"/>
            </w:tcBorders>
            <w:shd w:val="clear" w:color="auto" w:fill="FFFFFF"/>
          </w:tcPr>
          <w:p w14:paraId="47BC92B5">
            <w:pPr>
              <w:pStyle w:val="26"/>
              <w:rPr>
                <w:rFonts w:hint="default"/>
                <w:color w:val="auto"/>
              </w:rPr>
            </w:pPr>
            <w:r>
              <w:rPr>
                <w:rFonts w:hint="default"/>
                <w:color w:val="auto"/>
              </w:rPr>
              <w:t>308</w:t>
            </w:r>
          </w:p>
        </w:tc>
        <w:tc>
          <w:tcPr>
            <w:tcW w:w="910" w:type="pct"/>
            <w:tcBorders>
              <w:tl2br w:val="nil"/>
              <w:tr2bl w:val="nil"/>
            </w:tcBorders>
            <w:shd w:val="clear" w:color="auto" w:fill="FFFFFF"/>
          </w:tcPr>
          <w:p w14:paraId="2855077E">
            <w:pPr>
              <w:pStyle w:val="26"/>
              <w:rPr>
                <w:rFonts w:hint="default"/>
                <w:color w:val="auto"/>
              </w:rPr>
            </w:pPr>
            <w:r>
              <w:rPr>
                <w:rFonts w:hint="default"/>
                <w:color w:val="auto"/>
              </w:rPr>
              <w:t>0</w:t>
            </w:r>
          </w:p>
        </w:tc>
        <w:tc>
          <w:tcPr>
            <w:tcW w:w="910" w:type="pct"/>
            <w:tcBorders>
              <w:tl2br w:val="nil"/>
              <w:tr2bl w:val="nil"/>
            </w:tcBorders>
            <w:shd w:val="clear" w:color="auto" w:fill="FFFFFF"/>
          </w:tcPr>
          <w:p w14:paraId="610D292A">
            <w:pPr>
              <w:pStyle w:val="26"/>
              <w:rPr>
                <w:rFonts w:hint="default"/>
                <w:color w:val="auto"/>
              </w:rPr>
            </w:pPr>
            <w:r>
              <w:rPr>
                <w:rFonts w:hint="default"/>
                <w:color w:val="auto"/>
              </w:rPr>
              <w:t>308</w:t>
            </w:r>
          </w:p>
        </w:tc>
      </w:tr>
      <w:tr w14:paraId="483480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4C6D581D">
            <w:pPr>
              <w:pStyle w:val="26"/>
              <w:rPr>
                <w:rFonts w:hint="default"/>
                <w:color w:val="auto"/>
              </w:rPr>
            </w:pPr>
            <w:r>
              <w:rPr>
                <w:rFonts w:hint="default"/>
                <w:color w:val="auto"/>
              </w:rPr>
              <w:t>物理治疗器械</w:t>
            </w:r>
          </w:p>
        </w:tc>
        <w:tc>
          <w:tcPr>
            <w:tcW w:w="1061" w:type="pct"/>
            <w:tcBorders>
              <w:tl2br w:val="nil"/>
              <w:tr2bl w:val="nil"/>
            </w:tcBorders>
            <w:shd w:val="clear" w:color="auto" w:fill="FFFFFF"/>
          </w:tcPr>
          <w:p w14:paraId="19DA24FB">
            <w:pPr>
              <w:pStyle w:val="26"/>
              <w:rPr>
                <w:rFonts w:hint="default"/>
                <w:color w:val="auto"/>
              </w:rPr>
            </w:pPr>
            <w:r>
              <w:rPr>
                <w:rFonts w:hint="default"/>
                <w:color w:val="auto"/>
              </w:rPr>
              <w:t>282</w:t>
            </w:r>
          </w:p>
        </w:tc>
        <w:tc>
          <w:tcPr>
            <w:tcW w:w="910" w:type="pct"/>
            <w:tcBorders>
              <w:tl2br w:val="nil"/>
              <w:tr2bl w:val="nil"/>
            </w:tcBorders>
            <w:shd w:val="clear" w:color="auto" w:fill="FFFFFF"/>
          </w:tcPr>
          <w:p w14:paraId="60C97FDB">
            <w:pPr>
              <w:pStyle w:val="26"/>
              <w:rPr>
                <w:rFonts w:hint="default"/>
                <w:color w:val="auto"/>
              </w:rPr>
            </w:pPr>
            <w:r>
              <w:rPr>
                <w:rFonts w:hint="default"/>
                <w:color w:val="auto"/>
              </w:rPr>
              <w:t>0</w:t>
            </w:r>
          </w:p>
        </w:tc>
        <w:tc>
          <w:tcPr>
            <w:tcW w:w="910" w:type="pct"/>
            <w:tcBorders>
              <w:tl2br w:val="nil"/>
              <w:tr2bl w:val="nil"/>
            </w:tcBorders>
            <w:shd w:val="clear" w:color="auto" w:fill="FFFFFF"/>
          </w:tcPr>
          <w:p w14:paraId="2D3AEA1F">
            <w:pPr>
              <w:pStyle w:val="26"/>
              <w:rPr>
                <w:rFonts w:hint="default"/>
                <w:color w:val="auto"/>
              </w:rPr>
            </w:pPr>
            <w:r>
              <w:rPr>
                <w:rFonts w:hint="default"/>
                <w:color w:val="auto"/>
              </w:rPr>
              <w:t>282</w:t>
            </w:r>
          </w:p>
        </w:tc>
      </w:tr>
      <w:tr w14:paraId="453FC95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2140F482">
            <w:pPr>
              <w:pStyle w:val="26"/>
              <w:rPr>
                <w:rFonts w:hint="default"/>
                <w:color w:val="auto"/>
              </w:rPr>
            </w:pPr>
            <w:r>
              <w:rPr>
                <w:rFonts w:hint="default"/>
                <w:color w:val="auto"/>
              </w:rPr>
              <w:t>中医器械</w:t>
            </w:r>
          </w:p>
        </w:tc>
        <w:tc>
          <w:tcPr>
            <w:tcW w:w="1061" w:type="pct"/>
            <w:tcBorders>
              <w:tl2br w:val="nil"/>
              <w:tr2bl w:val="nil"/>
            </w:tcBorders>
            <w:shd w:val="clear" w:color="auto" w:fill="FFFFFF"/>
          </w:tcPr>
          <w:p w14:paraId="53F0DE9D">
            <w:pPr>
              <w:pStyle w:val="26"/>
              <w:rPr>
                <w:rFonts w:hint="default"/>
                <w:color w:val="auto"/>
              </w:rPr>
            </w:pPr>
            <w:r>
              <w:rPr>
                <w:rFonts w:hint="default"/>
                <w:color w:val="auto"/>
              </w:rPr>
              <w:t>263</w:t>
            </w:r>
          </w:p>
        </w:tc>
        <w:tc>
          <w:tcPr>
            <w:tcW w:w="910" w:type="pct"/>
            <w:tcBorders>
              <w:tl2br w:val="nil"/>
              <w:tr2bl w:val="nil"/>
            </w:tcBorders>
            <w:shd w:val="clear" w:color="auto" w:fill="FFFFFF"/>
          </w:tcPr>
          <w:p w14:paraId="5A992080">
            <w:pPr>
              <w:pStyle w:val="26"/>
              <w:rPr>
                <w:rFonts w:hint="default"/>
                <w:color w:val="auto"/>
              </w:rPr>
            </w:pPr>
            <w:r>
              <w:rPr>
                <w:rFonts w:hint="default"/>
                <w:color w:val="auto"/>
              </w:rPr>
              <w:t>0</w:t>
            </w:r>
          </w:p>
        </w:tc>
        <w:tc>
          <w:tcPr>
            <w:tcW w:w="910" w:type="pct"/>
            <w:tcBorders>
              <w:tl2br w:val="nil"/>
              <w:tr2bl w:val="nil"/>
            </w:tcBorders>
            <w:shd w:val="clear" w:color="auto" w:fill="FFFFFF"/>
          </w:tcPr>
          <w:p w14:paraId="3F80A4D1">
            <w:pPr>
              <w:pStyle w:val="26"/>
              <w:rPr>
                <w:rFonts w:hint="default"/>
                <w:color w:val="auto"/>
              </w:rPr>
            </w:pPr>
            <w:r>
              <w:rPr>
                <w:rFonts w:hint="default"/>
                <w:color w:val="auto"/>
              </w:rPr>
              <w:t>263</w:t>
            </w:r>
          </w:p>
        </w:tc>
      </w:tr>
      <w:tr w14:paraId="188DE1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3B1C8352">
            <w:pPr>
              <w:pStyle w:val="26"/>
              <w:rPr>
                <w:rFonts w:hint="default"/>
                <w:color w:val="auto"/>
              </w:rPr>
            </w:pPr>
            <w:r>
              <w:rPr>
                <w:rFonts w:hint="default"/>
                <w:color w:val="auto"/>
              </w:rPr>
              <w:t>呼吸、麻醉和急救器械</w:t>
            </w:r>
          </w:p>
        </w:tc>
        <w:tc>
          <w:tcPr>
            <w:tcW w:w="1061" w:type="pct"/>
            <w:tcBorders>
              <w:tl2br w:val="nil"/>
              <w:tr2bl w:val="nil"/>
            </w:tcBorders>
            <w:shd w:val="clear" w:color="auto" w:fill="FFFFFF"/>
          </w:tcPr>
          <w:p w14:paraId="4FE6C3C5">
            <w:pPr>
              <w:pStyle w:val="26"/>
              <w:rPr>
                <w:rFonts w:hint="default"/>
                <w:color w:val="auto"/>
              </w:rPr>
            </w:pPr>
            <w:r>
              <w:rPr>
                <w:rFonts w:hint="default"/>
                <w:color w:val="auto"/>
              </w:rPr>
              <w:t>220</w:t>
            </w:r>
          </w:p>
        </w:tc>
        <w:tc>
          <w:tcPr>
            <w:tcW w:w="910" w:type="pct"/>
            <w:tcBorders>
              <w:tl2br w:val="nil"/>
              <w:tr2bl w:val="nil"/>
            </w:tcBorders>
            <w:shd w:val="clear" w:color="auto" w:fill="FFFFFF"/>
          </w:tcPr>
          <w:p w14:paraId="62F13461">
            <w:pPr>
              <w:pStyle w:val="26"/>
              <w:rPr>
                <w:rFonts w:hint="default"/>
                <w:color w:val="auto"/>
              </w:rPr>
            </w:pPr>
            <w:r>
              <w:rPr>
                <w:rFonts w:hint="default"/>
                <w:color w:val="auto"/>
              </w:rPr>
              <w:t>0</w:t>
            </w:r>
          </w:p>
        </w:tc>
        <w:tc>
          <w:tcPr>
            <w:tcW w:w="910" w:type="pct"/>
            <w:tcBorders>
              <w:tl2br w:val="nil"/>
              <w:tr2bl w:val="nil"/>
            </w:tcBorders>
            <w:shd w:val="clear" w:color="auto" w:fill="FFFFFF"/>
          </w:tcPr>
          <w:p w14:paraId="5A7368F2">
            <w:pPr>
              <w:pStyle w:val="26"/>
              <w:rPr>
                <w:rFonts w:hint="default"/>
                <w:color w:val="auto"/>
              </w:rPr>
            </w:pPr>
            <w:r>
              <w:rPr>
                <w:rFonts w:hint="default"/>
                <w:color w:val="auto"/>
              </w:rPr>
              <w:t>220</w:t>
            </w:r>
          </w:p>
        </w:tc>
      </w:tr>
      <w:tr w14:paraId="58DC96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16101629">
            <w:pPr>
              <w:pStyle w:val="26"/>
              <w:rPr>
                <w:rFonts w:hint="default"/>
                <w:color w:val="auto"/>
              </w:rPr>
            </w:pPr>
            <w:r>
              <w:rPr>
                <w:rFonts w:hint="default"/>
                <w:color w:val="auto"/>
              </w:rPr>
              <w:t>医用康复器械</w:t>
            </w:r>
          </w:p>
        </w:tc>
        <w:tc>
          <w:tcPr>
            <w:tcW w:w="1061" w:type="pct"/>
            <w:tcBorders>
              <w:tl2br w:val="nil"/>
              <w:tr2bl w:val="nil"/>
            </w:tcBorders>
            <w:shd w:val="clear" w:color="auto" w:fill="FFFFFF"/>
          </w:tcPr>
          <w:p w14:paraId="022EDAA5">
            <w:pPr>
              <w:pStyle w:val="26"/>
              <w:rPr>
                <w:rFonts w:hint="default"/>
                <w:color w:val="auto"/>
              </w:rPr>
            </w:pPr>
            <w:r>
              <w:rPr>
                <w:rFonts w:hint="default"/>
                <w:color w:val="auto"/>
              </w:rPr>
              <w:t>220</w:t>
            </w:r>
          </w:p>
        </w:tc>
        <w:tc>
          <w:tcPr>
            <w:tcW w:w="910" w:type="pct"/>
            <w:tcBorders>
              <w:tl2br w:val="nil"/>
              <w:tr2bl w:val="nil"/>
            </w:tcBorders>
            <w:shd w:val="clear" w:color="auto" w:fill="FFFFFF"/>
          </w:tcPr>
          <w:p w14:paraId="5A86A4D0">
            <w:pPr>
              <w:pStyle w:val="26"/>
              <w:rPr>
                <w:rFonts w:hint="default"/>
                <w:color w:val="auto"/>
              </w:rPr>
            </w:pPr>
            <w:r>
              <w:rPr>
                <w:rFonts w:hint="default"/>
                <w:color w:val="auto"/>
              </w:rPr>
              <w:t>0</w:t>
            </w:r>
          </w:p>
        </w:tc>
        <w:tc>
          <w:tcPr>
            <w:tcW w:w="910" w:type="pct"/>
            <w:tcBorders>
              <w:tl2br w:val="nil"/>
              <w:tr2bl w:val="nil"/>
            </w:tcBorders>
            <w:shd w:val="clear" w:color="auto" w:fill="FFFFFF"/>
          </w:tcPr>
          <w:p w14:paraId="7A6D943B">
            <w:pPr>
              <w:pStyle w:val="26"/>
              <w:rPr>
                <w:rFonts w:hint="default"/>
                <w:color w:val="auto"/>
              </w:rPr>
            </w:pPr>
            <w:r>
              <w:rPr>
                <w:rFonts w:hint="default"/>
                <w:color w:val="auto"/>
              </w:rPr>
              <w:t>220</w:t>
            </w:r>
          </w:p>
        </w:tc>
      </w:tr>
      <w:tr w14:paraId="19BB04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2173F797">
            <w:pPr>
              <w:pStyle w:val="26"/>
              <w:rPr>
                <w:rFonts w:hint="default"/>
                <w:color w:val="auto"/>
              </w:rPr>
            </w:pPr>
            <w:r>
              <w:rPr>
                <w:rFonts w:hint="default"/>
                <w:color w:val="auto"/>
              </w:rPr>
              <w:t>放射治疗器械</w:t>
            </w:r>
          </w:p>
        </w:tc>
        <w:tc>
          <w:tcPr>
            <w:tcW w:w="1061" w:type="pct"/>
            <w:tcBorders>
              <w:tl2br w:val="nil"/>
              <w:tr2bl w:val="nil"/>
            </w:tcBorders>
            <w:shd w:val="clear" w:color="auto" w:fill="FFFFFF"/>
          </w:tcPr>
          <w:p w14:paraId="78EE110D">
            <w:pPr>
              <w:pStyle w:val="26"/>
              <w:rPr>
                <w:rFonts w:hint="default"/>
                <w:color w:val="auto"/>
              </w:rPr>
            </w:pPr>
            <w:r>
              <w:rPr>
                <w:rFonts w:hint="default"/>
                <w:color w:val="auto"/>
              </w:rPr>
              <w:t>203</w:t>
            </w:r>
          </w:p>
        </w:tc>
        <w:tc>
          <w:tcPr>
            <w:tcW w:w="910" w:type="pct"/>
            <w:tcBorders>
              <w:tl2br w:val="nil"/>
              <w:tr2bl w:val="nil"/>
            </w:tcBorders>
            <w:shd w:val="clear" w:color="auto" w:fill="FFFFFF"/>
          </w:tcPr>
          <w:p w14:paraId="60111E93">
            <w:pPr>
              <w:pStyle w:val="26"/>
              <w:rPr>
                <w:rFonts w:hint="default"/>
                <w:color w:val="auto"/>
              </w:rPr>
            </w:pPr>
            <w:r>
              <w:rPr>
                <w:rFonts w:hint="default"/>
                <w:color w:val="auto"/>
              </w:rPr>
              <w:t>0</w:t>
            </w:r>
          </w:p>
        </w:tc>
        <w:tc>
          <w:tcPr>
            <w:tcW w:w="910" w:type="pct"/>
            <w:tcBorders>
              <w:tl2br w:val="nil"/>
              <w:tr2bl w:val="nil"/>
            </w:tcBorders>
            <w:shd w:val="clear" w:color="auto" w:fill="FFFFFF"/>
          </w:tcPr>
          <w:p w14:paraId="0BCEDB2D">
            <w:pPr>
              <w:pStyle w:val="26"/>
              <w:rPr>
                <w:rFonts w:hint="default"/>
                <w:color w:val="auto"/>
              </w:rPr>
            </w:pPr>
            <w:r>
              <w:rPr>
                <w:rFonts w:hint="default"/>
                <w:color w:val="auto"/>
              </w:rPr>
              <w:t>203</w:t>
            </w:r>
          </w:p>
        </w:tc>
      </w:tr>
      <w:tr w14:paraId="23AC86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36B3C979">
            <w:pPr>
              <w:pStyle w:val="26"/>
              <w:rPr>
                <w:rFonts w:hint="default"/>
                <w:color w:val="auto"/>
              </w:rPr>
            </w:pPr>
            <w:r>
              <w:rPr>
                <w:rFonts w:hint="default"/>
                <w:color w:val="auto"/>
              </w:rPr>
              <w:t>有源植入器械</w:t>
            </w:r>
          </w:p>
        </w:tc>
        <w:tc>
          <w:tcPr>
            <w:tcW w:w="1061" w:type="pct"/>
            <w:tcBorders>
              <w:tl2br w:val="nil"/>
              <w:tr2bl w:val="nil"/>
            </w:tcBorders>
            <w:shd w:val="clear" w:color="auto" w:fill="FFFFFF"/>
          </w:tcPr>
          <w:p w14:paraId="2A44E5C0">
            <w:pPr>
              <w:pStyle w:val="26"/>
              <w:rPr>
                <w:rFonts w:hint="default"/>
                <w:color w:val="auto"/>
              </w:rPr>
            </w:pPr>
            <w:r>
              <w:rPr>
                <w:rFonts w:hint="default"/>
                <w:color w:val="auto"/>
              </w:rPr>
              <w:t>193</w:t>
            </w:r>
          </w:p>
        </w:tc>
        <w:tc>
          <w:tcPr>
            <w:tcW w:w="910" w:type="pct"/>
            <w:tcBorders>
              <w:tl2br w:val="nil"/>
              <w:tr2bl w:val="nil"/>
            </w:tcBorders>
            <w:shd w:val="clear" w:color="auto" w:fill="FFFFFF"/>
          </w:tcPr>
          <w:p w14:paraId="302EB278">
            <w:pPr>
              <w:pStyle w:val="26"/>
              <w:rPr>
                <w:rFonts w:hint="default"/>
                <w:color w:val="auto"/>
              </w:rPr>
            </w:pPr>
            <w:r>
              <w:rPr>
                <w:rFonts w:hint="default"/>
                <w:color w:val="auto"/>
              </w:rPr>
              <w:t>0</w:t>
            </w:r>
          </w:p>
        </w:tc>
        <w:tc>
          <w:tcPr>
            <w:tcW w:w="910" w:type="pct"/>
            <w:tcBorders>
              <w:tl2br w:val="nil"/>
              <w:tr2bl w:val="nil"/>
            </w:tcBorders>
            <w:shd w:val="clear" w:color="auto" w:fill="FFFFFF"/>
          </w:tcPr>
          <w:p w14:paraId="0A817685">
            <w:pPr>
              <w:pStyle w:val="26"/>
              <w:rPr>
                <w:rFonts w:hint="default"/>
                <w:color w:val="auto"/>
              </w:rPr>
            </w:pPr>
            <w:r>
              <w:rPr>
                <w:rFonts w:hint="default"/>
                <w:color w:val="auto"/>
              </w:rPr>
              <w:t>193</w:t>
            </w:r>
          </w:p>
        </w:tc>
      </w:tr>
      <w:tr w14:paraId="5C0857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2CAC550A">
            <w:pPr>
              <w:pStyle w:val="26"/>
              <w:rPr>
                <w:rFonts w:hint="default"/>
                <w:color w:val="auto"/>
              </w:rPr>
            </w:pPr>
            <w:r>
              <w:rPr>
                <w:rFonts w:hint="default"/>
                <w:color w:val="auto"/>
              </w:rPr>
              <w:t>患者承载器械</w:t>
            </w:r>
          </w:p>
        </w:tc>
        <w:tc>
          <w:tcPr>
            <w:tcW w:w="1061" w:type="pct"/>
            <w:tcBorders>
              <w:tl2br w:val="nil"/>
              <w:tr2bl w:val="nil"/>
            </w:tcBorders>
            <w:shd w:val="clear" w:color="auto" w:fill="FFFFFF"/>
          </w:tcPr>
          <w:p w14:paraId="6A4728A3">
            <w:pPr>
              <w:pStyle w:val="26"/>
              <w:rPr>
                <w:rFonts w:hint="default"/>
                <w:color w:val="auto"/>
              </w:rPr>
            </w:pPr>
            <w:r>
              <w:rPr>
                <w:rFonts w:hint="default"/>
                <w:color w:val="auto"/>
              </w:rPr>
              <w:t>107</w:t>
            </w:r>
          </w:p>
        </w:tc>
        <w:tc>
          <w:tcPr>
            <w:tcW w:w="910" w:type="pct"/>
            <w:tcBorders>
              <w:tl2br w:val="nil"/>
              <w:tr2bl w:val="nil"/>
            </w:tcBorders>
            <w:shd w:val="clear" w:color="auto" w:fill="FFFFFF"/>
          </w:tcPr>
          <w:p w14:paraId="46EEE469">
            <w:pPr>
              <w:pStyle w:val="26"/>
              <w:rPr>
                <w:rFonts w:hint="default"/>
                <w:color w:val="auto"/>
              </w:rPr>
            </w:pPr>
            <w:r>
              <w:rPr>
                <w:rFonts w:hint="default"/>
                <w:color w:val="auto"/>
              </w:rPr>
              <w:t>0</w:t>
            </w:r>
          </w:p>
        </w:tc>
        <w:tc>
          <w:tcPr>
            <w:tcW w:w="910" w:type="pct"/>
            <w:tcBorders>
              <w:tl2br w:val="nil"/>
              <w:tr2bl w:val="nil"/>
            </w:tcBorders>
            <w:shd w:val="clear" w:color="auto" w:fill="FFFFFF"/>
          </w:tcPr>
          <w:p w14:paraId="55BD58E6">
            <w:pPr>
              <w:pStyle w:val="26"/>
              <w:rPr>
                <w:rFonts w:hint="default"/>
                <w:color w:val="auto"/>
              </w:rPr>
            </w:pPr>
            <w:r>
              <w:rPr>
                <w:rFonts w:hint="default"/>
                <w:color w:val="auto"/>
              </w:rPr>
              <w:t>107</w:t>
            </w:r>
          </w:p>
        </w:tc>
      </w:tr>
      <w:tr w14:paraId="32DFFEA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471980A9">
            <w:pPr>
              <w:pStyle w:val="26"/>
              <w:rPr>
                <w:rFonts w:hint="default"/>
                <w:color w:val="auto"/>
              </w:rPr>
            </w:pPr>
            <w:r>
              <w:rPr>
                <w:rFonts w:hint="default"/>
                <w:color w:val="auto"/>
              </w:rPr>
              <w:t>医疗器械消毒灭菌器械</w:t>
            </w:r>
          </w:p>
        </w:tc>
        <w:tc>
          <w:tcPr>
            <w:tcW w:w="1061" w:type="pct"/>
            <w:tcBorders>
              <w:tl2br w:val="nil"/>
              <w:tr2bl w:val="nil"/>
            </w:tcBorders>
            <w:shd w:val="clear" w:color="auto" w:fill="FFFFFF"/>
          </w:tcPr>
          <w:p w14:paraId="3869BF4B">
            <w:pPr>
              <w:pStyle w:val="26"/>
              <w:rPr>
                <w:rFonts w:hint="default"/>
                <w:color w:val="auto"/>
              </w:rPr>
            </w:pPr>
            <w:r>
              <w:rPr>
                <w:rFonts w:hint="default"/>
                <w:color w:val="auto"/>
              </w:rPr>
              <w:t>98</w:t>
            </w:r>
          </w:p>
        </w:tc>
        <w:tc>
          <w:tcPr>
            <w:tcW w:w="910" w:type="pct"/>
            <w:tcBorders>
              <w:tl2br w:val="nil"/>
              <w:tr2bl w:val="nil"/>
            </w:tcBorders>
            <w:shd w:val="clear" w:color="auto" w:fill="FFFFFF"/>
          </w:tcPr>
          <w:p w14:paraId="4BDC694D">
            <w:pPr>
              <w:pStyle w:val="26"/>
              <w:rPr>
                <w:rFonts w:hint="default"/>
                <w:color w:val="auto"/>
              </w:rPr>
            </w:pPr>
            <w:r>
              <w:rPr>
                <w:rFonts w:hint="default"/>
                <w:color w:val="auto"/>
              </w:rPr>
              <w:t>0</w:t>
            </w:r>
          </w:p>
        </w:tc>
        <w:tc>
          <w:tcPr>
            <w:tcW w:w="910" w:type="pct"/>
            <w:tcBorders>
              <w:tl2br w:val="nil"/>
              <w:tr2bl w:val="nil"/>
            </w:tcBorders>
            <w:shd w:val="clear" w:color="auto" w:fill="FFFFFF"/>
          </w:tcPr>
          <w:p w14:paraId="61C08CA2">
            <w:pPr>
              <w:pStyle w:val="26"/>
              <w:rPr>
                <w:rFonts w:hint="default"/>
                <w:color w:val="auto"/>
              </w:rPr>
            </w:pPr>
            <w:r>
              <w:rPr>
                <w:rFonts w:hint="default"/>
                <w:color w:val="auto"/>
              </w:rPr>
              <w:t>98</w:t>
            </w:r>
          </w:p>
        </w:tc>
      </w:tr>
      <w:tr w14:paraId="7FFBA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5638A09C">
            <w:pPr>
              <w:pStyle w:val="26"/>
              <w:rPr>
                <w:rFonts w:hint="default"/>
                <w:color w:val="auto"/>
              </w:rPr>
            </w:pPr>
            <w:r>
              <w:rPr>
                <w:rFonts w:hint="default"/>
                <w:color w:val="auto"/>
              </w:rPr>
              <w:t>输血、透析和体外循环器械</w:t>
            </w:r>
          </w:p>
        </w:tc>
        <w:tc>
          <w:tcPr>
            <w:tcW w:w="1061" w:type="pct"/>
            <w:tcBorders>
              <w:tl2br w:val="nil"/>
              <w:tr2bl w:val="nil"/>
            </w:tcBorders>
            <w:shd w:val="clear" w:color="auto" w:fill="FFFFFF"/>
          </w:tcPr>
          <w:p w14:paraId="55766201">
            <w:pPr>
              <w:pStyle w:val="26"/>
              <w:rPr>
                <w:rFonts w:hint="default"/>
                <w:color w:val="auto"/>
              </w:rPr>
            </w:pPr>
            <w:r>
              <w:rPr>
                <w:rFonts w:hint="default"/>
                <w:color w:val="auto"/>
              </w:rPr>
              <w:t>31</w:t>
            </w:r>
          </w:p>
        </w:tc>
        <w:tc>
          <w:tcPr>
            <w:tcW w:w="910" w:type="pct"/>
            <w:tcBorders>
              <w:tl2br w:val="nil"/>
              <w:tr2bl w:val="nil"/>
            </w:tcBorders>
            <w:shd w:val="clear" w:color="auto" w:fill="FFFFFF"/>
          </w:tcPr>
          <w:p w14:paraId="399A9854">
            <w:pPr>
              <w:pStyle w:val="26"/>
              <w:rPr>
                <w:rFonts w:hint="default"/>
                <w:color w:val="auto"/>
              </w:rPr>
            </w:pPr>
            <w:r>
              <w:rPr>
                <w:rFonts w:hint="default"/>
                <w:color w:val="auto"/>
              </w:rPr>
              <w:t>62</w:t>
            </w:r>
          </w:p>
        </w:tc>
        <w:tc>
          <w:tcPr>
            <w:tcW w:w="910" w:type="pct"/>
            <w:tcBorders>
              <w:tl2br w:val="nil"/>
              <w:tr2bl w:val="nil"/>
            </w:tcBorders>
            <w:shd w:val="clear" w:color="auto" w:fill="FFFFFF"/>
          </w:tcPr>
          <w:p w14:paraId="7AD2B1CB">
            <w:pPr>
              <w:pStyle w:val="26"/>
              <w:rPr>
                <w:rFonts w:hint="default"/>
                <w:color w:val="auto"/>
              </w:rPr>
            </w:pPr>
            <w:r>
              <w:rPr>
                <w:rFonts w:hint="default"/>
                <w:color w:val="auto"/>
              </w:rPr>
              <w:t>93</w:t>
            </w:r>
          </w:p>
        </w:tc>
      </w:tr>
      <w:tr w14:paraId="544296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tcPr>
          <w:p w14:paraId="7513098B">
            <w:pPr>
              <w:pStyle w:val="26"/>
              <w:rPr>
                <w:rFonts w:hint="default"/>
                <w:color w:val="auto"/>
              </w:rPr>
            </w:pPr>
            <w:r>
              <w:rPr>
                <w:rFonts w:hint="default"/>
                <w:color w:val="auto"/>
              </w:rPr>
              <w:t>合计</w:t>
            </w:r>
          </w:p>
        </w:tc>
        <w:tc>
          <w:tcPr>
            <w:tcW w:w="1061" w:type="pct"/>
            <w:tcBorders>
              <w:tl2br w:val="nil"/>
              <w:tr2bl w:val="nil"/>
            </w:tcBorders>
            <w:shd w:val="clear" w:color="auto" w:fill="FFFFFF"/>
          </w:tcPr>
          <w:p w14:paraId="766216FF">
            <w:pPr>
              <w:pStyle w:val="26"/>
              <w:rPr>
                <w:rFonts w:hint="default"/>
                <w:color w:val="auto"/>
              </w:rPr>
            </w:pPr>
            <w:r>
              <w:rPr>
                <w:rFonts w:hint="default"/>
                <w:color w:val="auto"/>
              </w:rPr>
              <w:t>34431</w:t>
            </w:r>
          </w:p>
        </w:tc>
        <w:tc>
          <w:tcPr>
            <w:tcW w:w="910" w:type="pct"/>
            <w:tcBorders>
              <w:tl2br w:val="nil"/>
              <w:tr2bl w:val="nil"/>
            </w:tcBorders>
            <w:shd w:val="clear" w:color="auto" w:fill="FFFFFF"/>
          </w:tcPr>
          <w:p w14:paraId="2C193E6E">
            <w:pPr>
              <w:pStyle w:val="26"/>
              <w:rPr>
                <w:rFonts w:hint="default"/>
                <w:color w:val="auto"/>
              </w:rPr>
            </w:pPr>
            <w:r>
              <w:rPr>
                <w:rFonts w:hint="default"/>
                <w:color w:val="auto"/>
              </w:rPr>
              <w:t>62</w:t>
            </w:r>
          </w:p>
        </w:tc>
        <w:tc>
          <w:tcPr>
            <w:tcW w:w="910" w:type="pct"/>
            <w:tcBorders>
              <w:tl2br w:val="nil"/>
              <w:tr2bl w:val="nil"/>
            </w:tcBorders>
            <w:shd w:val="clear" w:color="auto" w:fill="FFFFFF"/>
          </w:tcPr>
          <w:p w14:paraId="5F7CDD4C">
            <w:pPr>
              <w:pStyle w:val="26"/>
              <w:rPr>
                <w:rFonts w:hint="default"/>
                <w:color w:val="auto"/>
              </w:rPr>
            </w:pPr>
            <w:r>
              <w:rPr>
                <w:rFonts w:hint="default"/>
                <w:color w:val="auto"/>
              </w:rPr>
              <w:t>34493</w:t>
            </w:r>
          </w:p>
        </w:tc>
      </w:tr>
    </w:tbl>
    <w:p w14:paraId="1996BFA6">
      <w:pPr>
        <w:pStyle w:val="25"/>
        <w:rPr>
          <w:rFonts w:hint="default"/>
          <w:color w:val="auto"/>
        </w:rPr>
      </w:pPr>
    </w:p>
    <w:p w14:paraId="4742F2A9">
      <w:pPr>
        <w:pStyle w:val="3"/>
        <w:numPr>
          <w:ilvl w:val="1"/>
          <w:numId w:val="1"/>
        </w:numPr>
        <w:tabs>
          <w:tab w:val="clear" w:pos="420"/>
        </w:tabs>
        <w:rPr>
          <w:rFonts w:eastAsia="宋体"/>
          <w:color w:val="auto"/>
        </w:rPr>
      </w:pPr>
      <w:bookmarkStart w:id="127" w:name="_Toc14542"/>
      <w:bookmarkStart w:id="128" w:name="_Toc229086880"/>
      <w:r>
        <w:rPr>
          <w:rFonts w:hint="eastAsia"/>
          <w:color w:val="auto"/>
        </w:rPr>
        <w:t>专家标注数据集构建</w:t>
      </w:r>
      <w:bookmarkEnd w:id="127"/>
      <w:bookmarkEnd w:id="128"/>
    </w:p>
    <w:p w14:paraId="6E640F70">
      <w:pPr>
        <w:ind w:firstLine="480"/>
        <w:rPr>
          <w:color w:val="auto"/>
        </w:rPr>
      </w:pPr>
      <w:r>
        <w:rPr>
          <w:rFonts w:hint="eastAsia"/>
          <w:color w:val="auto"/>
        </w:rPr>
        <w:t>数据集D1的原始标签存在质量波动，不能直接作为全量数据的最终真值。本文从58495条原始候选数据中抽取1104条样本，构建专家校对数据集D2。D2承担两个作用，一是作为自动标注方法的评价基准，二是作为后续置信度划分和过滤策略的统计依据。</w:t>
      </w:r>
    </w:p>
    <w:p w14:paraId="0FB137EC">
      <w:pPr>
        <w:pStyle w:val="4"/>
        <w:numPr>
          <w:ilvl w:val="2"/>
          <w:numId w:val="1"/>
        </w:numPr>
        <w:tabs>
          <w:tab w:val="clear" w:pos="420"/>
        </w:tabs>
        <w:rPr>
          <w:color w:val="auto"/>
        </w:rPr>
      </w:pPr>
      <w:bookmarkStart w:id="129" w:name="_Toc216114497"/>
      <w:bookmarkStart w:id="130" w:name="_Toc216114498"/>
      <w:bookmarkStart w:id="131" w:name="_Toc229086881"/>
      <w:bookmarkStart w:id="132" w:name="_Toc20837"/>
      <w:r>
        <w:rPr>
          <w:rFonts w:hint="eastAsia"/>
          <w:color w:val="auto"/>
        </w:rPr>
        <w:t>二级标签获取</w:t>
      </w:r>
      <w:bookmarkEnd w:id="129"/>
      <w:bookmarkEnd w:id="130"/>
      <w:bookmarkEnd w:id="131"/>
      <w:bookmarkEnd w:id="132"/>
    </w:p>
    <w:p w14:paraId="1CBB1282">
      <w:pPr>
        <w:ind w:firstLine="480"/>
        <w:rPr>
          <w:color w:val="auto"/>
        </w:rPr>
      </w:pPr>
      <w:r>
        <w:rPr>
          <w:rFonts w:hint="eastAsia"/>
          <w:color w:val="auto"/>
        </w:rPr>
        <w:t>数据集D1</w:t>
      </w:r>
      <w:r>
        <w:rPr>
          <w:rFonts w:hint="eastAsia" w:hAnsi="Cambria Math"/>
          <w:color w:val="auto"/>
        </w:rPr>
        <w:t>仅有产品的第一级产品类别标签而无第二级产品类别标签，为了实现准确的二层分层抽样，在此之前需要先获得这些数据的第二级产品类标签。因此本文用《医疗器械分类目录》训练多个分类器，对数据集D1</w:t>
      </w:r>
      <w:r>
        <w:rPr>
          <w:rFonts w:hint="eastAsia"/>
          <w:color w:val="auto"/>
        </w:rPr>
        <w:t>的摘要进行预测从而大致得到它们对应的第二级产品类标签。</w:t>
      </w:r>
    </w:p>
    <w:p w14:paraId="4FC1BA6D">
      <w:pPr>
        <w:ind w:firstLine="480"/>
        <w:rPr>
          <w:color w:val="auto"/>
        </w:rPr>
      </w:pPr>
      <w:r>
        <w:rPr>
          <w:rFonts w:hint="eastAsia"/>
          <w:color w:val="auto"/>
        </w:rPr>
        <w:t>本文所使用《医疗器械分类目录》来源于中国食品药品检定研究院公开数据</w:t>
      </w:r>
      <w:r>
        <w:rPr>
          <w:rStyle w:val="33"/>
          <w:color w:val="auto"/>
        </w:rPr>
        <w:fldChar w:fldCharType="begin"/>
      </w:r>
      <w:r>
        <w:rPr>
          <w:rStyle w:val="33"/>
          <w:color w:val="auto"/>
        </w:rPr>
        <w:instrText xml:space="preserve"> ADDIN ZOTERO_ITEM CSL_CITATION {"citationID":"VDVb5WlU","properties":{"formattedCitation":"\\super [62]\\nosupersub{}","plainCitation":"[62]","noteIndex":0},"citationItems":[{"id":177,"uris":["http://zotero.org/users/local/2JDDwpa7/items/FWUWJZEM"],"item</w:instrText>
      </w:r>
      <w:r>
        <w:rPr>
          <w:rStyle w:val="33"/>
          <w:rFonts w:hint="eastAsia"/>
          <w:color w:val="auto"/>
        </w:rPr>
        <w:instrText xml:space="preserve">Data":{"id":177,"type":"webpage","title":"分类目录库","URL":"https://app.nifdc.org.cn/biaogzx/dataGk.do?formAction=listFlmlk","accessed":{"date-parts":[["2026",3,17]]}}}],"schema":"https://github.com/citation-style-language/schema/raw/master/csl-citation.json"</w:instrText>
      </w:r>
      <w:r>
        <w:rPr>
          <w:rStyle w:val="33"/>
          <w:color w:val="auto"/>
        </w:rPr>
        <w:instrText xml:space="preserve">} </w:instrText>
      </w:r>
      <w:r>
        <w:rPr>
          <w:rStyle w:val="33"/>
          <w:color w:val="auto"/>
        </w:rPr>
        <w:fldChar w:fldCharType="separate"/>
      </w:r>
      <w:r>
        <w:rPr>
          <w:rStyle w:val="33"/>
          <w:color w:val="auto"/>
        </w:rPr>
        <w:t>[</w:t>
      </w:r>
      <w:r>
        <w:rPr>
          <w:rStyle w:val="33"/>
          <w:rFonts w:hint="eastAsia"/>
          <w:color w:val="auto"/>
        </w:rPr>
        <w:t>38</w:t>
      </w:r>
      <w:r>
        <w:rPr>
          <w:rStyle w:val="33"/>
          <w:color w:val="auto"/>
        </w:rPr>
        <w:t>]</w:t>
      </w:r>
      <w:r>
        <w:rPr>
          <w:rStyle w:val="33"/>
          <w:color w:val="auto"/>
        </w:rPr>
        <w:fldChar w:fldCharType="end"/>
      </w:r>
      <w:r>
        <w:rPr>
          <w:rFonts w:hint="eastAsia"/>
          <w:color w:val="auto"/>
        </w:rPr>
        <w:t>，网站的查询接口参数为“20240618”，预计是2024年6月18日版本，共有206个二级产品类别，1701条记录。</w:t>
      </w:r>
    </w:p>
    <w:p w14:paraId="5619C016">
      <w:pPr>
        <w:ind w:firstLine="480"/>
        <w:rPr>
          <w:color w:val="auto"/>
        </w:rPr>
      </w:pPr>
      <w:r>
        <w:rPr>
          <w:rFonts w:hint="eastAsia"/>
          <w:color w:val="auto"/>
        </w:rPr>
        <w:t>目录中单条数据的字段构成如表3-2所示。为实现语义与摘要的对齐，本文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34EAF9B0">
      <w:pPr>
        <w:ind w:firstLine="420" w:firstLineChars="0"/>
        <w:rPr>
          <w:color w:val="auto"/>
        </w:rPr>
      </w:pPr>
      <w:r>
        <w:rPr>
          <w:rFonts w:hint="eastAsia"/>
          <w:color w:val="auto"/>
        </w:rPr>
        <w:t>基于《医疗器械分类目录》中每个一级产品类别的数据，本文分别训练了LR、KNN、RF、XGBoost和MLP五种模型，具体流程如图3-2所示。</w:t>
      </w:r>
    </w:p>
    <w:p w14:paraId="193C6968">
      <w:pPr>
        <w:rPr>
          <w:color w:val="auto"/>
        </w:rPr>
      </w:pPr>
      <w:r>
        <w:rPr>
          <w:rFonts w:hint="eastAsia"/>
          <w:color w:val="auto"/>
        </w:rPr>
        <w:t>首先，使用bge-large-zh-v1.5</w:t>
      </w:r>
      <w:r>
        <w:rPr>
          <w:rStyle w:val="33"/>
          <w:color w:val="auto"/>
        </w:rPr>
        <w:fldChar w:fldCharType="begin"/>
      </w:r>
      <w:r>
        <w:rPr>
          <w:rStyle w:val="33"/>
          <w:color w:val="auto"/>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3"/>
          <w:color w:val="auto"/>
        </w:rPr>
        <w:fldChar w:fldCharType="separate"/>
      </w:r>
      <w:r>
        <w:rPr>
          <w:rStyle w:val="33"/>
          <w:color w:val="auto"/>
        </w:rPr>
        <w:t>[</w:t>
      </w:r>
      <w:r>
        <w:rPr>
          <w:rStyle w:val="33"/>
          <w:rFonts w:hint="eastAsia"/>
          <w:color w:val="auto"/>
        </w:rPr>
        <w:t>51</w:t>
      </w:r>
      <w:r>
        <w:rPr>
          <w:rStyle w:val="33"/>
          <w:color w:val="auto"/>
        </w:rPr>
        <w:t>]</w:t>
      </w:r>
      <w:r>
        <w:rPr>
          <w:rStyle w:val="33"/>
          <w:color w:val="auto"/>
        </w:rPr>
        <w:fldChar w:fldCharType="end"/>
      </w:r>
      <w:r>
        <w:rPr>
          <w:rFonts w:hint="eastAsia"/>
          <w:color w:val="auto"/>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D1的摘要进行预测，得到二级产品类别。</w:t>
      </w:r>
    </w:p>
    <w:p w14:paraId="3DA472FA">
      <w:pPr>
        <w:pStyle w:val="25"/>
        <w:rPr>
          <w:rFonts w:hint="default"/>
          <w:color w:val="auto"/>
        </w:rPr>
      </w:pPr>
      <w:r>
        <w:rPr>
          <w:color w:val="auto"/>
        </w:rPr>
        <w:t>表3-2  《医疗器械分类目录》的字段和值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8B4A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single" w:color="auto" w:sz="6" w:space="0"/>
              <w:right w:val="nil"/>
            </w:tcBorders>
            <w:vAlign w:val="center"/>
          </w:tcPr>
          <w:p w14:paraId="68DBC380">
            <w:pPr>
              <w:pStyle w:val="26"/>
              <w:rPr>
                <w:rFonts w:hint="default"/>
                <w:color w:val="auto"/>
              </w:rPr>
            </w:pPr>
            <w:r>
              <w:rPr>
                <w:color w:val="auto"/>
              </w:rPr>
              <w:t>字段</w:t>
            </w:r>
          </w:p>
        </w:tc>
        <w:tc>
          <w:tcPr>
            <w:tcW w:w="4261" w:type="dxa"/>
            <w:tcBorders>
              <w:top w:val="single" w:color="auto" w:sz="8" w:space="0"/>
              <w:left w:val="nil"/>
              <w:bottom w:val="single" w:color="auto" w:sz="6" w:space="0"/>
              <w:right w:val="nil"/>
            </w:tcBorders>
            <w:vAlign w:val="center"/>
          </w:tcPr>
          <w:p w14:paraId="51E7E7CE">
            <w:pPr>
              <w:pStyle w:val="26"/>
              <w:rPr>
                <w:rFonts w:hint="default"/>
                <w:color w:val="auto"/>
              </w:rPr>
            </w:pPr>
            <w:r>
              <w:rPr>
                <w:color w:val="auto"/>
              </w:rPr>
              <w:t>值</w:t>
            </w:r>
          </w:p>
        </w:tc>
      </w:tr>
      <w:tr w14:paraId="74DCB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6C3E0D4">
            <w:pPr>
              <w:pStyle w:val="26"/>
              <w:rPr>
                <w:rFonts w:hint="default"/>
                <w:color w:val="auto"/>
              </w:rPr>
            </w:pPr>
            <w:r>
              <w:rPr>
                <w:color w:val="auto"/>
              </w:rPr>
              <w:t>一级序号/产品类别</w:t>
            </w:r>
          </w:p>
        </w:tc>
        <w:tc>
          <w:tcPr>
            <w:tcW w:w="4261" w:type="dxa"/>
            <w:tcBorders>
              <w:top w:val="single" w:color="auto" w:sz="6" w:space="0"/>
              <w:left w:val="nil"/>
              <w:bottom w:val="nil"/>
              <w:right w:val="nil"/>
            </w:tcBorders>
            <w:shd w:val="clear" w:color="auto" w:fill="auto"/>
            <w:vAlign w:val="center"/>
          </w:tcPr>
          <w:p w14:paraId="3394F737">
            <w:pPr>
              <w:pStyle w:val="26"/>
              <w:rPr>
                <w:rFonts w:hint="default"/>
                <w:color w:val="auto"/>
              </w:rPr>
            </w:pPr>
            <w:r>
              <w:rPr>
                <w:color w:val="auto"/>
              </w:rPr>
              <w:t>01有源手术器械</w:t>
            </w:r>
          </w:p>
        </w:tc>
      </w:tr>
      <w:tr w14:paraId="5C4F8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524F24FA">
            <w:pPr>
              <w:pStyle w:val="26"/>
              <w:rPr>
                <w:rFonts w:hint="default"/>
                <w:color w:val="auto"/>
              </w:rPr>
            </w:pPr>
            <w:r>
              <w:rPr>
                <w:color w:val="auto"/>
              </w:rPr>
              <w:t>二级序号/产品类别</w:t>
            </w:r>
          </w:p>
        </w:tc>
        <w:tc>
          <w:tcPr>
            <w:tcW w:w="4261" w:type="dxa"/>
            <w:tcBorders>
              <w:top w:val="nil"/>
              <w:left w:val="nil"/>
              <w:bottom w:val="nil"/>
              <w:right w:val="nil"/>
            </w:tcBorders>
            <w:shd w:val="clear" w:color="auto" w:fill="auto"/>
            <w:vAlign w:val="center"/>
          </w:tcPr>
          <w:p w14:paraId="414A5945">
            <w:pPr>
              <w:pStyle w:val="26"/>
              <w:rPr>
                <w:rFonts w:hint="default"/>
                <w:color w:val="auto"/>
              </w:rPr>
            </w:pPr>
            <w:r>
              <w:rPr>
                <w:color w:val="auto"/>
              </w:rPr>
              <w:t>01超声手术设备及附件</w:t>
            </w:r>
          </w:p>
        </w:tc>
      </w:tr>
      <w:tr w14:paraId="2EB0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72D67B2F">
            <w:pPr>
              <w:pStyle w:val="26"/>
              <w:rPr>
                <w:rFonts w:hint="default"/>
                <w:color w:val="auto"/>
              </w:rPr>
            </w:pPr>
            <w:r>
              <w:rPr>
                <w:color w:val="auto"/>
              </w:rPr>
              <w:t>三级序号/产品类别</w:t>
            </w:r>
          </w:p>
        </w:tc>
        <w:tc>
          <w:tcPr>
            <w:tcW w:w="4261" w:type="dxa"/>
            <w:tcBorders>
              <w:top w:val="nil"/>
              <w:left w:val="nil"/>
              <w:bottom w:val="nil"/>
              <w:right w:val="nil"/>
            </w:tcBorders>
            <w:shd w:val="clear" w:color="auto" w:fill="auto"/>
            <w:vAlign w:val="center"/>
          </w:tcPr>
          <w:p w14:paraId="29409C15">
            <w:pPr>
              <w:pStyle w:val="26"/>
              <w:rPr>
                <w:rFonts w:hint="default"/>
                <w:color w:val="auto"/>
              </w:rPr>
            </w:pPr>
            <w:r>
              <w:rPr>
                <w:color w:val="auto"/>
              </w:rPr>
              <w:t>01.1超声手术设备</w:t>
            </w:r>
          </w:p>
        </w:tc>
      </w:tr>
      <w:tr w14:paraId="7E4BE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84D87AF">
            <w:pPr>
              <w:pStyle w:val="26"/>
              <w:rPr>
                <w:rFonts w:hint="default"/>
                <w:color w:val="auto"/>
              </w:rPr>
            </w:pPr>
            <w:r>
              <w:rPr>
                <w:color w:val="auto"/>
              </w:rPr>
              <w:t>产品描述</w:t>
            </w:r>
          </w:p>
        </w:tc>
        <w:tc>
          <w:tcPr>
            <w:tcW w:w="4261" w:type="dxa"/>
            <w:tcBorders>
              <w:top w:val="nil"/>
              <w:left w:val="nil"/>
              <w:bottom w:val="nil"/>
              <w:right w:val="nil"/>
            </w:tcBorders>
            <w:shd w:val="clear" w:color="auto" w:fill="auto"/>
            <w:vAlign w:val="center"/>
          </w:tcPr>
          <w:p w14:paraId="615B1545">
            <w:pPr>
              <w:pStyle w:val="26"/>
              <w:rPr>
                <w:rFonts w:hint="default"/>
                <w:color w:val="auto"/>
              </w:rPr>
            </w:pPr>
            <w:r>
              <w:rPr>
                <w:color w:val="auto"/>
              </w:rPr>
              <w:t>通常由超声波发生器和带有外科尖端的手持部件组成，手持部件通常由一个换能器、一个连接构件和一个治疗头尖端组成。</w:t>
            </w:r>
          </w:p>
        </w:tc>
      </w:tr>
      <w:tr w14:paraId="0E910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15B3971">
            <w:pPr>
              <w:pStyle w:val="26"/>
              <w:rPr>
                <w:rFonts w:hint="default"/>
                <w:color w:val="auto"/>
              </w:rPr>
            </w:pPr>
            <w:r>
              <w:rPr>
                <w:color w:val="auto"/>
              </w:rPr>
              <w:t>预期用途</w:t>
            </w:r>
          </w:p>
        </w:tc>
        <w:tc>
          <w:tcPr>
            <w:tcW w:w="4261" w:type="dxa"/>
            <w:tcBorders>
              <w:top w:val="nil"/>
              <w:left w:val="nil"/>
              <w:bottom w:val="nil"/>
              <w:right w:val="nil"/>
            </w:tcBorders>
            <w:shd w:val="clear" w:color="auto" w:fill="auto"/>
            <w:vAlign w:val="center"/>
          </w:tcPr>
          <w:p w14:paraId="63B76B02">
            <w:pPr>
              <w:pStyle w:val="26"/>
              <w:rPr>
                <w:rFonts w:hint="default"/>
                <w:color w:val="auto"/>
              </w:rPr>
            </w:pPr>
            <w:r>
              <w:rPr>
                <w:color w:val="auto"/>
              </w:rPr>
              <w:t>用于软组织的切割、止血、整形。</w:t>
            </w:r>
          </w:p>
        </w:tc>
      </w:tr>
      <w:tr w14:paraId="64F4D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6CA37C71">
            <w:pPr>
              <w:pStyle w:val="26"/>
              <w:rPr>
                <w:rFonts w:hint="default"/>
                <w:color w:val="auto"/>
              </w:rPr>
            </w:pPr>
            <w:r>
              <w:rPr>
                <w:color w:val="auto"/>
              </w:rPr>
              <w:t>品名举例</w:t>
            </w:r>
          </w:p>
        </w:tc>
        <w:tc>
          <w:tcPr>
            <w:tcW w:w="4261" w:type="dxa"/>
            <w:tcBorders>
              <w:top w:val="nil"/>
              <w:left w:val="nil"/>
              <w:bottom w:val="nil"/>
              <w:right w:val="nil"/>
            </w:tcBorders>
            <w:shd w:val="clear" w:color="auto" w:fill="auto"/>
            <w:vAlign w:val="center"/>
          </w:tcPr>
          <w:p w14:paraId="56E9DDF4">
            <w:pPr>
              <w:pStyle w:val="26"/>
              <w:rPr>
                <w:rFonts w:hint="default"/>
                <w:color w:val="auto"/>
              </w:rPr>
            </w:pPr>
            <w:r>
              <w:rPr>
                <w:color w:val="auto"/>
              </w:rPr>
              <w:t>软组织超声手术仪、外科超声手术系统、超声手术系统、超声切割止血刀系统、软组织超声手术系统、超声手术刀、超声刀系统</w:t>
            </w:r>
          </w:p>
        </w:tc>
      </w:tr>
      <w:tr w14:paraId="3A68A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1EFD14A9">
            <w:pPr>
              <w:pStyle w:val="26"/>
              <w:rPr>
                <w:rFonts w:hint="default"/>
                <w:color w:val="auto"/>
              </w:rPr>
            </w:pPr>
            <w:r>
              <w:rPr>
                <w:color w:val="auto"/>
              </w:rPr>
              <w:t>管理类别</w:t>
            </w:r>
          </w:p>
        </w:tc>
        <w:tc>
          <w:tcPr>
            <w:tcW w:w="4261" w:type="dxa"/>
            <w:tcBorders>
              <w:top w:val="nil"/>
              <w:left w:val="nil"/>
              <w:bottom w:val="single" w:color="auto" w:sz="8" w:space="0"/>
              <w:right w:val="nil"/>
            </w:tcBorders>
            <w:shd w:val="clear" w:color="auto" w:fill="auto"/>
            <w:vAlign w:val="center"/>
          </w:tcPr>
          <w:p w14:paraId="6E0E6C96">
            <w:pPr>
              <w:pStyle w:val="26"/>
              <w:rPr>
                <w:rFonts w:hint="default"/>
                <w:color w:val="auto"/>
              </w:rPr>
            </w:pPr>
            <w:r>
              <w:rPr>
                <w:color w:val="auto"/>
              </w:rPr>
              <w:t>Ⅲ</w:t>
            </w:r>
          </w:p>
        </w:tc>
      </w:tr>
    </w:tbl>
    <w:p w14:paraId="5B7B1BC3">
      <w:pPr>
        <w:ind w:firstLine="0" w:firstLineChars="0"/>
        <w:jc w:val="center"/>
        <w:rPr>
          <w:color w:val="auto"/>
        </w:rPr>
      </w:pPr>
    </w:p>
    <w:p w14:paraId="1CE4E534">
      <w:pPr>
        <w:ind w:firstLine="0" w:firstLineChars="0"/>
        <w:jc w:val="center"/>
        <w:rPr>
          <w:color w:val="auto"/>
        </w:rPr>
      </w:pPr>
      <w:r>
        <w:rPr>
          <w:rFonts w:hint="eastAsia"/>
          <w:color w:val="auto"/>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1439BBCF">
      <w:pPr>
        <w:pStyle w:val="25"/>
        <w:rPr>
          <w:rFonts w:hint="default"/>
          <w:color w:val="auto"/>
        </w:rPr>
      </w:pPr>
      <w:r>
        <w:rPr>
          <w:color w:val="auto"/>
        </w:rPr>
        <w:t>图3-2  二级产品类别分类模型</w:t>
      </w:r>
    </w:p>
    <w:p w14:paraId="7C624D86">
      <w:pPr>
        <w:ind w:firstLine="420" w:firstLineChars="0"/>
        <w:rPr>
          <w:color w:val="auto"/>
        </w:rPr>
      </w:pPr>
      <w:r>
        <w:rPr>
          <w:rFonts w:hint="eastAsia"/>
          <w:color w:val="auto"/>
        </w:rPr>
        <w:t>模型具体的结果如表3-3所示，</w:t>
      </w:r>
      <m:oMath>
        <m:r>
          <m:rPr>
            <m:nor/>
            <m:sty m:val="p"/>
          </m:rPr>
          <w:rPr>
            <w:rFonts w:cs="Times New Roman"/>
            <w:b w:val="0"/>
            <w:i w:val="0"/>
            <w:iCs/>
            <w:color w:val="auto"/>
          </w:rPr>
          <m:t>Count</m:t>
        </m:r>
      </m:oMath>
      <w:r>
        <w:rPr>
          <w:rFonts w:hint="eastAsia"/>
          <w:iCs/>
          <w:color w:val="auto"/>
        </w:rPr>
        <w:t>代</w:t>
      </w:r>
      <w:r>
        <w:rPr>
          <w:rFonts w:hint="eastAsia"/>
          <w:color w:val="auto"/>
        </w:rPr>
        <w:t>表模型在数据集D1上预测出的二级产品类别数量，</w:t>
      </w:r>
      <m:oMath>
        <m:r>
          <m:rPr>
            <m:nor/>
            <m:sty m:val="p"/>
          </m:rPr>
          <w:rPr>
            <w:rFonts w:cs="Times New Roman"/>
            <w:b w:val="0"/>
            <w:i w:val="0"/>
            <w:iCs/>
            <w:color w:val="auto"/>
          </w:rPr>
          <m:t>Value</m:t>
        </m:r>
      </m:oMath>
      <w:r>
        <w:rPr>
          <w:rFonts w:hint="eastAsia"/>
          <w:iCs/>
          <w:color w:val="auto"/>
        </w:rPr>
        <w:t>代表</w:t>
      </w:r>
      <w:r>
        <w:rPr>
          <w:rFonts w:hint="eastAsia"/>
          <w:color w:val="auto"/>
        </w:rPr>
        <w:t>模型在每个一级产品类别的测试集中Precision的最小值。这两个指标分别从不同侧面反映了模型对数据分布和类别边界的刻画能力。</w:t>
      </w:r>
    </w:p>
    <w:p w14:paraId="62451A18">
      <w:pPr>
        <w:pStyle w:val="25"/>
        <w:rPr>
          <w:rFonts w:hint="default"/>
          <w:color w:val="auto"/>
        </w:rPr>
      </w:pPr>
      <w:r>
        <w:rPr>
          <w:color w:val="auto"/>
        </w:rPr>
        <w:t>表3-3  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3F8C5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1006F3D9">
            <w:pPr>
              <w:pStyle w:val="26"/>
              <w:rPr>
                <w:rFonts w:hint="default"/>
                <w:color w:val="auto"/>
              </w:rPr>
            </w:pPr>
            <w:r>
              <w:rPr>
                <w:color w:val="auto"/>
              </w:rPr>
              <w:t>模型</w:t>
            </w:r>
          </w:p>
        </w:tc>
        <w:tc>
          <w:tcPr>
            <w:tcW w:w="3428" w:type="dxa"/>
            <w:tcBorders>
              <w:top w:val="single" w:color="auto" w:sz="8" w:space="0"/>
              <w:left w:val="nil"/>
              <w:bottom w:val="single" w:color="auto" w:sz="6" w:space="0"/>
              <w:right w:val="nil"/>
            </w:tcBorders>
          </w:tcPr>
          <w:p w14:paraId="75C5793C">
            <w:pPr>
              <w:pStyle w:val="26"/>
              <w:rPr>
                <w:rFonts w:hint="default"/>
                <w:iCs/>
                <w:color w:val="auto"/>
              </w:rPr>
            </w:pPr>
            <m:oMathPara>
              <m:oMath>
                <m:r>
                  <m:rPr>
                    <m:nor/>
                    <m:sty m:val="p"/>
                  </m:rPr>
                  <w:rPr>
                    <w:rFonts w:hint="default" w:cs="Times New Roman"/>
                    <w:b w:val="0"/>
                    <w:i w:val="0"/>
                    <w:iCs/>
                    <w:color w:val="auto"/>
                  </w:rPr>
                  <m:t>Count</m:t>
                </m:r>
              </m:oMath>
            </m:oMathPara>
          </w:p>
        </w:tc>
        <w:tc>
          <w:tcPr>
            <w:tcW w:w="2841" w:type="dxa"/>
            <w:tcBorders>
              <w:top w:val="single" w:color="auto" w:sz="8" w:space="0"/>
              <w:left w:val="nil"/>
              <w:bottom w:val="single" w:color="auto" w:sz="6" w:space="0"/>
              <w:right w:val="nil"/>
            </w:tcBorders>
          </w:tcPr>
          <w:p w14:paraId="33C8F5D9">
            <w:pPr>
              <w:pStyle w:val="26"/>
              <w:rPr>
                <w:rFonts w:hint="default"/>
                <w:iCs/>
                <w:color w:val="auto"/>
              </w:rPr>
            </w:pPr>
            <m:oMathPara>
              <m:oMath>
                <m:r>
                  <m:rPr>
                    <m:nor/>
                    <m:sty m:val="p"/>
                  </m:rPr>
                  <w:rPr>
                    <w:rFonts w:hint="default" w:cs="Times New Roman"/>
                    <w:b w:val="0"/>
                    <w:i w:val="0"/>
                    <w:iCs/>
                    <w:color w:val="auto"/>
                  </w:rPr>
                  <m:t>Value</m:t>
                </m:r>
              </m:oMath>
            </m:oMathPara>
          </w:p>
        </w:tc>
      </w:tr>
      <w:tr w14:paraId="50A7B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0578EF98">
            <w:pPr>
              <w:pStyle w:val="26"/>
              <w:rPr>
                <w:rFonts w:hint="default"/>
                <w:color w:val="auto"/>
              </w:rPr>
            </w:pPr>
            <w:r>
              <w:rPr>
                <w:color w:val="auto"/>
              </w:rPr>
              <w:t>LR</w:t>
            </w:r>
          </w:p>
        </w:tc>
        <w:tc>
          <w:tcPr>
            <w:tcW w:w="3428" w:type="dxa"/>
            <w:tcBorders>
              <w:top w:val="single" w:color="auto" w:sz="6" w:space="0"/>
              <w:left w:val="nil"/>
              <w:bottom w:val="nil"/>
              <w:right w:val="nil"/>
            </w:tcBorders>
          </w:tcPr>
          <w:p w14:paraId="0B8C4C33">
            <w:pPr>
              <w:pStyle w:val="26"/>
              <w:rPr>
                <w:rFonts w:hint="default"/>
                <w:color w:val="auto"/>
              </w:rPr>
            </w:pPr>
            <w:r>
              <w:rPr>
                <w:color w:val="auto"/>
              </w:rPr>
              <w:t>198</w:t>
            </w:r>
          </w:p>
        </w:tc>
        <w:tc>
          <w:tcPr>
            <w:tcW w:w="2841" w:type="dxa"/>
            <w:tcBorders>
              <w:top w:val="single" w:color="auto" w:sz="6" w:space="0"/>
              <w:left w:val="nil"/>
              <w:bottom w:val="nil"/>
              <w:right w:val="nil"/>
            </w:tcBorders>
          </w:tcPr>
          <w:p w14:paraId="2053F9ED">
            <w:pPr>
              <w:pStyle w:val="26"/>
              <w:rPr>
                <w:rFonts w:hint="default"/>
                <w:color w:val="auto"/>
              </w:rPr>
            </w:pPr>
            <w:r>
              <w:rPr>
                <w:rFonts w:hint="default"/>
                <w:color w:val="auto"/>
              </w:rPr>
              <w:t>0.9090</w:t>
            </w:r>
          </w:p>
        </w:tc>
      </w:tr>
      <w:tr w14:paraId="63823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4C5D8C05">
            <w:pPr>
              <w:pStyle w:val="26"/>
              <w:rPr>
                <w:rFonts w:hint="default"/>
                <w:color w:val="auto"/>
              </w:rPr>
            </w:pPr>
            <w:r>
              <w:rPr>
                <w:color w:val="auto"/>
              </w:rPr>
              <w:t>KNN</w:t>
            </w:r>
          </w:p>
        </w:tc>
        <w:tc>
          <w:tcPr>
            <w:tcW w:w="3428" w:type="dxa"/>
            <w:tcBorders>
              <w:top w:val="nil"/>
              <w:left w:val="nil"/>
              <w:bottom w:val="nil"/>
              <w:right w:val="nil"/>
            </w:tcBorders>
          </w:tcPr>
          <w:p w14:paraId="3BD187A4">
            <w:pPr>
              <w:pStyle w:val="26"/>
              <w:rPr>
                <w:rFonts w:hint="default"/>
                <w:color w:val="auto"/>
              </w:rPr>
            </w:pPr>
            <w:r>
              <w:rPr>
                <w:b/>
                <w:bCs/>
                <w:color w:val="auto"/>
              </w:rPr>
              <w:t>206</w:t>
            </w:r>
          </w:p>
        </w:tc>
        <w:tc>
          <w:tcPr>
            <w:tcW w:w="2841" w:type="dxa"/>
            <w:tcBorders>
              <w:top w:val="nil"/>
              <w:left w:val="nil"/>
              <w:bottom w:val="nil"/>
              <w:right w:val="nil"/>
            </w:tcBorders>
          </w:tcPr>
          <w:p w14:paraId="704D60AA">
            <w:pPr>
              <w:pStyle w:val="26"/>
              <w:rPr>
                <w:rFonts w:hint="default"/>
                <w:color w:val="auto"/>
              </w:rPr>
            </w:pPr>
            <w:r>
              <w:rPr>
                <w:rFonts w:hint="default"/>
                <w:color w:val="auto"/>
              </w:rPr>
              <w:t>0.8882</w:t>
            </w:r>
          </w:p>
        </w:tc>
      </w:tr>
      <w:tr w14:paraId="19E87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1632F8A0">
            <w:pPr>
              <w:pStyle w:val="26"/>
              <w:rPr>
                <w:rFonts w:hint="default"/>
                <w:color w:val="auto"/>
              </w:rPr>
            </w:pPr>
            <w:r>
              <w:rPr>
                <w:color w:val="auto"/>
              </w:rPr>
              <w:t>RF</w:t>
            </w:r>
          </w:p>
        </w:tc>
        <w:tc>
          <w:tcPr>
            <w:tcW w:w="3428" w:type="dxa"/>
            <w:tcBorders>
              <w:top w:val="nil"/>
              <w:left w:val="nil"/>
              <w:bottom w:val="nil"/>
              <w:right w:val="nil"/>
            </w:tcBorders>
          </w:tcPr>
          <w:p w14:paraId="3C78BD49">
            <w:pPr>
              <w:pStyle w:val="26"/>
              <w:rPr>
                <w:rFonts w:hint="default"/>
                <w:color w:val="auto"/>
              </w:rPr>
            </w:pPr>
            <w:r>
              <w:rPr>
                <w:color w:val="auto"/>
              </w:rPr>
              <w:t>200</w:t>
            </w:r>
          </w:p>
        </w:tc>
        <w:tc>
          <w:tcPr>
            <w:tcW w:w="2841" w:type="dxa"/>
            <w:tcBorders>
              <w:top w:val="nil"/>
              <w:left w:val="nil"/>
              <w:bottom w:val="nil"/>
              <w:right w:val="nil"/>
            </w:tcBorders>
          </w:tcPr>
          <w:p w14:paraId="7F0264F8">
            <w:pPr>
              <w:pStyle w:val="26"/>
              <w:rPr>
                <w:rFonts w:hint="default"/>
                <w:color w:val="auto"/>
              </w:rPr>
            </w:pPr>
            <w:r>
              <w:rPr>
                <w:rFonts w:hint="default"/>
                <w:color w:val="auto"/>
              </w:rPr>
              <w:t>0.8476</w:t>
            </w:r>
          </w:p>
        </w:tc>
      </w:tr>
      <w:tr w14:paraId="3DC6C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06C0A141">
            <w:pPr>
              <w:pStyle w:val="26"/>
              <w:rPr>
                <w:rFonts w:hint="default"/>
                <w:color w:val="auto"/>
              </w:rPr>
            </w:pPr>
            <w:r>
              <w:rPr>
                <w:color w:val="auto"/>
              </w:rPr>
              <w:t>XGBoost</w:t>
            </w:r>
          </w:p>
        </w:tc>
        <w:tc>
          <w:tcPr>
            <w:tcW w:w="3428" w:type="dxa"/>
            <w:tcBorders>
              <w:top w:val="nil"/>
              <w:left w:val="nil"/>
              <w:bottom w:val="nil"/>
              <w:right w:val="nil"/>
            </w:tcBorders>
          </w:tcPr>
          <w:p w14:paraId="26F6F536">
            <w:pPr>
              <w:pStyle w:val="26"/>
              <w:rPr>
                <w:rFonts w:hint="default"/>
                <w:color w:val="auto"/>
              </w:rPr>
            </w:pPr>
            <w:r>
              <w:rPr>
                <w:color w:val="auto"/>
              </w:rPr>
              <w:t>201</w:t>
            </w:r>
          </w:p>
        </w:tc>
        <w:tc>
          <w:tcPr>
            <w:tcW w:w="2841" w:type="dxa"/>
            <w:tcBorders>
              <w:top w:val="nil"/>
              <w:left w:val="nil"/>
              <w:bottom w:val="nil"/>
              <w:right w:val="nil"/>
            </w:tcBorders>
          </w:tcPr>
          <w:p w14:paraId="6B29CDBD">
            <w:pPr>
              <w:pStyle w:val="26"/>
              <w:rPr>
                <w:rFonts w:hint="default"/>
                <w:color w:val="auto"/>
              </w:rPr>
            </w:pPr>
            <w:r>
              <w:rPr>
                <w:rFonts w:hint="default"/>
                <w:color w:val="auto"/>
              </w:rPr>
              <w:t>0.7593</w:t>
            </w:r>
          </w:p>
        </w:tc>
      </w:tr>
      <w:tr w14:paraId="4E094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D489D51">
            <w:pPr>
              <w:pStyle w:val="26"/>
              <w:rPr>
                <w:rFonts w:hint="default"/>
                <w:color w:val="auto"/>
              </w:rPr>
            </w:pPr>
            <w:r>
              <w:rPr>
                <w:color w:val="auto"/>
              </w:rPr>
              <w:t>M</w:t>
            </w:r>
            <w:r>
              <w:rPr>
                <w:rFonts w:hint="default"/>
                <w:color w:val="auto"/>
              </w:rPr>
              <w:t>LP</w:t>
            </w:r>
          </w:p>
        </w:tc>
        <w:tc>
          <w:tcPr>
            <w:tcW w:w="3428" w:type="dxa"/>
            <w:tcBorders>
              <w:top w:val="nil"/>
              <w:left w:val="nil"/>
              <w:bottom w:val="single" w:color="auto" w:sz="8" w:space="0"/>
              <w:right w:val="nil"/>
            </w:tcBorders>
          </w:tcPr>
          <w:p w14:paraId="35C7DC88">
            <w:pPr>
              <w:pStyle w:val="26"/>
              <w:rPr>
                <w:rFonts w:hint="default"/>
                <w:color w:val="auto"/>
              </w:rPr>
            </w:pPr>
            <w:r>
              <w:rPr>
                <w:color w:val="auto"/>
              </w:rPr>
              <w:t>203</w:t>
            </w:r>
          </w:p>
        </w:tc>
        <w:tc>
          <w:tcPr>
            <w:tcW w:w="2841" w:type="dxa"/>
            <w:tcBorders>
              <w:top w:val="nil"/>
              <w:left w:val="nil"/>
              <w:bottom w:val="single" w:color="auto" w:sz="8" w:space="0"/>
              <w:right w:val="nil"/>
            </w:tcBorders>
          </w:tcPr>
          <w:p w14:paraId="4F641869">
            <w:pPr>
              <w:pStyle w:val="26"/>
              <w:rPr>
                <w:rFonts w:hint="default"/>
                <w:color w:val="auto"/>
              </w:rPr>
            </w:pPr>
            <w:r>
              <w:rPr>
                <w:rFonts w:hint="default"/>
                <w:b/>
                <w:bCs/>
                <w:color w:val="auto"/>
              </w:rPr>
              <w:t>0.9378</w:t>
            </w:r>
          </w:p>
        </w:tc>
      </w:tr>
    </w:tbl>
    <w:p w14:paraId="54FBF9FD">
      <w:pPr>
        <w:ind w:firstLine="420" w:firstLineChars="0"/>
        <w:rPr>
          <w:color w:val="auto"/>
        </w:rPr>
      </w:pPr>
      <m:oMath>
        <m:r>
          <m:rPr>
            <m:nor/>
            <m:sty m:val="p"/>
          </m:rPr>
          <w:rPr>
            <w:rFonts w:cs="Times New Roman"/>
            <w:b w:val="0"/>
            <w:i w:val="0"/>
            <w:iCs/>
            <w:color w:val="auto"/>
          </w:rPr>
          <m:t>Count</m:t>
        </m:r>
      </m:oMath>
      <w:r>
        <w:rPr>
          <w:rFonts w:hint="eastAsia"/>
          <w:iCs/>
          <w:color w:val="auto"/>
        </w:rPr>
        <w:t>衡量的</w:t>
      </w:r>
      <w:r>
        <w:rPr>
          <w:rFonts w:hint="eastAsia"/>
          <w:color w:val="auto"/>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D1上能识别所有的二级产品，因此它在类别的覆盖率上有较大优势。</w:t>
      </w:r>
    </w:p>
    <w:p w14:paraId="61B22FAE">
      <w:pPr>
        <w:ind w:firstLine="420" w:firstLineChars="0"/>
        <w:rPr>
          <w:color w:val="auto"/>
        </w:rPr>
      </w:pPr>
      <w:r>
        <w:rPr>
          <w:rFonts w:hint="eastAsia"/>
          <w:color w:val="auto"/>
        </w:rPr>
        <w:t>而</w:t>
      </w:r>
      <m:oMath>
        <m:r>
          <m:rPr>
            <m:nor/>
            <m:sty m:val="p"/>
          </m:rPr>
          <w:rPr>
            <w:rFonts w:cs="Times New Roman"/>
            <w:b w:val="0"/>
            <w:i w:val="0"/>
            <w:iCs/>
            <w:color w:val="auto"/>
          </w:rPr>
          <m:t>Valu</m:t>
        </m:r>
        <m:r>
          <m:rPr>
            <m:nor/>
            <m:sty m:val="p"/>
          </m:rPr>
          <w:rPr>
            <w:rFonts w:hint="eastAsia" w:ascii="Cambria Math" w:cs="Times New Roman"/>
            <w:b w:val="0"/>
            <w:i w:val="0"/>
            <w:iCs/>
            <w:color w:val="auto"/>
          </w:rPr>
          <m:t>e</m:t>
        </m:r>
      </m:oMath>
      <w:r>
        <w:rPr>
          <w:rFonts w:hint="eastAsia"/>
          <w:iCs/>
          <w:color w:val="auto"/>
        </w:rPr>
        <w:t>衡量的</w:t>
      </w:r>
      <w:r>
        <w:rPr>
          <w:rFonts w:hint="eastAsia"/>
          <w:color w:val="auto"/>
        </w:rPr>
        <w:t>是以最差类别性能来评价模型的精确率，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0BDC1F13">
      <w:pPr>
        <w:ind w:firstLine="420" w:firstLineChars="0"/>
        <w:rPr>
          <w:color w:val="auto"/>
        </w:rPr>
      </w:pPr>
      <m:oMath>
        <m:r>
          <m:rPr>
            <m:nor/>
            <m:sty m:val="p"/>
          </m:rPr>
          <w:rPr>
            <w:rFonts w:cs="Times New Roman"/>
            <w:b w:val="0"/>
            <w:i w:val="0"/>
            <w:iCs/>
            <w:color w:val="auto"/>
          </w:rPr>
          <m:t>Count</m:t>
        </m:r>
      </m:oMath>
      <w:r>
        <w:rPr>
          <w:rFonts w:hint="eastAsia"/>
          <w:iCs/>
          <w:color w:val="auto"/>
        </w:rPr>
        <w:t>和</w:t>
      </w:r>
      <m:oMath>
        <m:r>
          <m:rPr>
            <m:nor/>
            <m:sty m:val="p"/>
          </m:rPr>
          <w:rPr>
            <w:rFonts w:cs="Times New Roman"/>
            <w:b w:val="0"/>
            <w:i w:val="0"/>
            <w:iCs/>
            <w:color w:val="auto"/>
          </w:rPr>
          <m:t>Value</m:t>
        </m:r>
      </m:oMath>
      <w:r>
        <w:rPr>
          <w:rFonts w:hint="eastAsia"/>
          <w:iCs/>
          <w:color w:val="auto"/>
        </w:rPr>
        <w:t>分别从</w:t>
      </w:r>
      <w:r>
        <w:rPr>
          <w:rFonts w:hint="eastAsia"/>
          <w:color w:val="auto"/>
        </w:rPr>
        <w:t>类别覆盖性和预测可靠性两个方面对二级分层抽样有影响，均可使得得到更优更具有代表性的标注样本集，具体的抽样效果可见3.3.3节。</w:t>
      </w:r>
    </w:p>
    <w:p w14:paraId="16A0CEDB">
      <w:pPr>
        <w:pStyle w:val="4"/>
        <w:numPr>
          <w:ilvl w:val="2"/>
          <w:numId w:val="1"/>
        </w:numPr>
        <w:tabs>
          <w:tab w:val="clear" w:pos="420"/>
        </w:tabs>
        <w:rPr>
          <w:color w:val="auto"/>
        </w:rPr>
      </w:pPr>
      <w:bookmarkStart w:id="133" w:name="_Toc229086882"/>
      <w:bookmarkStart w:id="134" w:name="_Toc13041"/>
      <w:r>
        <w:rPr>
          <w:rFonts w:hint="eastAsia"/>
          <w:color w:val="auto"/>
        </w:rPr>
        <w:t>抽样设计</w:t>
      </w:r>
      <w:bookmarkEnd w:id="133"/>
      <w:bookmarkEnd w:id="134"/>
    </w:p>
    <w:p w14:paraId="322C6ED1">
      <w:pPr>
        <w:ind w:firstLine="480"/>
        <w:rPr>
          <w:rFonts w:hint="eastAsia"/>
          <w:color w:val="auto"/>
        </w:rPr>
      </w:pPr>
      <w:r>
        <w:rPr>
          <w:rFonts w:hint="eastAsia"/>
          <w:color w:val="auto"/>
        </w:rPr>
        <w:t>为了使子集D2能较好反映整个数据集D1的分布特征，本文对数据集进行了一级类目分层、二级类目自适应抽取的方法进行抽样。对于每一个一级类目中的数据子集，本文提出了一个既有基本比例又有最低限度抽取以及总体数量保证补充的自适应方法来兼顾各个小类目的代表性的同时保证总的样本数量足够大。</w:t>
      </w:r>
    </w:p>
    <w:p w14:paraId="2E0AA13D">
      <w:pPr>
        <w:ind w:firstLine="480"/>
        <w:rPr>
          <w:rFonts w:hint="eastAsia"/>
          <w:color w:val="auto"/>
        </w:rPr>
      </w:pPr>
    </w:p>
    <w:p w14:paraId="3474BA60">
      <w:pPr>
        <w:pStyle w:val="25"/>
        <w:rPr>
          <w:rFonts w:hint="default"/>
          <w:color w:val="auto"/>
        </w:rPr>
      </w:pPr>
      <w:r>
        <w:rPr>
          <w:color w:val="auto"/>
        </w:rPr>
        <w:t>算法3-1  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1CF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8" w:space="0"/>
              <w:left w:val="nil"/>
              <w:bottom w:val="nil"/>
              <w:right w:val="nil"/>
            </w:tcBorders>
          </w:tcPr>
          <w:p w14:paraId="4530E561">
            <w:pPr>
              <w:pStyle w:val="26"/>
              <w:jc w:val="left"/>
              <w:rPr>
                <w:rFonts w:hint="default"/>
                <w:color w:val="auto"/>
              </w:rPr>
            </w:pPr>
            <w:r>
              <w:rPr>
                <w:color w:val="auto"/>
              </w:rPr>
              <w:t>Adaptive Stratified Sampling with Minimum Constraint</w:t>
            </w:r>
          </w:p>
          <w:p w14:paraId="66D0233F">
            <w:pPr>
              <w:pStyle w:val="26"/>
              <w:jc w:val="left"/>
              <w:rPr>
                <w:rFonts w:hint="default"/>
                <w:color w:val="auto"/>
              </w:rPr>
            </w:pPr>
            <w:r>
              <w:rPr>
                <w:color w:val="auto"/>
              </w:rPr>
              <w:t xml:space="preserve">Input:Data group </w:t>
            </w:r>
            <m:oMath>
              <m:r>
                <m:rPr>
                  <m:nor/>
                  <m:sty m:val="p"/>
                </m:rPr>
                <w:rPr>
                  <w:rFonts w:hint="default" w:cs="Times New Roman"/>
                  <w:b w:val="0"/>
                  <w:i w:val="0"/>
                  <w:color w:val="auto"/>
                </w:rPr>
                <m:t>G</m:t>
              </m:r>
            </m:oMath>
            <w:r>
              <w:rPr>
                <w:color w:val="auto"/>
              </w:rPr>
              <w:t xml:space="preserve"> (subset of a primary category),Secondary stratification column </w:t>
            </w:r>
            <m:oMath>
              <m:r>
                <m:rPr>
                  <m:nor/>
                  <m:sty m:val="p"/>
                </m:rPr>
                <w:rPr>
                  <w:rFonts w:hint="default" w:cs="Times New Roman"/>
                  <w:b w:val="0"/>
                  <w:i w:val="0"/>
                  <w:color w:val="auto"/>
                </w:rPr>
                <m:t>Co</m:t>
              </m:r>
              <m:sSub>
                <m:sSubPr>
                  <m:ctrlPr>
                    <w:rPr>
                      <w:rFonts w:hint="default" w:ascii="Cambria Math" w:hAnsi="Cambria Math" w:cs="Times New Roman"/>
                      <w:color w:val="auto"/>
                    </w:rPr>
                  </m:ctrlPr>
                </m:sSubPr>
                <m:e>
                  <m:r>
                    <m:rPr>
                      <m:nor/>
                      <m:sty m:val="p"/>
                    </m:rPr>
                    <w:rPr>
                      <w:rFonts w:hint="default" w:cs="Times New Roman"/>
                      <w:b w:val="0"/>
                      <w:i w:val="0"/>
                      <w:color w:val="auto"/>
                    </w:rPr>
                    <m:t>l</m:t>
                  </m:r>
                  <m:ctrlPr>
                    <w:rPr>
                      <w:rFonts w:hint="default" w:ascii="Cambria Math" w:hAnsi="Cambria Math" w:cs="Times New Roman"/>
                      <w:color w:val="auto"/>
                    </w:rPr>
                  </m:ctrlPr>
                </m:e>
                <m:sub>
                  <m:r>
                    <m:rPr>
                      <m:nor/>
                      <m:sty m:val="p"/>
                    </m:rPr>
                    <w:rPr>
                      <w:rFonts w:hint="default" w:cs="Times New Roman"/>
                      <w:b w:val="0"/>
                      <w:i w:val="0"/>
                      <w:color w:val="auto"/>
                    </w:rPr>
                    <m:t>sec</m:t>
                  </m:r>
                  <m:ctrlPr>
                    <w:rPr>
                      <w:rFonts w:hint="default" w:ascii="Cambria Math" w:hAnsi="Cambria Math" w:cs="Times New Roman"/>
                      <w:color w:val="auto"/>
                    </w:rPr>
                  </m:ctrlPr>
                </m:sub>
              </m:sSub>
            </m:oMath>
            <w:r>
              <w:rPr>
                <w:color w:val="auto"/>
              </w:rPr>
              <w:t>,Sampling rate</w:t>
            </w:r>
            <m:oMath>
              <m:r>
                <m:rPr>
                  <m:sty m:val="p"/>
                </m:rPr>
                <w:rPr>
                  <w:rFonts w:hint="default" w:ascii="Cambria Math" w:hAnsi="Cambria Math"/>
                  <w:color w:val="auto"/>
                </w:rPr>
                <m:t>α</m:t>
              </m:r>
            </m:oMath>
            <w:r>
              <w:rPr>
                <w:color w:val="auto"/>
              </w:rPr>
              <w:t xml:space="preserve">,Minimum sample per subgroup </w:t>
            </w:r>
            <m:oMath>
              <m:r>
                <m:rPr>
                  <m:nor/>
                  <m:sty m:val="p"/>
                </m:rPr>
                <w:rPr>
                  <w:rFonts w:hint="default" w:cs="Times New Roman"/>
                  <w:b w:val="0"/>
                  <w:i w:val="0"/>
                  <w:color w:val="auto"/>
                </w:rPr>
                <m:t>τ</m:t>
              </m:r>
            </m:oMath>
            <w:r>
              <w:rPr>
                <w:rFonts w:hAnsi="Cambria Math"/>
                <w:color w:val="auto"/>
              </w:rPr>
              <w:t>,</w:t>
            </w:r>
            <w:r>
              <w:rPr>
                <w:color w:val="auto"/>
              </w:rPr>
              <w:t xml:space="preserve">Minimum total samples </w:t>
            </w:r>
            <m:oMath>
              <m:r>
                <m:rPr>
                  <m:sty m:val="p"/>
                </m:rPr>
                <w:rPr>
                  <w:rFonts w:hint="default" w:ascii="Cambria Math" w:hAnsi="Cambria Math"/>
                  <w:color w:val="auto"/>
                </w:rPr>
                <m:t>M</m:t>
              </m:r>
            </m:oMath>
            <w:r>
              <w:rPr>
                <w:rFonts w:hAnsi="Cambria Math"/>
                <w:color w:val="auto"/>
              </w:rPr>
              <w:t>.</w:t>
            </w:r>
            <w:r>
              <w:rPr>
                <w:color w:val="auto"/>
              </w:rPr>
              <w:t xml:space="preserve">Output: Sampled subset </w:t>
            </w:r>
            <m:oMath>
              <m:sSub>
                <m:sSubPr>
                  <m:ctrlPr>
                    <w:rPr>
                      <w:rFonts w:hint="default" w:ascii="Cambria Math" w:hAnsi="Cambria Math"/>
                      <w:color w:val="auto"/>
                    </w:rPr>
                  </m:ctrlPr>
                </m:sSubPr>
                <m:e>
                  <m:r>
                    <m:rPr>
                      <m:sty m:val="p"/>
                    </m:rPr>
                    <w:rPr>
                      <w:rFonts w:hint="default" w:ascii="Cambria Math" w:hAnsi="Cambria Math"/>
                      <w:color w:val="auto"/>
                    </w:rPr>
                    <m:t>S</m:t>
                  </m:r>
                  <m:ctrlPr>
                    <w:rPr>
                      <w:rFonts w:ascii="Cambria Math" w:hAnsi="Cambria Math"/>
                      <w:color w:val="auto"/>
                    </w:rPr>
                  </m:ctrlPr>
                </m:e>
                <m:sub>
                  <m:r>
                    <m:rPr>
                      <m:sty m:val="p"/>
                    </m:rPr>
                    <w:rPr>
                      <w:rFonts w:hint="default" w:ascii="Cambria Math" w:hAnsi="Cambria Math"/>
                      <w:color w:val="auto"/>
                    </w:rPr>
                    <m:t>final</m:t>
                  </m:r>
                  <m:ctrlPr>
                    <w:rPr>
                      <w:rFonts w:ascii="Cambria Math" w:hAnsi="Cambria Math"/>
                      <w:color w:val="auto"/>
                    </w:rPr>
                  </m:ctrlPr>
                </m:sub>
              </m:sSub>
            </m:oMath>
            <w:r>
              <w:rPr>
                <w:color w:val="auto"/>
              </w:rPr>
              <w:t>.</w:t>
            </w:r>
          </w:p>
        </w:tc>
      </w:tr>
      <w:tr w14:paraId="1B637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B922AE3">
            <w:pPr>
              <w:pStyle w:val="26"/>
              <w:numPr>
                <w:ilvl w:val="0"/>
                <w:numId w:val="8"/>
              </w:numPr>
              <w:jc w:val="left"/>
              <w:rPr>
                <w:rFonts w:hint="default"/>
                <w:color w:val="auto"/>
              </w:rPr>
            </w:pPr>
            <w:r>
              <w:rPr>
                <w:color w:val="auto"/>
              </w:rPr>
              <w:t xml:space="preserve">Initialize empty list </w:t>
            </w:r>
            <m:oMath>
              <m:sSub>
                <m:sSubPr>
                  <m:ctrlPr>
                    <w:rPr>
                      <w:rFonts w:hint="default" w:ascii="Cambria Math" w:hAnsi="Cambria Math" w:cs="Times New Roman"/>
                      <w:color w:val="auto"/>
                    </w:rPr>
                  </m:ctrlPr>
                </m:sSubPr>
                <m:e>
                  <m:r>
                    <m:rPr>
                      <m:nor/>
                      <m:sty m:val="p"/>
                    </m:rPr>
                    <w:rPr>
                      <w:rFonts w:hint="default" w:cs="Times New Roman"/>
                      <w:b w:val="0"/>
                      <w:i w:val="0"/>
                      <w:color w:val="auto"/>
                    </w:rPr>
                    <m:t>L</m:t>
                  </m:r>
                  <m:ctrlPr>
                    <w:rPr>
                      <w:rFonts w:hint="default" w:ascii="Cambria Math" w:hAnsi="Cambria Math" w:cs="Times New Roman"/>
                      <w:color w:val="auto"/>
                    </w:rPr>
                  </m:ctrlPr>
                </m:e>
                <m:sub>
                  <m:r>
                    <m:rPr>
                      <m:nor/>
                      <m:sty m:val="p"/>
                    </m:rPr>
                    <w:rPr>
                      <w:rFonts w:hint="default" w:cs="Times New Roman"/>
                      <w:b w:val="0"/>
                      <w:i w:val="0"/>
                      <w:color w:val="auto"/>
                    </w:rPr>
                    <m:t>samples</m:t>
                  </m:r>
                  <m:ctrlPr>
                    <w:rPr>
                      <w:rFonts w:hint="default" w:ascii="Cambria Math" w:hAnsi="Cambria Math" w:cs="Times New Roman"/>
                      <w:color w:val="auto"/>
                    </w:rPr>
                  </m:ctrlPr>
                </m:sub>
              </m:sSub>
            </m:oMath>
          </w:p>
        </w:tc>
      </w:tr>
      <w:tr w14:paraId="6D590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5751EF4">
            <w:pPr>
              <w:pStyle w:val="26"/>
              <w:numPr>
                <w:ilvl w:val="0"/>
                <w:numId w:val="8"/>
              </w:numPr>
              <w:jc w:val="left"/>
              <w:rPr>
                <w:rFonts w:hint="default"/>
                <w:color w:val="auto"/>
              </w:rPr>
            </w:pPr>
            <w:r>
              <w:rPr>
                <w:color w:val="auto"/>
              </w:rPr>
              <w:t xml:space="preserve">for each subgroup </w:t>
            </w:r>
            <m:oMath>
              <m:r>
                <m:rPr>
                  <m:nor/>
                  <m:sty m:val="p"/>
                </m:rPr>
                <w:rPr>
                  <w:rFonts w:hint="default" w:cs="Times New Roman"/>
                  <w:b w:val="0"/>
                  <w:i w:val="0"/>
                  <w:color w:val="auto"/>
                </w:rPr>
                <m:t>g</m:t>
              </m:r>
            </m:oMath>
            <w:r>
              <w:rPr>
                <w:color w:val="auto"/>
              </w:rPr>
              <w:t xml:space="preserve"> in </w:t>
            </w:r>
            <m:oMath>
              <m:r>
                <m:rPr>
                  <m:nor/>
                  <m:sty m:val="p"/>
                </m:rPr>
                <w:rPr>
                  <w:rFonts w:hint="default" w:cs="Times New Roman"/>
                  <w:b w:val="0"/>
                  <w:i w:val="0"/>
                  <w:color w:val="auto"/>
                </w:rPr>
                <m:t>G</m:t>
              </m:r>
            </m:oMath>
            <w:r>
              <w:rPr>
                <w:color w:val="auto"/>
              </w:rPr>
              <w:t xml:space="preserve"> grouped by </w:t>
            </w:r>
            <m:oMath>
              <m:r>
                <m:rPr>
                  <m:nor/>
                  <m:sty m:val="p"/>
                </m:rPr>
                <w:rPr>
                  <w:rFonts w:hint="default" w:cs="Times New Roman"/>
                  <w:b w:val="0"/>
                  <w:i w:val="0"/>
                  <w:color w:val="auto"/>
                </w:rPr>
                <m:t>Co</m:t>
              </m:r>
              <m:sSub>
                <m:sSubPr>
                  <m:ctrlPr>
                    <w:rPr>
                      <w:rFonts w:hint="default" w:ascii="Cambria Math" w:hAnsi="Cambria Math" w:cs="Times New Roman"/>
                      <w:color w:val="auto"/>
                    </w:rPr>
                  </m:ctrlPr>
                </m:sSubPr>
                <m:e>
                  <m:r>
                    <m:rPr>
                      <m:nor/>
                      <m:sty m:val="p"/>
                    </m:rPr>
                    <w:rPr>
                      <w:rFonts w:hint="default" w:cs="Times New Roman"/>
                      <w:b w:val="0"/>
                      <w:i w:val="0"/>
                      <w:color w:val="auto"/>
                    </w:rPr>
                    <m:t>l</m:t>
                  </m:r>
                  <m:ctrlPr>
                    <w:rPr>
                      <w:rFonts w:hint="default" w:ascii="Cambria Math" w:hAnsi="Cambria Math" w:cs="Times New Roman"/>
                      <w:color w:val="auto"/>
                    </w:rPr>
                  </m:ctrlPr>
                </m:e>
                <m:sub>
                  <m:r>
                    <m:rPr>
                      <m:nor/>
                      <m:sty m:val="p"/>
                    </m:rPr>
                    <w:rPr>
                      <w:rFonts w:hint="default" w:cs="Times New Roman"/>
                      <w:b w:val="0"/>
                      <w:i w:val="0"/>
                      <w:color w:val="auto"/>
                    </w:rPr>
                    <m:t>sec</m:t>
                  </m:r>
                  <m:ctrlPr>
                    <w:rPr>
                      <w:rFonts w:hint="default" w:ascii="Cambria Math" w:hAnsi="Cambria Math" w:cs="Times New Roman"/>
                      <w:color w:val="auto"/>
                    </w:rPr>
                  </m:ctrlPr>
                </m:sub>
              </m:sSub>
            </m:oMath>
            <w:r>
              <w:rPr>
                <w:color w:val="auto"/>
              </w:rPr>
              <w:t xml:space="preserve"> do</w:t>
            </w:r>
          </w:p>
        </w:tc>
      </w:tr>
      <w:tr w14:paraId="4BA6F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84DCBB8">
            <w:pPr>
              <w:pStyle w:val="26"/>
              <w:numPr>
                <w:ilvl w:val="0"/>
                <w:numId w:val="8"/>
              </w:numPr>
              <w:jc w:val="left"/>
              <w:rPr>
                <w:rFonts w:hint="default"/>
                <w:color w:val="auto"/>
              </w:rPr>
            </w:pPr>
            <w:r>
              <w:rPr>
                <w:rFonts w:hAnsi="Cambria Math"/>
                <w:color w:val="auto"/>
              </w:rPr>
              <w:t xml:space="preserve">    </w:t>
            </w:r>
            <m:oMath>
              <m:r>
                <m:rPr>
                  <m:nor/>
                  <m:sty m:val="p"/>
                </m:rPr>
                <w:rPr>
                  <w:rFonts w:hint="default" w:cs="Times New Roman"/>
                  <w:b w:val="0"/>
                  <w:i w:val="0"/>
                  <w:color w:val="auto"/>
                </w:rPr>
                <m:t>N←</m:t>
              </m:r>
            </m:oMath>
            <w:r>
              <w:rPr>
                <w:color w:val="auto"/>
              </w:rPr>
              <w:t xml:space="preserve"> count of rows in </w:t>
            </w:r>
            <m:oMath>
              <m:r>
                <m:rPr>
                  <m:nor/>
                  <m:sty m:val="p"/>
                </m:rPr>
                <w:rPr>
                  <w:rFonts w:hint="default" w:cs="Times New Roman"/>
                  <w:b w:val="0"/>
                  <w:i w:val="0"/>
                  <w:color w:val="auto"/>
                </w:rPr>
                <m:t>g</m:t>
              </m:r>
            </m:oMath>
          </w:p>
        </w:tc>
      </w:tr>
      <w:tr w14:paraId="56BC4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A64B70D">
            <w:pPr>
              <w:pStyle w:val="26"/>
              <w:numPr>
                <w:ilvl w:val="0"/>
                <w:numId w:val="8"/>
              </w:numPr>
              <w:jc w:val="left"/>
              <w:rPr>
                <w:rFonts w:hint="default"/>
                <w:color w:val="auto"/>
              </w:rPr>
            </w:pPr>
            <w:r>
              <w:rPr>
                <w:color w:val="auto"/>
              </w:rPr>
              <w:t xml:space="preserve">    if </w:t>
            </w:r>
            <m:oMath>
              <m:r>
                <m:rPr>
                  <m:nor/>
                  <m:sty m:val="p"/>
                </m:rPr>
                <w:rPr>
                  <w:rFonts w:hint="default" w:cs="Times New Roman"/>
                  <w:b w:val="0"/>
                  <w:i w:val="0"/>
                  <w:color w:val="auto"/>
                </w:rPr>
                <m:t>N≤τ</m:t>
              </m:r>
            </m:oMath>
            <w:r>
              <w:rPr>
                <w:color w:val="auto"/>
              </w:rPr>
              <w:t xml:space="preserve"> then</w:t>
            </w:r>
          </w:p>
        </w:tc>
      </w:tr>
      <w:tr w14:paraId="70121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1AD2BBB">
            <w:pPr>
              <w:pStyle w:val="26"/>
              <w:numPr>
                <w:ilvl w:val="0"/>
                <w:numId w:val="8"/>
              </w:numPr>
              <w:jc w:val="left"/>
              <w:rPr>
                <w:rFonts w:hint="default"/>
                <w:color w:val="auto"/>
              </w:rPr>
            </w:pPr>
            <w:r>
              <w:rPr>
                <w:color w:val="auto"/>
              </w:rPr>
              <w:t xml:space="preserve">         Add all rows of </w:t>
            </w:r>
            <m:oMath>
              <m:r>
                <m:rPr>
                  <m:nor/>
                  <m:sty m:val="p"/>
                </m:rPr>
                <w:rPr>
                  <w:rFonts w:hint="default" w:cs="Times New Roman"/>
                  <w:b w:val="0"/>
                  <w:i w:val="0"/>
                  <w:color w:val="auto"/>
                </w:rPr>
                <m:t>g</m:t>
              </m:r>
            </m:oMath>
            <w:r>
              <w:rPr>
                <w:color w:val="auto"/>
              </w:rPr>
              <w:t xml:space="preserve"> to </w:t>
            </w:r>
            <m:oMath>
              <m:sSub>
                <m:sSubPr>
                  <m:ctrlPr>
                    <w:rPr>
                      <w:rFonts w:hint="default" w:ascii="Cambria Math" w:hAnsi="Cambria Math" w:cs="Times New Roman"/>
                      <w:color w:val="auto"/>
                    </w:rPr>
                  </m:ctrlPr>
                </m:sSubPr>
                <m:e>
                  <m:r>
                    <m:rPr>
                      <m:nor/>
                      <m:sty m:val="p"/>
                    </m:rPr>
                    <w:rPr>
                      <w:rFonts w:hint="default" w:cs="Times New Roman"/>
                      <w:b w:val="0"/>
                      <w:i w:val="0"/>
                      <w:color w:val="auto"/>
                    </w:rPr>
                    <m:t>L</m:t>
                  </m:r>
                  <m:ctrlPr>
                    <w:rPr>
                      <w:rFonts w:hint="default" w:ascii="Cambria Math" w:hAnsi="Cambria Math" w:cs="Times New Roman"/>
                      <w:color w:val="auto"/>
                    </w:rPr>
                  </m:ctrlPr>
                </m:e>
                <m:sub>
                  <m:r>
                    <m:rPr>
                      <m:nor/>
                      <m:sty m:val="p"/>
                    </m:rPr>
                    <w:rPr>
                      <w:rFonts w:hint="default" w:cs="Times New Roman"/>
                      <w:b w:val="0"/>
                      <w:i w:val="0"/>
                      <w:color w:val="auto"/>
                    </w:rPr>
                    <m:t>samples</m:t>
                  </m:r>
                  <m:ctrlPr>
                    <w:rPr>
                      <w:rFonts w:hint="default" w:ascii="Cambria Math" w:hAnsi="Cambria Math" w:cs="Times New Roman"/>
                      <w:color w:val="auto"/>
                    </w:rPr>
                  </m:ctrlPr>
                </m:sub>
              </m:sSub>
            </m:oMath>
          </w:p>
        </w:tc>
      </w:tr>
      <w:tr w14:paraId="6C1F8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8D185C0">
            <w:pPr>
              <w:pStyle w:val="26"/>
              <w:numPr>
                <w:ilvl w:val="0"/>
                <w:numId w:val="8"/>
              </w:numPr>
              <w:jc w:val="left"/>
              <w:rPr>
                <w:rFonts w:hint="default"/>
                <w:color w:val="auto"/>
              </w:rPr>
            </w:pPr>
            <w:r>
              <w:rPr>
                <w:color w:val="auto"/>
              </w:rPr>
              <w:t xml:space="preserve">    else</w:t>
            </w:r>
          </w:p>
        </w:tc>
      </w:tr>
      <w:tr w14:paraId="6D01E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F56B6DC">
            <w:pPr>
              <w:pStyle w:val="26"/>
              <w:numPr>
                <w:ilvl w:val="0"/>
                <w:numId w:val="8"/>
              </w:numPr>
              <w:jc w:val="left"/>
              <w:rPr>
                <w:rFonts w:hint="default"/>
                <w:color w:val="auto"/>
              </w:rPr>
            </w:pPr>
            <w:r>
              <w:rPr>
                <w:rFonts w:hAnsi="Cambria Math"/>
                <w:color w:val="auto"/>
              </w:rPr>
              <w:t xml:space="preserve">        </w:t>
            </w:r>
            <m:oMath>
              <m:sSub>
                <m:sSubPr>
                  <m:ctrlPr>
                    <w:rPr>
                      <w:rFonts w:hint="default" w:ascii="Cambria Math" w:hAnsi="Cambria Math" w:eastAsia="微软雅黑" w:cs="Times New Roman"/>
                      <w:color w:val="auto"/>
                    </w:rPr>
                  </m:ctrlPr>
                </m:sSubPr>
                <m:e>
                  <m:r>
                    <m:rPr>
                      <m:sty m:val="p"/>
                    </m:rPr>
                    <w:rPr>
                      <w:rFonts w:hint="default" w:ascii="Cambria Math" w:hAnsi="Cambria Math" w:eastAsia="微软雅黑" w:cs="Times New Roman"/>
                      <w:color w:val="auto"/>
                    </w:rPr>
                    <m:t>n</m:t>
                  </m:r>
                  <m:ctrlPr>
                    <w:rPr>
                      <w:rFonts w:hint="default" w:ascii="Cambria Math" w:hAnsi="Cambria Math" w:eastAsia="微软雅黑" w:cs="Times New Roman"/>
                      <w:color w:val="auto"/>
                    </w:rPr>
                  </m:ctrlPr>
                </m:e>
                <m:sub>
                  <m:r>
                    <m:rPr>
                      <m:sty m:val="p"/>
                    </m:rPr>
                    <w:rPr>
                      <w:rFonts w:hint="default" w:ascii="Cambria Math" w:hAnsi="Cambria Math" w:eastAsia="微软雅黑" w:cs="Times New Roman"/>
                      <w:color w:val="auto"/>
                    </w:rPr>
                    <m:t>target</m:t>
                  </m:r>
                  <m:ctrlPr>
                    <w:rPr>
                      <w:rFonts w:hint="default" w:ascii="Cambria Math" w:hAnsi="Cambria Math" w:eastAsia="微软雅黑" w:cs="Times New Roman"/>
                      <w:color w:val="auto"/>
                    </w:rPr>
                  </m:ctrlPr>
                </m:sub>
              </m:sSub>
              <m:r>
                <m:rPr>
                  <m:sty m:val="p"/>
                </m:rPr>
                <w:rPr>
                  <w:rFonts w:hint="default" w:ascii="Cambria Math" w:hAnsi="Cambria Math" w:eastAsia="微软雅黑" w:cs="Times New Roman"/>
                  <w:color w:val="auto"/>
                </w:rPr>
                <m:t>←⌈N×α⌉</m:t>
              </m:r>
            </m:oMath>
          </w:p>
        </w:tc>
      </w:tr>
      <w:tr w14:paraId="36883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E62D51E">
            <w:pPr>
              <w:pStyle w:val="26"/>
              <w:numPr>
                <w:ilvl w:val="0"/>
                <w:numId w:val="8"/>
              </w:numPr>
              <w:jc w:val="left"/>
              <w:rPr>
                <w:rFonts w:hint="default"/>
                <w:color w:val="auto"/>
              </w:rPr>
            </w:pPr>
            <w:r>
              <w:rPr>
                <w:color w:val="auto"/>
              </w:rPr>
              <w:t xml:space="preserve">        </w:t>
            </w:r>
            <m:oMath>
              <m:sSub>
                <m:sSubPr>
                  <m:ctrlPr>
                    <w:rPr>
                      <w:rFonts w:hint="default" w:ascii="Cambria Math" w:hAnsi="Cambria Math" w:cs="Times New Roman"/>
                      <w:color w:val="auto"/>
                    </w:rPr>
                  </m:ctrlPr>
                </m:sSubPr>
                <m:e>
                  <m:r>
                    <m:rPr>
                      <m:nor/>
                      <m:sty m:val="p"/>
                    </m:rPr>
                    <w:rPr>
                      <w:rFonts w:hint="default" w:cs="Times New Roman"/>
                      <w:b w:val="0"/>
                      <w:i w:val="0"/>
                      <w:color w:val="auto"/>
                    </w:rPr>
                    <m:t>n</m:t>
                  </m:r>
                  <m:ctrlPr>
                    <w:rPr>
                      <w:rFonts w:hint="default" w:ascii="Cambria Math" w:hAnsi="Cambria Math" w:cs="Times New Roman"/>
                      <w:color w:val="auto"/>
                    </w:rPr>
                  </m:ctrlPr>
                </m:e>
                <m:sub>
                  <m:r>
                    <m:rPr>
                      <m:nor/>
                      <m:sty m:val="p"/>
                    </m:rPr>
                    <w:rPr>
                      <w:rFonts w:hint="default" w:cs="Times New Roman"/>
                      <w:b w:val="0"/>
                      <w:i w:val="0"/>
                      <w:color w:val="auto"/>
                    </w:rPr>
                    <m:t>extract</m:t>
                  </m:r>
                  <m:ctrlPr>
                    <w:rPr>
                      <w:rFonts w:hint="default" w:ascii="Cambria Math" w:hAnsi="Cambria Math" w:cs="Times New Roman"/>
                      <w:color w:val="auto"/>
                    </w:rPr>
                  </m:ctrlPr>
                </m:sub>
              </m:sSub>
              <m:r>
                <m:rPr>
                  <m:nor/>
                  <m:sty m:val="p"/>
                </m:rPr>
                <w:rPr>
                  <w:rFonts w:hint="default" w:cs="Times New Roman"/>
                  <w:b w:val="0"/>
                  <w:i w:val="0"/>
                  <w:color w:val="auto"/>
                </w:rPr>
                <m:t>←</m:t>
              </m:r>
              <m:func>
                <m:funcPr>
                  <m:ctrlPr>
                    <w:rPr>
                      <w:rFonts w:hint="default" w:ascii="Cambria Math" w:hAnsi="Cambria Math" w:cs="Times New Roman"/>
                      <w:color w:val="auto"/>
                    </w:rPr>
                  </m:ctrlPr>
                </m:funcPr>
                <m:fName>
                  <m:r>
                    <m:rPr>
                      <m:nor/>
                      <m:sty m:val="p"/>
                    </m:rPr>
                    <w:rPr>
                      <w:rFonts w:hint="default" w:cs="Times New Roman"/>
                      <w:b w:val="0"/>
                      <w:i w:val="0"/>
                      <w:color w:val="auto"/>
                    </w:rPr>
                    <m:t>max</m:t>
                  </m:r>
                  <m:ctrlPr>
                    <w:rPr>
                      <w:rFonts w:hint="default" w:ascii="Cambria Math" w:hAnsi="Cambria Math" w:cs="Times New Roman"/>
                      <w:color w:val="auto"/>
                    </w:rPr>
                  </m:ctrlPr>
                </m:fName>
                <m:e>
                  <m:r>
                    <m:rPr>
                      <m:nor/>
                      <m:sty m:val="p"/>
                    </m:rPr>
                    <w:rPr>
                      <w:rFonts w:hint="default" w:cs="Times New Roman"/>
                      <w:b w:val="0"/>
                      <w:i w:val="0"/>
                      <w:color w:val="auto"/>
                    </w:rPr>
                    <m:t>(</m:t>
                  </m:r>
                  <m:ctrlPr>
                    <w:rPr>
                      <w:rFonts w:hint="default" w:ascii="Cambria Math" w:hAnsi="Cambria Math" w:cs="Times New Roman"/>
                      <w:color w:val="auto"/>
                    </w:rPr>
                  </m:ctrlPr>
                </m:e>
              </m:func>
              <m:sSub>
                <m:sSubPr>
                  <m:ctrlPr>
                    <w:rPr>
                      <w:rFonts w:hint="default" w:ascii="Cambria Math" w:hAnsi="Cambria Math" w:cs="Times New Roman"/>
                      <w:color w:val="auto"/>
                    </w:rPr>
                  </m:ctrlPr>
                </m:sSubPr>
                <m:e>
                  <m:r>
                    <m:rPr>
                      <m:nor/>
                      <m:sty m:val="p"/>
                    </m:rPr>
                    <w:rPr>
                      <w:rFonts w:hint="default" w:cs="Times New Roman"/>
                      <w:b w:val="0"/>
                      <w:i w:val="0"/>
                      <w:color w:val="auto"/>
                    </w:rPr>
                    <m:t>n</m:t>
                  </m:r>
                  <m:ctrlPr>
                    <w:rPr>
                      <w:rFonts w:hint="default" w:ascii="Cambria Math" w:hAnsi="Cambria Math" w:cs="Times New Roman"/>
                      <w:color w:val="auto"/>
                    </w:rPr>
                  </m:ctrlPr>
                </m:e>
                <m:sub>
                  <m:r>
                    <m:rPr>
                      <m:nor/>
                      <m:sty m:val="p"/>
                    </m:rPr>
                    <w:rPr>
                      <w:rFonts w:hint="default" w:cs="Times New Roman"/>
                      <w:b w:val="0"/>
                      <w:i w:val="0"/>
                      <w:color w:val="auto"/>
                    </w:rPr>
                    <m:t>target</m:t>
                  </m:r>
                  <m:ctrlPr>
                    <w:rPr>
                      <w:rFonts w:hint="default" w:ascii="Cambria Math" w:hAnsi="Cambria Math" w:cs="Times New Roman"/>
                      <w:color w:val="auto"/>
                    </w:rPr>
                  </m:ctrlPr>
                </m:sub>
              </m:sSub>
              <m:r>
                <m:rPr>
                  <m:nor/>
                  <m:sty m:val="p"/>
                </m:rPr>
                <w:rPr>
                  <w:rFonts w:hint="default" w:cs="Times New Roman"/>
                  <w:b w:val="0"/>
                  <w:i w:val="0"/>
                  <w:color w:val="auto"/>
                </w:rPr>
                <m:t>,τ)</m:t>
              </m:r>
            </m:oMath>
          </w:p>
        </w:tc>
      </w:tr>
      <w:tr w14:paraId="459E1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1F86C42">
            <w:pPr>
              <w:pStyle w:val="26"/>
              <w:numPr>
                <w:ilvl w:val="0"/>
                <w:numId w:val="8"/>
              </w:numPr>
              <w:jc w:val="left"/>
              <w:rPr>
                <w:rFonts w:hint="default"/>
                <w:color w:val="auto"/>
              </w:rPr>
            </w:pPr>
            <w:r>
              <w:rPr>
                <w:color w:val="auto"/>
              </w:rPr>
              <w:t xml:space="preserve">        Randomly sample </w:t>
            </w:r>
            <m:oMath>
              <m:sSub>
                <m:sSubPr>
                  <m:ctrlPr>
                    <w:rPr>
                      <w:rFonts w:hint="default" w:ascii="Cambria Math" w:hAnsi="Cambria Math" w:cs="Times New Roman"/>
                      <w:color w:val="auto"/>
                    </w:rPr>
                  </m:ctrlPr>
                </m:sSubPr>
                <m:e>
                  <m:r>
                    <m:rPr>
                      <m:nor/>
                      <m:sty m:val="p"/>
                    </m:rPr>
                    <w:rPr>
                      <w:rFonts w:hint="default" w:cs="Times New Roman"/>
                      <w:b w:val="0"/>
                      <w:i w:val="0"/>
                      <w:color w:val="auto"/>
                    </w:rPr>
                    <m:t>n</m:t>
                  </m:r>
                  <m:ctrlPr>
                    <w:rPr>
                      <w:rFonts w:hint="default" w:ascii="Cambria Math" w:hAnsi="Cambria Math" w:cs="Times New Roman"/>
                      <w:color w:val="auto"/>
                    </w:rPr>
                  </m:ctrlPr>
                </m:e>
                <m:sub>
                  <m:r>
                    <m:rPr>
                      <m:nor/>
                      <m:sty m:val="p"/>
                    </m:rPr>
                    <w:rPr>
                      <w:rFonts w:hint="default" w:cs="Times New Roman"/>
                      <w:b w:val="0"/>
                      <w:i w:val="0"/>
                      <w:color w:val="auto"/>
                    </w:rPr>
                    <m:t>extract</m:t>
                  </m:r>
                  <m:ctrlPr>
                    <w:rPr>
                      <w:rFonts w:hint="default" w:ascii="Cambria Math" w:hAnsi="Cambria Math" w:cs="Times New Roman"/>
                      <w:color w:val="auto"/>
                    </w:rPr>
                  </m:ctrlPr>
                </m:sub>
              </m:sSub>
            </m:oMath>
            <w:r>
              <w:rPr>
                <w:color w:val="auto"/>
              </w:rPr>
              <w:t xml:space="preserve"> rows from </w:t>
            </w:r>
            <m:oMath>
              <m:r>
                <m:rPr>
                  <m:nor/>
                  <m:sty m:val="p"/>
                </m:rPr>
                <w:rPr>
                  <w:rFonts w:hint="default" w:cs="Times New Roman"/>
                  <w:b w:val="0"/>
                  <w:i w:val="0"/>
                  <w:color w:val="auto"/>
                </w:rPr>
                <m:t>g</m:t>
              </m:r>
            </m:oMath>
            <w:r>
              <w:rPr>
                <w:color w:val="auto"/>
              </w:rPr>
              <w:t xml:space="preserve">, add to </w:t>
            </w:r>
            <m:oMath>
              <m:sSub>
                <m:sSubPr>
                  <m:ctrlPr>
                    <w:rPr>
                      <w:rFonts w:hint="default" w:ascii="Cambria Math" w:hAnsi="Cambria Math" w:cs="Times New Roman"/>
                      <w:color w:val="auto"/>
                    </w:rPr>
                  </m:ctrlPr>
                </m:sSubPr>
                <m:e>
                  <m:r>
                    <m:rPr>
                      <m:nor/>
                      <m:sty m:val="p"/>
                    </m:rPr>
                    <w:rPr>
                      <w:rFonts w:hint="default" w:cs="Times New Roman"/>
                      <w:b w:val="0"/>
                      <w:i w:val="0"/>
                      <w:color w:val="auto"/>
                    </w:rPr>
                    <m:t>L</m:t>
                  </m:r>
                  <m:ctrlPr>
                    <w:rPr>
                      <w:rFonts w:hint="default" w:ascii="Cambria Math" w:hAnsi="Cambria Math" w:cs="Times New Roman"/>
                      <w:color w:val="auto"/>
                    </w:rPr>
                  </m:ctrlPr>
                </m:e>
                <m:sub>
                  <m:r>
                    <m:rPr>
                      <m:nor/>
                      <m:sty m:val="p"/>
                    </m:rPr>
                    <w:rPr>
                      <w:rFonts w:hint="default" w:cs="Times New Roman"/>
                      <w:b w:val="0"/>
                      <w:i w:val="0"/>
                      <w:color w:val="auto"/>
                    </w:rPr>
                    <m:t>samples</m:t>
                  </m:r>
                  <m:ctrlPr>
                    <w:rPr>
                      <w:rFonts w:hint="default" w:ascii="Cambria Math" w:hAnsi="Cambria Math" w:cs="Times New Roman"/>
                      <w:color w:val="auto"/>
                    </w:rPr>
                  </m:ctrlPr>
                </m:sub>
              </m:sSub>
            </m:oMath>
          </w:p>
        </w:tc>
      </w:tr>
      <w:tr w14:paraId="57069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6891C49">
            <w:pPr>
              <w:pStyle w:val="26"/>
              <w:numPr>
                <w:ilvl w:val="0"/>
                <w:numId w:val="8"/>
              </w:numPr>
              <w:jc w:val="left"/>
              <w:rPr>
                <w:rFonts w:hint="default"/>
                <w:color w:val="auto"/>
              </w:rPr>
            </w:pPr>
            <w:r>
              <w:rPr>
                <w:color w:val="auto"/>
              </w:rPr>
              <w:t xml:space="preserve">   end if</w:t>
            </w:r>
          </w:p>
        </w:tc>
      </w:tr>
      <w:tr w14:paraId="1288D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163CCCC">
            <w:pPr>
              <w:pStyle w:val="26"/>
              <w:numPr>
                <w:ilvl w:val="0"/>
                <w:numId w:val="8"/>
              </w:numPr>
              <w:jc w:val="left"/>
              <w:rPr>
                <w:rFonts w:hint="default"/>
                <w:color w:val="auto"/>
              </w:rPr>
            </w:pPr>
            <w:r>
              <w:rPr>
                <w:color w:val="auto"/>
              </w:rPr>
              <w:t>end for</w:t>
            </w:r>
          </w:p>
        </w:tc>
      </w:tr>
      <w:tr w14:paraId="1003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0D501F9">
            <w:pPr>
              <w:pStyle w:val="26"/>
              <w:numPr>
                <w:ilvl w:val="0"/>
                <w:numId w:val="8"/>
              </w:numPr>
              <w:jc w:val="left"/>
              <w:rPr>
                <w:rFonts w:hint="default"/>
                <w:color w:val="auto"/>
              </w:rPr>
            </w:pPr>
            <m:oMath>
              <m:sSub>
                <m:sSubPr>
                  <m:ctrlPr>
                    <w:rPr>
                      <w:rFonts w:hint="default" w:ascii="Cambria Math" w:hAnsi="Cambria Math" w:cs="Times New Roman"/>
                      <w:color w:val="auto"/>
                    </w:rPr>
                  </m:ctrlPr>
                </m:sSubPr>
                <m:e>
                  <m:r>
                    <m:rPr>
                      <m:nor/>
                      <m:sty m:val="p"/>
                    </m:rPr>
                    <w:rPr>
                      <w:rFonts w:hint="default" w:cs="Times New Roman"/>
                      <w:b w:val="0"/>
                      <w:i w:val="0"/>
                      <w:color w:val="auto"/>
                    </w:rPr>
                    <m:t>S</m:t>
                  </m:r>
                  <m:ctrlPr>
                    <w:rPr>
                      <w:rFonts w:hint="default" w:ascii="Cambria Math" w:hAnsi="Cambria Math" w:cs="Times New Roman"/>
                      <w:color w:val="auto"/>
                    </w:rPr>
                  </m:ctrlPr>
                </m:e>
                <m:sub>
                  <m:r>
                    <m:rPr>
                      <m:nor/>
                      <m:sty m:val="p"/>
                    </m:rPr>
                    <w:rPr>
                      <w:rFonts w:hint="default" w:cs="Times New Roman"/>
                      <w:b w:val="0"/>
                      <w:i w:val="0"/>
                      <w:color w:val="auto"/>
                    </w:rPr>
                    <m:t>base</m:t>
                  </m:r>
                  <m:ctrlPr>
                    <w:rPr>
                      <w:rFonts w:hint="default" w:ascii="Cambria Math" w:hAnsi="Cambria Math" w:cs="Times New Roman"/>
                      <w:color w:val="auto"/>
                    </w:rPr>
                  </m:ctrlPr>
                </m:sub>
              </m:sSub>
              <m:r>
                <m:rPr>
                  <m:nor/>
                  <m:sty m:val="p"/>
                </m:rPr>
                <w:rPr>
                  <w:rFonts w:hint="default" w:cs="Times New Roman"/>
                  <w:b w:val="0"/>
                  <w:i w:val="0"/>
                  <w:color w:val="auto"/>
                </w:rPr>
                <m:t>←</m:t>
              </m:r>
            </m:oMath>
            <w:r>
              <w:rPr>
                <w:rFonts w:hint="default"/>
                <w:color w:val="auto"/>
              </w:rPr>
              <w:t xml:space="preserve"> concatenate(</w:t>
            </w:r>
            <m:oMath>
              <m:sSub>
                <m:sSubPr>
                  <m:ctrlPr>
                    <w:rPr>
                      <w:rFonts w:hint="default" w:ascii="Cambria Math" w:hAnsi="Cambria Math" w:cs="Times New Roman"/>
                      <w:color w:val="auto"/>
                    </w:rPr>
                  </m:ctrlPr>
                </m:sSubPr>
                <m:e>
                  <m:r>
                    <m:rPr>
                      <m:nor/>
                      <m:sty m:val="p"/>
                    </m:rPr>
                    <w:rPr>
                      <w:rFonts w:hint="default" w:cs="Times New Roman"/>
                      <w:b w:val="0"/>
                      <w:i w:val="0"/>
                      <w:color w:val="auto"/>
                    </w:rPr>
                    <m:t>L</m:t>
                  </m:r>
                  <m:ctrlPr>
                    <w:rPr>
                      <w:rFonts w:hint="default" w:ascii="Cambria Math" w:hAnsi="Cambria Math" w:cs="Times New Roman"/>
                      <w:color w:val="auto"/>
                    </w:rPr>
                  </m:ctrlPr>
                </m:e>
                <m:sub>
                  <m:r>
                    <m:rPr>
                      <m:nor/>
                      <m:sty m:val="p"/>
                    </m:rPr>
                    <w:rPr>
                      <w:rFonts w:hint="default" w:cs="Times New Roman"/>
                      <w:b w:val="0"/>
                      <w:i w:val="0"/>
                      <w:color w:val="auto"/>
                    </w:rPr>
                    <m:t>samples</m:t>
                  </m:r>
                  <m:ctrlPr>
                    <w:rPr>
                      <w:rFonts w:hint="default" w:ascii="Cambria Math" w:hAnsi="Cambria Math" w:cs="Times New Roman"/>
                      <w:color w:val="auto"/>
                    </w:rPr>
                  </m:ctrlPr>
                </m:sub>
              </m:sSub>
            </m:oMath>
            <w:r>
              <w:rPr>
                <w:rFonts w:hint="default"/>
                <w:color w:val="auto"/>
              </w:rPr>
              <w:t>)</w:t>
            </w:r>
          </w:p>
        </w:tc>
      </w:tr>
      <w:tr w14:paraId="4946D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29DB458">
            <w:pPr>
              <w:pStyle w:val="26"/>
              <w:numPr>
                <w:ilvl w:val="0"/>
                <w:numId w:val="8"/>
              </w:numPr>
              <w:jc w:val="left"/>
              <w:rPr>
                <w:rFonts w:hint="default"/>
                <w:color w:val="auto"/>
              </w:rPr>
            </w:pPr>
            <w:r>
              <w:rPr>
                <w:rFonts w:hint="default"/>
                <w:color w:val="auto"/>
              </w:rPr>
              <w:t>if size(</w:t>
            </w:r>
            <m:oMath>
              <m:sSub>
                <m:sSubPr>
                  <m:ctrlPr>
                    <w:rPr>
                      <w:rFonts w:hint="default" w:ascii="Cambria Math" w:hAnsi="Cambria Math" w:cs="Times New Roman"/>
                      <w:color w:val="auto"/>
                    </w:rPr>
                  </m:ctrlPr>
                </m:sSubPr>
                <m:e>
                  <m:r>
                    <m:rPr>
                      <m:nor/>
                      <m:sty m:val="p"/>
                    </m:rPr>
                    <w:rPr>
                      <w:rFonts w:hint="default" w:cs="Times New Roman"/>
                      <w:b w:val="0"/>
                      <w:i w:val="0"/>
                      <w:color w:val="auto"/>
                    </w:rPr>
                    <m:t>S</m:t>
                  </m:r>
                  <m:ctrlPr>
                    <w:rPr>
                      <w:rFonts w:hint="default" w:ascii="Cambria Math" w:hAnsi="Cambria Math" w:cs="Times New Roman"/>
                      <w:color w:val="auto"/>
                    </w:rPr>
                  </m:ctrlPr>
                </m:e>
                <m:sub>
                  <m:r>
                    <m:rPr>
                      <m:nor/>
                      <m:sty m:val="p"/>
                    </m:rPr>
                    <w:rPr>
                      <w:rFonts w:hint="default" w:cs="Times New Roman"/>
                      <w:b w:val="0"/>
                      <w:i w:val="0"/>
                      <w:color w:val="auto"/>
                    </w:rPr>
                    <m:t>base</m:t>
                  </m:r>
                  <m:ctrlPr>
                    <w:rPr>
                      <w:rFonts w:hint="default" w:ascii="Cambria Math" w:hAnsi="Cambria Math" w:cs="Times New Roman"/>
                      <w:color w:val="auto"/>
                    </w:rPr>
                  </m:ctrlPr>
                </m:sub>
              </m:sSub>
            </m:oMath>
            <w:r>
              <w:rPr>
                <w:rFonts w:hint="default"/>
                <w:color w:val="auto"/>
              </w:rPr>
              <w:t xml:space="preserve">) </w:t>
            </w:r>
            <m:oMath>
              <m:r>
                <m:rPr>
                  <m:nor/>
                  <m:sty m:val="p"/>
                </m:rPr>
                <w:rPr>
                  <w:rFonts w:hint="default" w:cs="Times New Roman"/>
                  <w:b w:val="0"/>
                  <w:i w:val="0"/>
                  <w:color w:val="auto"/>
                </w:rPr>
                <m:t>&lt;M</m:t>
              </m:r>
            </m:oMath>
            <w:r>
              <w:rPr>
                <w:rFonts w:hint="default"/>
                <w:color w:val="auto"/>
              </w:rPr>
              <w:t xml:space="preserve"> and Filling is enabled then</w:t>
            </w:r>
          </w:p>
        </w:tc>
      </w:tr>
      <w:tr w14:paraId="52D44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743A144">
            <w:pPr>
              <w:pStyle w:val="26"/>
              <w:numPr>
                <w:ilvl w:val="0"/>
                <w:numId w:val="8"/>
              </w:numPr>
              <w:jc w:val="left"/>
              <w:rPr>
                <w:rFonts w:hint="default"/>
                <w:color w:val="auto"/>
              </w:rPr>
            </w:pPr>
            <w:r>
              <w:rPr>
                <w:color w:val="auto"/>
              </w:rPr>
              <w:t xml:space="preserve">   </w:t>
            </w:r>
            <m:oMath>
              <m:sSub>
                <m:sSubPr>
                  <m:ctrlPr>
                    <w:rPr>
                      <w:rFonts w:hint="default" w:ascii="Cambria Math" w:hAnsi="Cambria Math" w:cs="Times New Roman"/>
                      <w:color w:val="auto"/>
                    </w:rPr>
                  </m:ctrlPr>
                </m:sSubPr>
                <m:e>
                  <m:r>
                    <m:rPr>
                      <m:nor/>
                      <m:sty m:val="p"/>
                    </m:rPr>
                    <w:rPr>
                      <w:rFonts w:hint="default" w:cs="Times New Roman"/>
                      <w:b w:val="0"/>
                      <w:i w:val="0"/>
                      <w:color w:val="auto"/>
                    </w:rPr>
                    <m:t>G</m:t>
                  </m:r>
                  <m:ctrlPr>
                    <w:rPr>
                      <w:rFonts w:hint="default" w:ascii="Cambria Math" w:hAnsi="Cambria Math" w:cs="Times New Roman"/>
                      <w:color w:val="auto"/>
                    </w:rPr>
                  </m:ctrlPr>
                </m:e>
                <m:sub>
                  <m:r>
                    <m:rPr>
                      <m:nor/>
                      <m:sty m:val="p"/>
                    </m:rPr>
                    <w:rPr>
                      <w:rFonts w:hint="default" w:cs="Times New Roman"/>
                      <w:b w:val="0"/>
                      <w:i w:val="0"/>
                      <w:color w:val="auto"/>
                    </w:rPr>
                    <m:t>remain</m:t>
                  </m:r>
                  <m:ctrlPr>
                    <w:rPr>
                      <w:rFonts w:hint="default" w:ascii="Cambria Math" w:hAnsi="Cambria Math" w:cs="Times New Roman"/>
                      <w:color w:val="auto"/>
                    </w:rPr>
                  </m:ctrlPr>
                </m:sub>
              </m:sSub>
              <m:r>
                <m:rPr>
                  <m:nor/>
                  <m:sty m:val="p"/>
                </m:rPr>
                <w:rPr>
                  <w:rFonts w:hint="default" w:cs="Times New Roman"/>
                  <w:b w:val="0"/>
                  <w:i w:val="0"/>
                  <w:color w:val="auto"/>
                </w:rPr>
                <m:t>←G ∖</m:t>
              </m:r>
              <m:sSub>
                <m:sSubPr>
                  <m:ctrlPr>
                    <w:rPr>
                      <w:rFonts w:hint="default" w:ascii="Cambria Math" w:hAnsi="Cambria Math" w:cs="Times New Roman"/>
                      <w:color w:val="auto"/>
                    </w:rPr>
                  </m:ctrlPr>
                </m:sSubPr>
                <m:e>
                  <m:r>
                    <m:rPr>
                      <m:nor/>
                      <m:sty m:val="p"/>
                    </m:rPr>
                    <w:rPr>
                      <w:rFonts w:hint="default" w:cs="Times New Roman"/>
                      <w:b w:val="0"/>
                      <w:i w:val="0"/>
                      <w:color w:val="auto"/>
                    </w:rPr>
                    <m:t>S</m:t>
                  </m:r>
                  <m:ctrlPr>
                    <w:rPr>
                      <w:rFonts w:hint="default" w:ascii="Cambria Math" w:hAnsi="Cambria Math" w:cs="Times New Roman"/>
                      <w:color w:val="auto"/>
                    </w:rPr>
                  </m:ctrlPr>
                </m:e>
                <m:sub>
                  <m:r>
                    <m:rPr>
                      <m:nor/>
                      <m:sty m:val="p"/>
                    </m:rPr>
                    <w:rPr>
                      <w:rFonts w:hint="default" w:cs="Times New Roman"/>
                      <w:b w:val="0"/>
                      <w:i w:val="0"/>
                      <w:color w:val="auto"/>
                    </w:rPr>
                    <m:t>base</m:t>
                  </m:r>
                  <m:ctrlPr>
                    <w:rPr>
                      <w:rFonts w:hint="default" w:ascii="Cambria Math" w:hAnsi="Cambria Math" w:cs="Times New Roman"/>
                      <w:color w:val="auto"/>
                    </w:rPr>
                  </m:ctrlPr>
                </m:sub>
              </m:sSub>
            </m:oMath>
          </w:p>
        </w:tc>
      </w:tr>
      <w:tr w14:paraId="7516E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6F61217">
            <w:pPr>
              <w:pStyle w:val="26"/>
              <w:numPr>
                <w:ilvl w:val="0"/>
                <w:numId w:val="8"/>
              </w:numPr>
              <w:jc w:val="left"/>
              <w:rPr>
                <w:rFonts w:hint="default"/>
                <w:color w:val="auto"/>
              </w:rPr>
            </w:pPr>
            <w:r>
              <w:rPr>
                <w:color w:val="auto"/>
              </w:rPr>
              <w:t xml:space="preserve">   </w:t>
            </w:r>
            <m:oMath>
              <m:r>
                <m:rPr>
                  <m:nor/>
                  <m:sty m:val="p"/>
                </m:rPr>
                <w:rPr>
                  <w:rFonts w:hint="default" w:cs="Times New Roman"/>
                  <w:b w:val="0"/>
                  <w:i w:val="0"/>
                  <w:color w:val="auto"/>
                </w:rPr>
                <m:t>Need←M - size(</m:t>
              </m:r>
              <m:sSub>
                <m:sSubPr>
                  <m:ctrlPr>
                    <w:rPr>
                      <w:rFonts w:hint="default" w:ascii="Cambria Math" w:hAnsi="Cambria Math" w:cs="Times New Roman"/>
                      <w:color w:val="auto"/>
                    </w:rPr>
                  </m:ctrlPr>
                </m:sSubPr>
                <m:e>
                  <m:r>
                    <m:rPr>
                      <m:nor/>
                      <m:sty m:val="p"/>
                    </m:rPr>
                    <w:rPr>
                      <w:rFonts w:hint="default" w:cs="Times New Roman"/>
                      <w:b w:val="0"/>
                      <w:i w:val="0"/>
                      <w:color w:val="auto"/>
                    </w:rPr>
                    <m:t>S</m:t>
                  </m:r>
                  <m:ctrlPr>
                    <w:rPr>
                      <w:rFonts w:hint="default" w:ascii="Cambria Math" w:hAnsi="Cambria Math" w:cs="Times New Roman"/>
                      <w:color w:val="auto"/>
                    </w:rPr>
                  </m:ctrlPr>
                </m:e>
                <m:sub>
                  <m:r>
                    <m:rPr>
                      <m:nor/>
                      <m:sty m:val="p"/>
                    </m:rPr>
                    <w:rPr>
                      <w:rFonts w:hint="default" w:cs="Times New Roman"/>
                      <w:b w:val="0"/>
                      <w:i w:val="0"/>
                      <w:color w:val="auto"/>
                    </w:rPr>
                    <m:t>base</m:t>
                  </m:r>
                  <m:ctrlPr>
                    <w:rPr>
                      <w:rFonts w:hint="default" w:ascii="Cambria Math" w:hAnsi="Cambria Math" w:cs="Times New Roman"/>
                      <w:color w:val="auto"/>
                    </w:rPr>
                  </m:ctrlPr>
                </m:sub>
              </m:sSub>
              <m:r>
                <m:rPr>
                  <m:nor/>
                  <m:sty m:val="p"/>
                </m:rPr>
                <w:rPr>
                  <w:rFonts w:hint="default" w:cs="Times New Roman"/>
                  <w:b w:val="0"/>
                  <w:i w:val="0"/>
                  <w:color w:val="auto"/>
                </w:rPr>
                <m:t>)</m:t>
              </m:r>
            </m:oMath>
          </w:p>
        </w:tc>
      </w:tr>
      <w:tr w14:paraId="488C1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0116F94">
            <w:pPr>
              <w:pStyle w:val="26"/>
              <w:numPr>
                <w:ilvl w:val="0"/>
                <w:numId w:val="8"/>
              </w:numPr>
              <w:jc w:val="left"/>
              <w:rPr>
                <w:rFonts w:hint="default"/>
                <w:color w:val="auto"/>
              </w:rPr>
            </w:pPr>
            <w:r>
              <w:rPr>
                <w:color w:val="auto"/>
              </w:rPr>
              <w:t xml:space="preserve">   Calculate distribution weights </w:t>
            </w:r>
            <m:oMath>
              <m:r>
                <m:rPr>
                  <m:sty m:val="p"/>
                </m:rPr>
                <w:rPr>
                  <w:rFonts w:hint="default" w:ascii="Cambria Math" w:hAnsi="Cambria Math"/>
                  <w:color w:val="auto"/>
                </w:rPr>
                <m:t>W</m:t>
              </m:r>
            </m:oMath>
            <w:r>
              <w:rPr>
                <w:color w:val="auto"/>
              </w:rPr>
              <w:t xml:space="preserve"> of </w:t>
            </w:r>
            <m:oMath>
              <m:r>
                <m:rPr>
                  <m:nor/>
                  <m:sty m:val="p"/>
                </m:rPr>
                <w:rPr>
                  <w:rFonts w:hint="default" w:cs="Times New Roman"/>
                  <w:b w:val="0"/>
                  <w:i w:val="0"/>
                  <w:color w:val="auto"/>
                </w:rPr>
                <m:t>Co</m:t>
              </m:r>
              <m:sSub>
                <m:sSubPr>
                  <m:ctrlPr>
                    <w:rPr>
                      <w:rFonts w:hint="default" w:ascii="Cambria Math" w:hAnsi="Cambria Math" w:cs="Times New Roman"/>
                      <w:color w:val="auto"/>
                    </w:rPr>
                  </m:ctrlPr>
                </m:sSubPr>
                <m:e>
                  <m:r>
                    <m:rPr>
                      <m:nor/>
                      <m:sty m:val="p"/>
                    </m:rPr>
                    <w:rPr>
                      <w:rFonts w:hint="default" w:cs="Times New Roman"/>
                      <w:b w:val="0"/>
                      <w:i w:val="0"/>
                      <w:color w:val="auto"/>
                    </w:rPr>
                    <m:t>l</m:t>
                  </m:r>
                  <m:ctrlPr>
                    <w:rPr>
                      <w:rFonts w:hint="default" w:ascii="Cambria Math" w:hAnsi="Cambria Math" w:cs="Times New Roman"/>
                      <w:color w:val="auto"/>
                    </w:rPr>
                  </m:ctrlPr>
                </m:e>
                <m:sub>
                  <m:r>
                    <m:rPr>
                      <m:nor/>
                      <m:sty m:val="p"/>
                    </m:rPr>
                    <w:rPr>
                      <w:rFonts w:hint="default" w:cs="Times New Roman"/>
                      <w:b w:val="0"/>
                      <w:i w:val="0"/>
                      <w:color w:val="auto"/>
                    </w:rPr>
                    <m:t>sec</m:t>
                  </m:r>
                  <m:ctrlPr>
                    <w:rPr>
                      <w:rFonts w:hint="default" w:ascii="Cambria Math" w:hAnsi="Cambria Math" w:cs="Times New Roman"/>
                      <w:color w:val="auto"/>
                    </w:rPr>
                  </m:ctrlPr>
                </m:sub>
              </m:sSub>
            </m:oMath>
            <w:r>
              <w:rPr>
                <w:color w:val="auto"/>
              </w:rPr>
              <w:t xml:space="preserve"> in </w:t>
            </w:r>
            <m:oMath>
              <m:sSub>
                <m:sSubPr>
                  <m:ctrlPr>
                    <w:rPr>
                      <w:rFonts w:hint="default" w:ascii="Cambria Math" w:hAnsi="Cambria Math" w:cs="Times New Roman"/>
                      <w:color w:val="auto"/>
                    </w:rPr>
                  </m:ctrlPr>
                </m:sSubPr>
                <m:e>
                  <m:r>
                    <m:rPr>
                      <m:nor/>
                      <m:sty m:val="p"/>
                    </m:rPr>
                    <w:rPr>
                      <w:rFonts w:hint="default" w:cs="Times New Roman"/>
                      <w:b w:val="0"/>
                      <w:i w:val="0"/>
                      <w:color w:val="auto"/>
                    </w:rPr>
                    <m:t>G</m:t>
                  </m:r>
                  <m:ctrlPr>
                    <w:rPr>
                      <w:rFonts w:hint="default" w:ascii="Cambria Math" w:hAnsi="Cambria Math" w:cs="Times New Roman"/>
                      <w:color w:val="auto"/>
                    </w:rPr>
                  </m:ctrlPr>
                </m:e>
                <m:sub>
                  <m:r>
                    <m:rPr>
                      <m:nor/>
                      <m:sty m:val="p"/>
                    </m:rPr>
                    <w:rPr>
                      <w:rFonts w:hint="default" w:cs="Times New Roman"/>
                      <w:b w:val="0"/>
                      <w:i w:val="0"/>
                      <w:color w:val="auto"/>
                    </w:rPr>
                    <m:t>remain</m:t>
                  </m:r>
                  <m:ctrlPr>
                    <w:rPr>
                      <w:rFonts w:hint="default" w:ascii="Cambria Math" w:hAnsi="Cambria Math" w:cs="Times New Roman"/>
                      <w:color w:val="auto"/>
                    </w:rPr>
                  </m:ctrlPr>
                </m:sub>
              </m:sSub>
            </m:oMath>
          </w:p>
        </w:tc>
      </w:tr>
      <w:tr w14:paraId="12EEE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D096450">
            <w:pPr>
              <w:pStyle w:val="26"/>
              <w:numPr>
                <w:ilvl w:val="0"/>
                <w:numId w:val="8"/>
              </w:numPr>
              <w:jc w:val="left"/>
              <w:rPr>
                <w:rFonts w:hint="default"/>
                <w:color w:val="auto"/>
              </w:rPr>
            </w:pPr>
            <w:r>
              <w:rPr>
                <w:color w:val="auto"/>
              </w:rPr>
              <w:t xml:space="preserve">   Sample </w:t>
            </w:r>
            <m:oMath>
              <m:r>
                <m:rPr>
                  <m:sty m:val="p"/>
                </m:rPr>
                <w:rPr>
                  <w:rFonts w:hint="default" w:ascii="Cambria Math" w:hAnsi="Cambria Math"/>
                  <w:color w:val="auto"/>
                </w:rPr>
                <m:t>Need</m:t>
              </m:r>
            </m:oMath>
            <w:r>
              <w:rPr>
                <w:color w:val="auto"/>
              </w:rPr>
              <w:t xml:space="preserve"> rows from </w:t>
            </w:r>
            <m:oMath>
              <m:sSub>
                <m:sSubPr>
                  <m:ctrlPr>
                    <w:rPr>
                      <w:rFonts w:hint="default" w:ascii="Cambria Math" w:hAnsi="Cambria Math" w:cs="Times New Roman"/>
                      <w:color w:val="auto"/>
                    </w:rPr>
                  </m:ctrlPr>
                </m:sSubPr>
                <m:e>
                  <m:r>
                    <m:rPr>
                      <m:nor/>
                      <m:sty m:val="p"/>
                    </m:rPr>
                    <w:rPr>
                      <w:rFonts w:hint="default" w:cs="Times New Roman"/>
                      <w:b w:val="0"/>
                      <w:i w:val="0"/>
                      <w:color w:val="auto"/>
                    </w:rPr>
                    <m:t>G</m:t>
                  </m:r>
                  <m:ctrlPr>
                    <w:rPr>
                      <w:rFonts w:hint="default" w:ascii="Cambria Math" w:hAnsi="Cambria Math" w:cs="Times New Roman"/>
                      <w:color w:val="auto"/>
                    </w:rPr>
                  </m:ctrlPr>
                </m:e>
                <m:sub>
                  <m:r>
                    <m:rPr>
                      <m:nor/>
                      <m:sty m:val="p"/>
                    </m:rPr>
                    <w:rPr>
                      <w:rFonts w:hint="default" w:cs="Times New Roman"/>
                      <w:b w:val="0"/>
                      <w:i w:val="0"/>
                      <w:color w:val="auto"/>
                    </w:rPr>
                    <m:t>remain</m:t>
                  </m:r>
                  <m:ctrlPr>
                    <w:rPr>
                      <w:rFonts w:hint="default" w:ascii="Cambria Math" w:hAnsi="Cambria Math" w:cs="Times New Roman"/>
                      <w:color w:val="auto"/>
                    </w:rPr>
                  </m:ctrlPr>
                </m:sub>
              </m:sSub>
            </m:oMath>
            <w:r>
              <w:rPr>
                <w:color w:val="auto"/>
              </w:rPr>
              <w:t xml:space="preserve"> weighted by </w:t>
            </w:r>
            <m:oMath>
              <m:r>
                <m:rPr>
                  <m:sty m:val="p"/>
                </m:rPr>
                <w:rPr>
                  <w:rFonts w:hint="default" w:ascii="Cambria Math" w:hAnsi="Cambria Math"/>
                  <w:color w:val="auto"/>
                </w:rPr>
                <m:t>W</m:t>
              </m:r>
            </m:oMath>
          </w:p>
        </w:tc>
      </w:tr>
      <w:tr w14:paraId="07E49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4988DD2">
            <w:pPr>
              <w:pStyle w:val="26"/>
              <w:numPr>
                <w:ilvl w:val="0"/>
                <w:numId w:val="8"/>
              </w:numPr>
              <w:jc w:val="left"/>
              <w:rPr>
                <w:rFonts w:hint="default"/>
                <w:color w:val="auto"/>
              </w:rPr>
            </w:pPr>
            <w:r>
              <w:rPr>
                <w:color w:val="auto"/>
              </w:rPr>
              <w:t xml:space="preserve">   </w:t>
            </w:r>
            <m:oMath>
              <m:sSub>
                <m:sSubPr>
                  <m:ctrlPr>
                    <w:rPr>
                      <w:rFonts w:hint="default" w:ascii="Cambria Math" w:hAnsi="Cambria Math" w:cs="Times New Roman"/>
                      <w:color w:val="auto"/>
                    </w:rPr>
                  </m:ctrlPr>
                </m:sSubPr>
                <m:e>
                  <m:r>
                    <m:rPr>
                      <m:nor/>
                      <m:sty m:val="p"/>
                    </m:rPr>
                    <w:rPr>
                      <w:rFonts w:hint="default" w:cs="Times New Roman"/>
                      <w:b w:val="0"/>
                      <w:i w:val="0"/>
                      <w:color w:val="auto"/>
                    </w:rPr>
                    <m:t>S</m:t>
                  </m:r>
                  <m:ctrlPr>
                    <w:rPr>
                      <w:rFonts w:hint="default" w:ascii="Cambria Math" w:hAnsi="Cambria Math" w:cs="Times New Roman"/>
                      <w:color w:val="auto"/>
                    </w:rPr>
                  </m:ctrlPr>
                </m:e>
                <m:sub>
                  <m:r>
                    <m:rPr>
                      <m:nor/>
                      <m:sty m:val="p"/>
                    </m:rPr>
                    <w:rPr>
                      <w:rFonts w:hint="default" w:cs="Times New Roman"/>
                      <w:b w:val="0"/>
                      <w:i w:val="0"/>
                      <w:color w:val="auto"/>
                    </w:rPr>
                    <m:t>final</m:t>
                  </m:r>
                  <m:ctrlPr>
                    <w:rPr>
                      <w:rFonts w:hint="default" w:ascii="Cambria Math" w:hAnsi="Cambria Math" w:cs="Times New Roman"/>
                      <w:color w:val="auto"/>
                    </w:rPr>
                  </m:ctrlPr>
                </m:sub>
              </m:sSub>
              <m:r>
                <m:rPr>
                  <m:nor/>
                  <m:sty m:val="p"/>
                </m:rPr>
                <w:rPr>
                  <w:rFonts w:hint="default" w:cs="Times New Roman"/>
                  <w:b w:val="0"/>
                  <w:i w:val="0"/>
                  <w:color w:val="auto"/>
                </w:rPr>
                <m:t>←</m:t>
              </m:r>
              <m:sSub>
                <m:sSubPr>
                  <m:ctrlPr>
                    <w:rPr>
                      <w:rFonts w:hint="default" w:ascii="Cambria Math" w:hAnsi="Cambria Math" w:cs="Times New Roman"/>
                      <w:color w:val="auto"/>
                    </w:rPr>
                  </m:ctrlPr>
                </m:sSubPr>
                <m:e>
                  <m:r>
                    <m:rPr>
                      <m:nor/>
                      <m:sty m:val="p"/>
                    </m:rPr>
                    <w:rPr>
                      <w:rFonts w:hint="default" w:cs="Times New Roman"/>
                      <w:b w:val="0"/>
                      <w:i w:val="0"/>
                      <w:color w:val="auto"/>
                    </w:rPr>
                    <m:t>S</m:t>
                  </m:r>
                  <m:ctrlPr>
                    <w:rPr>
                      <w:rFonts w:hint="default" w:ascii="Cambria Math" w:hAnsi="Cambria Math" w:cs="Times New Roman"/>
                      <w:color w:val="auto"/>
                    </w:rPr>
                  </m:ctrlPr>
                </m:e>
                <m:sub>
                  <m:r>
                    <m:rPr>
                      <m:nor/>
                      <m:sty m:val="p"/>
                    </m:rPr>
                    <w:rPr>
                      <w:rFonts w:hint="default" w:cs="Times New Roman"/>
                      <w:b w:val="0"/>
                      <w:i w:val="0"/>
                      <w:color w:val="auto"/>
                    </w:rPr>
                    <m:t>base</m:t>
                  </m:r>
                  <m:ctrlPr>
                    <w:rPr>
                      <w:rFonts w:hint="default" w:ascii="Cambria Math" w:hAnsi="Cambria Math" w:cs="Times New Roman"/>
                      <w:color w:val="auto"/>
                    </w:rPr>
                  </m:ctrlPr>
                </m:sub>
              </m:sSub>
              <m:r>
                <m:rPr>
                  <m:nor/>
                  <m:sty m:val="p"/>
                </m:rPr>
                <w:rPr>
                  <w:rFonts w:hint="default" w:cs="Times New Roman"/>
                  <w:b w:val="0"/>
                  <w:i w:val="0"/>
                  <w:color w:val="auto"/>
                </w:rPr>
                <m:t>∪</m:t>
              </m:r>
              <m:sSub>
                <m:sSubPr>
                  <m:ctrlPr>
                    <w:rPr>
                      <w:rFonts w:hint="default" w:ascii="Cambria Math" w:hAnsi="Cambria Math" w:cs="Times New Roman"/>
                      <w:color w:val="auto"/>
                    </w:rPr>
                  </m:ctrlPr>
                </m:sSubPr>
                <m:e>
                  <m:r>
                    <m:rPr>
                      <m:nor/>
                      <m:sty m:val="p"/>
                    </m:rPr>
                    <w:rPr>
                      <w:rFonts w:hint="default" w:cs="Times New Roman"/>
                      <w:b w:val="0"/>
                      <w:i w:val="0"/>
                      <w:color w:val="auto"/>
                    </w:rPr>
                    <m:t>S</m:t>
                  </m:r>
                  <m:ctrlPr>
                    <w:rPr>
                      <w:rFonts w:hint="default" w:ascii="Cambria Math" w:hAnsi="Cambria Math" w:cs="Times New Roman"/>
                      <w:color w:val="auto"/>
                    </w:rPr>
                  </m:ctrlPr>
                </m:e>
                <m:sub>
                  <m:r>
                    <m:rPr>
                      <m:nor/>
                      <m:sty m:val="p"/>
                    </m:rPr>
                    <w:rPr>
                      <w:rFonts w:hint="default" w:cs="Times New Roman"/>
                      <w:b w:val="0"/>
                      <w:i w:val="0"/>
                      <w:color w:val="auto"/>
                    </w:rPr>
                    <m:t>extra</m:t>
                  </m:r>
                  <m:ctrlPr>
                    <w:rPr>
                      <w:rFonts w:hint="default" w:ascii="Cambria Math" w:hAnsi="Cambria Math" w:cs="Times New Roman"/>
                      <w:color w:val="auto"/>
                    </w:rPr>
                  </m:ctrlPr>
                </m:sub>
              </m:sSub>
            </m:oMath>
          </w:p>
        </w:tc>
      </w:tr>
      <w:tr w14:paraId="6C7B0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A331101">
            <w:pPr>
              <w:pStyle w:val="26"/>
              <w:numPr>
                <w:ilvl w:val="0"/>
                <w:numId w:val="8"/>
              </w:numPr>
              <w:jc w:val="left"/>
              <w:rPr>
                <w:rFonts w:hint="default"/>
                <w:color w:val="auto"/>
              </w:rPr>
            </w:pPr>
            <w:r>
              <w:rPr>
                <w:color w:val="auto"/>
              </w:rPr>
              <w:t>else</w:t>
            </w:r>
          </w:p>
        </w:tc>
      </w:tr>
      <w:tr w14:paraId="1C5B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tcPr>
          <w:p w14:paraId="6C4E809C">
            <w:pPr>
              <w:pStyle w:val="26"/>
              <w:numPr>
                <w:ilvl w:val="0"/>
                <w:numId w:val="8"/>
              </w:numPr>
              <w:jc w:val="left"/>
              <w:rPr>
                <w:rFonts w:hint="default"/>
                <w:color w:val="auto"/>
              </w:rPr>
            </w:pPr>
            <w:r>
              <w:rPr>
                <w:color w:val="auto"/>
              </w:rPr>
              <w:t xml:space="preserve">    </w:t>
            </w:r>
            <m:oMath>
              <m:sSub>
                <m:sSubPr>
                  <m:ctrlPr>
                    <w:rPr>
                      <w:rFonts w:hint="default" w:ascii="Cambria Math" w:hAnsi="Cambria Math" w:cs="Times New Roman"/>
                      <w:color w:val="auto"/>
                    </w:rPr>
                  </m:ctrlPr>
                </m:sSubPr>
                <m:e>
                  <m:r>
                    <m:rPr>
                      <m:nor/>
                      <m:sty m:val="p"/>
                    </m:rPr>
                    <w:rPr>
                      <w:rFonts w:hint="default" w:cs="Times New Roman"/>
                      <w:b w:val="0"/>
                      <w:i w:val="0"/>
                      <w:color w:val="auto"/>
                    </w:rPr>
                    <m:t>S</m:t>
                  </m:r>
                  <m:ctrlPr>
                    <w:rPr>
                      <w:rFonts w:hint="default" w:ascii="Cambria Math" w:hAnsi="Cambria Math" w:cs="Times New Roman"/>
                      <w:color w:val="auto"/>
                    </w:rPr>
                  </m:ctrlPr>
                </m:e>
                <m:sub>
                  <m:r>
                    <m:rPr>
                      <m:nor/>
                      <m:sty m:val="p"/>
                    </m:rPr>
                    <w:rPr>
                      <w:rFonts w:hint="default" w:cs="Times New Roman"/>
                      <w:b w:val="0"/>
                      <w:i w:val="0"/>
                      <w:color w:val="auto"/>
                    </w:rPr>
                    <m:t>final</m:t>
                  </m:r>
                  <m:ctrlPr>
                    <w:rPr>
                      <w:rFonts w:hint="default" w:ascii="Cambria Math" w:hAnsi="Cambria Math" w:cs="Times New Roman"/>
                      <w:color w:val="auto"/>
                    </w:rPr>
                  </m:ctrlPr>
                </m:sub>
              </m:sSub>
              <m:r>
                <m:rPr>
                  <m:nor/>
                  <m:sty m:val="p"/>
                </m:rPr>
                <w:rPr>
                  <w:rFonts w:hint="default" w:cs="Times New Roman"/>
                  <w:b w:val="0"/>
                  <w:i w:val="0"/>
                  <w:color w:val="auto"/>
                </w:rPr>
                <m:t>←</m:t>
              </m:r>
              <m:sSub>
                <m:sSubPr>
                  <m:ctrlPr>
                    <w:rPr>
                      <w:rFonts w:hint="default" w:ascii="Cambria Math" w:hAnsi="Cambria Math" w:cs="Times New Roman"/>
                      <w:color w:val="auto"/>
                    </w:rPr>
                  </m:ctrlPr>
                </m:sSubPr>
                <m:e>
                  <m:r>
                    <m:rPr>
                      <m:nor/>
                      <m:sty m:val="p"/>
                    </m:rPr>
                    <w:rPr>
                      <w:rFonts w:hint="default" w:cs="Times New Roman"/>
                      <w:b w:val="0"/>
                      <w:i w:val="0"/>
                      <w:color w:val="auto"/>
                    </w:rPr>
                    <m:t>S</m:t>
                  </m:r>
                  <m:ctrlPr>
                    <w:rPr>
                      <w:rFonts w:hint="default" w:ascii="Cambria Math" w:hAnsi="Cambria Math" w:cs="Times New Roman"/>
                      <w:color w:val="auto"/>
                    </w:rPr>
                  </m:ctrlPr>
                </m:e>
                <m:sub>
                  <m:r>
                    <m:rPr>
                      <m:nor/>
                      <m:sty m:val="p"/>
                    </m:rPr>
                    <w:rPr>
                      <w:rFonts w:hint="default" w:cs="Times New Roman"/>
                      <w:b w:val="0"/>
                      <w:i w:val="0"/>
                      <w:color w:val="auto"/>
                    </w:rPr>
                    <m:t>base</m:t>
                  </m:r>
                  <m:ctrlPr>
                    <w:rPr>
                      <w:rFonts w:hint="default" w:ascii="Cambria Math" w:hAnsi="Cambria Math" w:cs="Times New Roman"/>
                      <w:color w:val="auto"/>
                    </w:rPr>
                  </m:ctrlPr>
                </m:sub>
              </m:sSub>
            </m:oMath>
          </w:p>
        </w:tc>
      </w:tr>
      <w:tr w14:paraId="5E000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B684DEA">
            <w:pPr>
              <w:pStyle w:val="26"/>
              <w:numPr>
                <w:ilvl w:val="0"/>
                <w:numId w:val="8"/>
              </w:numPr>
              <w:jc w:val="left"/>
              <w:rPr>
                <w:rFonts w:hint="default"/>
                <w:color w:val="auto"/>
              </w:rPr>
            </w:pPr>
            <w:r>
              <w:rPr>
                <w:color w:val="auto"/>
              </w:rPr>
              <w:t>end if</w:t>
            </w:r>
          </w:p>
        </w:tc>
      </w:tr>
      <w:tr w14:paraId="7F74D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tcPr>
          <w:p w14:paraId="0CA0B090">
            <w:pPr>
              <w:pStyle w:val="26"/>
              <w:numPr>
                <w:ilvl w:val="0"/>
                <w:numId w:val="8"/>
              </w:numPr>
              <w:jc w:val="left"/>
              <w:rPr>
                <w:rFonts w:hint="default"/>
                <w:color w:val="auto"/>
              </w:rPr>
            </w:pPr>
            <w:r>
              <w:rPr>
                <w:rFonts w:hint="default"/>
                <w:color w:val="auto"/>
              </w:rPr>
              <w:t xml:space="preserve">return </w:t>
            </w:r>
            <m:oMath>
              <m:sSub>
                <m:sSubPr>
                  <m:ctrlPr>
                    <w:rPr>
                      <w:rFonts w:hint="default" w:ascii="Cambria Math" w:hAnsi="Cambria Math" w:cs="Times New Roman"/>
                      <w:color w:val="auto"/>
                    </w:rPr>
                  </m:ctrlPr>
                </m:sSubPr>
                <m:e>
                  <m:r>
                    <m:rPr>
                      <m:nor/>
                      <m:sty m:val="p"/>
                    </m:rPr>
                    <w:rPr>
                      <w:rFonts w:hint="default" w:cs="Times New Roman"/>
                      <w:b w:val="0"/>
                      <w:i w:val="0"/>
                      <w:color w:val="auto"/>
                    </w:rPr>
                    <m:t>S</m:t>
                  </m:r>
                  <m:ctrlPr>
                    <w:rPr>
                      <w:rFonts w:hint="default" w:ascii="Cambria Math" w:hAnsi="Cambria Math" w:cs="Times New Roman"/>
                      <w:color w:val="auto"/>
                    </w:rPr>
                  </m:ctrlPr>
                </m:e>
                <m:sub>
                  <m:r>
                    <m:rPr>
                      <m:nor/>
                      <m:sty m:val="p"/>
                    </m:rPr>
                    <w:rPr>
                      <w:rFonts w:hint="default" w:cs="Times New Roman"/>
                      <w:b w:val="0"/>
                      <w:i w:val="0"/>
                      <w:color w:val="auto"/>
                    </w:rPr>
                    <m:t>final</m:t>
                  </m:r>
                  <m:ctrlPr>
                    <w:rPr>
                      <w:rFonts w:hint="default" w:ascii="Cambria Math" w:hAnsi="Cambria Math" w:cs="Times New Roman"/>
                      <w:color w:val="auto"/>
                    </w:rPr>
                  </m:ctrlPr>
                </m:sub>
              </m:sSub>
            </m:oMath>
          </w:p>
        </w:tc>
      </w:tr>
    </w:tbl>
    <w:p w14:paraId="372D596D">
      <w:pPr>
        <w:ind w:firstLine="480"/>
        <w:rPr>
          <w:rFonts w:hint="eastAsia"/>
          <w:color w:val="auto"/>
        </w:rPr>
      </w:pPr>
    </w:p>
    <w:p w14:paraId="6DA417CC">
      <w:pPr>
        <w:numPr>
          <w:ilvl w:val="0"/>
          <w:numId w:val="9"/>
        </w:numPr>
        <w:ind w:firstLine="480"/>
        <w:rPr>
          <w:color w:val="auto"/>
        </w:rPr>
      </w:pPr>
      <w:r>
        <w:rPr>
          <w:rFonts w:hint="eastAsia"/>
          <w:color w:val="auto"/>
        </w:rPr>
        <w:t>基础比例与最小阈值抽样</w:t>
      </w:r>
    </w:p>
    <w:p w14:paraId="4B31DF13">
      <w:pPr>
        <w:ind w:firstLine="480"/>
        <w:rPr>
          <w:color w:val="auto"/>
        </w:rPr>
      </w:pPr>
      <w:r>
        <w:rPr>
          <w:rFonts w:hint="eastAsia"/>
          <w:color w:val="auto"/>
        </w:rPr>
        <w:t>第一个步骤是遍历每个一级类别下面的所有二级类别</w:t>
      </w:r>
      <m:oMath>
        <m:sSub>
          <m:sSubPr>
            <m:ctrlPr>
              <w:rPr>
                <w:rFonts w:ascii="Cambria Math" w:hAnsi="Cambria Math" w:cs="Times New Roman"/>
                <w:color w:val="auto"/>
              </w:rPr>
            </m:ctrlPr>
          </m:sSubPr>
          <m:e>
            <m:r>
              <m:rPr>
                <m:nor/>
                <m:sty m:val="p"/>
              </m:rPr>
              <w:rPr>
                <w:rFonts w:cs="Times New Roman"/>
                <w:b w:val="0"/>
                <w:i w:val="0"/>
                <w:color w:val="auto"/>
              </w:rPr>
              <m:t>C</m:t>
            </m:r>
            <m:ctrlPr>
              <w:rPr>
                <w:rFonts w:ascii="Cambria Math" w:hAnsi="Cambria Math" w:cs="Times New Roman"/>
                <w:color w:val="auto"/>
              </w:rPr>
            </m:ctrlPr>
          </m:e>
          <m:sub>
            <m:r>
              <m:rPr>
                <m:nor/>
                <m:sty m:val="p"/>
              </m:rPr>
              <w:rPr>
                <w:rFonts w:cs="Times New Roman"/>
                <w:b w:val="0"/>
                <w:i w:val="0"/>
                <w:color w:val="auto"/>
              </w:rPr>
              <m:t>sec</m:t>
            </m:r>
            <m:ctrlPr>
              <w:rPr>
                <w:rFonts w:ascii="Cambria Math" w:hAnsi="Cambria Math" w:cs="Times New Roman"/>
                <w:color w:val="auto"/>
              </w:rPr>
            </m:ctrlPr>
          </m:sub>
        </m:sSub>
      </m:oMath>
      <w:r>
        <w:rPr>
          <w:rFonts w:hint="eastAsia"/>
          <w:color w:val="auto"/>
        </w:rPr>
        <w:t>。由于长尾类别在固定比例下采样的时候容易导致此类别样本数量不足，因此本文设置了一个最小样本数</w:t>
      </w:r>
      <m:oMath>
        <m:r>
          <m:rPr>
            <m:sty m:val="p"/>
          </m:rPr>
          <w:rPr>
            <w:rFonts w:ascii="Cambria Math" w:hAnsi="Cambria Math"/>
            <w:color w:val="auto"/>
          </w:rPr>
          <m:t>τ</m:t>
        </m:r>
      </m:oMath>
      <w:r>
        <w:rPr>
          <w:rFonts w:hint="eastAsia"/>
          <w:color w:val="auto"/>
        </w:rPr>
        <w:t>。对于每个二级类别</w:t>
      </w:r>
      <m:oMath>
        <m:r>
          <m:rPr>
            <m:sty m:val="p"/>
          </m:rPr>
          <w:rPr>
            <w:rFonts w:ascii="Cambria Math" w:hAnsi="Cambria Math"/>
            <w:color w:val="auto"/>
          </w:rPr>
          <m:t>i</m:t>
        </m:r>
      </m:oMath>
      <w:r>
        <w:rPr>
          <w:rFonts w:hint="eastAsia"/>
          <w:color w:val="auto"/>
        </w:rPr>
        <w:t>，令其总样本数目为</w:t>
      </w:r>
      <m:oMath>
        <m:sSub>
          <m:sSubPr>
            <m:ctrlPr>
              <w:rPr>
                <w:rFonts w:ascii="Cambria Math" w:hAnsi="Cambria Math" w:cs="Times New Roman"/>
                <w:color w:val="auto"/>
              </w:rPr>
            </m:ctrlPr>
          </m:sSubPr>
          <m:e>
            <m:r>
              <m:rPr>
                <m:nor/>
                <m:sty m:val="p"/>
              </m:rPr>
              <w:rPr>
                <w:rFonts w:cs="Times New Roman"/>
                <w:b w:val="0"/>
                <w:i w:val="0"/>
                <w:color w:val="auto"/>
              </w:rPr>
              <m:t>N</m:t>
            </m:r>
            <m:ctrlPr>
              <w:rPr>
                <w:rFonts w:ascii="Cambria Math" w:hAnsi="Cambria Math" w:cs="Times New Roman"/>
                <w:color w:val="auto"/>
              </w:rPr>
            </m:ctrlPr>
          </m:e>
          <m:sub>
            <m:r>
              <m:rPr>
                <m:nor/>
                <m:sty m:val="p"/>
              </m:rPr>
              <w:rPr>
                <w:rFonts w:cs="Times New Roman"/>
                <w:b w:val="0"/>
                <w:i w:val="0"/>
                <w:color w:val="auto"/>
              </w:rPr>
              <m:t>i</m:t>
            </m:r>
            <m:ctrlPr>
              <w:rPr>
                <w:rFonts w:ascii="Cambria Math" w:hAnsi="Cambria Math" w:cs="Times New Roman"/>
                <w:color w:val="auto"/>
              </w:rPr>
            </m:ctrlPr>
          </m:sub>
        </m:sSub>
      </m:oMath>
      <w:r>
        <w:rPr>
          <w:rFonts w:hint="eastAsia"/>
          <w:color w:val="auto"/>
        </w:rPr>
        <w:t>，那么就有如下步骤：如果</w:t>
      </w:r>
      <m:oMath>
        <m:sSub>
          <m:sSubPr>
            <m:ctrlPr>
              <w:rPr>
                <w:rFonts w:ascii="Cambria Math" w:hAnsi="Cambria Math" w:cs="Times New Roman"/>
                <w:color w:val="auto"/>
              </w:rPr>
            </m:ctrlPr>
          </m:sSubPr>
          <m:e>
            <m:r>
              <m:rPr>
                <m:nor/>
                <m:sty m:val="p"/>
              </m:rPr>
              <w:rPr>
                <w:rFonts w:cs="Times New Roman"/>
                <w:b w:val="0"/>
                <w:i w:val="0"/>
                <w:color w:val="auto"/>
              </w:rPr>
              <m:t>N</m:t>
            </m:r>
            <m:ctrlPr>
              <w:rPr>
                <w:rFonts w:ascii="Cambria Math" w:hAnsi="Cambria Math" w:cs="Times New Roman"/>
                <w:color w:val="auto"/>
              </w:rPr>
            </m:ctrlPr>
          </m:e>
          <m:sub>
            <m:r>
              <m:rPr>
                <m:nor/>
                <m:sty m:val="p"/>
              </m:rPr>
              <w:rPr>
                <w:rFonts w:cs="Times New Roman"/>
                <w:b w:val="0"/>
                <w:i w:val="0"/>
                <w:color w:val="auto"/>
              </w:rPr>
              <m:t>i</m:t>
            </m:r>
            <m:ctrlPr>
              <w:rPr>
                <w:rFonts w:ascii="Cambria Math" w:hAnsi="Cambria Math" w:cs="Times New Roman"/>
                <w:color w:val="auto"/>
              </w:rPr>
            </m:ctrlPr>
          </m:sub>
        </m:sSub>
        <m:r>
          <m:rPr>
            <m:nor/>
            <m:sty m:val="p"/>
          </m:rPr>
          <w:rPr>
            <w:rFonts w:cs="Times New Roman"/>
            <w:b w:val="0"/>
            <w:i w:val="0"/>
            <w:color w:val="auto"/>
          </w:rPr>
          <m:t>≤τ</m:t>
        </m:r>
      </m:oMath>
      <w:r>
        <w:rPr>
          <w:rFonts w:hint="eastAsia"/>
          <w:color w:val="auto"/>
        </w:rPr>
        <w:t>，那么这个类别的所有样本都会被选取，尽可能多地保留这些稀有类别信息；否则当</w:t>
      </w:r>
      <m:oMath>
        <m:sSub>
          <m:sSubPr>
            <m:ctrlPr>
              <w:rPr>
                <w:rFonts w:ascii="Cambria Math" w:hAnsi="Cambria Math"/>
                <w:color w:val="auto"/>
              </w:rPr>
            </m:ctrlPr>
          </m:sSubPr>
          <m:e>
            <m:r>
              <m:rPr>
                <m:sty m:val="p"/>
              </m:rPr>
              <w:rPr>
                <w:rFonts w:ascii="Cambria Math" w:hAnsi="Cambria Math"/>
                <w:color w:val="auto"/>
              </w:rPr>
              <m:t>N</m:t>
            </m:r>
            <m:ctrlPr>
              <w:rPr>
                <w:rFonts w:ascii="Cambria Math" w:hAnsi="Cambria Math"/>
                <w:color w:val="auto"/>
              </w:rPr>
            </m:ctrlPr>
          </m:e>
          <m:sub>
            <m:r>
              <m:rPr>
                <m:sty m:val="p"/>
              </m:rPr>
              <w:rPr>
                <w:rFonts w:ascii="Cambria Math" w:hAnsi="Cambria Math"/>
                <w:color w:val="auto"/>
              </w:rPr>
              <m:t>i</m:t>
            </m:r>
            <m:ctrlPr>
              <w:rPr>
                <w:rFonts w:ascii="Cambria Math" w:hAnsi="Cambria Math"/>
                <w:color w:val="auto"/>
              </w:rPr>
            </m:ctrlPr>
          </m:sub>
        </m:sSub>
        <m:r>
          <m:rPr>
            <m:sty m:val="p"/>
          </m:rPr>
          <w:rPr>
            <w:rFonts w:ascii="Cambria Math" w:hAnsi="Cambria Math"/>
            <w:color w:val="auto"/>
          </w:rPr>
          <m:t>&gt;τ</m:t>
        </m:r>
      </m:oMath>
      <w:r>
        <w:rPr>
          <w:rFonts w:hint="eastAsia"/>
          <w:color w:val="auto"/>
        </w:rPr>
        <w:t>时</w:t>
      </w:r>
      <w:r>
        <w:rPr>
          <w:rFonts w:hint="eastAsia" w:hAnsi="Cambria Math"/>
          <w:color w:val="auto"/>
        </w:rPr>
        <w:t>，</w:t>
      </w:r>
      <w:r>
        <w:rPr>
          <w:rFonts w:hint="eastAsia"/>
          <w:color w:val="auto"/>
        </w:rPr>
        <w:t>根据比例</w:t>
      </w:r>
      <m:oMath>
        <m:r>
          <m:rPr>
            <m:nor/>
            <m:sty m:val="p"/>
          </m:rPr>
          <w:rPr>
            <w:rFonts w:cs="Times New Roman"/>
            <w:b w:val="0"/>
            <w:i w:val="0"/>
            <w:color w:val="auto"/>
          </w:rPr>
          <m:t>α</m:t>
        </m:r>
      </m:oMath>
      <w:r>
        <w:rPr>
          <w:rFonts w:hint="eastAsia"/>
          <w:color w:val="auto"/>
        </w:rPr>
        <w:t>计算出需要采样的样本数量</w:t>
      </w:r>
      <m:oMath>
        <m:sSub>
          <m:sSubPr>
            <m:ctrlPr>
              <w:rPr>
                <w:rFonts w:ascii="Cambria Math" w:hAnsi="Cambria Math" w:cs="Times New Roman"/>
                <w:color w:val="auto"/>
              </w:rPr>
            </m:ctrlPr>
          </m:sSubPr>
          <m:e>
            <m:r>
              <m:rPr>
                <m:nor/>
                <m:sty m:val="p"/>
              </m:rPr>
              <w:rPr>
                <w:rFonts w:cs="Times New Roman"/>
                <w:b w:val="0"/>
                <w:i w:val="0"/>
                <w:color w:val="auto"/>
              </w:rPr>
              <m:t>n</m:t>
            </m:r>
            <m:ctrlPr>
              <w:rPr>
                <w:rFonts w:ascii="Cambria Math" w:hAnsi="Cambria Math" w:cs="Times New Roman"/>
                <w:color w:val="auto"/>
              </w:rPr>
            </m:ctrlPr>
          </m:e>
          <m:sub>
            <m:r>
              <m:rPr>
                <m:nor/>
                <m:sty m:val="p"/>
              </m:rPr>
              <w:rPr>
                <w:rFonts w:cs="Times New Roman"/>
                <w:b w:val="0"/>
                <w:i w:val="0"/>
                <w:color w:val="auto"/>
              </w:rPr>
              <m:t>prop</m:t>
            </m:r>
            <m:ctrlPr>
              <w:rPr>
                <w:rFonts w:ascii="Cambria Math" w:hAnsi="Cambria Math" w:cs="Times New Roman"/>
                <w:color w:val="auto"/>
              </w:rPr>
            </m:ctrlPr>
          </m:sub>
        </m:sSub>
        <m:r>
          <m:rPr>
            <m:nor/>
            <m:sty m:val="p"/>
          </m:rPr>
          <w:rPr>
            <w:rFonts w:cs="Times New Roman"/>
            <w:b w:val="0"/>
            <w:i w:val="0"/>
            <w:color w:val="auto"/>
          </w:rPr>
          <m:t>=</m:t>
        </m:r>
        <m:r>
          <m:rPr>
            <m:nor/>
            <m:sty m:val="p"/>
          </m:rPr>
          <w:rPr>
            <w:rFonts w:ascii="Cambria" w:hAnsi="Cambria" w:cs="Cambria"/>
            <w:b w:val="0"/>
            <w:i w:val="0"/>
            <w:color w:val="auto"/>
          </w:rPr>
          <m:t>⌈</m:t>
        </m:r>
        <m:sSub>
          <m:sSubPr>
            <m:ctrlPr>
              <w:rPr>
                <w:rFonts w:ascii="Cambria Math" w:hAnsi="Cambria Math" w:cs="Times New Roman"/>
                <w:color w:val="auto"/>
              </w:rPr>
            </m:ctrlPr>
          </m:sSubPr>
          <m:e>
            <m:r>
              <m:rPr>
                <m:nor/>
                <m:sty m:val="p"/>
              </m:rPr>
              <w:rPr>
                <w:rFonts w:cs="Times New Roman"/>
                <w:b w:val="0"/>
                <w:i w:val="0"/>
                <w:color w:val="auto"/>
              </w:rPr>
              <m:t>N</m:t>
            </m:r>
            <m:ctrlPr>
              <w:rPr>
                <w:rFonts w:ascii="Cambria Math" w:hAnsi="Cambria Math" w:cs="Times New Roman"/>
                <w:color w:val="auto"/>
              </w:rPr>
            </m:ctrlPr>
          </m:e>
          <m:sub>
            <m:r>
              <m:rPr>
                <m:nor/>
                <m:sty m:val="p"/>
              </m:rPr>
              <w:rPr>
                <w:rFonts w:cs="Times New Roman"/>
                <w:b w:val="0"/>
                <w:i w:val="0"/>
                <w:color w:val="auto"/>
              </w:rPr>
              <m:t>i</m:t>
            </m:r>
            <m:ctrlPr>
              <w:rPr>
                <w:rFonts w:ascii="Cambria Math" w:hAnsi="Cambria Math" w:cs="Times New Roman"/>
                <w:color w:val="auto"/>
              </w:rPr>
            </m:ctrlPr>
          </m:sub>
        </m:sSub>
        <m:r>
          <m:rPr>
            <m:nor/>
            <m:sty m:val="p"/>
          </m:rPr>
          <w:rPr>
            <w:rFonts w:cs="Times New Roman"/>
            <w:b w:val="0"/>
            <w:i w:val="0"/>
            <w:color w:val="auto"/>
          </w:rPr>
          <m:t>×α</m:t>
        </m:r>
        <m:r>
          <m:rPr>
            <m:nor/>
            <m:sty m:val="p"/>
          </m:rPr>
          <w:rPr>
            <w:rFonts w:ascii="Cambria" w:hAnsi="Cambria" w:cs="Cambria"/>
            <w:b w:val="0"/>
            <w:i w:val="0"/>
            <w:color w:val="auto"/>
          </w:rPr>
          <m:t>⌉</m:t>
        </m:r>
      </m:oMath>
      <w:r>
        <w:rPr>
          <w:rFonts w:hint="eastAsia"/>
          <w:color w:val="auto"/>
        </w:rPr>
        <w:t>，最后选取的数量为</w:t>
      </w:r>
      <m:oMath>
        <m:sSub>
          <m:sSubPr>
            <m:ctrlPr>
              <w:rPr>
                <w:rFonts w:ascii="Cambria Math" w:hAnsi="Cambria Math" w:cs="Times New Roman"/>
                <w:color w:val="auto"/>
              </w:rPr>
            </m:ctrlPr>
          </m:sSubPr>
          <m:e>
            <m:r>
              <m:rPr>
                <m:nor/>
                <m:sty m:val="p"/>
              </m:rPr>
              <w:rPr>
                <w:rFonts w:cs="Times New Roman"/>
                <w:b w:val="0"/>
                <w:i w:val="0"/>
                <w:color w:val="auto"/>
              </w:rPr>
              <m:t>n</m:t>
            </m:r>
            <m:ctrlPr>
              <w:rPr>
                <w:rFonts w:ascii="Cambria Math" w:hAnsi="Cambria Math" w:cs="Times New Roman"/>
                <w:color w:val="auto"/>
              </w:rPr>
            </m:ctrlPr>
          </m:e>
          <m:sub>
            <m:r>
              <m:rPr>
                <m:nor/>
                <m:sty m:val="p"/>
              </m:rPr>
              <w:rPr>
                <w:rFonts w:cs="Times New Roman"/>
                <w:b w:val="0"/>
                <w:i w:val="0"/>
                <w:color w:val="auto"/>
              </w:rPr>
              <m:t>final</m:t>
            </m:r>
            <m:ctrlPr>
              <w:rPr>
                <w:rFonts w:ascii="Cambria Math" w:hAnsi="Cambria Math" w:cs="Times New Roman"/>
                <w:color w:val="auto"/>
              </w:rPr>
            </m:ctrlPr>
          </m:sub>
        </m:sSub>
        <m:r>
          <m:rPr>
            <m:nor/>
            <m:sty m:val="p"/>
          </m:rPr>
          <w:rPr>
            <w:rFonts w:cs="Times New Roman"/>
            <w:b w:val="0"/>
            <w:i w:val="0"/>
            <w:color w:val="auto"/>
          </w:rPr>
          <m:t>=</m:t>
        </m:r>
        <m:func>
          <m:funcPr>
            <m:ctrlPr>
              <w:rPr>
                <w:rFonts w:ascii="Cambria Math" w:hAnsi="Cambria Math" w:cs="Times New Roman"/>
                <w:color w:val="auto"/>
              </w:rPr>
            </m:ctrlPr>
          </m:funcPr>
          <m:fName>
            <m:r>
              <m:rPr>
                <m:nor/>
                <m:sty m:val="p"/>
              </m:rPr>
              <w:rPr>
                <w:rFonts w:cs="Times New Roman"/>
                <w:b w:val="0"/>
                <w:i w:val="0"/>
                <w:color w:val="auto"/>
              </w:rPr>
              <m:t>max</m:t>
            </m:r>
            <m:ctrlPr>
              <w:rPr>
                <w:rFonts w:ascii="Cambria Math" w:hAnsi="Cambria Math" w:cs="Times New Roman"/>
                <w:color w:val="auto"/>
              </w:rPr>
            </m:ctrlPr>
          </m:fName>
          <m:e>
            <m:r>
              <m:rPr>
                <m:nor/>
                <m:sty m:val="p"/>
              </m:rPr>
              <w:rPr>
                <w:rFonts w:cs="Times New Roman"/>
                <w:b w:val="0"/>
                <w:i w:val="0"/>
                <w:color w:val="auto"/>
              </w:rPr>
              <m:t>(</m:t>
            </m:r>
            <m:ctrlPr>
              <w:rPr>
                <w:rFonts w:ascii="Cambria Math" w:hAnsi="Cambria Math" w:cs="Times New Roman"/>
                <w:color w:val="auto"/>
              </w:rPr>
            </m:ctrlPr>
          </m:e>
        </m:func>
        <m:sSub>
          <m:sSubPr>
            <m:ctrlPr>
              <w:rPr>
                <w:rFonts w:ascii="Cambria Math" w:hAnsi="Cambria Math" w:cs="Times New Roman"/>
                <w:color w:val="auto"/>
              </w:rPr>
            </m:ctrlPr>
          </m:sSubPr>
          <m:e>
            <m:r>
              <m:rPr>
                <m:nor/>
                <m:sty m:val="p"/>
              </m:rPr>
              <w:rPr>
                <w:rFonts w:cs="Times New Roman"/>
                <w:b w:val="0"/>
                <w:i w:val="0"/>
                <w:color w:val="auto"/>
              </w:rPr>
              <m:t>n</m:t>
            </m:r>
            <m:ctrlPr>
              <w:rPr>
                <w:rFonts w:ascii="Cambria Math" w:hAnsi="Cambria Math" w:cs="Times New Roman"/>
                <w:color w:val="auto"/>
              </w:rPr>
            </m:ctrlPr>
          </m:e>
          <m:sub>
            <m:r>
              <m:rPr>
                <m:nor/>
                <m:sty m:val="p"/>
              </m:rPr>
              <w:rPr>
                <w:rFonts w:cs="Times New Roman"/>
                <w:b w:val="0"/>
                <w:i w:val="0"/>
                <w:color w:val="auto"/>
              </w:rPr>
              <m:t>prop</m:t>
            </m:r>
            <m:ctrlPr>
              <w:rPr>
                <w:rFonts w:ascii="Cambria Math" w:hAnsi="Cambria Math" w:cs="Times New Roman"/>
                <w:color w:val="auto"/>
              </w:rPr>
            </m:ctrlPr>
          </m:sub>
        </m:sSub>
        <m:r>
          <m:rPr>
            <m:nor/>
            <m:sty m:val="p"/>
          </m:rPr>
          <w:rPr>
            <w:rFonts w:cs="Times New Roman"/>
            <w:b w:val="0"/>
            <w:i w:val="0"/>
            <w:color w:val="auto"/>
          </w:rPr>
          <m:t>,τ)</m:t>
        </m:r>
      </m:oMath>
      <w:r>
        <w:rPr>
          <w:rFonts w:hint="eastAsia" w:hAnsi="Cambria Math"/>
          <w:color w:val="auto"/>
        </w:rPr>
        <w:t>，</w:t>
      </w:r>
      <w:r>
        <w:rPr>
          <w:rFonts w:hint="eastAsia"/>
          <w:color w:val="auto"/>
        </w:rPr>
        <w:t>这样可以保证主要类别的比例被放大，但是长尾类别的曝光度最小。</w:t>
      </w:r>
    </w:p>
    <w:p w14:paraId="5347C061">
      <w:pPr>
        <w:numPr>
          <w:ilvl w:val="0"/>
          <w:numId w:val="9"/>
        </w:numPr>
        <w:ind w:firstLine="480"/>
        <w:rPr>
          <w:color w:val="auto"/>
        </w:rPr>
      </w:pPr>
      <w:r>
        <w:rPr>
          <w:rFonts w:hint="eastAsia"/>
          <w:color w:val="auto"/>
        </w:rPr>
        <w:t>总量保底填充</w:t>
      </w:r>
    </w:p>
    <w:p w14:paraId="02AC3956">
      <w:pPr>
        <w:ind w:firstLine="420" w:firstLineChars="0"/>
        <w:rPr>
          <w:color w:val="auto"/>
        </w:rPr>
      </w:pPr>
      <w:r>
        <w:rPr>
          <w:rFonts w:hint="eastAsia"/>
          <w:color w:val="auto"/>
        </w:rPr>
        <w:t>基础抽样结束后，程序判断已抽取样本总数</w:t>
      </w:r>
      <m:oMath>
        <m:r>
          <m:rPr>
            <m:nor/>
            <m:sty m:val="p"/>
          </m:rPr>
          <w:rPr>
            <w:rFonts w:cs="Times New Roman"/>
            <w:b w:val="0"/>
            <w:i w:val="0"/>
            <w:color w:val="auto"/>
          </w:rPr>
          <m:t>S</m:t>
        </m:r>
      </m:oMath>
      <w:r>
        <w:rPr>
          <w:rFonts w:hint="eastAsia"/>
          <w:color w:val="auto"/>
        </w:rPr>
        <w:t>是否小于所需的最小数量</w:t>
      </w:r>
      <m:oMath>
        <m:r>
          <m:rPr>
            <m:nor/>
            <m:sty m:val="p"/>
          </m:rPr>
          <w:rPr>
            <w:rFonts w:cs="Times New Roman"/>
            <w:b w:val="0"/>
            <w:i w:val="0"/>
            <w:color w:val="auto"/>
          </w:rPr>
          <m:t>M</m:t>
        </m:r>
      </m:oMath>
      <w:r>
        <w:rPr>
          <w:rFonts w:hint="eastAsia"/>
          <w:color w:val="auto"/>
        </w:rPr>
        <w:t>。若</w:t>
      </w:r>
      <m:oMath>
        <m:r>
          <m:rPr>
            <m:nor/>
            <m:sty m:val="p"/>
          </m:rPr>
          <w:rPr>
            <w:rFonts w:cs="Times New Roman"/>
            <w:b w:val="0"/>
            <w:i w:val="0"/>
            <w:color w:val="auto"/>
          </w:rPr>
          <m:t>S&lt;M</m:t>
        </m:r>
      </m:oMath>
      <w:r>
        <w:rPr>
          <w:rFonts w:hint="eastAsia"/>
          <w:color w:val="auto"/>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b w:val="0"/>
            <w:i w:val="0"/>
            <w:color w:val="auto"/>
          </w:rPr>
          <m:t>K=M-S</m:t>
        </m:r>
      </m:oMath>
      <w:r>
        <w:rPr>
          <w:rFonts w:hint="eastAsia"/>
          <w:color w:val="auto"/>
        </w:rPr>
        <w:t>，然后按照剩余数据中的各类别所占的比例为其分配相应的补充数量，最后将补充样本与基础样本合并得到最终的抽样结果。该抽样算法的伪代码见算法3-1。</w:t>
      </w:r>
    </w:p>
    <w:p w14:paraId="6927BA2A">
      <w:pPr>
        <w:ind w:firstLine="480" w:firstLineChars="200"/>
        <w:rPr>
          <w:color w:val="auto"/>
        </w:rPr>
      </w:pPr>
      <w:r>
        <w:rPr>
          <w:rFonts w:hint="eastAsia" w:ascii="宋体" w:hAnsi="宋体" w:cs="宋体"/>
          <w:color w:val="auto"/>
        </w:rPr>
        <w:t>综合考虑专家标注成本与评估结果的统计可靠性，本文将抽样算法中的参数设置为</w:t>
      </w:r>
      <m:oMath>
        <m:r>
          <m:rPr>
            <m:nor/>
            <m:sty m:val="p"/>
          </m:rPr>
          <w:rPr>
            <w:rFonts w:cs="Times New Roman"/>
            <w:b w:val="0"/>
            <w:i w:val="0"/>
            <w:color w:val="auto"/>
          </w:rPr>
          <m:t>α=0.012</m:t>
        </m:r>
      </m:oMath>
      <w:r>
        <w:rPr>
          <w:rFonts w:hint="eastAsia" w:ascii="宋体" w:hAnsi="宋体" w:cs="宋体"/>
          <w:color w:val="auto"/>
        </w:rPr>
        <w:t>、</w:t>
      </w:r>
      <m:oMath>
        <m:r>
          <m:rPr>
            <m:nor/>
            <m:sty m:val="p"/>
          </m:rPr>
          <w:rPr>
            <w:rFonts w:cs="Times New Roman"/>
            <w:b w:val="0"/>
            <w:i w:val="0"/>
            <w:color w:val="auto"/>
          </w:rPr>
          <m:t>τ=2</m:t>
        </m:r>
      </m:oMath>
      <w:r>
        <w:rPr>
          <w:rFonts w:hint="eastAsia" w:hAnsi="Cambria Math"/>
          <w:color w:val="auto"/>
        </w:rPr>
        <w:t>和</w:t>
      </w:r>
      <m:oMath>
        <m:r>
          <m:rPr>
            <m:nor/>
            <m:sty m:val="p"/>
          </m:rPr>
          <w:rPr>
            <w:rFonts w:cs="Times New Roman"/>
            <w:b w:val="0"/>
            <w:i w:val="0"/>
            <w:color w:val="auto"/>
          </w:rPr>
          <m:t>M=30</m:t>
        </m:r>
      </m:oMath>
      <w:r>
        <w:rPr>
          <w:rFonts w:hint="eastAsia" w:hAnsi="Cambria Math"/>
          <w:color w:val="auto"/>
        </w:rPr>
        <w:t>，最终</w:t>
      </w:r>
      <w:r>
        <w:rPr>
          <w:rFonts w:hint="eastAsia" w:ascii="宋体" w:hAnsi="宋体" w:cs="宋体"/>
          <w:color w:val="auto"/>
        </w:rPr>
        <w:t>获得的</w:t>
      </w:r>
      <w:r>
        <w:rPr>
          <w:rFonts w:hint="eastAsia" w:hAnsi="Cambria Math"/>
          <w:color w:val="auto"/>
        </w:rPr>
        <w:t>子集D2数据总量为1104条。</w:t>
      </w:r>
    </w:p>
    <w:p w14:paraId="64B66CC7">
      <w:pPr>
        <w:pStyle w:val="4"/>
        <w:numPr>
          <w:ilvl w:val="2"/>
          <w:numId w:val="1"/>
        </w:numPr>
        <w:rPr>
          <w:color w:val="auto"/>
        </w:rPr>
      </w:pPr>
      <w:bookmarkStart w:id="135" w:name="_Toc216114499"/>
      <w:bookmarkStart w:id="136" w:name="_Toc229086883"/>
      <w:bookmarkStart w:id="137" w:name="_Toc2185"/>
      <w:r>
        <w:rPr>
          <w:rFonts w:hint="eastAsia"/>
          <w:color w:val="auto"/>
        </w:rPr>
        <w:t>抽样结果评估</w:t>
      </w:r>
      <w:bookmarkEnd w:id="135"/>
      <w:bookmarkEnd w:id="136"/>
      <w:bookmarkEnd w:id="137"/>
    </w:p>
    <w:p w14:paraId="4577F0D3">
      <w:pPr>
        <w:ind w:firstLine="480"/>
        <w:rPr>
          <w:color w:val="auto"/>
        </w:rPr>
      </w:pPr>
      <w:r>
        <w:rPr>
          <w:rFonts w:hint="eastAsia"/>
          <w:color w:val="auto"/>
        </w:rPr>
        <w:t>为定量评估抽样结果的分布一致性，本研究采用JS散度来衡量子集D2和数据集D1在类内相似度上的差异。</w:t>
      </w:r>
    </w:p>
    <w:p w14:paraId="255EA306">
      <w:pPr>
        <w:ind w:firstLine="480"/>
        <w:rPr>
          <w:color w:val="auto"/>
        </w:rPr>
      </w:pPr>
      <w:r>
        <w:rPr>
          <w:rFonts w:hint="eastAsia"/>
          <w:color w:val="auto"/>
        </w:rPr>
        <w:t>本文引入类内相似度指标定量刻画不同类别样本在语义空间中的聚集程度.设数据集中共有</w:t>
      </w:r>
      <m:oMath>
        <m:r>
          <m:rPr>
            <m:nor/>
            <m:sty m:val="p"/>
          </m:rPr>
          <w:rPr>
            <w:rFonts w:cs="Times New Roman"/>
            <w:b w:val="0"/>
            <w:i w:val="0"/>
            <w:color w:val="auto"/>
          </w:rPr>
          <m:t>C</m:t>
        </m:r>
      </m:oMath>
      <w:r>
        <w:rPr>
          <w:rFonts w:hint="eastAsia"/>
          <w:color w:val="auto"/>
        </w:rPr>
        <w:t>个类别，第</w:t>
      </w:r>
      <m:oMath>
        <m:r>
          <m:rPr>
            <m:sty m:val="p"/>
          </m:rPr>
          <w:rPr>
            <w:rFonts w:ascii="Cambria Math" w:hAnsi="Cambria Math"/>
            <w:color w:val="auto"/>
          </w:rPr>
          <m:t>c</m:t>
        </m:r>
      </m:oMath>
      <w:r>
        <w:rPr>
          <w:rFonts w:hint="eastAsia"/>
          <w:color w:val="auto"/>
        </w:rPr>
        <w:t>类样本的集合记为</w:t>
      </w:r>
      <m:oMath>
        <m:sSub>
          <m:sSubPr>
            <m:ctrlPr>
              <w:rPr>
                <w:rFonts w:ascii="Cambria Math" w:hAnsi="Cambria Math" w:cs="Times New Roman"/>
                <w:color w:val="auto"/>
              </w:rPr>
            </m:ctrlPr>
          </m:sSubPr>
          <m:e>
            <m:r>
              <m:rPr>
                <m:nor/>
                <m:sty m:val="p"/>
              </m:rPr>
              <w:rPr>
                <w:rFonts w:cs="Times New Roman"/>
                <w:b w:val="0"/>
                <w:i w:val="0"/>
                <w:color w:val="auto"/>
              </w:rPr>
              <m:t>D</m:t>
            </m:r>
            <m:ctrlPr>
              <w:rPr>
                <w:rFonts w:ascii="Cambria Math" w:hAnsi="Cambria Math" w:cs="Times New Roman"/>
                <w:color w:val="auto"/>
              </w:rPr>
            </m:ctrlPr>
          </m:e>
          <m:sub>
            <m:r>
              <m:rPr>
                <m:nor/>
                <m:sty m:val="p"/>
              </m:rPr>
              <w:rPr>
                <w:rFonts w:cs="Times New Roman"/>
                <w:b w:val="0"/>
                <w:i w:val="0"/>
                <w:color w:val="auto"/>
              </w:rPr>
              <m:t>c</m:t>
            </m:r>
            <m:ctrlPr>
              <w:rPr>
                <w:rFonts w:ascii="Cambria Math" w:hAnsi="Cambria Math" w:cs="Times New Roman"/>
                <w:color w:val="auto"/>
              </w:rPr>
            </m:ctrlPr>
          </m:sub>
        </m:sSub>
        <m:r>
          <m:rPr>
            <m:nor/>
            <m:sty m:val="p"/>
          </m:rPr>
          <w:rPr>
            <w:rFonts w:cs="Times New Roman"/>
            <w:b w:val="0"/>
            <w:i w:val="0"/>
            <w:color w:val="auto"/>
          </w:rPr>
          <m:t>={</m:t>
        </m:r>
        <m:sSubSup>
          <m:sSubSupPr>
            <m:ctrlPr>
              <w:rPr>
                <w:rFonts w:ascii="Cambria Math" w:hAnsi="Cambria Math" w:cs="Times New Roman"/>
                <w:color w:val="auto"/>
              </w:rPr>
            </m:ctrlPr>
          </m:sSubSupPr>
          <m:e>
            <m:r>
              <m:rPr>
                <m:nor/>
                <m:sty m:val="p"/>
              </m:rPr>
              <w:rPr>
                <w:rFonts w:cs="Times New Roman"/>
                <w:b w:val="0"/>
                <w:i w:val="0"/>
                <w:color w:val="auto"/>
              </w:rPr>
              <m:t>x</m:t>
            </m:r>
            <m:ctrlPr>
              <w:rPr>
                <w:rFonts w:ascii="Cambria Math" w:hAnsi="Cambria Math" w:cs="Times New Roman"/>
                <w:color w:val="auto"/>
              </w:rPr>
            </m:ctrlPr>
          </m:e>
          <m:sub>
            <m:r>
              <m:rPr>
                <m:nor/>
                <m:sty m:val="p"/>
              </m:rPr>
              <w:rPr>
                <w:rFonts w:cs="Times New Roman"/>
                <w:b w:val="0"/>
                <w:i w:val="0"/>
                <w:color w:val="auto"/>
              </w:rPr>
              <m:t>1</m:t>
            </m:r>
            <m:ctrlPr>
              <w:rPr>
                <w:rFonts w:ascii="Cambria Math" w:hAnsi="Cambria Math" w:cs="Times New Roman"/>
                <w:color w:val="auto"/>
              </w:rPr>
            </m:ctrlPr>
          </m:sub>
          <m:sup>
            <m:r>
              <m:rPr>
                <m:nor/>
                <m:sty m:val="p"/>
              </m:rPr>
              <w:rPr>
                <w:rFonts w:cs="Times New Roman"/>
                <w:b w:val="0"/>
                <w:i w:val="0"/>
                <w:color w:val="auto"/>
              </w:rPr>
              <m:t>c</m:t>
            </m:r>
            <m:ctrlPr>
              <w:rPr>
                <w:rFonts w:ascii="Cambria Math" w:hAnsi="Cambria Math" w:cs="Times New Roman"/>
                <w:color w:val="auto"/>
              </w:rPr>
            </m:ctrlPr>
          </m:sup>
        </m:sSubSup>
        <m:r>
          <m:rPr>
            <m:nor/>
            <m:sty m:val="p"/>
          </m:rPr>
          <w:rPr>
            <w:rFonts w:cs="Times New Roman"/>
            <w:b w:val="0"/>
            <w:i w:val="0"/>
            <w:color w:val="auto"/>
          </w:rPr>
          <m:t>,</m:t>
        </m:r>
        <m:sSubSup>
          <m:sSubSupPr>
            <m:ctrlPr>
              <w:rPr>
                <w:rFonts w:ascii="Cambria Math" w:hAnsi="Cambria Math" w:cs="Times New Roman"/>
                <w:color w:val="auto"/>
              </w:rPr>
            </m:ctrlPr>
          </m:sSubSupPr>
          <m:e>
            <m:r>
              <m:rPr>
                <m:nor/>
                <m:sty m:val="p"/>
              </m:rPr>
              <w:rPr>
                <w:rFonts w:cs="Times New Roman"/>
                <w:b w:val="0"/>
                <w:i w:val="0"/>
                <w:color w:val="auto"/>
              </w:rPr>
              <m:t>x</m:t>
            </m:r>
            <m:ctrlPr>
              <w:rPr>
                <w:rFonts w:ascii="Cambria Math" w:hAnsi="Cambria Math" w:cs="Times New Roman"/>
                <w:color w:val="auto"/>
              </w:rPr>
            </m:ctrlPr>
          </m:e>
          <m:sub>
            <m:r>
              <m:rPr>
                <m:nor/>
                <m:sty m:val="p"/>
              </m:rPr>
              <w:rPr>
                <w:rFonts w:cs="Times New Roman"/>
                <w:b w:val="0"/>
                <w:i w:val="0"/>
                <w:color w:val="auto"/>
              </w:rPr>
              <m:t>2</m:t>
            </m:r>
            <m:ctrlPr>
              <w:rPr>
                <w:rFonts w:ascii="Cambria Math" w:hAnsi="Cambria Math" w:cs="Times New Roman"/>
                <w:color w:val="auto"/>
              </w:rPr>
            </m:ctrlPr>
          </m:sub>
          <m:sup>
            <m:r>
              <m:rPr>
                <m:nor/>
                <m:sty m:val="p"/>
              </m:rPr>
              <w:rPr>
                <w:rFonts w:cs="Times New Roman"/>
                <w:b w:val="0"/>
                <w:i w:val="0"/>
                <w:color w:val="auto"/>
              </w:rPr>
              <m:t>c</m:t>
            </m:r>
            <m:ctrlPr>
              <w:rPr>
                <w:rFonts w:ascii="Cambria Math" w:hAnsi="Cambria Math" w:cs="Times New Roman"/>
                <w:color w:val="auto"/>
              </w:rPr>
            </m:ctrlPr>
          </m:sup>
        </m:sSubSup>
        <m:r>
          <m:rPr>
            <m:nor/>
            <m:sty m:val="p"/>
          </m:rPr>
          <w:rPr>
            <w:rFonts w:cs="Times New Roman"/>
            <w:b w:val="0"/>
            <w:i w:val="0"/>
            <w:color w:val="auto"/>
          </w:rPr>
          <m:t>,…,</m:t>
        </m:r>
        <m:sSubSup>
          <m:sSubSupPr>
            <m:ctrlPr>
              <w:rPr>
                <w:rFonts w:ascii="Cambria Math" w:hAnsi="Cambria Math" w:cs="Times New Roman"/>
                <w:color w:val="auto"/>
              </w:rPr>
            </m:ctrlPr>
          </m:sSubSupPr>
          <m:e>
            <m:r>
              <m:rPr>
                <m:nor/>
                <m:sty m:val="p"/>
              </m:rPr>
              <w:rPr>
                <w:rFonts w:cs="Times New Roman"/>
                <w:b w:val="0"/>
                <w:i w:val="0"/>
                <w:color w:val="auto"/>
              </w:rPr>
              <m:t>x</m:t>
            </m:r>
            <m:ctrlPr>
              <w:rPr>
                <w:rFonts w:ascii="Cambria Math" w:hAnsi="Cambria Math" w:cs="Times New Roman"/>
                <w:color w:val="auto"/>
              </w:rPr>
            </m:ctrlPr>
          </m:e>
          <m:sub>
            <m:sSub>
              <m:sSubPr>
                <m:ctrlPr>
                  <w:rPr>
                    <w:rFonts w:ascii="Cambria Math" w:hAnsi="Cambria Math" w:cs="Times New Roman"/>
                    <w:color w:val="auto"/>
                  </w:rPr>
                </m:ctrlPr>
              </m:sSubPr>
              <m:e>
                <m:r>
                  <m:rPr>
                    <m:nor/>
                    <m:sty m:val="p"/>
                  </m:rPr>
                  <w:rPr>
                    <w:rFonts w:cs="Times New Roman"/>
                    <w:b w:val="0"/>
                    <w:i w:val="0"/>
                    <w:color w:val="auto"/>
                  </w:rPr>
                  <m:t>n</m:t>
                </m:r>
                <m:ctrlPr>
                  <w:rPr>
                    <w:rFonts w:ascii="Cambria Math" w:hAnsi="Cambria Math" w:cs="Times New Roman"/>
                    <w:color w:val="auto"/>
                  </w:rPr>
                </m:ctrlPr>
              </m:e>
              <m:sub>
                <m:r>
                  <m:rPr>
                    <m:nor/>
                    <m:sty m:val="p"/>
                  </m:rPr>
                  <w:rPr>
                    <w:rFonts w:cs="Times New Roman"/>
                    <w:b w:val="0"/>
                    <w:i w:val="0"/>
                    <w:color w:val="auto"/>
                  </w:rPr>
                  <m:t>c</m:t>
                </m:r>
                <m:ctrlPr>
                  <w:rPr>
                    <w:rFonts w:ascii="Cambria Math" w:hAnsi="Cambria Math" w:cs="Times New Roman"/>
                    <w:color w:val="auto"/>
                  </w:rPr>
                </m:ctrlPr>
              </m:sub>
            </m:sSub>
            <m:ctrlPr>
              <w:rPr>
                <w:rFonts w:ascii="Cambria Math" w:hAnsi="Cambria Math" w:cs="Times New Roman"/>
                <w:color w:val="auto"/>
              </w:rPr>
            </m:ctrlPr>
          </m:sub>
          <m:sup>
            <m:r>
              <m:rPr>
                <m:nor/>
                <m:sty m:val="p"/>
              </m:rPr>
              <w:rPr>
                <w:rFonts w:cs="Times New Roman"/>
                <w:b w:val="0"/>
                <w:i w:val="0"/>
                <w:color w:val="auto"/>
              </w:rPr>
              <m:t>c</m:t>
            </m:r>
            <m:ctrlPr>
              <w:rPr>
                <w:rFonts w:ascii="Cambria Math" w:hAnsi="Cambria Math" w:cs="Times New Roman"/>
                <w:color w:val="auto"/>
              </w:rPr>
            </m:ctrlPr>
          </m:sup>
        </m:sSubSup>
        <m:r>
          <m:rPr>
            <m:nor/>
            <m:sty m:val="p"/>
          </m:rPr>
          <w:rPr>
            <w:rFonts w:cs="Times New Roman"/>
            <w:b w:val="0"/>
            <w:i w:val="0"/>
            <w:color w:val="auto"/>
          </w:rPr>
          <m:t>}</m:t>
        </m:r>
      </m:oMath>
      <w:r>
        <w:rPr>
          <w:rFonts w:hint="eastAsia" w:hAnsi="Cambria Math"/>
          <w:color w:val="auto"/>
        </w:rPr>
        <w:t>，</w:t>
      </w:r>
      <w:r>
        <w:rPr>
          <w:rFonts w:hint="eastAsia"/>
          <w:color w:val="auto"/>
        </w:rPr>
        <w:t>其中</w:t>
      </w:r>
      <m:oMath>
        <m:sSubSup>
          <m:sSubSupPr>
            <m:ctrlPr>
              <w:rPr>
                <w:rFonts w:ascii="Cambria Math" w:hAnsi="Cambria Math"/>
                <w:color w:val="auto"/>
              </w:rPr>
            </m:ctrlPr>
          </m:sSubSupPr>
          <m:e>
            <m:r>
              <m:rPr>
                <m:sty m:val="p"/>
              </m:rPr>
              <w:rPr>
                <w:rFonts w:ascii="Cambria Math" w:hAnsi="Cambria Math"/>
                <w:color w:val="auto"/>
              </w:rPr>
              <m:t>x</m:t>
            </m:r>
            <m:ctrlPr>
              <w:rPr>
                <w:rFonts w:ascii="Cambria Math" w:hAnsi="Cambria Math"/>
                <w:color w:val="auto"/>
              </w:rPr>
            </m:ctrlPr>
          </m:e>
          <m:sub>
            <m:r>
              <m:rPr>
                <m:sty m:val="p"/>
              </m:rPr>
              <w:rPr>
                <w:rFonts w:ascii="Cambria Math" w:hAnsi="Cambria Math"/>
                <w:color w:val="auto"/>
              </w:rPr>
              <m:t>i</m:t>
            </m:r>
            <m:ctrlPr>
              <w:rPr>
                <w:rFonts w:ascii="Cambria Math" w:hAnsi="Cambria Math"/>
                <w:color w:val="auto"/>
              </w:rPr>
            </m:ctrlPr>
          </m:sub>
          <m:sup>
            <m:r>
              <m:rPr>
                <m:sty m:val="p"/>
              </m:rPr>
              <w:rPr>
                <w:rFonts w:ascii="Cambria Math" w:hAnsi="Cambria Math"/>
                <w:color w:val="auto"/>
              </w:rPr>
              <m:t>c</m:t>
            </m:r>
            <m:ctrlPr>
              <w:rPr>
                <w:rFonts w:ascii="Cambria Math" w:hAnsi="Cambria Math"/>
                <w:color w:val="auto"/>
              </w:rPr>
            </m:ctrlPr>
          </m:sup>
        </m:sSubSup>
        <m:r>
          <m:rPr>
            <m:sty m:val="p"/>
          </m:rPr>
          <w:rPr>
            <w:rFonts w:ascii="Cambria Math" w:hAnsi="Cambria Math"/>
            <w:color w:val="auto"/>
          </w:rPr>
          <m:t>∈</m:t>
        </m:r>
        <m:sSup>
          <m:sSupPr>
            <m:ctrlPr>
              <w:rPr>
                <w:rFonts w:ascii="Cambria Math" w:hAnsi="Cambria Math"/>
                <w:color w:val="auto"/>
              </w:rPr>
            </m:ctrlPr>
          </m:sSupPr>
          <m:e>
            <m:r>
              <m:rPr>
                <m:sty m:val="p"/>
                <m:scr m:val="double-struck"/>
              </m:rPr>
              <w:rPr>
                <w:rFonts w:ascii="Cambria Math" w:hAnsi="Cambria Math" w:eastAsia="MS Mincho"/>
                <w:color w:val="auto"/>
              </w:rPr>
              <m:t>ℝ</m:t>
            </m:r>
            <m:ctrlPr>
              <w:rPr>
                <w:rFonts w:ascii="Cambria Math" w:hAnsi="Cambria Math"/>
                <w:color w:val="auto"/>
              </w:rPr>
            </m:ctrlPr>
          </m:e>
          <m:sup>
            <m:r>
              <m:rPr>
                <m:sty m:val="p"/>
              </m:rPr>
              <w:rPr>
                <w:rFonts w:ascii="Cambria Math" w:hAnsi="Cambria Math"/>
                <w:color w:val="auto"/>
              </w:rPr>
              <m:t>d</m:t>
            </m:r>
            <m:ctrlPr>
              <w:rPr>
                <w:rFonts w:ascii="Cambria Math" w:hAnsi="Cambria Math"/>
                <w:color w:val="auto"/>
              </w:rPr>
            </m:ctrlPr>
          </m:sup>
        </m:sSup>
      </m:oMath>
      <w:r>
        <w:rPr>
          <w:rFonts w:hint="eastAsia"/>
          <w:color w:val="auto"/>
        </w:rPr>
        <w:t>表示属于第</w:t>
      </w:r>
      <m:oMath>
        <m:r>
          <m:rPr>
            <m:nor/>
            <m:sty m:val="p"/>
          </m:rPr>
          <w:rPr>
            <w:rFonts w:cs="Times New Roman"/>
            <w:b w:val="0"/>
            <w:i w:val="0"/>
            <w:color w:val="auto"/>
          </w:rPr>
          <m:t>c</m:t>
        </m:r>
      </m:oMath>
      <w:r>
        <w:rPr>
          <w:rFonts w:hint="eastAsia"/>
          <w:color w:val="auto"/>
        </w:rPr>
        <w:t>类的第</w:t>
      </w:r>
      <m:oMath>
        <m:r>
          <m:rPr>
            <m:nor/>
            <m:sty m:val="p"/>
          </m:rPr>
          <w:rPr>
            <w:rFonts w:cs="Times New Roman"/>
            <w:b w:val="0"/>
            <w:i w:val="0"/>
            <w:color w:val="auto"/>
          </w:rPr>
          <m:t>i</m:t>
        </m:r>
      </m:oMath>
      <w:r>
        <w:rPr>
          <w:rFonts w:hint="eastAsia"/>
          <w:color w:val="auto"/>
        </w:rPr>
        <w:t>个样本的归一化语义向量，</w:t>
      </w:r>
      <m:oMath>
        <m:sSub>
          <m:sSubPr>
            <m:ctrlPr>
              <w:rPr>
                <w:rFonts w:ascii="Cambria Math" w:hAnsi="Cambria Math" w:cs="Times New Roman"/>
                <w:color w:val="auto"/>
              </w:rPr>
            </m:ctrlPr>
          </m:sSubPr>
          <m:e>
            <m:r>
              <m:rPr>
                <m:nor/>
                <m:sty m:val="p"/>
              </m:rPr>
              <w:rPr>
                <w:rFonts w:cs="Times New Roman"/>
                <w:b w:val="0"/>
                <w:i w:val="0"/>
                <w:color w:val="auto"/>
              </w:rPr>
              <m:t>n</m:t>
            </m:r>
            <m:ctrlPr>
              <w:rPr>
                <w:rFonts w:ascii="Cambria Math" w:hAnsi="Cambria Math" w:cs="Times New Roman"/>
                <w:color w:val="auto"/>
              </w:rPr>
            </m:ctrlPr>
          </m:e>
          <m:sub>
            <m:r>
              <m:rPr>
                <m:nor/>
                <m:sty m:val="p"/>
              </m:rPr>
              <w:rPr>
                <w:rFonts w:cs="Times New Roman"/>
                <w:b w:val="0"/>
                <w:i w:val="0"/>
                <w:color w:val="auto"/>
              </w:rPr>
              <m:t>c</m:t>
            </m:r>
            <m:ctrlPr>
              <w:rPr>
                <w:rFonts w:ascii="Cambria Math" w:hAnsi="Cambria Math" w:cs="Times New Roman"/>
                <w:color w:val="auto"/>
              </w:rPr>
            </m:ctrlPr>
          </m:sub>
        </m:sSub>
      </m:oMath>
      <w:r>
        <w:rPr>
          <w:rFonts w:hint="eastAsia"/>
          <w:color w:val="auto"/>
        </w:rPr>
        <w:t>为该类别的样本数量。对于任一样本</w:t>
      </w:r>
      <m:oMath>
        <m:sSubSup>
          <m:sSubSupPr>
            <m:ctrlPr>
              <w:rPr>
                <w:rFonts w:ascii="Cambria Math" w:hAnsi="Cambria Math" w:cs="Times New Roman"/>
                <w:color w:val="auto"/>
              </w:rPr>
            </m:ctrlPr>
          </m:sSubSupPr>
          <m:e>
            <m:r>
              <m:rPr>
                <m:nor/>
                <m:sty m:val="p"/>
              </m:rPr>
              <w:rPr>
                <w:rFonts w:cs="Times New Roman"/>
                <w:b w:val="0"/>
                <w:i w:val="0"/>
                <w:color w:val="auto"/>
              </w:rPr>
              <m:t>x</m:t>
            </m:r>
            <m:ctrlPr>
              <w:rPr>
                <w:rFonts w:ascii="Cambria Math" w:hAnsi="Cambria Math" w:cs="Times New Roman"/>
                <w:color w:val="auto"/>
              </w:rPr>
            </m:ctrlPr>
          </m:e>
          <m:sub>
            <m:r>
              <m:rPr>
                <m:nor/>
                <m:sty m:val="p"/>
              </m:rPr>
              <w:rPr>
                <w:rFonts w:cs="Times New Roman"/>
                <w:b w:val="0"/>
                <w:i w:val="0"/>
                <w:color w:val="auto"/>
              </w:rPr>
              <m:t>i</m:t>
            </m:r>
            <m:ctrlPr>
              <w:rPr>
                <w:rFonts w:ascii="Cambria Math" w:hAnsi="Cambria Math" w:cs="Times New Roman"/>
                <w:color w:val="auto"/>
              </w:rPr>
            </m:ctrlPr>
          </m:sub>
          <m:sup>
            <m:r>
              <m:rPr>
                <m:nor/>
                <m:sty m:val="p"/>
              </m:rPr>
              <w:rPr>
                <w:rFonts w:cs="Times New Roman"/>
                <w:b w:val="0"/>
                <w:i w:val="0"/>
                <w:color w:val="auto"/>
              </w:rPr>
              <m:t>c</m:t>
            </m:r>
            <m:ctrlPr>
              <w:rPr>
                <w:rFonts w:ascii="Cambria Math" w:hAnsi="Cambria Math" w:cs="Times New Roman"/>
                <w:color w:val="auto"/>
              </w:rPr>
            </m:ctrlPr>
          </m:sup>
        </m:sSubSup>
      </m:oMath>
      <w:r>
        <w:rPr>
          <w:rFonts w:hint="eastAsia"/>
          <w:color w:val="auto"/>
        </w:rPr>
        <w:t>，其相对于任意类别</w:t>
      </w:r>
      <m:oMath>
        <m:r>
          <m:rPr>
            <m:sty m:val="p"/>
          </m:rPr>
          <w:rPr>
            <w:rFonts w:ascii="Cambria Math" w:hAnsi="Cambria Math"/>
            <w:color w:val="auto"/>
          </w:rPr>
          <m:t>c'</m:t>
        </m:r>
      </m:oMath>
      <w:r>
        <w:rPr>
          <w:rFonts w:hint="eastAsia"/>
          <w:color w:val="auto"/>
        </w:rPr>
        <w:t>的平均相似度定义为该样本向量与类别</w:t>
      </w:r>
      <m:oMath>
        <m:r>
          <m:rPr>
            <m:nor/>
            <m:sty m:val="p"/>
          </m:rPr>
          <w:rPr>
            <w:rFonts w:cs="Times New Roman"/>
            <w:b w:val="0"/>
            <w:i w:val="0"/>
            <w:color w:val="auto"/>
          </w:rPr>
          <m:t>c'</m:t>
        </m:r>
      </m:oMath>
      <w:r>
        <w:rPr>
          <w:rFonts w:hint="eastAsia"/>
          <w:color w:val="auto"/>
        </w:rPr>
        <w:t>中所有样本向量点积的均值，即：</w:t>
      </w:r>
    </w:p>
    <w:p w14:paraId="3AA0E4E3">
      <w:pPr>
        <w:ind w:firstLine="0" w:firstLineChars="0"/>
        <w:rPr>
          <w:iCs/>
          <w:color w:val="auto"/>
        </w:rPr>
      </w:pPr>
      <m:oMathPara>
        <m:oMath>
          <m:eqArr>
            <m:eqArrPr>
              <m:maxDist m:val="1"/>
              <m:ctrlPr>
                <w:rPr>
                  <w:rFonts w:ascii="Cambria Math" w:hAnsi="Cambria Math" w:cs="Times New Roman"/>
                  <w:iCs/>
                  <w:color w:val="auto"/>
                </w:rPr>
              </m:ctrlPr>
            </m:eqArrPr>
            <m:e>
              <m:r>
                <m:rPr>
                  <m:nor/>
                  <m:sty m:val="p"/>
                </m:rPr>
                <w:rPr>
                  <w:rFonts w:cs="Times New Roman"/>
                  <w:b w:val="0"/>
                  <w:i w:val="0"/>
                  <w:iCs/>
                  <w:color w:val="auto"/>
                </w:rPr>
                <m:t>Sim</m:t>
              </m:r>
              <m:d>
                <m:dPr>
                  <m:ctrlPr>
                    <w:rPr>
                      <w:rFonts w:ascii="Cambria Math" w:hAnsi="Cambria Math" w:cs="Times New Roman"/>
                      <w:iCs/>
                      <w:color w:val="auto"/>
                    </w:rPr>
                  </m:ctrlPr>
                </m:dPr>
                <m:e>
                  <m:sSubSup>
                    <m:sSubSupPr>
                      <m:ctrlPr>
                        <w:rPr>
                          <w:rFonts w:ascii="Cambria Math" w:hAnsi="Cambria Math" w:cs="Times New Roman"/>
                          <w:iCs/>
                          <w:color w:val="auto"/>
                        </w:rPr>
                      </m:ctrlPr>
                    </m:sSubSupPr>
                    <m:e>
                      <m:r>
                        <m:rPr>
                          <m:nor/>
                          <m:sty m:val="p"/>
                        </m:rPr>
                        <w:rPr>
                          <w:rFonts w:cs="Times New Roman"/>
                          <w:b w:val="0"/>
                          <w:i w:val="0"/>
                          <w:iCs/>
                          <w:color w:val="auto"/>
                        </w:rPr>
                        <m:t>x</m:t>
                      </m:r>
                      <m:ctrlPr>
                        <w:rPr>
                          <w:rFonts w:ascii="Cambria Math" w:hAnsi="Cambria Math" w:cs="Times New Roman"/>
                          <w:iCs/>
                          <w:color w:val="auto"/>
                        </w:rPr>
                      </m:ctrlPr>
                    </m:e>
                    <m:sub>
                      <m:r>
                        <m:rPr>
                          <m:nor/>
                          <m:sty m:val="p"/>
                        </m:rPr>
                        <w:rPr>
                          <w:rFonts w:cs="Times New Roman"/>
                          <w:b w:val="0"/>
                          <w:i w:val="0"/>
                          <w:iCs/>
                          <w:color w:val="auto"/>
                        </w:rPr>
                        <m:t>i</m:t>
                      </m:r>
                      <m:ctrlPr>
                        <w:rPr>
                          <w:rFonts w:ascii="Cambria Math" w:hAnsi="Cambria Math" w:cs="Times New Roman"/>
                          <w:iCs/>
                          <w:color w:val="auto"/>
                        </w:rPr>
                      </m:ctrlPr>
                    </m:sub>
                    <m:sup>
                      <m:r>
                        <m:rPr>
                          <m:nor/>
                          <m:sty m:val="p"/>
                        </m:rPr>
                        <w:rPr>
                          <w:rFonts w:cs="Times New Roman"/>
                          <w:b w:val="0"/>
                          <w:i w:val="0"/>
                          <w:iCs/>
                          <w:color w:val="auto"/>
                        </w:rPr>
                        <m:t>c</m:t>
                      </m:r>
                      <m:ctrlPr>
                        <w:rPr>
                          <w:rFonts w:ascii="Cambria Math" w:hAnsi="Cambria Math" w:cs="Times New Roman"/>
                          <w:iCs/>
                          <w:color w:val="auto"/>
                        </w:rPr>
                      </m:ctrlPr>
                    </m:sup>
                  </m:sSubSup>
                  <m:r>
                    <m:rPr>
                      <m:nor/>
                      <m:sty m:val="p"/>
                    </m:rPr>
                    <w:rPr>
                      <w:rFonts w:cs="Times New Roman"/>
                      <w:b w:val="0"/>
                      <w:i w:val="0"/>
                      <w:iCs/>
                      <w:color w:val="auto"/>
                    </w:rPr>
                    <m:t>,</m:t>
                  </m:r>
                  <m:sSup>
                    <m:sSupPr>
                      <m:ctrlPr>
                        <w:rPr>
                          <w:rFonts w:ascii="Cambria Math" w:hAnsi="Cambria Math" w:cs="Times New Roman"/>
                          <w:iCs/>
                          <w:color w:val="auto"/>
                        </w:rPr>
                      </m:ctrlPr>
                    </m:sSupPr>
                    <m:e>
                      <m:r>
                        <m:rPr>
                          <m:nor/>
                          <m:sty m:val="p"/>
                        </m:rPr>
                        <w:rPr>
                          <w:rFonts w:cs="Times New Roman"/>
                          <w:b w:val="0"/>
                          <w:i w:val="0"/>
                          <w:iCs/>
                          <w:color w:val="auto"/>
                        </w:rPr>
                        <m:t>c</m:t>
                      </m:r>
                      <m:ctrlPr>
                        <w:rPr>
                          <w:rFonts w:ascii="Cambria Math" w:hAnsi="Cambria Math" w:cs="Times New Roman"/>
                          <w:iCs/>
                          <w:color w:val="auto"/>
                        </w:rPr>
                      </m:ctrlPr>
                    </m:e>
                    <m:sup>
                      <m:r>
                        <m:rPr>
                          <m:nor/>
                          <m:sty m:val="p"/>
                        </m:rPr>
                        <w:rPr>
                          <w:rFonts w:cs="Times New Roman"/>
                          <w:b w:val="0"/>
                          <w:i w:val="0"/>
                          <w:iCs/>
                          <w:color w:val="auto"/>
                        </w:rPr>
                        <m:t>'</m:t>
                      </m:r>
                      <m:ctrlPr>
                        <w:rPr>
                          <w:rFonts w:ascii="Cambria Math" w:hAnsi="Cambria Math" w:cs="Times New Roman"/>
                          <w:iCs/>
                          <w:color w:val="auto"/>
                        </w:rPr>
                      </m:ctrlPr>
                    </m:sup>
                  </m:sSup>
                  <m:ctrlPr>
                    <w:rPr>
                      <w:rFonts w:ascii="Cambria Math" w:hAnsi="Cambria Math" w:cs="Times New Roman"/>
                      <w:iCs/>
                      <w:color w:val="auto"/>
                    </w:rPr>
                  </m:ctrlPr>
                </m:e>
              </m:d>
              <m:r>
                <m:rPr>
                  <m:nor/>
                  <m:sty m:val="p"/>
                </m:rPr>
                <w:rPr>
                  <w:rFonts w:cs="Times New Roman"/>
                  <w:b w:val="0"/>
                  <w:i w:val="0"/>
                  <w:iCs/>
                  <w:color w:val="auto"/>
                </w:rPr>
                <m:t>=</m:t>
              </m:r>
              <m:f>
                <m:fPr>
                  <m:ctrlPr>
                    <w:rPr>
                      <w:rFonts w:ascii="Cambria Math" w:hAnsi="Cambria Math" w:cs="Times New Roman"/>
                      <w:iCs/>
                      <w:color w:val="auto"/>
                    </w:rPr>
                  </m:ctrlPr>
                </m:fPr>
                <m:num>
                  <m:r>
                    <m:rPr>
                      <m:nor/>
                      <m:sty m:val="p"/>
                    </m:rPr>
                    <w:rPr>
                      <w:rFonts w:cs="Times New Roman"/>
                      <w:b w:val="0"/>
                      <w:i w:val="0"/>
                      <w:iCs/>
                      <w:color w:val="auto"/>
                    </w:rPr>
                    <m:t>1</m:t>
                  </m:r>
                  <m:ctrlPr>
                    <w:rPr>
                      <w:rFonts w:ascii="Cambria Math" w:hAnsi="Cambria Math" w:cs="Times New Roman"/>
                      <w:iCs/>
                      <w:color w:val="auto"/>
                    </w:rPr>
                  </m:ctrlPr>
                </m:num>
                <m:den>
                  <m:d>
                    <m:dPr>
                      <m:begChr m:val="|"/>
                      <m:endChr m:val="|"/>
                      <m:ctrlPr>
                        <w:rPr>
                          <w:rFonts w:ascii="Cambria Math" w:hAnsi="Cambria Math" w:cs="Times New Roman"/>
                          <w:iCs/>
                          <w:color w:val="auto"/>
                        </w:rPr>
                      </m:ctrlPr>
                    </m:dPr>
                    <m:e>
                      <m:sSub>
                        <m:sSubPr>
                          <m:ctrlPr>
                            <w:rPr>
                              <w:rFonts w:ascii="Cambria Math" w:hAnsi="Cambria Math" w:cs="Times New Roman"/>
                              <w:iCs/>
                              <w:color w:val="auto"/>
                            </w:rPr>
                          </m:ctrlPr>
                        </m:sSubPr>
                        <m:e>
                          <m:r>
                            <m:rPr>
                              <m:nor/>
                              <m:sty m:val="p"/>
                            </m:rPr>
                            <w:rPr>
                              <w:rFonts w:cs="Times New Roman"/>
                              <w:b w:val="0"/>
                              <w:i w:val="0"/>
                              <w:iCs/>
                              <w:color w:val="auto"/>
                            </w:rPr>
                            <m:t>D</m:t>
                          </m:r>
                          <m:ctrlPr>
                            <w:rPr>
                              <w:rFonts w:ascii="Cambria Math" w:hAnsi="Cambria Math" w:cs="Times New Roman"/>
                              <w:iCs/>
                              <w:color w:val="auto"/>
                            </w:rPr>
                          </m:ctrlPr>
                        </m:e>
                        <m:sub>
                          <m:sSup>
                            <m:sSupPr>
                              <m:ctrlPr>
                                <w:rPr>
                                  <w:rFonts w:ascii="Cambria Math" w:hAnsi="Cambria Math" w:cs="Times New Roman"/>
                                  <w:iCs/>
                                  <w:color w:val="auto"/>
                                </w:rPr>
                              </m:ctrlPr>
                            </m:sSupPr>
                            <m:e>
                              <m:r>
                                <m:rPr>
                                  <m:nor/>
                                  <m:sty m:val="p"/>
                                </m:rPr>
                                <w:rPr>
                                  <w:rFonts w:cs="Times New Roman"/>
                                  <w:b w:val="0"/>
                                  <w:i w:val="0"/>
                                  <w:iCs/>
                                  <w:color w:val="auto"/>
                                </w:rPr>
                                <m:t>c</m:t>
                              </m:r>
                              <m:ctrlPr>
                                <w:rPr>
                                  <w:rFonts w:ascii="Cambria Math" w:hAnsi="Cambria Math" w:cs="Times New Roman"/>
                                  <w:iCs/>
                                  <w:color w:val="auto"/>
                                </w:rPr>
                              </m:ctrlPr>
                            </m:e>
                            <m:sup>
                              <m:r>
                                <m:rPr>
                                  <m:nor/>
                                  <m:sty m:val="p"/>
                                </m:rPr>
                                <w:rPr>
                                  <w:rFonts w:cs="Times New Roman"/>
                                  <w:b w:val="0"/>
                                  <w:i w:val="0"/>
                                  <w:iCs/>
                                  <w:color w:val="auto"/>
                                </w:rPr>
                                <m:t>'</m:t>
                              </m:r>
                              <m:ctrlPr>
                                <w:rPr>
                                  <w:rFonts w:ascii="Cambria Math" w:hAnsi="Cambria Math" w:cs="Times New Roman"/>
                                  <w:iCs/>
                                  <w:color w:val="auto"/>
                                </w:rPr>
                              </m:ctrlPr>
                            </m:sup>
                          </m:sSup>
                          <m:ctrlPr>
                            <w:rPr>
                              <w:rFonts w:ascii="Cambria Math" w:hAnsi="Cambria Math" w:cs="Times New Roman"/>
                              <w:iCs/>
                              <w:color w:val="auto"/>
                            </w:rPr>
                          </m:ctrlPr>
                        </m:sub>
                      </m:sSub>
                      <m:ctrlPr>
                        <w:rPr>
                          <w:rFonts w:ascii="Cambria Math" w:hAnsi="Cambria Math" w:cs="Times New Roman"/>
                          <w:iCs/>
                          <w:color w:val="auto"/>
                        </w:rPr>
                      </m:ctrlPr>
                    </m:e>
                  </m:d>
                  <m:ctrlPr>
                    <w:rPr>
                      <w:rFonts w:ascii="Cambria Math" w:hAnsi="Cambria Math" w:cs="Times New Roman"/>
                      <w:iCs/>
                      <w:color w:val="auto"/>
                    </w:rPr>
                  </m:ctrlPr>
                </m:den>
              </m:f>
              <m:nary>
                <m:naryPr>
                  <m:chr m:val="∑"/>
                  <m:limLoc m:val="undOvr"/>
                  <m:supHide m:val="1"/>
                  <m:ctrlPr>
                    <w:rPr>
                      <w:rFonts w:ascii="Cambria Math" w:hAnsi="Cambria Math" w:cs="Times New Roman"/>
                      <w:iCs/>
                      <w:color w:val="auto"/>
                    </w:rPr>
                  </m:ctrlPr>
                </m:naryPr>
                <m:sub>
                  <m:sSubSup>
                    <m:sSubSupPr>
                      <m:ctrlPr>
                        <w:rPr>
                          <w:rFonts w:ascii="Cambria Math" w:hAnsi="Cambria Math" w:cs="Times New Roman"/>
                          <w:iCs/>
                          <w:color w:val="auto"/>
                        </w:rPr>
                      </m:ctrlPr>
                    </m:sSubSupPr>
                    <m:e>
                      <m:r>
                        <m:rPr>
                          <m:nor/>
                          <m:sty m:val="p"/>
                        </m:rPr>
                        <w:rPr>
                          <w:rFonts w:cs="Times New Roman"/>
                          <w:b w:val="0"/>
                          <w:i w:val="0"/>
                          <w:iCs/>
                          <w:color w:val="auto"/>
                        </w:rPr>
                        <m:t>x</m:t>
                      </m:r>
                      <m:ctrlPr>
                        <w:rPr>
                          <w:rFonts w:ascii="Cambria Math" w:hAnsi="Cambria Math" w:cs="Times New Roman"/>
                          <w:iCs/>
                          <w:color w:val="auto"/>
                        </w:rPr>
                      </m:ctrlPr>
                    </m:e>
                    <m:sub>
                      <m:r>
                        <m:rPr>
                          <m:nor/>
                          <m:sty m:val="p"/>
                        </m:rPr>
                        <w:rPr>
                          <w:rFonts w:cs="Times New Roman"/>
                          <w:b w:val="0"/>
                          <w:i w:val="0"/>
                          <w:iCs/>
                          <w:color w:val="auto"/>
                        </w:rPr>
                        <m:t>j</m:t>
                      </m:r>
                      <m:ctrlPr>
                        <w:rPr>
                          <w:rFonts w:ascii="Cambria Math" w:hAnsi="Cambria Math" w:cs="Times New Roman"/>
                          <w:iCs/>
                          <w:color w:val="auto"/>
                        </w:rPr>
                      </m:ctrlPr>
                    </m:sub>
                    <m:sup>
                      <m:sSup>
                        <m:sSupPr>
                          <m:ctrlPr>
                            <w:rPr>
                              <w:rFonts w:ascii="Cambria Math" w:hAnsi="Cambria Math" w:cs="Times New Roman"/>
                              <w:iCs/>
                              <w:color w:val="auto"/>
                            </w:rPr>
                          </m:ctrlPr>
                        </m:sSupPr>
                        <m:e>
                          <m:r>
                            <m:rPr>
                              <m:nor/>
                              <m:sty m:val="p"/>
                            </m:rPr>
                            <w:rPr>
                              <w:rFonts w:cs="Times New Roman"/>
                              <w:b w:val="0"/>
                              <w:i w:val="0"/>
                              <w:iCs/>
                              <w:color w:val="auto"/>
                            </w:rPr>
                            <m:t>c</m:t>
                          </m:r>
                          <m:ctrlPr>
                            <w:rPr>
                              <w:rFonts w:ascii="Cambria Math" w:hAnsi="Cambria Math" w:cs="Times New Roman"/>
                              <w:iCs/>
                              <w:color w:val="auto"/>
                            </w:rPr>
                          </m:ctrlPr>
                        </m:e>
                        <m:sup>
                          <m:r>
                            <m:rPr>
                              <m:nor/>
                              <m:sty m:val="p"/>
                            </m:rPr>
                            <w:rPr>
                              <w:rFonts w:cs="Times New Roman"/>
                              <w:b w:val="0"/>
                              <w:i w:val="0"/>
                              <w:iCs/>
                              <w:color w:val="auto"/>
                            </w:rPr>
                            <m:t>'</m:t>
                          </m:r>
                          <m:ctrlPr>
                            <w:rPr>
                              <w:rFonts w:ascii="Cambria Math" w:hAnsi="Cambria Math" w:cs="Times New Roman"/>
                              <w:iCs/>
                              <w:color w:val="auto"/>
                            </w:rPr>
                          </m:ctrlPr>
                        </m:sup>
                      </m:sSup>
                      <m:ctrlPr>
                        <w:rPr>
                          <w:rFonts w:ascii="Cambria Math" w:hAnsi="Cambria Math" w:cs="Times New Roman"/>
                          <w:iCs/>
                          <w:color w:val="auto"/>
                        </w:rPr>
                      </m:ctrlPr>
                    </m:sup>
                  </m:sSubSup>
                  <m:r>
                    <m:rPr>
                      <m:nor/>
                      <m:sty m:val="p"/>
                    </m:rPr>
                    <w:rPr>
                      <w:rFonts w:hint="eastAsia" w:ascii="宋体" w:hAnsi="宋体" w:cs="宋体"/>
                      <w:b w:val="0"/>
                      <w:i w:val="0"/>
                      <w:iCs/>
                      <w:color w:val="auto"/>
                    </w:rPr>
                    <m:t>∈</m:t>
                  </m:r>
                  <m:sSub>
                    <m:sSubPr>
                      <m:ctrlPr>
                        <w:rPr>
                          <w:rFonts w:ascii="Cambria Math" w:hAnsi="Cambria Math" w:cs="Times New Roman"/>
                          <w:iCs/>
                          <w:color w:val="auto"/>
                        </w:rPr>
                      </m:ctrlPr>
                    </m:sSubPr>
                    <m:e>
                      <m:r>
                        <m:rPr>
                          <m:nor/>
                          <m:sty m:val="p"/>
                        </m:rPr>
                        <w:rPr>
                          <w:rFonts w:cs="Times New Roman"/>
                          <w:b w:val="0"/>
                          <w:i w:val="0"/>
                          <w:iCs/>
                          <w:color w:val="auto"/>
                        </w:rPr>
                        <m:t>D</m:t>
                      </m:r>
                      <m:ctrlPr>
                        <w:rPr>
                          <w:rFonts w:ascii="Cambria Math" w:hAnsi="Cambria Math" w:cs="Times New Roman"/>
                          <w:iCs/>
                          <w:color w:val="auto"/>
                        </w:rPr>
                      </m:ctrlPr>
                    </m:e>
                    <m:sub>
                      <m:sSup>
                        <m:sSupPr>
                          <m:ctrlPr>
                            <w:rPr>
                              <w:rFonts w:ascii="Cambria Math" w:hAnsi="Cambria Math" w:cs="Times New Roman"/>
                              <w:iCs/>
                              <w:color w:val="auto"/>
                            </w:rPr>
                          </m:ctrlPr>
                        </m:sSupPr>
                        <m:e>
                          <m:r>
                            <m:rPr>
                              <m:nor/>
                              <m:sty m:val="p"/>
                            </m:rPr>
                            <w:rPr>
                              <w:rFonts w:cs="Times New Roman"/>
                              <w:b w:val="0"/>
                              <w:i w:val="0"/>
                              <w:iCs/>
                              <w:color w:val="auto"/>
                            </w:rPr>
                            <m:t>c</m:t>
                          </m:r>
                          <m:ctrlPr>
                            <w:rPr>
                              <w:rFonts w:ascii="Cambria Math" w:hAnsi="Cambria Math" w:cs="Times New Roman"/>
                              <w:iCs/>
                              <w:color w:val="auto"/>
                            </w:rPr>
                          </m:ctrlPr>
                        </m:e>
                        <m:sup>
                          <m:r>
                            <m:rPr>
                              <m:nor/>
                              <m:sty m:val="p"/>
                            </m:rPr>
                            <w:rPr>
                              <w:rFonts w:cs="Times New Roman"/>
                              <w:b w:val="0"/>
                              <w:i w:val="0"/>
                              <w:iCs/>
                              <w:color w:val="auto"/>
                            </w:rPr>
                            <m:t>'</m:t>
                          </m:r>
                          <m:ctrlPr>
                            <w:rPr>
                              <w:rFonts w:ascii="Cambria Math" w:hAnsi="Cambria Math" w:cs="Times New Roman"/>
                              <w:iCs/>
                              <w:color w:val="auto"/>
                            </w:rPr>
                          </m:ctrlPr>
                        </m:sup>
                      </m:sSup>
                      <m:ctrlPr>
                        <w:rPr>
                          <w:rFonts w:ascii="Cambria Math" w:hAnsi="Cambria Math" w:cs="Times New Roman"/>
                          <w:iCs/>
                          <w:color w:val="auto"/>
                        </w:rPr>
                      </m:ctrlPr>
                    </m:sub>
                  </m:sSub>
                  <m:ctrlPr>
                    <w:rPr>
                      <w:rFonts w:ascii="Cambria Math" w:hAnsi="Cambria Math" w:cs="Times New Roman"/>
                      <w:iCs/>
                      <w:color w:val="auto"/>
                    </w:rPr>
                  </m:ctrlPr>
                </m:sub>
                <m:sup>
                  <m:ctrlPr>
                    <w:rPr>
                      <w:rFonts w:ascii="Cambria Math" w:hAnsi="Cambria Math" w:cs="Times New Roman"/>
                      <w:iCs/>
                      <w:color w:val="auto"/>
                    </w:rPr>
                  </m:ctrlPr>
                </m:sup>
                <m:e>
                  <m:sSubSup>
                    <m:sSubSupPr>
                      <m:ctrlPr>
                        <w:rPr>
                          <w:rFonts w:ascii="Cambria Math" w:hAnsi="Cambria Math" w:cs="Times New Roman"/>
                          <w:iCs/>
                          <w:color w:val="auto"/>
                        </w:rPr>
                      </m:ctrlPr>
                    </m:sSubSupPr>
                    <m:e>
                      <m:r>
                        <m:rPr>
                          <m:nor/>
                          <m:sty m:val="p"/>
                        </m:rPr>
                        <w:rPr>
                          <w:rFonts w:cs="Times New Roman"/>
                          <w:b w:val="0"/>
                          <w:i w:val="0"/>
                          <w:iCs/>
                          <w:color w:val="auto"/>
                        </w:rPr>
                        <m:t>x</m:t>
                      </m:r>
                      <m:ctrlPr>
                        <w:rPr>
                          <w:rFonts w:ascii="Cambria Math" w:hAnsi="Cambria Math" w:cs="Times New Roman"/>
                          <w:iCs/>
                          <w:color w:val="auto"/>
                        </w:rPr>
                      </m:ctrlPr>
                    </m:e>
                    <m:sub>
                      <m:r>
                        <m:rPr>
                          <m:nor/>
                          <m:sty m:val="p"/>
                        </m:rPr>
                        <w:rPr>
                          <w:rFonts w:cs="Times New Roman"/>
                          <w:b w:val="0"/>
                          <w:i w:val="0"/>
                          <w:iCs/>
                          <w:color w:val="auto"/>
                        </w:rPr>
                        <m:t>i</m:t>
                      </m:r>
                      <m:ctrlPr>
                        <w:rPr>
                          <w:rFonts w:ascii="Cambria Math" w:hAnsi="Cambria Math" w:cs="Times New Roman"/>
                          <w:iCs/>
                          <w:color w:val="auto"/>
                        </w:rPr>
                      </m:ctrlPr>
                    </m:sub>
                    <m:sup>
                      <m:r>
                        <m:rPr>
                          <m:nor/>
                          <m:sty m:val="p"/>
                        </m:rPr>
                        <w:rPr>
                          <w:rFonts w:cs="Times New Roman"/>
                          <w:b w:val="0"/>
                          <w:i w:val="0"/>
                          <w:iCs/>
                          <w:color w:val="auto"/>
                        </w:rPr>
                        <m:t>c</m:t>
                      </m:r>
                      <m:ctrlPr>
                        <w:rPr>
                          <w:rFonts w:ascii="Cambria Math" w:hAnsi="Cambria Math" w:cs="Times New Roman"/>
                          <w:iCs/>
                          <w:color w:val="auto"/>
                        </w:rPr>
                      </m:ctrlPr>
                    </m:sup>
                  </m:sSubSup>
                  <m:ctrlPr>
                    <w:rPr>
                      <w:rFonts w:ascii="Cambria Math" w:hAnsi="Cambria Math" w:cs="Times New Roman"/>
                      <w:iCs/>
                      <w:color w:val="auto"/>
                    </w:rPr>
                  </m:ctrlPr>
                </m:e>
              </m:nary>
              <m:r>
                <m:rPr>
                  <m:nor/>
                  <m:sty m:val="p"/>
                </m:rPr>
                <w:rPr>
                  <w:rFonts w:hint="eastAsia" w:ascii="MS Mincho" w:hAnsi="MS Mincho" w:eastAsia="MS Mincho" w:cs="MS Mincho"/>
                  <w:b w:val="0"/>
                  <w:i w:val="0"/>
                  <w:iCs/>
                  <w:color w:val="auto"/>
                </w:rPr>
                <m:t>⋅</m:t>
              </m:r>
              <m:sSubSup>
                <m:sSubSupPr>
                  <m:ctrlPr>
                    <w:rPr>
                      <w:rFonts w:ascii="Cambria Math" w:hAnsi="Cambria Math" w:cs="Times New Roman"/>
                      <w:iCs/>
                      <w:color w:val="auto"/>
                    </w:rPr>
                  </m:ctrlPr>
                </m:sSubSupPr>
                <m:e>
                  <m:r>
                    <m:rPr>
                      <m:nor/>
                      <m:sty m:val="p"/>
                    </m:rPr>
                    <w:rPr>
                      <w:rFonts w:cs="Times New Roman"/>
                      <w:b w:val="0"/>
                      <w:i w:val="0"/>
                      <w:iCs/>
                      <w:color w:val="auto"/>
                    </w:rPr>
                    <m:t>x</m:t>
                  </m:r>
                  <m:ctrlPr>
                    <w:rPr>
                      <w:rFonts w:ascii="Cambria Math" w:hAnsi="Cambria Math" w:cs="Times New Roman"/>
                      <w:iCs/>
                      <w:color w:val="auto"/>
                    </w:rPr>
                  </m:ctrlPr>
                </m:e>
                <m:sub>
                  <m:r>
                    <m:rPr>
                      <m:nor/>
                      <m:sty m:val="p"/>
                    </m:rPr>
                    <w:rPr>
                      <w:rFonts w:cs="Times New Roman"/>
                      <w:b w:val="0"/>
                      <w:i w:val="0"/>
                      <w:iCs/>
                      <w:color w:val="auto"/>
                    </w:rPr>
                    <m:t>j</m:t>
                  </m:r>
                  <m:ctrlPr>
                    <w:rPr>
                      <w:rFonts w:ascii="Cambria Math" w:hAnsi="Cambria Math" w:cs="Times New Roman"/>
                      <w:iCs/>
                      <w:color w:val="auto"/>
                    </w:rPr>
                  </m:ctrlPr>
                </m:sub>
                <m:sup>
                  <m:sSup>
                    <m:sSupPr>
                      <m:ctrlPr>
                        <w:rPr>
                          <w:rFonts w:ascii="Cambria Math" w:hAnsi="Cambria Math" w:cs="Times New Roman"/>
                          <w:iCs/>
                          <w:color w:val="auto"/>
                        </w:rPr>
                      </m:ctrlPr>
                    </m:sSupPr>
                    <m:e>
                      <m:r>
                        <m:rPr>
                          <m:nor/>
                          <m:sty m:val="p"/>
                        </m:rPr>
                        <w:rPr>
                          <w:rFonts w:cs="Times New Roman"/>
                          <w:b w:val="0"/>
                          <w:i w:val="0"/>
                          <w:iCs/>
                          <w:color w:val="auto"/>
                        </w:rPr>
                        <m:t>c</m:t>
                      </m:r>
                      <m:ctrlPr>
                        <w:rPr>
                          <w:rFonts w:ascii="Cambria Math" w:hAnsi="Cambria Math" w:cs="Times New Roman"/>
                          <w:iCs/>
                          <w:color w:val="auto"/>
                        </w:rPr>
                      </m:ctrlPr>
                    </m:e>
                    <m:sup>
                      <m:r>
                        <m:rPr>
                          <m:nor/>
                          <m:sty m:val="p"/>
                        </m:rPr>
                        <w:rPr>
                          <w:rFonts w:cs="Times New Roman"/>
                          <w:b w:val="0"/>
                          <w:i w:val="0"/>
                          <w:iCs/>
                          <w:color w:val="auto"/>
                        </w:rPr>
                        <m:t>'</m:t>
                      </m:r>
                      <m:ctrlPr>
                        <w:rPr>
                          <w:rFonts w:ascii="Cambria Math" w:hAnsi="Cambria Math" w:cs="Times New Roman"/>
                          <w:iCs/>
                          <w:color w:val="auto"/>
                        </w:rPr>
                      </m:ctrlPr>
                    </m:sup>
                  </m:sSup>
                  <m:ctrlPr>
                    <w:rPr>
                      <w:rFonts w:ascii="Cambria Math" w:hAnsi="Cambria Math" w:cs="Times New Roman"/>
                      <w:iCs/>
                      <w:color w:val="auto"/>
                    </w:rPr>
                  </m:ctrlPr>
                </m:sup>
              </m:sSubSup>
              <m:r>
                <m:rPr>
                  <m:sty m:val="p"/>
                </m:rPr>
                <w:rPr>
                  <w:rFonts w:ascii="Cambria Math" w:hAnsi="Cambria Math" w:cs="Times New Roman"/>
                  <w:color w:val="auto"/>
                </w:rPr>
                <m:t>#</m:t>
              </m:r>
              <m:d>
                <m:dPr>
                  <m:ctrlPr>
                    <w:rPr>
                      <w:rFonts w:ascii="Cambria Math" w:hAnsi="Cambria Math" w:cs="Times New Roman"/>
                      <w:iCs/>
                      <w:color w:val="auto"/>
                    </w:rPr>
                  </m:ctrlPr>
                </m:dPr>
                <m:e>
                  <m:r>
                    <m:rPr>
                      <m:nor/>
                      <m:sty m:val="p"/>
                    </m:rPr>
                    <w:rPr>
                      <w:rFonts w:cs="Times New Roman"/>
                      <w:b w:val="0"/>
                      <w:i w:val="0"/>
                      <w:iCs/>
                      <w:color w:val="auto"/>
                    </w:rPr>
                    <m:t>3-1</m:t>
                  </m:r>
                  <m:ctrlPr>
                    <w:rPr>
                      <w:rFonts w:ascii="Cambria Math" w:hAnsi="Cambria Math" w:cs="Times New Roman"/>
                      <w:iCs/>
                      <w:color w:val="auto"/>
                    </w:rPr>
                  </m:ctrlPr>
                </m:e>
              </m:d>
              <m:ctrlPr>
                <w:rPr>
                  <w:rFonts w:ascii="Cambria Math" w:hAnsi="Cambria Math" w:cs="Times New Roman"/>
                  <w:iCs/>
                  <w:color w:val="auto"/>
                </w:rPr>
              </m:ctrlPr>
            </m:e>
          </m:eqArr>
        </m:oMath>
      </m:oMathPara>
    </w:p>
    <w:p w14:paraId="4979ABC9">
      <w:pPr>
        <w:ind w:firstLine="420" w:firstLineChars="0"/>
        <w:rPr>
          <w:color w:val="auto"/>
        </w:rPr>
      </w:pPr>
      <w:r>
        <w:rPr>
          <w:rFonts w:hint="eastAsia" w:hAnsi="Cambria Math"/>
          <w:color w:val="auto"/>
        </w:rPr>
        <w:t>其中，“</w:t>
      </w:r>
      <m:oMath>
        <m:r>
          <m:rPr>
            <m:sty m:val="p"/>
          </m:rPr>
          <w:rPr>
            <w:rFonts w:ascii="Cambria Math" w:hAnsi="Cambria Math"/>
            <w:color w:val="auto"/>
          </w:rPr>
          <m:t>⋅</m:t>
        </m:r>
      </m:oMath>
      <w:r>
        <w:rPr>
          <w:rFonts w:hint="eastAsia" w:hAnsi="Cambria Math"/>
          <w:color w:val="auto"/>
        </w:rPr>
        <w:t>”表示向量点积运算，</w:t>
      </w:r>
      <m:oMath>
        <m:r>
          <m:rPr>
            <m:nor/>
            <m:sty m:val="p"/>
          </m:rPr>
          <w:rPr>
            <w:rFonts w:cs="Times New Roman"/>
            <w:b w:val="0"/>
            <w:i w:val="0"/>
            <w:color w:val="auto"/>
          </w:rPr>
          <m:t>|</m:t>
        </m:r>
        <m:sSub>
          <m:sSubPr>
            <m:ctrlPr>
              <w:rPr>
                <w:rFonts w:ascii="Cambria Math" w:hAnsi="Cambria Math" w:cs="Times New Roman"/>
                <w:color w:val="auto"/>
              </w:rPr>
            </m:ctrlPr>
          </m:sSubPr>
          <m:e>
            <m:r>
              <m:rPr>
                <m:nor/>
                <m:sty m:val="p"/>
              </m:rPr>
              <w:rPr>
                <w:rFonts w:cs="Times New Roman"/>
                <w:b w:val="0"/>
                <w:i w:val="0"/>
                <w:color w:val="auto"/>
              </w:rPr>
              <m:t>D</m:t>
            </m:r>
            <m:ctrlPr>
              <w:rPr>
                <w:rFonts w:ascii="Cambria Math" w:hAnsi="Cambria Math" w:cs="Times New Roman"/>
                <w:color w:val="auto"/>
              </w:rPr>
            </m:ctrlPr>
          </m:e>
          <m:sub>
            <m:r>
              <m:rPr>
                <m:nor/>
                <m:sty m:val="p"/>
              </m:rPr>
              <w:rPr>
                <w:rFonts w:cs="Times New Roman"/>
                <w:b w:val="0"/>
                <w:i w:val="0"/>
                <w:color w:val="auto"/>
              </w:rPr>
              <m:t>c'</m:t>
            </m:r>
            <m:ctrlPr>
              <w:rPr>
                <w:rFonts w:ascii="Cambria Math" w:hAnsi="Cambria Math" w:cs="Times New Roman"/>
                <w:color w:val="auto"/>
              </w:rPr>
            </m:ctrlPr>
          </m:sub>
        </m:sSub>
        <m:r>
          <m:rPr>
            <m:nor/>
            <m:sty m:val="p"/>
          </m:rPr>
          <w:rPr>
            <w:rFonts w:cs="Times New Roman"/>
            <w:b w:val="0"/>
            <w:i w:val="0"/>
            <w:color w:val="auto"/>
          </w:rPr>
          <m:t>|</m:t>
        </m:r>
      </m:oMath>
      <w:r>
        <w:rPr>
          <w:rFonts w:hint="eastAsia" w:hAnsi="Cambria Math"/>
          <w:color w:val="auto"/>
        </w:rPr>
        <w:t>表示集合</w:t>
      </w:r>
      <m:oMath>
        <m:sSub>
          <m:sSubPr>
            <m:ctrlPr>
              <w:rPr>
                <w:rFonts w:ascii="Cambria Math" w:hAnsi="Cambria Math" w:cs="Times New Roman"/>
                <w:color w:val="auto"/>
              </w:rPr>
            </m:ctrlPr>
          </m:sSubPr>
          <m:e>
            <m:r>
              <m:rPr>
                <m:nor/>
                <m:sty m:val="p"/>
              </m:rPr>
              <w:rPr>
                <w:rFonts w:cs="Times New Roman"/>
                <w:b w:val="0"/>
                <w:i w:val="0"/>
                <w:color w:val="auto"/>
              </w:rPr>
              <m:t>D</m:t>
            </m:r>
            <m:ctrlPr>
              <w:rPr>
                <w:rFonts w:ascii="Cambria Math" w:hAnsi="Cambria Math" w:cs="Times New Roman"/>
                <w:color w:val="auto"/>
              </w:rPr>
            </m:ctrlPr>
          </m:e>
          <m:sub>
            <m:r>
              <m:rPr>
                <m:nor/>
                <m:sty m:val="p"/>
              </m:rPr>
              <w:rPr>
                <w:rFonts w:cs="Times New Roman"/>
                <w:b w:val="0"/>
                <w:i w:val="0"/>
                <w:color w:val="auto"/>
              </w:rPr>
              <m:t>c'</m:t>
            </m:r>
            <m:ctrlPr>
              <w:rPr>
                <w:rFonts w:ascii="Cambria Math" w:hAnsi="Cambria Math" w:cs="Times New Roman"/>
                <w:color w:val="auto"/>
              </w:rPr>
            </m:ctrlPr>
          </m:sub>
        </m:sSub>
      </m:oMath>
      <w:r>
        <w:rPr>
          <w:rFonts w:hint="eastAsia" w:hAnsi="Cambria Math"/>
          <w:color w:val="auto"/>
        </w:rPr>
        <w:t>的势，即样本数量。基于此定义，可得出类内相似度指标，当</w:t>
      </w:r>
      <m:oMath>
        <m:r>
          <m:rPr>
            <m:nor/>
            <m:sty m:val="p"/>
          </m:rPr>
          <w:rPr>
            <w:rFonts w:cs="Times New Roman"/>
            <w:b w:val="0"/>
            <w:i w:val="0"/>
            <w:color w:val="auto"/>
          </w:rPr>
          <m:t>c'=c</m:t>
        </m:r>
      </m:oMath>
      <w:r>
        <w:rPr>
          <w:rFonts w:hint="eastAsia" w:hAnsi="Cambria Math"/>
          <w:color w:val="auto"/>
        </w:rPr>
        <w:t>时，</w:t>
      </w:r>
      <m:oMath>
        <m:r>
          <m:rPr>
            <m:nor/>
            <m:sty m:val="p"/>
          </m:rPr>
          <w:rPr>
            <w:rFonts w:cs="Times New Roman"/>
            <w:b w:val="0"/>
            <w:i w:val="0"/>
            <w:color w:val="auto"/>
          </w:rPr>
          <m:t>Sim(</m:t>
        </m:r>
        <m:sSubSup>
          <m:sSubSupPr>
            <m:ctrlPr>
              <w:rPr>
                <w:rFonts w:ascii="Cambria Math" w:hAnsi="Cambria Math" w:cs="Times New Roman"/>
                <w:color w:val="auto"/>
              </w:rPr>
            </m:ctrlPr>
          </m:sSubSupPr>
          <m:e>
            <m:r>
              <m:rPr>
                <m:nor/>
                <m:sty m:val="p"/>
              </m:rPr>
              <w:rPr>
                <w:rFonts w:cs="Times New Roman"/>
                <w:b w:val="0"/>
                <w:i w:val="0"/>
                <w:color w:val="auto"/>
              </w:rPr>
              <m:t>x</m:t>
            </m:r>
            <m:ctrlPr>
              <w:rPr>
                <w:rFonts w:ascii="Cambria Math" w:hAnsi="Cambria Math" w:cs="Times New Roman"/>
                <w:color w:val="auto"/>
              </w:rPr>
            </m:ctrlPr>
          </m:e>
          <m:sub>
            <m:r>
              <m:rPr>
                <m:nor/>
                <m:sty m:val="p"/>
              </m:rPr>
              <w:rPr>
                <w:rFonts w:cs="Times New Roman"/>
                <w:b w:val="0"/>
                <w:i w:val="0"/>
                <w:color w:val="auto"/>
              </w:rPr>
              <m:t>i</m:t>
            </m:r>
            <m:ctrlPr>
              <w:rPr>
                <w:rFonts w:ascii="Cambria Math" w:hAnsi="Cambria Math" w:cs="Times New Roman"/>
                <w:color w:val="auto"/>
              </w:rPr>
            </m:ctrlPr>
          </m:sub>
          <m:sup>
            <m:r>
              <m:rPr>
                <m:nor/>
                <m:sty m:val="p"/>
              </m:rPr>
              <w:rPr>
                <w:rFonts w:cs="Times New Roman"/>
                <w:b w:val="0"/>
                <w:i w:val="0"/>
                <w:color w:val="auto"/>
              </w:rPr>
              <m:t>c</m:t>
            </m:r>
            <m:ctrlPr>
              <w:rPr>
                <w:rFonts w:ascii="Cambria Math" w:hAnsi="Cambria Math" w:cs="Times New Roman"/>
                <w:color w:val="auto"/>
              </w:rPr>
            </m:ctrlPr>
          </m:sup>
        </m:sSubSup>
        <m:r>
          <m:rPr>
            <m:nor/>
            <m:sty m:val="p"/>
          </m:rPr>
          <w:rPr>
            <w:rFonts w:cs="Times New Roman"/>
            <w:b w:val="0"/>
            <w:i w:val="0"/>
            <w:color w:val="auto"/>
          </w:rPr>
          <m:t>,c)</m:t>
        </m:r>
      </m:oMath>
      <w:r>
        <w:rPr>
          <w:rFonts w:hint="eastAsia" w:hAnsi="Cambria Math"/>
          <w:color w:val="auto"/>
        </w:rPr>
        <w:t>衡量了样本</w:t>
      </w:r>
      <m:oMath>
        <m:sSubSup>
          <m:sSubSupPr>
            <m:ctrlPr>
              <w:rPr>
                <w:rFonts w:ascii="Cambria Math" w:hAnsi="Cambria Math" w:cs="Times New Roman"/>
                <w:color w:val="auto"/>
              </w:rPr>
            </m:ctrlPr>
          </m:sSubSupPr>
          <m:e>
            <m:r>
              <m:rPr>
                <m:nor/>
                <m:sty m:val="p"/>
              </m:rPr>
              <w:rPr>
                <w:rFonts w:cs="Times New Roman"/>
                <w:b w:val="0"/>
                <w:i w:val="0"/>
                <w:color w:val="auto"/>
              </w:rPr>
              <m:t>x</m:t>
            </m:r>
            <m:ctrlPr>
              <w:rPr>
                <w:rFonts w:ascii="Cambria Math" w:hAnsi="Cambria Math" w:cs="Times New Roman"/>
                <w:color w:val="auto"/>
              </w:rPr>
            </m:ctrlPr>
          </m:e>
          <m:sub>
            <m:r>
              <m:rPr>
                <m:nor/>
                <m:sty m:val="p"/>
              </m:rPr>
              <w:rPr>
                <w:rFonts w:cs="Times New Roman"/>
                <w:b w:val="0"/>
                <w:i w:val="0"/>
                <w:color w:val="auto"/>
              </w:rPr>
              <m:t>i</m:t>
            </m:r>
            <m:ctrlPr>
              <w:rPr>
                <w:rFonts w:ascii="Cambria Math" w:hAnsi="Cambria Math" w:cs="Times New Roman"/>
                <w:color w:val="auto"/>
              </w:rPr>
            </m:ctrlPr>
          </m:sub>
          <m:sup>
            <m:r>
              <m:rPr>
                <m:nor/>
                <m:sty m:val="p"/>
              </m:rPr>
              <w:rPr>
                <w:rFonts w:cs="Times New Roman"/>
                <w:b w:val="0"/>
                <w:i w:val="0"/>
                <w:color w:val="auto"/>
              </w:rPr>
              <m:t>c</m:t>
            </m:r>
            <m:ctrlPr>
              <w:rPr>
                <w:rFonts w:ascii="Cambria Math" w:hAnsi="Cambria Math" w:cs="Times New Roman"/>
                <w:color w:val="auto"/>
              </w:rPr>
            </m:ctrlPr>
          </m:sup>
        </m:sSubSup>
      </m:oMath>
      <w:r>
        <w:rPr>
          <w:rFonts w:hint="eastAsia" w:hAnsi="Cambria Math"/>
          <w:color w:val="auto"/>
        </w:rPr>
        <w:t>与同类样本在语义空间中的平均紧密度。</w:t>
      </w:r>
    </w:p>
    <w:p w14:paraId="5BC01742">
      <w:pPr>
        <w:ind w:firstLine="420" w:firstLineChars="0"/>
        <w:rPr>
          <w:color w:val="auto"/>
        </w:rPr>
      </w:pPr>
      <w:r>
        <w:rPr>
          <w:rFonts w:hint="eastAsia"/>
          <w:color w:val="auto"/>
        </w:rPr>
        <w:t>具体而言，首先利用预训练文本嵌入模型bge-large-zh-v1.5将专利文本映射为高维语义向量表示，并对所有样本向量进行L2归一化处理，以消除向量模长差异，使向量间的点积等价于余弦相似度。</w:t>
      </w:r>
    </w:p>
    <w:p w14:paraId="734925A0">
      <w:pPr>
        <w:ind w:firstLine="480"/>
        <w:rPr>
          <w:color w:val="auto"/>
        </w:rPr>
      </w:pPr>
      <w:r>
        <w:rPr>
          <w:rFonts w:hint="eastAsia" w:hAnsi="Cambria Math"/>
          <w:color w:val="auto"/>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color w:val="auto"/>
        </w:rPr>
        <w:t>JS散度取值范围取决于对数底数，本文采用以2为底的对数计算JS散度，JS散度取值范围为[0,1]，其值越小，表示两个分布越相似，即抽样数据在语义结构层面越好地保持了原始数据的分布特征。</w:t>
      </w:r>
    </w:p>
    <w:p w14:paraId="5835657B">
      <w:pPr>
        <w:ind w:firstLine="480"/>
        <w:rPr>
          <w:color w:val="auto"/>
        </w:rPr>
      </w:pPr>
      <w:r>
        <w:rPr>
          <w:rFonts w:hint="eastAsia"/>
          <w:color w:val="auto"/>
        </w:rPr>
        <w:t>本文采用JS散度而不是Kolmogorov-Smirnov检验或者t检验等传统统计显著性检验方法的原因在于：</w:t>
      </w:r>
    </w:p>
    <w:p w14:paraId="1383115A">
      <w:pPr>
        <w:numPr>
          <w:ilvl w:val="0"/>
          <w:numId w:val="10"/>
        </w:numPr>
        <w:ind w:firstLine="480"/>
        <w:rPr>
          <w:color w:val="auto"/>
        </w:rPr>
      </w:pPr>
      <w:r>
        <w:rPr>
          <w:rFonts w:hint="eastAsia"/>
          <w:color w:val="auto"/>
        </w:rPr>
        <w:t>样本独立性假设的违背</w:t>
      </w:r>
    </w:p>
    <w:p w14:paraId="263D723A">
      <w:pPr>
        <w:ind w:firstLine="480"/>
        <w:rPr>
          <w:color w:val="auto"/>
        </w:rPr>
      </w:pPr>
      <w:r>
        <w:rPr>
          <w:rFonts w:hint="eastAsia"/>
          <w:color w:val="auto"/>
        </w:rPr>
        <w:t>传统的统计假设检验一般需要比较的两个样本是相互独立的，在这个实验中，抽样子集D2是总体D1的一个真子集，二者之间有天然的数据重叠以及内在的相关性，不符合两样本假设检验的前提假设，因此不能使用传统的检验方法进行分析。</w:t>
      </w:r>
    </w:p>
    <w:p w14:paraId="1E53EE51">
      <w:pPr>
        <w:numPr>
          <w:ilvl w:val="0"/>
          <w:numId w:val="10"/>
        </w:numPr>
        <w:ind w:firstLine="480"/>
        <w:rPr>
          <w:color w:val="auto"/>
        </w:rPr>
      </w:pPr>
      <w:r>
        <w:rPr>
          <w:rFonts w:hint="eastAsia"/>
          <w:color w:val="auto"/>
        </w:rPr>
        <w:t>大样本下的过度敏感性</w:t>
      </w:r>
    </w:p>
    <w:p w14:paraId="14EA6BB3">
      <w:pPr>
        <w:ind w:firstLine="480"/>
        <w:rPr>
          <w:color w:val="auto"/>
        </w:rPr>
      </w:pPr>
      <w:r>
        <w:rPr>
          <w:rFonts w:hint="eastAsia"/>
          <w:color w:val="auto"/>
        </w:rPr>
        <w:t>全集D1样本容量很大，在这种情况下，传统的统计检验对于很小的变化过于敏感，容易得到统计显著的结果，即</w:t>
      </w:r>
      <m:oMath>
        <m:r>
          <m:rPr>
            <m:nor/>
            <m:sty m:val="p"/>
          </m:rPr>
          <w:rPr>
            <w:rFonts w:cs="Times New Roman"/>
            <w:b w:val="0"/>
            <w:i w:val="0"/>
            <w:color w:val="auto"/>
          </w:rPr>
          <m:t>p→0</m:t>
        </m:r>
      </m:oMath>
      <w:r>
        <w:rPr>
          <w:rFonts w:hint="eastAsia"/>
          <w:color w:val="auto"/>
        </w:rPr>
        <w:t>，这不能很好地说明这两个样本集在业务逻辑上的一致性。因此相比于二元判断的显著性检验，使用一个有界的并且数值稳定JS散度可以更好地衡量抽样子集对于原始语义空间重构的质量。</w:t>
      </w:r>
    </w:p>
    <w:p w14:paraId="00327671">
      <w:pPr>
        <w:ind w:firstLine="480"/>
        <w:rPr>
          <w:color w:val="auto"/>
        </w:rPr>
      </w:pPr>
      <w:r>
        <w:rPr>
          <w:rFonts w:hint="eastAsia"/>
          <w:color w:val="auto"/>
        </w:rPr>
        <w:t>本论文使用自助法Bootstrap来检验所得到的结果是否是稳健的。即以从KNN以及MLP模型预测出的所有二级产品类别构成集合D1为基础，通过上述方法随机抽取30次，然后求每一次所抽到子集D2与整个集合D1之间的类内相似性分布的JS散度。</w:t>
      </w:r>
    </w:p>
    <w:p w14:paraId="4F2A87A7">
      <w:pPr>
        <w:pStyle w:val="25"/>
        <w:rPr>
          <w:rFonts w:hint="default"/>
          <w:color w:val="auto"/>
        </w:rPr>
      </w:pPr>
      <w:r>
        <w:rPr>
          <w:color w:val="auto"/>
        </w:rPr>
        <w:t>表3-4  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725DAD7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2DA2F493">
            <w:pPr>
              <w:pStyle w:val="26"/>
              <w:rPr>
                <w:rFonts w:hint="default"/>
                <w:color w:val="auto"/>
              </w:rPr>
            </w:pPr>
            <w:r>
              <w:rPr>
                <w:color w:val="auto"/>
              </w:rPr>
              <w:t>一级产品类别</w:t>
            </w:r>
          </w:p>
        </w:tc>
        <w:tc>
          <w:tcPr>
            <w:tcW w:w="1405" w:type="dxa"/>
            <w:tcBorders>
              <w:bottom w:val="single" w:color="auto" w:sz="6" w:space="0"/>
              <w:tl2br w:val="nil"/>
              <w:tr2bl w:val="nil"/>
            </w:tcBorders>
            <w:vAlign w:val="center"/>
          </w:tcPr>
          <w:p w14:paraId="5F8D7C40">
            <w:pPr>
              <w:pStyle w:val="26"/>
              <w:rPr>
                <w:rFonts w:hint="default"/>
                <w:color w:val="auto"/>
              </w:rPr>
            </w:pPr>
            <w:r>
              <w:rPr>
                <w:color w:val="auto"/>
              </w:rPr>
              <w:t>Better_Model</w:t>
            </w:r>
          </w:p>
        </w:tc>
        <w:tc>
          <w:tcPr>
            <w:tcW w:w="2039" w:type="dxa"/>
            <w:tcBorders>
              <w:bottom w:val="single" w:color="auto" w:sz="6" w:space="0"/>
              <w:tl2br w:val="nil"/>
              <w:tr2bl w:val="nil"/>
            </w:tcBorders>
            <w:vAlign w:val="center"/>
          </w:tcPr>
          <w:p w14:paraId="51E47CB7">
            <w:pPr>
              <w:pStyle w:val="26"/>
              <w:rPr>
                <w:rFonts w:hint="default"/>
                <w:color w:val="auto"/>
              </w:rPr>
            </w:pPr>
            <w:r>
              <w:rPr>
                <w:color w:val="auto"/>
              </w:rPr>
              <w:t>KNN_JS_Mean</w:t>
            </w:r>
          </w:p>
        </w:tc>
        <w:tc>
          <w:tcPr>
            <w:tcW w:w="1990" w:type="dxa"/>
            <w:tcBorders>
              <w:bottom w:val="single" w:color="auto" w:sz="6" w:space="0"/>
              <w:tl2br w:val="nil"/>
              <w:tr2bl w:val="nil"/>
            </w:tcBorders>
            <w:vAlign w:val="center"/>
          </w:tcPr>
          <w:p w14:paraId="45914DAD">
            <w:pPr>
              <w:pStyle w:val="26"/>
              <w:rPr>
                <w:rFonts w:hint="default"/>
                <w:color w:val="auto"/>
              </w:rPr>
            </w:pPr>
            <w:r>
              <w:rPr>
                <w:color w:val="auto"/>
              </w:rPr>
              <w:t>MLP_JS_Mean</w:t>
            </w:r>
          </w:p>
        </w:tc>
      </w:tr>
      <w:tr w14:paraId="5AC67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0ED5140A">
            <w:pPr>
              <w:pStyle w:val="26"/>
              <w:rPr>
                <w:rFonts w:hint="default"/>
                <w:color w:val="auto"/>
              </w:rPr>
            </w:pPr>
            <w:r>
              <w:rPr>
                <w:color w:val="auto"/>
              </w:rPr>
              <w:t>有源手术器械</w:t>
            </w:r>
          </w:p>
        </w:tc>
        <w:tc>
          <w:tcPr>
            <w:tcW w:w="1405" w:type="dxa"/>
            <w:tcBorders>
              <w:top w:val="single" w:color="auto" w:sz="6" w:space="0"/>
            </w:tcBorders>
            <w:vAlign w:val="center"/>
          </w:tcPr>
          <w:p w14:paraId="1F6E7AB5">
            <w:pPr>
              <w:pStyle w:val="26"/>
              <w:rPr>
                <w:rFonts w:hint="default"/>
                <w:color w:val="auto"/>
              </w:rPr>
            </w:pPr>
            <w:r>
              <w:rPr>
                <w:color w:val="auto"/>
              </w:rPr>
              <w:t>mlp</w:t>
            </w:r>
          </w:p>
        </w:tc>
        <w:tc>
          <w:tcPr>
            <w:tcW w:w="2039" w:type="dxa"/>
            <w:tcBorders>
              <w:top w:val="single" w:color="auto" w:sz="6" w:space="0"/>
            </w:tcBorders>
            <w:vAlign w:val="center"/>
          </w:tcPr>
          <w:p w14:paraId="6C6638A2">
            <w:pPr>
              <w:pStyle w:val="26"/>
              <w:rPr>
                <w:rFonts w:hint="default"/>
                <w:color w:val="auto"/>
              </w:rPr>
            </w:pPr>
            <w:r>
              <w:rPr>
                <w:color w:val="auto"/>
              </w:rPr>
              <w:t>0.062541642</w:t>
            </w:r>
          </w:p>
        </w:tc>
        <w:tc>
          <w:tcPr>
            <w:tcW w:w="1990" w:type="dxa"/>
            <w:tcBorders>
              <w:top w:val="single" w:color="auto" w:sz="6" w:space="0"/>
            </w:tcBorders>
            <w:vAlign w:val="center"/>
          </w:tcPr>
          <w:p w14:paraId="2897989D">
            <w:pPr>
              <w:pStyle w:val="26"/>
              <w:rPr>
                <w:rFonts w:hint="default"/>
                <w:color w:val="auto"/>
              </w:rPr>
            </w:pPr>
            <w:r>
              <w:rPr>
                <w:color w:val="auto"/>
              </w:rPr>
              <w:t>0.059463533</w:t>
            </w:r>
          </w:p>
        </w:tc>
      </w:tr>
      <w:tr w14:paraId="0D90A6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B1B1225">
            <w:pPr>
              <w:pStyle w:val="26"/>
              <w:rPr>
                <w:rFonts w:hint="default"/>
                <w:color w:val="auto"/>
              </w:rPr>
            </w:pPr>
            <w:r>
              <w:rPr>
                <w:color w:val="auto"/>
              </w:rPr>
              <w:t>医疗器械消毒灭菌器械</w:t>
            </w:r>
          </w:p>
        </w:tc>
        <w:tc>
          <w:tcPr>
            <w:tcW w:w="1405" w:type="dxa"/>
            <w:tcBorders>
              <w:tl2br w:val="nil"/>
              <w:tr2bl w:val="nil"/>
            </w:tcBorders>
            <w:vAlign w:val="center"/>
          </w:tcPr>
          <w:p w14:paraId="2893BF54">
            <w:pPr>
              <w:pStyle w:val="26"/>
              <w:rPr>
                <w:rFonts w:hint="default"/>
                <w:color w:val="auto"/>
              </w:rPr>
            </w:pPr>
            <w:r>
              <w:rPr>
                <w:color w:val="auto"/>
              </w:rPr>
              <w:t>knn</w:t>
            </w:r>
          </w:p>
        </w:tc>
        <w:tc>
          <w:tcPr>
            <w:tcW w:w="2039" w:type="dxa"/>
            <w:tcBorders>
              <w:tl2br w:val="nil"/>
              <w:tr2bl w:val="nil"/>
            </w:tcBorders>
            <w:vAlign w:val="center"/>
          </w:tcPr>
          <w:p w14:paraId="471FC199">
            <w:pPr>
              <w:pStyle w:val="26"/>
              <w:rPr>
                <w:rFonts w:hint="default"/>
                <w:color w:val="auto"/>
              </w:rPr>
            </w:pPr>
            <w:r>
              <w:rPr>
                <w:color w:val="auto"/>
              </w:rPr>
              <w:t>0.161505414</w:t>
            </w:r>
          </w:p>
        </w:tc>
        <w:tc>
          <w:tcPr>
            <w:tcW w:w="1990" w:type="dxa"/>
            <w:tcBorders>
              <w:tl2br w:val="nil"/>
              <w:tr2bl w:val="nil"/>
            </w:tcBorders>
            <w:vAlign w:val="center"/>
          </w:tcPr>
          <w:p w14:paraId="2852DA62">
            <w:pPr>
              <w:pStyle w:val="26"/>
              <w:rPr>
                <w:rFonts w:hint="default"/>
                <w:color w:val="auto"/>
              </w:rPr>
            </w:pPr>
            <w:r>
              <w:rPr>
                <w:color w:val="auto"/>
              </w:rPr>
              <w:t>0.165691608</w:t>
            </w:r>
          </w:p>
        </w:tc>
      </w:tr>
      <w:tr w14:paraId="46800E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1463453">
            <w:pPr>
              <w:pStyle w:val="26"/>
              <w:rPr>
                <w:rFonts w:hint="default"/>
                <w:color w:val="auto"/>
              </w:rPr>
            </w:pPr>
            <w:r>
              <w:rPr>
                <w:color w:val="auto"/>
              </w:rPr>
              <w:t>有源植入器械</w:t>
            </w:r>
          </w:p>
        </w:tc>
        <w:tc>
          <w:tcPr>
            <w:tcW w:w="1405" w:type="dxa"/>
            <w:tcBorders>
              <w:tl2br w:val="nil"/>
              <w:tr2bl w:val="nil"/>
            </w:tcBorders>
            <w:vAlign w:val="center"/>
          </w:tcPr>
          <w:p w14:paraId="7D521689">
            <w:pPr>
              <w:pStyle w:val="26"/>
              <w:rPr>
                <w:rFonts w:hint="default"/>
                <w:color w:val="auto"/>
              </w:rPr>
            </w:pPr>
            <w:r>
              <w:rPr>
                <w:color w:val="auto"/>
              </w:rPr>
              <w:t>mlp</w:t>
            </w:r>
          </w:p>
        </w:tc>
        <w:tc>
          <w:tcPr>
            <w:tcW w:w="2039" w:type="dxa"/>
            <w:tcBorders>
              <w:tl2br w:val="nil"/>
              <w:tr2bl w:val="nil"/>
            </w:tcBorders>
            <w:vAlign w:val="center"/>
          </w:tcPr>
          <w:p w14:paraId="5137836D">
            <w:pPr>
              <w:pStyle w:val="26"/>
              <w:rPr>
                <w:rFonts w:hint="default"/>
                <w:color w:val="auto"/>
              </w:rPr>
            </w:pPr>
            <w:r>
              <w:rPr>
                <w:color w:val="auto"/>
              </w:rPr>
              <w:t>0.194804731</w:t>
            </w:r>
          </w:p>
        </w:tc>
        <w:tc>
          <w:tcPr>
            <w:tcW w:w="1990" w:type="dxa"/>
            <w:tcBorders>
              <w:tl2br w:val="nil"/>
              <w:tr2bl w:val="nil"/>
            </w:tcBorders>
            <w:vAlign w:val="center"/>
          </w:tcPr>
          <w:p w14:paraId="59B9C323">
            <w:pPr>
              <w:pStyle w:val="26"/>
              <w:rPr>
                <w:rFonts w:hint="default"/>
                <w:color w:val="auto"/>
              </w:rPr>
            </w:pPr>
            <w:r>
              <w:rPr>
                <w:color w:val="auto"/>
              </w:rPr>
              <w:t>0.1841721</w:t>
            </w:r>
          </w:p>
        </w:tc>
      </w:tr>
      <w:tr w14:paraId="10D442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9A7D79F">
            <w:pPr>
              <w:pStyle w:val="26"/>
              <w:rPr>
                <w:rFonts w:hint="default"/>
                <w:color w:val="auto"/>
              </w:rPr>
            </w:pPr>
            <w:r>
              <w:rPr>
                <w:color w:val="auto"/>
              </w:rPr>
              <w:t>无源植入器械</w:t>
            </w:r>
          </w:p>
        </w:tc>
        <w:tc>
          <w:tcPr>
            <w:tcW w:w="1405" w:type="dxa"/>
            <w:tcBorders>
              <w:tl2br w:val="nil"/>
              <w:tr2bl w:val="nil"/>
            </w:tcBorders>
            <w:vAlign w:val="center"/>
          </w:tcPr>
          <w:p w14:paraId="7707D2DD">
            <w:pPr>
              <w:pStyle w:val="26"/>
              <w:rPr>
                <w:rFonts w:hint="default"/>
                <w:color w:val="auto"/>
              </w:rPr>
            </w:pPr>
            <w:r>
              <w:rPr>
                <w:color w:val="auto"/>
              </w:rPr>
              <w:t>mlp</w:t>
            </w:r>
          </w:p>
        </w:tc>
        <w:tc>
          <w:tcPr>
            <w:tcW w:w="2039" w:type="dxa"/>
            <w:tcBorders>
              <w:tl2br w:val="nil"/>
              <w:tr2bl w:val="nil"/>
            </w:tcBorders>
            <w:vAlign w:val="center"/>
          </w:tcPr>
          <w:p w14:paraId="02315BE7">
            <w:pPr>
              <w:pStyle w:val="26"/>
              <w:rPr>
                <w:rFonts w:hint="default"/>
                <w:color w:val="auto"/>
              </w:rPr>
            </w:pPr>
            <w:r>
              <w:rPr>
                <w:color w:val="auto"/>
              </w:rPr>
              <w:t>0.206948514</w:t>
            </w:r>
          </w:p>
        </w:tc>
        <w:tc>
          <w:tcPr>
            <w:tcW w:w="1990" w:type="dxa"/>
            <w:tcBorders>
              <w:tl2br w:val="nil"/>
              <w:tr2bl w:val="nil"/>
            </w:tcBorders>
            <w:vAlign w:val="center"/>
          </w:tcPr>
          <w:p w14:paraId="3A9F6AE2">
            <w:pPr>
              <w:pStyle w:val="26"/>
              <w:rPr>
                <w:rFonts w:hint="default"/>
                <w:color w:val="auto"/>
              </w:rPr>
            </w:pPr>
            <w:r>
              <w:rPr>
                <w:color w:val="auto"/>
              </w:rPr>
              <w:t>0.184582234</w:t>
            </w:r>
          </w:p>
        </w:tc>
      </w:tr>
      <w:tr w14:paraId="366F9D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9FECCDF">
            <w:pPr>
              <w:pStyle w:val="26"/>
              <w:rPr>
                <w:rFonts w:hint="default"/>
                <w:color w:val="auto"/>
              </w:rPr>
            </w:pPr>
            <w:r>
              <w:rPr>
                <w:color w:val="auto"/>
              </w:rPr>
              <w:t>注输、护理和防护器械</w:t>
            </w:r>
          </w:p>
        </w:tc>
        <w:tc>
          <w:tcPr>
            <w:tcW w:w="1405" w:type="dxa"/>
            <w:tcBorders>
              <w:tl2br w:val="nil"/>
              <w:tr2bl w:val="nil"/>
            </w:tcBorders>
            <w:vAlign w:val="center"/>
          </w:tcPr>
          <w:p w14:paraId="7F065A41">
            <w:pPr>
              <w:pStyle w:val="26"/>
              <w:rPr>
                <w:rFonts w:hint="default"/>
                <w:color w:val="auto"/>
              </w:rPr>
            </w:pPr>
            <w:r>
              <w:rPr>
                <w:color w:val="auto"/>
              </w:rPr>
              <w:t>mlp</w:t>
            </w:r>
          </w:p>
        </w:tc>
        <w:tc>
          <w:tcPr>
            <w:tcW w:w="2039" w:type="dxa"/>
            <w:tcBorders>
              <w:tl2br w:val="nil"/>
              <w:tr2bl w:val="nil"/>
            </w:tcBorders>
            <w:vAlign w:val="center"/>
          </w:tcPr>
          <w:p w14:paraId="31C16840">
            <w:pPr>
              <w:pStyle w:val="26"/>
              <w:rPr>
                <w:rFonts w:hint="default"/>
                <w:color w:val="auto"/>
              </w:rPr>
            </w:pPr>
            <w:r>
              <w:rPr>
                <w:color w:val="auto"/>
              </w:rPr>
              <w:t>0.118928966</w:t>
            </w:r>
          </w:p>
        </w:tc>
        <w:tc>
          <w:tcPr>
            <w:tcW w:w="1990" w:type="dxa"/>
            <w:tcBorders>
              <w:tl2br w:val="nil"/>
              <w:tr2bl w:val="nil"/>
            </w:tcBorders>
            <w:vAlign w:val="center"/>
          </w:tcPr>
          <w:p w14:paraId="63C923CF">
            <w:pPr>
              <w:pStyle w:val="26"/>
              <w:rPr>
                <w:rFonts w:hint="default"/>
                <w:color w:val="auto"/>
              </w:rPr>
            </w:pPr>
            <w:r>
              <w:rPr>
                <w:color w:val="auto"/>
              </w:rPr>
              <w:t>0.110467179</w:t>
            </w:r>
          </w:p>
        </w:tc>
      </w:tr>
      <w:tr w14:paraId="5ACCFF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303E1FB">
            <w:pPr>
              <w:pStyle w:val="26"/>
              <w:rPr>
                <w:rFonts w:hint="default"/>
                <w:color w:val="auto"/>
              </w:rPr>
            </w:pPr>
            <w:r>
              <w:rPr>
                <w:color w:val="auto"/>
              </w:rPr>
              <w:t>患者承载器械</w:t>
            </w:r>
          </w:p>
        </w:tc>
        <w:tc>
          <w:tcPr>
            <w:tcW w:w="1405" w:type="dxa"/>
            <w:tcBorders>
              <w:tl2br w:val="nil"/>
              <w:tr2bl w:val="nil"/>
            </w:tcBorders>
            <w:vAlign w:val="center"/>
          </w:tcPr>
          <w:p w14:paraId="77015776">
            <w:pPr>
              <w:pStyle w:val="26"/>
              <w:rPr>
                <w:rFonts w:hint="default"/>
                <w:color w:val="auto"/>
              </w:rPr>
            </w:pPr>
            <w:r>
              <w:rPr>
                <w:color w:val="auto"/>
              </w:rPr>
              <w:t>mlp</w:t>
            </w:r>
          </w:p>
        </w:tc>
        <w:tc>
          <w:tcPr>
            <w:tcW w:w="2039" w:type="dxa"/>
            <w:tcBorders>
              <w:tl2br w:val="nil"/>
              <w:tr2bl w:val="nil"/>
            </w:tcBorders>
            <w:vAlign w:val="center"/>
          </w:tcPr>
          <w:p w14:paraId="09853EAF">
            <w:pPr>
              <w:pStyle w:val="26"/>
              <w:rPr>
                <w:rFonts w:hint="default"/>
                <w:color w:val="auto"/>
              </w:rPr>
            </w:pPr>
            <w:r>
              <w:rPr>
                <w:color w:val="auto"/>
              </w:rPr>
              <w:t>0.16385814</w:t>
            </w:r>
          </w:p>
        </w:tc>
        <w:tc>
          <w:tcPr>
            <w:tcW w:w="1990" w:type="dxa"/>
            <w:tcBorders>
              <w:tl2br w:val="nil"/>
              <w:tr2bl w:val="nil"/>
            </w:tcBorders>
            <w:vAlign w:val="center"/>
          </w:tcPr>
          <w:p w14:paraId="57C279F1">
            <w:pPr>
              <w:pStyle w:val="26"/>
              <w:rPr>
                <w:rFonts w:hint="default"/>
                <w:color w:val="auto"/>
              </w:rPr>
            </w:pPr>
            <w:r>
              <w:rPr>
                <w:color w:val="auto"/>
              </w:rPr>
              <w:t>0.155918799</w:t>
            </w:r>
          </w:p>
        </w:tc>
      </w:tr>
      <w:tr w14:paraId="1880E2B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5728907">
            <w:pPr>
              <w:pStyle w:val="26"/>
              <w:rPr>
                <w:rFonts w:hint="default"/>
                <w:color w:val="auto"/>
              </w:rPr>
            </w:pPr>
            <w:r>
              <w:rPr>
                <w:color w:val="auto"/>
              </w:rPr>
              <w:t>眼科器械</w:t>
            </w:r>
          </w:p>
        </w:tc>
        <w:tc>
          <w:tcPr>
            <w:tcW w:w="1405" w:type="dxa"/>
            <w:tcBorders>
              <w:tl2br w:val="nil"/>
              <w:tr2bl w:val="nil"/>
            </w:tcBorders>
            <w:vAlign w:val="center"/>
          </w:tcPr>
          <w:p w14:paraId="15FF7583">
            <w:pPr>
              <w:pStyle w:val="26"/>
              <w:rPr>
                <w:rFonts w:hint="default"/>
                <w:color w:val="auto"/>
              </w:rPr>
            </w:pPr>
            <w:r>
              <w:rPr>
                <w:color w:val="auto"/>
              </w:rPr>
              <w:t>mlp</w:t>
            </w:r>
          </w:p>
        </w:tc>
        <w:tc>
          <w:tcPr>
            <w:tcW w:w="2039" w:type="dxa"/>
            <w:tcBorders>
              <w:tl2br w:val="nil"/>
              <w:tr2bl w:val="nil"/>
            </w:tcBorders>
            <w:vAlign w:val="center"/>
          </w:tcPr>
          <w:p w14:paraId="044BDD43">
            <w:pPr>
              <w:pStyle w:val="26"/>
              <w:rPr>
                <w:rFonts w:hint="default"/>
                <w:color w:val="auto"/>
              </w:rPr>
            </w:pPr>
            <w:r>
              <w:rPr>
                <w:color w:val="auto"/>
              </w:rPr>
              <w:t>0.157853983</w:t>
            </w:r>
          </w:p>
        </w:tc>
        <w:tc>
          <w:tcPr>
            <w:tcW w:w="1990" w:type="dxa"/>
            <w:tcBorders>
              <w:tl2br w:val="nil"/>
              <w:tr2bl w:val="nil"/>
            </w:tcBorders>
            <w:vAlign w:val="center"/>
          </w:tcPr>
          <w:p w14:paraId="6D740F6E">
            <w:pPr>
              <w:pStyle w:val="26"/>
              <w:rPr>
                <w:rFonts w:hint="default"/>
                <w:color w:val="auto"/>
              </w:rPr>
            </w:pPr>
            <w:r>
              <w:rPr>
                <w:color w:val="auto"/>
              </w:rPr>
              <w:t>0.145614531</w:t>
            </w:r>
          </w:p>
        </w:tc>
      </w:tr>
      <w:tr w14:paraId="0939AB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386C57A">
            <w:pPr>
              <w:pStyle w:val="26"/>
              <w:rPr>
                <w:rFonts w:hint="default"/>
                <w:color w:val="auto"/>
              </w:rPr>
            </w:pPr>
            <w:r>
              <w:rPr>
                <w:color w:val="auto"/>
              </w:rPr>
              <w:t>口腔科器械</w:t>
            </w:r>
          </w:p>
        </w:tc>
        <w:tc>
          <w:tcPr>
            <w:tcW w:w="1405" w:type="dxa"/>
            <w:tcBorders>
              <w:tl2br w:val="nil"/>
              <w:tr2bl w:val="nil"/>
            </w:tcBorders>
            <w:vAlign w:val="center"/>
          </w:tcPr>
          <w:p w14:paraId="04528CE0">
            <w:pPr>
              <w:pStyle w:val="26"/>
              <w:rPr>
                <w:rFonts w:hint="default"/>
                <w:color w:val="auto"/>
              </w:rPr>
            </w:pPr>
            <w:r>
              <w:rPr>
                <w:color w:val="auto"/>
              </w:rPr>
              <w:t>mlp</w:t>
            </w:r>
          </w:p>
        </w:tc>
        <w:tc>
          <w:tcPr>
            <w:tcW w:w="2039" w:type="dxa"/>
            <w:tcBorders>
              <w:tl2br w:val="nil"/>
              <w:tr2bl w:val="nil"/>
            </w:tcBorders>
            <w:vAlign w:val="center"/>
          </w:tcPr>
          <w:p w14:paraId="6DF31FA6">
            <w:pPr>
              <w:pStyle w:val="26"/>
              <w:rPr>
                <w:rFonts w:hint="default"/>
                <w:color w:val="auto"/>
              </w:rPr>
            </w:pPr>
            <w:r>
              <w:rPr>
                <w:color w:val="auto"/>
              </w:rPr>
              <w:t>0.168319474</w:t>
            </w:r>
          </w:p>
        </w:tc>
        <w:tc>
          <w:tcPr>
            <w:tcW w:w="1990" w:type="dxa"/>
            <w:tcBorders>
              <w:tl2br w:val="nil"/>
              <w:tr2bl w:val="nil"/>
            </w:tcBorders>
            <w:vAlign w:val="center"/>
          </w:tcPr>
          <w:p w14:paraId="23121EF0">
            <w:pPr>
              <w:pStyle w:val="26"/>
              <w:rPr>
                <w:rFonts w:hint="default"/>
                <w:color w:val="auto"/>
              </w:rPr>
            </w:pPr>
            <w:r>
              <w:rPr>
                <w:color w:val="auto"/>
              </w:rPr>
              <w:t>0.143221929</w:t>
            </w:r>
          </w:p>
        </w:tc>
      </w:tr>
      <w:tr w14:paraId="1CD6DC5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485EC5C">
            <w:pPr>
              <w:pStyle w:val="26"/>
              <w:rPr>
                <w:rFonts w:hint="default"/>
                <w:color w:val="auto"/>
              </w:rPr>
            </w:pPr>
            <w:r>
              <w:rPr>
                <w:color w:val="auto"/>
              </w:rPr>
              <w:t>妇产科、辅助生殖和避孕器械</w:t>
            </w:r>
          </w:p>
        </w:tc>
        <w:tc>
          <w:tcPr>
            <w:tcW w:w="1405" w:type="dxa"/>
            <w:tcBorders>
              <w:tl2br w:val="nil"/>
              <w:tr2bl w:val="nil"/>
            </w:tcBorders>
            <w:vAlign w:val="center"/>
          </w:tcPr>
          <w:p w14:paraId="20C9348E">
            <w:pPr>
              <w:pStyle w:val="26"/>
              <w:rPr>
                <w:rFonts w:hint="default"/>
                <w:color w:val="auto"/>
              </w:rPr>
            </w:pPr>
            <w:r>
              <w:rPr>
                <w:color w:val="auto"/>
              </w:rPr>
              <w:t>knn</w:t>
            </w:r>
          </w:p>
        </w:tc>
        <w:tc>
          <w:tcPr>
            <w:tcW w:w="2039" w:type="dxa"/>
            <w:tcBorders>
              <w:tl2br w:val="nil"/>
              <w:tr2bl w:val="nil"/>
            </w:tcBorders>
            <w:vAlign w:val="center"/>
          </w:tcPr>
          <w:p w14:paraId="61F1E8BA">
            <w:pPr>
              <w:pStyle w:val="26"/>
              <w:rPr>
                <w:rFonts w:hint="default"/>
                <w:color w:val="auto"/>
              </w:rPr>
            </w:pPr>
            <w:r>
              <w:rPr>
                <w:color w:val="auto"/>
              </w:rPr>
              <w:t>0.175837643</w:t>
            </w:r>
          </w:p>
        </w:tc>
        <w:tc>
          <w:tcPr>
            <w:tcW w:w="1990" w:type="dxa"/>
            <w:tcBorders>
              <w:tl2br w:val="nil"/>
              <w:tr2bl w:val="nil"/>
            </w:tcBorders>
            <w:vAlign w:val="center"/>
          </w:tcPr>
          <w:p w14:paraId="187A09CE">
            <w:pPr>
              <w:pStyle w:val="26"/>
              <w:rPr>
                <w:rFonts w:hint="default"/>
                <w:color w:val="auto"/>
              </w:rPr>
            </w:pPr>
            <w:r>
              <w:rPr>
                <w:color w:val="auto"/>
              </w:rPr>
              <w:t>0.181431399</w:t>
            </w:r>
          </w:p>
        </w:tc>
      </w:tr>
      <w:tr w14:paraId="71838C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9CF8111">
            <w:pPr>
              <w:pStyle w:val="26"/>
              <w:rPr>
                <w:rFonts w:hint="default"/>
                <w:color w:val="auto"/>
              </w:rPr>
            </w:pPr>
            <w:r>
              <w:rPr>
                <w:color w:val="auto"/>
              </w:rPr>
              <w:t>医用康复器械</w:t>
            </w:r>
          </w:p>
        </w:tc>
        <w:tc>
          <w:tcPr>
            <w:tcW w:w="1405" w:type="dxa"/>
            <w:tcBorders>
              <w:tl2br w:val="nil"/>
              <w:tr2bl w:val="nil"/>
            </w:tcBorders>
            <w:vAlign w:val="center"/>
          </w:tcPr>
          <w:p w14:paraId="2897615D">
            <w:pPr>
              <w:pStyle w:val="26"/>
              <w:rPr>
                <w:rFonts w:hint="default"/>
                <w:color w:val="auto"/>
              </w:rPr>
            </w:pPr>
            <w:r>
              <w:rPr>
                <w:color w:val="auto"/>
              </w:rPr>
              <w:t>knn</w:t>
            </w:r>
          </w:p>
        </w:tc>
        <w:tc>
          <w:tcPr>
            <w:tcW w:w="2039" w:type="dxa"/>
            <w:tcBorders>
              <w:tl2br w:val="nil"/>
              <w:tr2bl w:val="nil"/>
            </w:tcBorders>
            <w:vAlign w:val="center"/>
          </w:tcPr>
          <w:p w14:paraId="527EEDBF">
            <w:pPr>
              <w:pStyle w:val="26"/>
              <w:rPr>
                <w:rFonts w:hint="default"/>
                <w:color w:val="auto"/>
              </w:rPr>
            </w:pPr>
            <w:r>
              <w:rPr>
                <w:color w:val="auto"/>
              </w:rPr>
              <w:t>0.163571089</w:t>
            </w:r>
          </w:p>
        </w:tc>
        <w:tc>
          <w:tcPr>
            <w:tcW w:w="1990" w:type="dxa"/>
            <w:tcBorders>
              <w:tl2br w:val="nil"/>
              <w:tr2bl w:val="nil"/>
            </w:tcBorders>
            <w:vAlign w:val="center"/>
          </w:tcPr>
          <w:p w14:paraId="6A73A4BB">
            <w:pPr>
              <w:pStyle w:val="26"/>
              <w:rPr>
                <w:rFonts w:hint="default"/>
                <w:color w:val="auto"/>
              </w:rPr>
            </w:pPr>
            <w:r>
              <w:rPr>
                <w:color w:val="auto"/>
              </w:rPr>
              <w:t>0.164664325</w:t>
            </w:r>
          </w:p>
        </w:tc>
      </w:tr>
      <w:tr w14:paraId="6912D6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EBD5968">
            <w:pPr>
              <w:pStyle w:val="26"/>
              <w:rPr>
                <w:rFonts w:hint="default"/>
                <w:color w:val="auto"/>
              </w:rPr>
            </w:pPr>
            <w:r>
              <w:rPr>
                <w:color w:val="auto"/>
              </w:rPr>
              <w:t>中医器械</w:t>
            </w:r>
          </w:p>
        </w:tc>
        <w:tc>
          <w:tcPr>
            <w:tcW w:w="1405" w:type="dxa"/>
            <w:tcBorders>
              <w:tl2br w:val="nil"/>
              <w:tr2bl w:val="nil"/>
            </w:tcBorders>
            <w:vAlign w:val="center"/>
          </w:tcPr>
          <w:p w14:paraId="211BC8D2">
            <w:pPr>
              <w:pStyle w:val="26"/>
              <w:rPr>
                <w:rFonts w:hint="default"/>
                <w:color w:val="auto"/>
              </w:rPr>
            </w:pPr>
            <w:r>
              <w:rPr>
                <w:color w:val="auto"/>
              </w:rPr>
              <w:t>mlp</w:t>
            </w:r>
          </w:p>
        </w:tc>
        <w:tc>
          <w:tcPr>
            <w:tcW w:w="2039" w:type="dxa"/>
            <w:tcBorders>
              <w:tl2br w:val="nil"/>
              <w:tr2bl w:val="nil"/>
            </w:tcBorders>
            <w:vAlign w:val="center"/>
          </w:tcPr>
          <w:p w14:paraId="41F3D231">
            <w:pPr>
              <w:pStyle w:val="26"/>
              <w:rPr>
                <w:rFonts w:hint="default"/>
                <w:color w:val="auto"/>
              </w:rPr>
            </w:pPr>
            <w:r>
              <w:rPr>
                <w:color w:val="auto"/>
              </w:rPr>
              <w:t>0.156370375</w:t>
            </w:r>
          </w:p>
        </w:tc>
        <w:tc>
          <w:tcPr>
            <w:tcW w:w="1990" w:type="dxa"/>
            <w:tcBorders>
              <w:tl2br w:val="nil"/>
              <w:tr2bl w:val="nil"/>
            </w:tcBorders>
            <w:vAlign w:val="center"/>
          </w:tcPr>
          <w:p w14:paraId="41D37A97">
            <w:pPr>
              <w:pStyle w:val="26"/>
              <w:rPr>
                <w:rFonts w:hint="default"/>
                <w:color w:val="auto"/>
              </w:rPr>
            </w:pPr>
            <w:r>
              <w:rPr>
                <w:color w:val="auto"/>
              </w:rPr>
              <w:t>0.149115093</w:t>
            </w:r>
          </w:p>
        </w:tc>
      </w:tr>
      <w:tr w14:paraId="1F00D9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2AAEA2C">
            <w:pPr>
              <w:pStyle w:val="26"/>
              <w:rPr>
                <w:rFonts w:hint="default"/>
                <w:color w:val="auto"/>
              </w:rPr>
            </w:pPr>
            <w:r>
              <w:rPr>
                <w:color w:val="auto"/>
              </w:rPr>
              <w:t>无源手术器械</w:t>
            </w:r>
          </w:p>
        </w:tc>
        <w:tc>
          <w:tcPr>
            <w:tcW w:w="1405" w:type="dxa"/>
            <w:tcBorders>
              <w:tl2br w:val="nil"/>
              <w:tr2bl w:val="nil"/>
            </w:tcBorders>
            <w:vAlign w:val="center"/>
          </w:tcPr>
          <w:p w14:paraId="41E662F7">
            <w:pPr>
              <w:pStyle w:val="26"/>
              <w:rPr>
                <w:rFonts w:hint="default"/>
                <w:color w:val="auto"/>
              </w:rPr>
            </w:pPr>
            <w:r>
              <w:rPr>
                <w:color w:val="auto"/>
              </w:rPr>
              <w:t>mlp</w:t>
            </w:r>
          </w:p>
        </w:tc>
        <w:tc>
          <w:tcPr>
            <w:tcW w:w="2039" w:type="dxa"/>
            <w:tcBorders>
              <w:tl2br w:val="nil"/>
              <w:tr2bl w:val="nil"/>
            </w:tcBorders>
            <w:vAlign w:val="center"/>
          </w:tcPr>
          <w:p w14:paraId="3E6F746C">
            <w:pPr>
              <w:pStyle w:val="26"/>
              <w:rPr>
                <w:rFonts w:hint="default"/>
                <w:color w:val="auto"/>
              </w:rPr>
            </w:pPr>
            <w:r>
              <w:rPr>
                <w:color w:val="auto"/>
              </w:rPr>
              <w:t>0.05061372</w:t>
            </w:r>
          </w:p>
        </w:tc>
        <w:tc>
          <w:tcPr>
            <w:tcW w:w="1990" w:type="dxa"/>
            <w:tcBorders>
              <w:tl2br w:val="nil"/>
              <w:tr2bl w:val="nil"/>
            </w:tcBorders>
            <w:vAlign w:val="center"/>
          </w:tcPr>
          <w:p w14:paraId="54D23324">
            <w:pPr>
              <w:pStyle w:val="26"/>
              <w:rPr>
                <w:rFonts w:hint="default"/>
                <w:color w:val="auto"/>
              </w:rPr>
            </w:pPr>
            <w:r>
              <w:rPr>
                <w:color w:val="auto"/>
              </w:rPr>
              <w:t>0.046914115</w:t>
            </w:r>
          </w:p>
        </w:tc>
      </w:tr>
      <w:tr w14:paraId="27AF158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9578EF">
            <w:pPr>
              <w:pStyle w:val="26"/>
              <w:rPr>
                <w:rFonts w:hint="default"/>
                <w:color w:val="auto"/>
              </w:rPr>
            </w:pPr>
            <w:r>
              <w:rPr>
                <w:color w:val="auto"/>
              </w:rPr>
              <w:t>医用软件</w:t>
            </w:r>
          </w:p>
        </w:tc>
        <w:tc>
          <w:tcPr>
            <w:tcW w:w="1405" w:type="dxa"/>
            <w:tcBorders>
              <w:tl2br w:val="nil"/>
              <w:tr2bl w:val="nil"/>
            </w:tcBorders>
            <w:vAlign w:val="center"/>
          </w:tcPr>
          <w:p w14:paraId="474D5565">
            <w:pPr>
              <w:pStyle w:val="26"/>
              <w:rPr>
                <w:rFonts w:hint="default"/>
                <w:color w:val="auto"/>
              </w:rPr>
            </w:pPr>
            <w:r>
              <w:rPr>
                <w:color w:val="auto"/>
              </w:rPr>
              <w:t>mlp</w:t>
            </w:r>
          </w:p>
        </w:tc>
        <w:tc>
          <w:tcPr>
            <w:tcW w:w="2039" w:type="dxa"/>
            <w:tcBorders>
              <w:tl2br w:val="nil"/>
              <w:tr2bl w:val="nil"/>
            </w:tcBorders>
            <w:vAlign w:val="center"/>
          </w:tcPr>
          <w:p w14:paraId="7CD1E52B">
            <w:pPr>
              <w:pStyle w:val="26"/>
              <w:rPr>
                <w:rFonts w:hint="default"/>
                <w:color w:val="auto"/>
              </w:rPr>
            </w:pPr>
            <w:r>
              <w:rPr>
                <w:color w:val="auto"/>
              </w:rPr>
              <w:t>0.135186458</w:t>
            </w:r>
          </w:p>
        </w:tc>
        <w:tc>
          <w:tcPr>
            <w:tcW w:w="1990" w:type="dxa"/>
            <w:tcBorders>
              <w:tl2br w:val="nil"/>
              <w:tr2bl w:val="nil"/>
            </w:tcBorders>
            <w:vAlign w:val="center"/>
          </w:tcPr>
          <w:p w14:paraId="1B51AEE4">
            <w:pPr>
              <w:pStyle w:val="26"/>
              <w:rPr>
                <w:rFonts w:hint="default"/>
                <w:color w:val="auto"/>
              </w:rPr>
            </w:pPr>
            <w:r>
              <w:rPr>
                <w:color w:val="auto"/>
              </w:rPr>
              <w:t>0.131656384</w:t>
            </w:r>
          </w:p>
        </w:tc>
      </w:tr>
      <w:tr w14:paraId="5235B02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2D8C3F1">
            <w:pPr>
              <w:pStyle w:val="26"/>
              <w:rPr>
                <w:rFonts w:hint="default"/>
                <w:color w:val="auto"/>
              </w:rPr>
            </w:pPr>
            <w:r>
              <w:rPr>
                <w:color w:val="auto"/>
              </w:rPr>
              <w:t>临床检验器械</w:t>
            </w:r>
          </w:p>
        </w:tc>
        <w:tc>
          <w:tcPr>
            <w:tcW w:w="1405" w:type="dxa"/>
            <w:tcBorders>
              <w:tl2br w:val="nil"/>
              <w:tr2bl w:val="nil"/>
            </w:tcBorders>
            <w:vAlign w:val="center"/>
          </w:tcPr>
          <w:p w14:paraId="50E1B25E">
            <w:pPr>
              <w:pStyle w:val="26"/>
              <w:rPr>
                <w:rFonts w:hint="default"/>
                <w:color w:val="auto"/>
              </w:rPr>
            </w:pPr>
            <w:r>
              <w:rPr>
                <w:color w:val="auto"/>
              </w:rPr>
              <w:t>knn</w:t>
            </w:r>
          </w:p>
        </w:tc>
        <w:tc>
          <w:tcPr>
            <w:tcW w:w="2039" w:type="dxa"/>
            <w:tcBorders>
              <w:tl2br w:val="nil"/>
              <w:tr2bl w:val="nil"/>
            </w:tcBorders>
            <w:vAlign w:val="center"/>
          </w:tcPr>
          <w:p w14:paraId="7D84945E">
            <w:pPr>
              <w:pStyle w:val="26"/>
              <w:rPr>
                <w:rFonts w:hint="default"/>
                <w:color w:val="auto"/>
              </w:rPr>
            </w:pPr>
            <w:r>
              <w:rPr>
                <w:color w:val="auto"/>
              </w:rPr>
              <w:t>0.108278277</w:t>
            </w:r>
          </w:p>
        </w:tc>
        <w:tc>
          <w:tcPr>
            <w:tcW w:w="1990" w:type="dxa"/>
            <w:tcBorders>
              <w:tl2br w:val="nil"/>
              <w:tr2bl w:val="nil"/>
            </w:tcBorders>
            <w:vAlign w:val="center"/>
          </w:tcPr>
          <w:p w14:paraId="623CD148">
            <w:pPr>
              <w:pStyle w:val="26"/>
              <w:rPr>
                <w:rFonts w:hint="default"/>
                <w:color w:val="auto"/>
              </w:rPr>
            </w:pPr>
            <w:r>
              <w:rPr>
                <w:color w:val="auto"/>
              </w:rPr>
              <w:t>0.122580652</w:t>
            </w:r>
          </w:p>
        </w:tc>
      </w:tr>
      <w:tr w14:paraId="303398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0B42282">
            <w:pPr>
              <w:pStyle w:val="26"/>
              <w:rPr>
                <w:rFonts w:hint="default"/>
                <w:color w:val="auto"/>
              </w:rPr>
            </w:pPr>
            <w:r>
              <w:rPr>
                <w:color w:val="auto"/>
              </w:rPr>
              <w:t>神经和心血管手术器械</w:t>
            </w:r>
          </w:p>
        </w:tc>
        <w:tc>
          <w:tcPr>
            <w:tcW w:w="1405" w:type="dxa"/>
            <w:tcBorders>
              <w:tl2br w:val="nil"/>
              <w:tr2bl w:val="nil"/>
            </w:tcBorders>
            <w:vAlign w:val="center"/>
          </w:tcPr>
          <w:p w14:paraId="499CBA9B">
            <w:pPr>
              <w:pStyle w:val="26"/>
              <w:rPr>
                <w:rFonts w:hint="default"/>
                <w:color w:val="auto"/>
              </w:rPr>
            </w:pPr>
            <w:r>
              <w:rPr>
                <w:color w:val="auto"/>
              </w:rPr>
              <w:t>knn</w:t>
            </w:r>
          </w:p>
        </w:tc>
        <w:tc>
          <w:tcPr>
            <w:tcW w:w="2039" w:type="dxa"/>
            <w:tcBorders>
              <w:tl2br w:val="nil"/>
              <w:tr2bl w:val="nil"/>
            </w:tcBorders>
            <w:vAlign w:val="center"/>
          </w:tcPr>
          <w:p w14:paraId="1CAF9D02">
            <w:pPr>
              <w:pStyle w:val="26"/>
              <w:rPr>
                <w:rFonts w:hint="default"/>
                <w:color w:val="auto"/>
              </w:rPr>
            </w:pPr>
            <w:r>
              <w:rPr>
                <w:color w:val="auto"/>
              </w:rPr>
              <w:t>0.156878135</w:t>
            </w:r>
          </w:p>
        </w:tc>
        <w:tc>
          <w:tcPr>
            <w:tcW w:w="1990" w:type="dxa"/>
            <w:tcBorders>
              <w:tl2br w:val="nil"/>
              <w:tr2bl w:val="nil"/>
            </w:tcBorders>
            <w:vAlign w:val="center"/>
          </w:tcPr>
          <w:p w14:paraId="18272142">
            <w:pPr>
              <w:pStyle w:val="26"/>
              <w:rPr>
                <w:rFonts w:hint="default"/>
                <w:color w:val="auto"/>
              </w:rPr>
            </w:pPr>
            <w:r>
              <w:rPr>
                <w:color w:val="auto"/>
              </w:rPr>
              <w:t>0.182865774</w:t>
            </w:r>
          </w:p>
        </w:tc>
      </w:tr>
      <w:tr w14:paraId="7E0EBC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shd w:val="clear" w:color="auto" w:fill="auto"/>
            <w:vAlign w:val="center"/>
          </w:tcPr>
          <w:p w14:paraId="6EA8EDC7">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骨科手术器械</w:t>
            </w:r>
          </w:p>
        </w:tc>
        <w:tc>
          <w:tcPr>
            <w:tcW w:w="1405" w:type="dxa"/>
            <w:tcBorders>
              <w:tl2br w:val="nil"/>
              <w:tr2bl w:val="nil"/>
            </w:tcBorders>
            <w:shd w:val="clear" w:color="auto" w:fill="auto"/>
            <w:vAlign w:val="center"/>
          </w:tcPr>
          <w:p w14:paraId="2D9A3A9D">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mlp</w:t>
            </w:r>
          </w:p>
        </w:tc>
        <w:tc>
          <w:tcPr>
            <w:tcW w:w="2039" w:type="dxa"/>
            <w:tcBorders>
              <w:tl2br w:val="nil"/>
              <w:tr2bl w:val="nil"/>
            </w:tcBorders>
            <w:shd w:val="clear" w:color="auto" w:fill="auto"/>
            <w:vAlign w:val="center"/>
          </w:tcPr>
          <w:p w14:paraId="508DC9CE">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0.056881381</w:t>
            </w:r>
          </w:p>
        </w:tc>
        <w:tc>
          <w:tcPr>
            <w:tcW w:w="1990" w:type="dxa"/>
            <w:tcBorders>
              <w:tl2br w:val="nil"/>
              <w:tr2bl w:val="nil"/>
            </w:tcBorders>
            <w:shd w:val="clear" w:color="auto" w:fill="auto"/>
            <w:vAlign w:val="center"/>
          </w:tcPr>
          <w:p w14:paraId="44608FC6">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0.052935181</w:t>
            </w:r>
          </w:p>
        </w:tc>
      </w:tr>
      <w:tr w14:paraId="1FAFB4C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shd w:val="clear" w:color="auto" w:fill="auto"/>
            <w:vAlign w:val="center"/>
          </w:tcPr>
          <w:p w14:paraId="78968B0F">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放射治疗器械</w:t>
            </w:r>
          </w:p>
        </w:tc>
        <w:tc>
          <w:tcPr>
            <w:tcW w:w="1405" w:type="dxa"/>
            <w:tcBorders>
              <w:tl2br w:val="nil"/>
              <w:tr2bl w:val="nil"/>
            </w:tcBorders>
            <w:shd w:val="clear" w:color="auto" w:fill="auto"/>
            <w:vAlign w:val="center"/>
          </w:tcPr>
          <w:p w14:paraId="7EA63D12">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knn</w:t>
            </w:r>
          </w:p>
        </w:tc>
        <w:tc>
          <w:tcPr>
            <w:tcW w:w="2039" w:type="dxa"/>
            <w:tcBorders>
              <w:tl2br w:val="nil"/>
              <w:tr2bl w:val="nil"/>
            </w:tcBorders>
            <w:shd w:val="clear" w:color="auto" w:fill="auto"/>
            <w:vAlign w:val="center"/>
          </w:tcPr>
          <w:p w14:paraId="670883E1">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0.164986065</w:t>
            </w:r>
          </w:p>
        </w:tc>
        <w:tc>
          <w:tcPr>
            <w:tcW w:w="1990" w:type="dxa"/>
            <w:tcBorders>
              <w:tl2br w:val="nil"/>
              <w:tr2bl w:val="nil"/>
            </w:tcBorders>
            <w:shd w:val="clear" w:color="auto" w:fill="auto"/>
            <w:vAlign w:val="center"/>
          </w:tcPr>
          <w:p w14:paraId="49673BE4">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0.178400641</w:t>
            </w:r>
          </w:p>
        </w:tc>
      </w:tr>
      <w:tr w14:paraId="2B8B2AA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shd w:val="clear" w:color="auto" w:fill="auto"/>
            <w:vAlign w:val="center"/>
          </w:tcPr>
          <w:p w14:paraId="085C613B">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医用成像器械</w:t>
            </w:r>
          </w:p>
        </w:tc>
        <w:tc>
          <w:tcPr>
            <w:tcW w:w="1405" w:type="dxa"/>
            <w:tcBorders>
              <w:tl2br w:val="nil"/>
              <w:tr2bl w:val="nil"/>
            </w:tcBorders>
            <w:shd w:val="clear" w:color="auto" w:fill="auto"/>
            <w:vAlign w:val="center"/>
          </w:tcPr>
          <w:p w14:paraId="3C218291">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knn</w:t>
            </w:r>
          </w:p>
        </w:tc>
        <w:tc>
          <w:tcPr>
            <w:tcW w:w="2039" w:type="dxa"/>
            <w:tcBorders>
              <w:tl2br w:val="nil"/>
              <w:tr2bl w:val="nil"/>
            </w:tcBorders>
            <w:shd w:val="clear" w:color="auto" w:fill="auto"/>
            <w:vAlign w:val="center"/>
          </w:tcPr>
          <w:p w14:paraId="5E495742">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0.029504861</w:t>
            </w:r>
          </w:p>
        </w:tc>
        <w:tc>
          <w:tcPr>
            <w:tcW w:w="1990" w:type="dxa"/>
            <w:tcBorders>
              <w:tl2br w:val="nil"/>
              <w:tr2bl w:val="nil"/>
            </w:tcBorders>
            <w:shd w:val="clear" w:color="auto" w:fill="auto"/>
            <w:vAlign w:val="center"/>
          </w:tcPr>
          <w:p w14:paraId="7F94A9A1">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0.033317317</w:t>
            </w:r>
          </w:p>
        </w:tc>
      </w:tr>
      <w:tr w14:paraId="08C089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shd w:val="clear" w:color="auto" w:fill="auto"/>
            <w:vAlign w:val="center"/>
          </w:tcPr>
          <w:p w14:paraId="78F1C63F">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医用诊察和监护器械</w:t>
            </w:r>
          </w:p>
        </w:tc>
        <w:tc>
          <w:tcPr>
            <w:tcW w:w="1405" w:type="dxa"/>
            <w:tcBorders>
              <w:tl2br w:val="nil"/>
              <w:tr2bl w:val="nil"/>
            </w:tcBorders>
            <w:shd w:val="clear" w:color="auto" w:fill="auto"/>
            <w:vAlign w:val="center"/>
          </w:tcPr>
          <w:p w14:paraId="26224D1C">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knn</w:t>
            </w:r>
          </w:p>
        </w:tc>
        <w:tc>
          <w:tcPr>
            <w:tcW w:w="2039" w:type="dxa"/>
            <w:tcBorders>
              <w:tl2br w:val="nil"/>
              <w:tr2bl w:val="nil"/>
            </w:tcBorders>
            <w:shd w:val="clear" w:color="auto" w:fill="auto"/>
            <w:vAlign w:val="center"/>
          </w:tcPr>
          <w:p w14:paraId="36A5B033">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0.044292479</w:t>
            </w:r>
          </w:p>
        </w:tc>
        <w:tc>
          <w:tcPr>
            <w:tcW w:w="1990" w:type="dxa"/>
            <w:tcBorders>
              <w:tl2br w:val="nil"/>
              <w:tr2bl w:val="nil"/>
            </w:tcBorders>
            <w:shd w:val="clear" w:color="auto" w:fill="auto"/>
            <w:vAlign w:val="center"/>
          </w:tcPr>
          <w:p w14:paraId="1CD275DA">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0.045018019</w:t>
            </w:r>
          </w:p>
        </w:tc>
      </w:tr>
      <w:tr w14:paraId="6BE4A2F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shd w:val="clear" w:color="auto" w:fill="auto"/>
            <w:vAlign w:val="center"/>
          </w:tcPr>
          <w:p w14:paraId="2A536887">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呼吸、麻醉和急救器械</w:t>
            </w:r>
          </w:p>
        </w:tc>
        <w:tc>
          <w:tcPr>
            <w:tcW w:w="1405" w:type="dxa"/>
            <w:tcBorders>
              <w:tl2br w:val="nil"/>
              <w:tr2bl w:val="nil"/>
            </w:tcBorders>
            <w:shd w:val="clear" w:color="auto" w:fill="auto"/>
            <w:vAlign w:val="center"/>
          </w:tcPr>
          <w:p w14:paraId="7840B54C">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mlp</w:t>
            </w:r>
          </w:p>
        </w:tc>
        <w:tc>
          <w:tcPr>
            <w:tcW w:w="2039" w:type="dxa"/>
            <w:tcBorders>
              <w:tl2br w:val="nil"/>
              <w:tr2bl w:val="nil"/>
            </w:tcBorders>
            <w:shd w:val="clear" w:color="auto" w:fill="auto"/>
            <w:vAlign w:val="center"/>
          </w:tcPr>
          <w:p w14:paraId="249D6791">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0.174426776</w:t>
            </w:r>
          </w:p>
        </w:tc>
        <w:tc>
          <w:tcPr>
            <w:tcW w:w="1990" w:type="dxa"/>
            <w:tcBorders>
              <w:tl2br w:val="nil"/>
              <w:tr2bl w:val="nil"/>
            </w:tcBorders>
            <w:shd w:val="clear" w:color="auto" w:fill="auto"/>
            <w:vAlign w:val="center"/>
          </w:tcPr>
          <w:p w14:paraId="04C283CE">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0.167441754</w:t>
            </w:r>
          </w:p>
        </w:tc>
      </w:tr>
      <w:tr w14:paraId="41716E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shd w:val="clear" w:color="auto" w:fill="auto"/>
            <w:vAlign w:val="center"/>
          </w:tcPr>
          <w:p w14:paraId="52B7B5D2">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物理治疗器械</w:t>
            </w:r>
          </w:p>
        </w:tc>
        <w:tc>
          <w:tcPr>
            <w:tcW w:w="1405" w:type="dxa"/>
            <w:tcBorders>
              <w:tl2br w:val="nil"/>
              <w:tr2bl w:val="nil"/>
            </w:tcBorders>
            <w:shd w:val="clear" w:color="auto" w:fill="auto"/>
            <w:vAlign w:val="center"/>
          </w:tcPr>
          <w:p w14:paraId="210B3FD3">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mlp</w:t>
            </w:r>
          </w:p>
        </w:tc>
        <w:tc>
          <w:tcPr>
            <w:tcW w:w="2039" w:type="dxa"/>
            <w:tcBorders>
              <w:tl2br w:val="nil"/>
              <w:tr2bl w:val="nil"/>
            </w:tcBorders>
            <w:shd w:val="clear" w:color="auto" w:fill="auto"/>
            <w:vAlign w:val="center"/>
          </w:tcPr>
          <w:p w14:paraId="57B45CCF">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0.19472644</w:t>
            </w:r>
          </w:p>
        </w:tc>
        <w:tc>
          <w:tcPr>
            <w:tcW w:w="1990" w:type="dxa"/>
            <w:tcBorders>
              <w:tl2br w:val="nil"/>
              <w:tr2bl w:val="nil"/>
            </w:tcBorders>
            <w:shd w:val="clear" w:color="auto" w:fill="auto"/>
            <w:vAlign w:val="center"/>
          </w:tcPr>
          <w:p w14:paraId="7F8649B9">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0.188764668</w:t>
            </w:r>
          </w:p>
        </w:tc>
      </w:tr>
      <w:tr w14:paraId="113EBED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shd w:val="clear" w:color="auto" w:fill="auto"/>
            <w:vAlign w:val="center"/>
          </w:tcPr>
          <w:p w14:paraId="6B049651">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输血、透析和体外循环器械</w:t>
            </w:r>
          </w:p>
        </w:tc>
        <w:tc>
          <w:tcPr>
            <w:tcW w:w="1405" w:type="dxa"/>
            <w:tcBorders>
              <w:tl2br w:val="nil"/>
              <w:tr2bl w:val="nil"/>
            </w:tcBorders>
            <w:shd w:val="clear" w:color="auto" w:fill="auto"/>
            <w:vAlign w:val="center"/>
          </w:tcPr>
          <w:p w14:paraId="279397B6">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mlp</w:t>
            </w:r>
          </w:p>
        </w:tc>
        <w:tc>
          <w:tcPr>
            <w:tcW w:w="2039" w:type="dxa"/>
            <w:tcBorders>
              <w:tl2br w:val="nil"/>
              <w:tr2bl w:val="nil"/>
            </w:tcBorders>
            <w:shd w:val="clear" w:color="auto" w:fill="auto"/>
            <w:vAlign w:val="center"/>
          </w:tcPr>
          <w:p w14:paraId="6C1B1B14">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0.159247257</w:t>
            </w:r>
          </w:p>
        </w:tc>
        <w:tc>
          <w:tcPr>
            <w:tcW w:w="1990" w:type="dxa"/>
            <w:tcBorders>
              <w:tl2br w:val="nil"/>
              <w:tr2bl w:val="nil"/>
            </w:tcBorders>
            <w:shd w:val="clear" w:color="auto" w:fill="auto"/>
            <w:vAlign w:val="center"/>
          </w:tcPr>
          <w:p w14:paraId="38AAC30D">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0.151398573</w:t>
            </w:r>
          </w:p>
        </w:tc>
      </w:tr>
    </w:tbl>
    <w:p w14:paraId="2FACDD0C">
      <w:pPr>
        <w:ind w:firstLine="480"/>
        <w:rPr>
          <w:rFonts w:hint="eastAsia"/>
          <w:color w:val="auto"/>
        </w:rPr>
      </w:pPr>
      <w:r>
        <w:rPr>
          <w:rFonts w:hint="eastAsia"/>
          <w:color w:val="auto"/>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770C6E5F">
      <w:pPr>
        <w:ind w:firstLine="480"/>
        <w:rPr>
          <w:color w:val="auto"/>
        </w:rPr>
      </w:pPr>
      <w:r>
        <w:rPr>
          <w:rFonts w:hint="eastAsia"/>
          <w:color w:val="auto"/>
        </w:rPr>
        <w:t>基于上述评估结果，本研究最终选择基于MLP模型的预测结果执行抽样，并设定JS散度阈值为0.10，以严格控制子集的分布偏差，采用多随机种子优选策略。对每个一级类别，从[0,100000]范围内随机生成30个候选随机种子，分别抽样并计算抽样分布与原始分布的JS散度，最终选取使JS散度最小化的随机种子。最终的抽样参数及结果详见表3-5，共获得1104条样本组成数据集D2</w:t>
      </w:r>
      <w:r>
        <w:rPr>
          <w:rFonts w:hint="eastAsia" w:hAnsi="Cambria Math"/>
          <w:color w:val="auto"/>
        </w:rPr>
        <w:t>。</w:t>
      </w:r>
      <w:r>
        <w:rPr>
          <w:rFonts w:hint="eastAsia"/>
          <w:color w:val="auto"/>
        </w:rPr>
        <w:t>在专家完成对数据集D2的标注工作后，该数据集将用于后续检验自动标注工作流的性能。</w:t>
      </w:r>
    </w:p>
    <w:p w14:paraId="453DAF84">
      <w:pPr>
        <w:pStyle w:val="25"/>
        <w:rPr>
          <w:rFonts w:hint="default"/>
          <w:color w:val="auto"/>
        </w:rPr>
      </w:pPr>
      <w:r>
        <w:rPr>
          <w:color w:val="auto"/>
        </w:rPr>
        <w:t>表3-5  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74428F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6A833949">
            <w:pPr>
              <w:pStyle w:val="26"/>
              <w:rPr>
                <w:rFonts w:hint="default"/>
                <w:color w:val="auto"/>
              </w:rPr>
            </w:pPr>
            <w:r>
              <w:rPr>
                <w:color w:val="auto"/>
              </w:rPr>
              <w:t>一级产品类别</w:t>
            </w:r>
          </w:p>
        </w:tc>
        <w:tc>
          <w:tcPr>
            <w:tcW w:w="1402" w:type="dxa"/>
            <w:tcBorders>
              <w:bottom w:val="single" w:color="auto" w:sz="6" w:space="0"/>
              <w:tl2br w:val="nil"/>
              <w:tr2bl w:val="nil"/>
            </w:tcBorders>
            <w:vAlign w:val="center"/>
          </w:tcPr>
          <w:p w14:paraId="473999A9">
            <w:pPr>
              <w:pStyle w:val="26"/>
              <w:rPr>
                <w:rFonts w:hint="default"/>
                <w:color w:val="auto"/>
              </w:rPr>
            </w:pPr>
            <w:r>
              <w:rPr>
                <w:color w:val="auto"/>
              </w:rPr>
              <w:t>随机种子</w:t>
            </w:r>
          </w:p>
        </w:tc>
        <w:tc>
          <w:tcPr>
            <w:tcW w:w="2131" w:type="dxa"/>
            <w:tcBorders>
              <w:bottom w:val="single" w:color="auto" w:sz="6" w:space="0"/>
              <w:tl2br w:val="nil"/>
              <w:tr2bl w:val="nil"/>
            </w:tcBorders>
            <w:vAlign w:val="center"/>
          </w:tcPr>
          <w:p w14:paraId="07C8B0B4">
            <w:pPr>
              <w:pStyle w:val="26"/>
              <w:rPr>
                <w:rFonts w:hint="default"/>
                <w:color w:val="auto"/>
              </w:rPr>
            </w:pPr>
            <w:r>
              <w:rPr>
                <w:color w:val="auto"/>
              </w:rPr>
              <w:t>JS散度</w:t>
            </w:r>
          </w:p>
        </w:tc>
        <w:tc>
          <w:tcPr>
            <w:tcW w:w="2131" w:type="dxa"/>
            <w:tcBorders>
              <w:bottom w:val="single" w:color="auto" w:sz="6" w:space="0"/>
              <w:tl2br w:val="nil"/>
              <w:tr2bl w:val="nil"/>
            </w:tcBorders>
            <w:vAlign w:val="center"/>
          </w:tcPr>
          <w:p w14:paraId="392FA7BB">
            <w:pPr>
              <w:pStyle w:val="26"/>
              <w:rPr>
                <w:rFonts w:hint="default"/>
                <w:color w:val="auto"/>
              </w:rPr>
            </w:pPr>
            <w:r>
              <w:rPr>
                <w:color w:val="auto"/>
              </w:rPr>
              <w:t>样本数</w:t>
            </w:r>
          </w:p>
        </w:tc>
      </w:tr>
      <w:tr w14:paraId="159D30B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388A9753">
            <w:pPr>
              <w:pStyle w:val="26"/>
              <w:rPr>
                <w:rFonts w:hint="default"/>
                <w:color w:val="auto"/>
              </w:rPr>
            </w:pPr>
            <w:r>
              <w:rPr>
                <w:color w:val="auto"/>
              </w:rPr>
              <w:t>有源手术器械</w:t>
            </w:r>
          </w:p>
        </w:tc>
        <w:tc>
          <w:tcPr>
            <w:tcW w:w="1402" w:type="dxa"/>
            <w:tcBorders>
              <w:top w:val="single" w:color="auto" w:sz="6" w:space="0"/>
            </w:tcBorders>
            <w:vAlign w:val="center"/>
          </w:tcPr>
          <w:p w14:paraId="37DC297D">
            <w:pPr>
              <w:pStyle w:val="26"/>
              <w:rPr>
                <w:rFonts w:hint="default"/>
                <w:color w:val="auto"/>
              </w:rPr>
            </w:pPr>
            <w:r>
              <w:rPr>
                <w:color w:val="auto"/>
              </w:rPr>
              <w:t>26188</w:t>
            </w:r>
          </w:p>
        </w:tc>
        <w:tc>
          <w:tcPr>
            <w:tcW w:w="2131" w:type="dxa"/>
            <w:tcBorders>
              <w:top w:val="single" w:color="auto" w:sz="6" w:space="0"/>
            </w:tcBorders>
            <w:vAlign w:val="center"/>
          </w:tcPr>
          <w:p w14:paraId="14306E30">
            <w:pPr>
              <w:pStyle w:val="26"/>
              <w:rPr>
                <w:rFonts w:hint="default"/>
                <w:color w:val="auto"/>
              </w:rPr>
            </w:pPr>
            <w:r>
              <w:rPr>
                <w:color w:val="auto"/>
              </w:rPr>
              <w:t>0.033737689</w:t>
            </w:r>
          </w:p>
        </w:tc>
        <w:tc>
          <w:tcPr>
            <w:tcW w:w="2131" w:type="dxa"/>
            <w:tcBorders>
              <w:top w:val="single" w:color="auto" w:sz="6" w:space="0"/>
            </w:tcBorders>
            <w:vAlign w:val="center"/>
          </w:tcPr>
          <w:p w14:paraId="20FFEFBF">
            <w:pPr>
              <w:pStyle w:val="26"/>
              <w:rPr>
                <w:rFonts w:hint="default"/>
                <w:color w:val="auto"/>
              </w:rPr>
            </w:pPr>
            <w:r>
              <w:rPr>
                <w:color w:val="auto"/>
              </w:rPr>
              <w:t>87</w:t>
            </w:r>
          </w:p>
        </w:tc>
      </w:tr>
      <w:tr w14:paraId="22C834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632E34">
            <w:pPr>
              <w:pStyle w:val="26"/>
              <w:rPr>
                <w:rFonts w:hint="default"/>
                <w:color w:val="auto"/>
              </w:rPr>
            </w:pPr>
            <w:r>
              <w:rPr>
                <w:color w:val="auto"/>
              </w:rPr>
              <w:t>无源手术器械</w:t>
            </w:r>
          </w:p>
        </w:tc>
        <w:tc>
          <w:tcPr>
            <w:tcW w:w="1402" w:type="dxa"/>
            <w:tcBorders>
              <w:tl2br w:val="nil"/>
              <w:tr2bl w:val="nil"/>
            </w:tcBorders>
            <w:vAlign w:val="center"/>
          </w:tcPr>
          <w:p w14:paraId="59F06A8A">
            <w:pPr>
              <w:pStyle w:val="26"/>
              <w:rPr>
                <w:rFonts w:hint="default"/>
                <w:color w:val="auto"/>
              </w:rPr>
            </w:pPr>
            <w:r>
              <w:rPr>
                <w:color w:val="auto"/>
              </w:rPr>
              <w:t>3196</w:t>
            </w:r>
          </w:p>
        </w:tc>
        <w:tc>
          <w:tcPr>
            <w:tcW w:w="2131" w:type="dxa"/>
            <w:tcBorders>
              <w:tl2br w:val="nil"/>
              <w:tr2bl w:val="nil"/>
            </w:tcBorders>
            <w:vAlign w:val="center"/>
          </w:tcPr>
          <w:p w14:paraId="77340E51">
            <w:pPr>
              <w:pStyle w:val="26"/>
              <w:rPr>
                <w:rFonts w:hint="default"/>
                <w:color w:val="auto"/>
              </w:rPr>
            </w:pPr>
            <w:r>
              <w:rPr>
                <w:color w:val="auto"/>
              </w:rPr>
              <w:t>0.022548032</w:t>
            </w:r>
          </w:p>
        </w:tc>
        <w:tc>
          <w:tcPr>
            <w:tcW w:w="2131" w:type="dxa"/>
            <w:tcBorders>
              <w:tl2br w:val="nil"/>
              <w:tr2bl w:val="nil"/>
            </w:tcBorders>
            <w:vAlign w:val="center"/>
          </w:tcPr>
          <w:p w14:paraId="23161FA1">
            <w:pPr>
              <w:pStyle w:val="26"/>
              <w:rPr>
                <w:rFonts w:hint="default"/>
                <w:color w:val="auto"/>
              </w:rPr>
            </w:pPr>
            <w:r>
              <w:rPr>
                <w:color w:val="auto"/>
              </w:rPr>
              <w:t>98</w:t>
            </w:r>
          </w:p>
        </w:tc>
      </w:tr>
      <w:tr w14:paraId="7D9F4D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12139">
            <w:pPr>
              <w:pStyle w:val="26"/>
              <w:rPr>
                <w:rFonts w:hint="default"/>
                <w:color w:val="auto"/>
              </w:rPr>
            </w:pPr>
            <w:r>
              <w:rPr>
                <w:color w:val="auto"/>
              </w:rPr>
              <w:t>神经和心血管手术器械</w:t>
            </w:r>
          </w:p>
        </w:tc>
        <w:tc>
          <w:tcPr>
            <w:tcW w:w="1402" w:type="dxa"/>
            <w:tcBorders>
              <w:tl2br w:val="nil"/>
              <w:tr2bl w:val="nil"/>
            </w:tcBorders>
            <w:vAlign w:val="center"/>
          </w:tcPr>
          <w:p w14:paraId="75E46D62">
            <w:pPr>
              <w:pStyle w:val="26"/>
              <w:rPr>
                <w:rFonts w:hint="default"/>
                <w:color w:val="auto"/>
              </w:rPr>
            </w:pPr>
            <w:r>
              <w:rPr>
                <w:color w:val="auto"/>
              </w:rPr>
              <w:t>34133</w:t>
            </w:r>
          </w:p>
        </w:tc>
        <w:tc>
          <w:tcPr>
            <w:tcW w:w="2131" w:type="dxa"/>
            <w:tcBorders>
              <w:tl2br w:val="nil"/>
              <w:tr2bl w:val="nil"/>
            </w:tcBorders>
            <w:vAlign w:val="center"/>
          </w:tcPr>
          <w:p w14:paraId="5745352C">
            <w:pPr>
              <w:pStyle w:val="26"/>
              <w:rPr>
                <w:rFonts w:hint="default"/>
                <w:color w:val="auto"/>
              </w:rPr>
            </w:pPr>
            <w:r>
              <w:rPr>
                <w:color w:val="auto"/>
              </w:rPr>
              <w:t>0.096770088</w:t>
            </w:r>
          </w:p>
        </w:tc>
        <w:tc>
          <w:tcPr>
            <w:tcW w:w="2131" w:type="dxa"/>
            <w:tcBorders>
              <w:tl2br w:val="nil"/>
              <w:tr2bl w:val="nil"/>
            </w:tcBorders>
            <w:vAlign w:val="center"/>
          </w:tcPr>
          <w:p w14:paraId="1515BA78">
            <w:pPr>
              <w:pStyle w:val="26"/>
              <w:rPr>
                <w:rFonts w:hint="default"/>
                <w:color w:val="auto"/>
              </w:rPr>
            </w:pPr>
            <w:r>
              <w:rPr>
                <w:color w:val="auto"/>
              </w:rPr>
              <w:t>33</w:t>
            </w:r>
          </w:p>
        </w:tc>
      </w:tr>
      <w:tr w14:paraId="756CCEC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5EEC63">
            <w:pPr>
              <w:pStyle w:val="26"/>
              <w:rPr>
                <w:rFonts w:hint="default"/>
                <w:color w:val="auto"/>
              </w:rPr>
            </w:pPr>
            <w:r>
              <w:rPr>
                <w:color w:val="auto"/>
              </w:rPr>
              <w:t>骨科手术器械</w:t>
            </w:r>
          </w:p>
        </w:tc>
        <w:tc>
          <w:tcPr>
            <w:tcW w:w="1402" w:type="dxa"/>
            <w:tcBorders>
              <w:tl2br w:val="nil"/>
              <w:tr2bl w:val="nil"/>
            </w:tcBorders>
            <w:vAlign w:val="center"/>
          </w:tcPr>
          <w:p w14:paraId="4B9F867A">
            <w:pPr>
              <w:pStyle w:val="26"/>
              <w:rPr>
                <w:rFonts w:hint="default"/>
                <w:color w:val="auto"/>
              </w:rPr>
            </w:pPr>
            <w:r>
              <w:rPr>
                <w:color w:val="auto"/>
              </w:rPr>
              <w:t>73197</w:t>
            </w:r>
          </w:p>
        </w:tc>
        <w:tc>
          <w:tcPr>
            <w:tcW w:w="2131" w:type="dxa"/>
            <w:tcBorders>
              <w:tl2br w:val="nil"/>
              <w:tr2bl w:val="nil"/>
            </w:tcBorders>
            <w:vAlign w:val="center"/>
          </w:tcPr>
          <w:p w14:paraId="41F6E178">
            <w:pPr>
              <w:pStyle w:val="26"/>
              <w:rPr>
                <w:rFonts w:hint="default"/>
                <w:color w:val="auto"/>
              </w:rPr>
            </w:pPr>
            <w:r>
              <w:rPr>
                <w:color w:val="auto"/>
              </w:rPr>
              <w:t>0.024987938</w:t>
            </w:r>
          </w:p>
        </w:tc>
        <w:tc>
          <w:tcPr>
            <w:tcW w:w="2131" w:type="dxa"/>
            <w:tcBorders>
              <w:tl2br w:val="nil"/>
              <w:tr2bl w:val="nil"/>
            </w:tcBorders>
            <w:vAlign w:val="center"/>
          </w:tcPr>
          <w:p w14:paraId="373488B1">
            <w:pPr>
              <w:pStyle w:val="26"/>
              <w:rPr>
                <w:rFonts w:hint="default"/>
                <w:color w:val="auto"/>
              </w:rPr>
            </w:pPr>
            <w:r>
              <w:rPr>
                <w:color w:val="auto"/>
              </w:rPr>
              <w:t>93</w:t>
            </w:r>
          </w:p>
        </w:tc>
      </w:tr>
      <w:tr w14:paraId="515D41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A46B33D">
            <w:pPr>
              <w:pStyle w:val="26"/>
              <w:rPr>
                <w:rFonts w:hint="default"/>
                <w:color w:val="auto"/>
              </w:rPr>
            </w:pPr>
            <w:r>
              <w:rPr>
                <w:color w:val="auto"/>
              </w:rPr>
              <w:t>放射治疗器械</w:t>
            </w:r>
          </w:p>
        </w:tc>
        <w:tc>
          <w:tcPr>
            <w:tcW w:w="1402" w:type="dxa"/>
            <w:tcBorders>
              <w:tl2br w:val="nil"/>
              <w:tr2bl w:val="nil"/>
            </w:tcBorders>
            <w:vAlign w:val="center"/>
          </w:tcPr>
          <w:p w14:paraId="3557157C">
            <w:pPr>
              <w:pStyle w:val="26"/>
              <w:rPr>
                <w:rFonts w:hint="default"/>
                <w:color w:val="auto"/>
              </w:rPr>
            </w:pPr>
            <w:r>
              <w:rPr>
                <w:color w:val="auto"/>
              </w:rPr>
              <w:t>47955</w:t>
            </w:r>
          </w:p>
        </w:tc>
        <w:tc>
          <w:tcPr>
            <w:tcW w:w="2131" w:type="dxa"/>
            <w:tcBorders>
              <w:tl2br w:val="nil"/>
              <w:tr2bl w:val="nil"/>
            </w:tcBorders>
            <w:vAlign w:val="center"/>
          </w:tcPr>
          <w:p w14:paraId="68E00638">
            <w:pPr>
              <w:pStyle w:val="26"/>
              <w:rPr>
                <w:rFonts w:hint="default"/>
                <w:color w:val="auto"/>
              </w:rPr>
            </w:pPr>
            <w:r>
              <w:rPr>
                <w:color w:val="auto"/>
              </w:rPr>
              <w:t>0.098357227</w:t>
            </w:r>
          </w:p>
        </w:tc>
        <w:tc>
          <w:tcPr>
            <w:tcW w:w="2131" w:type="dxa"/>
            <w:tcBorders>
              <w:tl2br w:val="nil"/>
              <w:tr2bl w:val="nil"/>
            </w:tcBorders>
            <w:vAlign w:val="center"/>
          </w:tcPr>
          <w:p w14:paraId="755B79D1">
            <w:pPr>
              <w:pStyle w:val="26"/>
              <w:rPr>
                <w:rFonts w:hint="default"/>
                <w:color w:val="auto"/>
              </w:rPr>
            </w:pPr>
            <w:r>
              <w:rPr>
                <w:color w:val="auto"/>
              </w:rPr>
              <w:t>30</w:t>
            </w:r>
          </w:p>
        </w:tc>
      </w:tr>
      <w:tr w14:paraId="148A31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19B78E2">
            <w:pPr>
              <w:pStyle w:val="26"/>
              <w:rPr>
                <w:rFonts w:hint="default"/>
                <w:color w:val="auto"/>
              </w:rPr>
            </w:pPr>
            <w:r>
              <w:rPr>
                <w:color w:val="auto"/>
              </w:rPr>
              <w:t>医用成像器械</w:t>
            </w:r>
          </w:p>
        </w:tc>
        <w:tc>
          <w:tcPr>
            <w:tcW w:w="1402" w:type="dxa"/>
            <w:tcBorders>
              <w:tl2br w:val="nil"/>
              <w:tr2bl w:val="nil"/>
            </w:tcBorders>
            <w:vAlign w:val="center"/>
          </w:tcPr>
          <w:p w14:paraId="4479156C">
            <w:pPr>
              <w:pStyle w:val="26"/>
              <w:rPr>
                <w:rFonts w:hint="default"/>
                <w:color w:val="auto"/>
              </w:rPr>
            </w:pPr>
            <w:r>
              <w:rPr>
                <w:color w:val="auto"/>
              </w:rPr>
              <w:t>86387</w:t>
            </w:r>
          </w:p>
        </w:tc>
        <w:tc>
          <w:tcPr>
            <w:tcW w:w="2131" w:type="dxa"/>
            <w:tcBorders>
              <w:tl2br w:val="nil"/>
              <w:tr2bl w:val="nil"/>
            </w:tcBorders>
            <w:vAlign w:val="center"/>
          </w:tcPr>
          <w:p w14:paraId="7437A739">
            <w:pPr>
              <w:pStyle w:val="26"/>
              <w:rPr>
                <w:rFonts w:hint="default"/>
                <w:color w:val="auto"/>
              </w:rPr>
            </w:pPr>
            <w:r>
              <w:rPr>
                <w:color w:val="auto"/>
              </w:rPr>
              <w:t>0.018465222</w:t>
            </w:r>
          </w:p>
        </w:tc>
        <w:tc>
          <w:tcPr>
            <w:tcW w:w="2131" w:type="dxa"/>
            <w:tcBorders>
              <w:tl2br w:val="nil"/>
              <w:tr2bl w:val="nil"/>
            </w:tcBorders>
            <w:vAlign w:val="center"/>
          </w:tcPr>
          <w:p w14:paraId="16173CF5">
            <w:pPr>
              <w:pStyle w:val="26"/>
              <w:rPr>
                <w:rFonts w:hint="default"/>
                <w:color w:val="auto"/>
              </w:rPr>
            </w:pPr>
            <w:r>
              <w:rPr>
                <w:color w:val="auto"/>
              </w:rPr>
              <w:t>153</w:t>
            </w:r>
          </w:p>
        </w:tc>
      </w:tr>
      <w:tr w14:paraId="57F66D8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8FA769">
            <w:pPr>
              <w:pStyle w:val="26"/>
              <w:rPr>
                <w:rFonts w:hint="default"/>
                <w:color w:val="auto"/>
              </w:rPr>
            </w:pPr>
            <w:r>
              <w:rPr>
                <w:color w:val="auto"/>
              </w:rPr>
              <w:t>医用诊察和监护器械</w:t>
            </w:r>
          </w:p>
        </w:tc>
        <w:tc>
          <w:tcPr>
            <w:tcW w:w="1402" w:type="dxa"/>
            <w:tcBorders>
              <w:tl2br w:val="nil"/>
              <w:tr2bl w:val="nil"/>
            </w:tcBorders>
            <w:vAlign w:val="center"/>
          </w:tcPr>
          <w:p w14:paraId="66162E1A">
            <w:pPr>
              <w:pStyle w:val="26"/>
              <w:rPr>
                <w:rFonts w:hint="default"/>
                <w:color w:val="auto"/>
              </w:rPr>
            </w:pPr>
            <w:r>
              <w:rPr>
                <w:color w:val="auto"/>
              </w:rPr>
              <w:t>49560</w:t>
            </w:r>
          </w:p>
        </w:tc>
        <w:tc>
          <w:tcPr>
            <w:tcW w:w="2131" w:type="dxa"/>
            <w:tcBorders>
              <w:tl2br w:val="nil"/>
              <w:tr2bl w:val="nil"/>
            </w:tcBorders>
            <w:vAlign w:val="center"/>
          </w:tcPr>
          <w:p w14:paraId="7BF375CE">
            <w:pPr>
              <w:pStyle w:val="26"/>
              <w:rPr>
                <w:rFonts w:hint="default"/>
                <w:color w:val="auto"/>
              </w:rPr>
            </w:pPr>
            <w:r>
              <w:rPr>
                <w:color w:val="auto"/>
              </w:rPr>
              <w:t>0.030922054</w:t>
            </w:r>
          </w:p>
        </w:tc>
        <w:tc>
          <w:tcPr>
            <w:tcW w:w="2131" w:type="dxa"/>
            <w:tcBorders>
              <w:tl2br w:val="nil"/>
              <w:tr2bl w:val="nil"/>
            </w:tcBorders>
            <w:vAlign w:val="center"/>
          </w:tcPr>
          <w:p w14:paraId="45FB6249">
            <w:pPr>
              <w:pStyle w:val="26"/>
              <w:rPr>
                <w:rFonts w:hint="default"/>
                <w:color w:val="auto"/>
              </w:rPr>
            </w:pPr>
            <w:r>
              <w:rPr>
                <w:color w:val="auto"/>
              </w:rPr>
              <w:t>106</w:t>
            </w:r>
          </w:p>
        </w:tc>
      </w:tr>
      <w:tr w14:paraId="516E50C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3D39F51">
            <w:pPr>
              <w:pStyle w:val="26"/>
              <w:rPr>
                <w:rFonts w:hint="default"/>
                <w:color w:val="auto"/>
              </w:rPr>
            </w:pPr>
            <w:r>
              <w:rPr>
                <w:color w:val="auto"/>
              </w:rPr>
              <w:t>呼吸、麻醉和急救器械</w:t>
            </w:r>
          </w:p>
        </w:tc>
        <w:tc>
          <w:tcPr>
            <w:tcW w:w="1402" w:type="dxa"/>
            <w:tcBorders>
              <w:tl2br w:val="nil"/>
              <w:tr2bl w:val="nil"/>
            </w:tcBorders>
            <w:vAlign w:val="center"/>
          </w:tcPr>
          <w:p w14:paraId="0893BBC6">
            <w:pPr>
              <w:pStyle w:val="26"/>
              <w:rPr>
                <w:rFonts w:hint="default"/>
                <w:color w:val="auto"/>
              </w:rPr>
            </w:pPr>
            <w:r>
              <w:rPr>
                <w:color w:val="auto"/>
              </w:rPr>
              <w:t>44410</w:t>
            </w:r>
          </w:p>
        </w:tc>
        <w:tc>
          <w:tcPr>
            <w:tcW w:w="2131" w:type="dxa"/>
            <w:tcBorders>
              <w:tl2br w:val="nil"/>
              <w:tr2bl w:val="nil"/>
            </w:tcBorders>
            <w:vAlign w:val="center"/>
          </w:tcPr>
          <w:p w14:paraId="26974A23">
            <w:pPr>
              <w:pStyle w:val="26"/>
              <w:rPr>
                <w:rFonts w:hint="default"/>
                <w:color w:val="auto"/>
              </w:rPr>
            </w:pPr>
            <w:r>
              <w:rPr>
                <w:color w:val="auto"/>
              </w:rPr>
              <w:t>0.093776998</w:t>
            </w:r>
          </w:p>
        </w:tc>
        <w:tc>
          <w:tcPr>
            <w:tcW w:w="2131" w:type="dxa"/>
            <w:tcBorders>
              <w:tl2br w:val="nil"/>
              <w:tr2bl w:val="nil"/>
            </w:tcBorders>
            <w:vAlign w:val="center"/>
          </w:tcPr>
          <w:p w14:paraId="1503E4D4">
            <w:pPr>
              <w:pStyle w:val="26"/>
              <w:rPr>
                <w:rFonts w:hint="default"/>
                <w:color w:val="auto"/>
              </w:rPr>
            </w:pPr>
            <w:r>
              <w:rPr>
                <w:color w:val="auto"/>
              </w:rPr>
              <w:t>30</w:t>
            </w:r>
          </w:p>
        </w:tc>
      </w:tr>
      <w:tr w14:paraId="5B0E33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01D2814">
            <w:pPr>
              <w:pStyle w:val="26"/>
              <w:rPr>
                <w:rFonts w:hint="default"/>
                <w:color w:val="auto"/>
              </w:rPr>
            </w:pPr>
            <w:r>
              <w:rPr>
                <w:color w:val="auto"/>
              </w:rPr>
              <w:t>物理治疗器械</w:t>
            </w:r>
          </w:p>
        </w:tc>
        <w:tc>
          <w:tcPr>
            <w:tcW w:w="1402" w:type="dxa"/>
            <w:tcBorders>
              <w:tl2br w:val="nil"/>
              <w:tr2bl w:val="nil"/>
            </w:tcBorders>
            <w:vAlign w:val="center"/>
          </w:tcPr>
          <w:p w14:paraId="49973592">
            <w:pPr>
              <w:pStyle w:val="26"/>
              <w:rPr>
                <w:rFonts w:hint="default"/>
                <w:color w:val="auto"/>
              </w:rPr>
            </w:pPr>
            <w:r>
              <w:rPr>
                <w:color w:val="auto"/>
              </w:rPr>
              <w:t>97968</w:t>
            </w:r>
          </w:p>
        </w:tc>
        <w:tc>
          <w:tcPr>
            <w:tcW w:w="2131" w:type="dxa"/>
            <w:tcBorders>
              <w:tl2br w:val="nil"/>
              <w:tr2bl w:val="nil"/>
            </w:tcBorders>
            <w:vAlign w:val="center"/>
          </w:tcPr>
          <w:p w14:paraId="48EF059E">
            <w:pPr>
              <w:pStyle w:val="26"/>
              <w:rPr>
                <w:rFonts w:hint="default"/>
                <w:color w:val="auto"/>
              </w:rPr>
            </w:pPr>
            <w:r>
              <w:rPr>
                <w:color w:val="auto"/>
              </w:rPr>
              <w:t>0.098341415</w:t>
            </w:r>
          </w:p>
        </w:tc>
        <w:tc>
          <w:tcPr>
            <w:tcW w:w="2131" w:type="dxa"/>
            <w:tcBorders>
              <w:tl2br w:val="nil"/>
              <w:tr2bl w:val="nil"/>
            </w:tcBorders>
            <w:vAlign w:val="center"/>
          </w:tcPr>
          <w:p w14:paraId="14B7679A">
            <w:pPr>
              <w:pStyle w:val="26"/>
              <w:rPr>
                <w:rFonts w:hint="default"/>
                <w:color w:val="auto"/>
              </w:rPr>
            </w:pPr>
            <w:r>
              <w:rPr>
                <w:color w:val="auto"/>
              </w:rPr>
              <w:t>30</w:t>
            </w:r>
          </w:p>
        </w:tc>
      </w:tr>
      <w:tr w14:paraId="2CBB15F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D3A95B">
            <w:pPr>
              <w:pStyle w:val="26"/>
              <w:rPr>
                <w:rFonts w:hint="default"/>
                <w:color w:val="auto"/>
              </w:rPr>
            </w:pPr>
            <w:r>
              <w:rPr>
                <w:color w:val="auto"/>
              </w:rPr>
              <w:t>输血、透析和体外循环器械</w:t>
            </w:r>
          </w:p>
        </w:tc>
        <w:tc>
          <w:tcPr>
            <w:tcW w:w="1402" w:type="dxa"/>
            <w:tcBorders>
              <w:tl2br w:val="nil"/>
              <w:tr2bl w:val="nil"/>
            </w:tcBorders>
            <w:vAlign w:val="center"/>
          </w:tcPr>
          <w:p w14:paraId="3514D65C">
            <w:pPr>
              <w:pStyle w:val="26"/>
              <w:rPr>
                <w:rFonts w:hint="default"/>
                <w:color w:val="auto"/>
              </w:rPr>
            </w:pPr>
            <w:r>
              <w:rPr>
                <w:color w:val="auto"/>
              </w:rPr>
              <w:t>36487</w:t>
            </w:r>
          </w:p>
        </w:tc>
        <w:tc>
          <w:tcPr>
            <w:tcW w:w="2131" w:type="dxa"/>
            <w:tcBorders>
              <w:tl2br w:val="nil"/>
              <w:tr2bl w:val="nil"/>
            </w:tcBorders>
            <w:vAlign w:val="center"/>
          </w:tcPr>
          <w:p w14:paraId="7B705A24">
            <w:pPr>
              <w:pStyle w:val="26"/>
              <w:rPr>
                <w:rFonts w:hint="default"/>
                <w:color w:val="auto"/>
              </w:rPr>
            </w:pPr>
            <w:r>
              <w:rPr>
                <w:color w:val="auto"/>
              </w:rPr>
              <w:t>0.096868525</w:t>
            </w:r>
          </w:p>
        </w:tc>
        <w:tc>
          <w:tcPr>
            <w:tcW w:w="2131" w:type="dxa"/>
            <w:tcBorders>
              <w:tl2br w:val="nil"/>
              <w:tr2bl w:val="nil"/>
            </w:tcBorders>
            <w:vAlign w:val="center"/>
          </w:tcPr>
          <w:p w14:paraId="203F054D">
            <w:pPr>
              <w:pStyle w:val="26"/>
              <w:rPr>
                <w:rFonts w:hint="default"/>
                <w:color w:val="auto"/>
              </w:rPr>
            </w:pPr>
            <w:r>
              <w:rPr>
                <w:color w:val="auto"/>
              </w:rPr>
              <w:t>30</w:t>
            </w:r>
          </w:p>
        </w:tc>
      </w:tr>
      <w:tr w14:paraId="7240EC3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0459685">
            <w:pPr>
              <w:pStyle w:val="26"/>
              <w:rPr>
                <w:rFonts w:hint="default"/>
                <w:color w:val="auto"/>
              </w:rPr>
            </w:pPr>
            <w:r>
              <w:rPr>
                <w:color w:val="auto"/>
              </w:rPr>
              <w:t>医疗器械消毒灭菌器械</w:t>
            </w:r>
          </w:p>
        </w:tc>
        <w:tc>
          <w:tcPr>
            <w:tcW w:w="1402" w:type="dxa"/>
            <w:tcBorders>
              <w:tl2br w:val="nil"/>
              <w:tr2bl w:val="nil"/>
            </w:tcBorders>
            <w:vAlign w:val="center"/>
          </w:tcPr>
          <w:p w14:paraId="28AC293C">
            <w:pPr>
              <w:pStyle w:val="26"/>
              <w:rPr>
                <w:rFonts w:hint="default"/>
                <w:color w:val="auto"/>
              </w:rPr>
            </w:pPr>
            <w:r>
              <w:rPr>
                <w:color w:val="auto"/>
              </w:rPr>
              <w:t>25224</w:t>
            </w:r>
          </w:p>
        </w:tc>
        <w:tc>
          <w:tcPr>
            <w:tcW w:w="2131" w:type="dxa"/>
            <w:tcBorders>
              <w:tl2br w:val="nil"/>
              <w:tr2bl w:val="nil"/>
            </w:tcBorders>
            <w:vAlign w:val="center"/>
          </w:tcPr>
          <w:p w14:paraId="6FB6B01F">
            <w:pPr>
              <w:pStyle w:val="26"/>
              <w:rPr>
                <w:rFonts w:hint="default"/>
                <w:color w:val="auto"/>
              </w:rPr>
            </w:pPr>
            <w:r>
              <w:rPr>
                <w:color w:val="auto"/>
              </w:rPr>
              <w:t>0.080329158</w:t>
            </w:r>
          </w:p>
        </w:tc>
        <w:tc>
          <w:tcPr>
            <w:tcW w:w="2131" w:type="dxa"/>
            <w:tcBorders>
              <w:tl2br w:val="nil"/>
              <w:tr2bl w:val="nil"/>
            </w:tcBorders>
            <w:vAlign w:val="center"/>
          </w:tcPr>
          <w:p w14:paraId="4E8F807C">
            <w:pPr>
              <w:pStyle w:val="26"/>
              <w:rPr>
                <w:rFonts w:hint="default"/>
                <w:color w:val="auto"/>
              </w:rPr>
            </w:pPr>
            <w:r>
              <w:rPr>
                <w:color w:val="auto"/>
              </w:rPr>
              <w:t>30</w:t>
            </w:r>
          </w:p>
        </w:tc>
      </w:tr>
      <w:tr w14:paraId="2C6908E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FB1D0CB">
            <w:pPr>
              <w:pStyle w:val="26"/>
              <w:rPr>
                <w:rFonts w:hint="default"/>
                <w:color w:val="auto"/>
              </w:rPr>
            </w:pPr>
            <w:r>
              <w:rPr>
                <w:color w:val="auto"/>
              </w:rPr>
              <w:t>有源植入器械</w:t>
            </w:r>
          </w:p>
        </w:tc>
        <w:tc>
          <w:tcPr>
            <w:tcW w:w="1402" w:type="dxa"/>
            <w:tcBorders>
              <w:tl2br w:val="nil"/>
              <w:tr2bl w:val="nil"/>
            </w:tcBorders>
            <w:vAlign w:val="center"/>
          </w:tcPr>
          <w:p w14:paraId="23A3D031">
            <w:pPr>
              <w:pStyle w:val="26"/>
              <w:rPr>
                <w:rFonts w:hint="default"/>
                <w:color w:val="auto"/>
              </w:rPr>
            </w:pPr>
            <w:r>
              <w:rPr>
                <w:color w:val="auto"/>
              </w:rPr>
              <w:t>42267</w:t>
            </w:r>
          </w:p>
        </w:tc>
        <w:tc>
          <w:tcPr>
            <w:tcW w:w="2131" w:type="dxa"/>
            <w:tcBorders>
              <w:tl2br w:val="nil"/>
              <w:tr2bl w:val="nil"/>
            </w:tcBorders>
            <w:vAlign w:val="center"/>
          </w:tcPr>
          <w:p w14:paraId="5E76B679">
            <w:pPr>
              <w:pStyle w:val="26"/>
              <w:rPr>
                <w:rFonts w:hint="default"/>
                <w:color w:val="auto"/>
              </w:rPr>
            </w:pPr>
            <w:r>
              <w:rPr>
                <w:color w:val="auto"/>
              </w:rPr>
              <w:t>0.075740376</w:t>
            </w:r>
          </w:p>
        </w:tc>
        <w:tc>
          <w:tcPr>
            <w:tcW w:w="2131" w:type="dxa"/>
            <w:tcBorders>
              <w:tl2br w:val="nil"/>
              <w:tr2bl w:val="nil"/>
            </w:tcBorders>
            <w:vAlign w:val="center"/>
          </w:tcPr>
          <w:p w14:paraId="0B433586">
            <w:pPr>
              <w:pStyle w:val="26"/>
              <w:rPr>
                <w:rFonts w:hint="default"/>
                <w:color w:val="auto"/>
              </w:rPr>
            </w:pPr>
            <w:r>
              <w:rPr>
                <w:color w:val="auto"/>
              </w:rPr>
              <w:t>30</w:t>
            </w:r>
          </w:p>
        </w:tc>
      </w:tr>
      <w:tr w14:paraId="2550065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887597">
            <w:pPr>
              <w:pStyle w:val="26"/>
              <w:rPr>
                <w:rFonts w:hint="default"/>
                <w:color w:val="auto"/>
              </w:rPr>
            </w:pPr>
            <w:r>
              <w:rPr>
                <w:color w:val="auto"/>
              </w:rPr>
              <w:t>无源植入器械</w:t>
            </w:r>
          </w:p>
        </w:tc>
        <w:tc>
          <w:tcPr>
            <w:tcW w:w="1402" w:type="dxa"/>
            <w:tcBorders>
              <w:tl2br w:val="nil"/>
              <w:tr2bl w:val="nil"/>
            </w:tcBorders>
            <w:vAlign w:val="center"/>
          </w:tcPr>
          <w:p w14:paraId="1214079C">
            <w:pPr>
              <w:pStyle w:val="26"/>
              <w:rPr>
                <w:rFonts w:hint="default"/>
                <w:color w:val="auto"/>
              </w:rPr>
            </w:pPr>
            <w:r>
              <w:rPr>
                <w:color w:val="auto"/>
              </w:rPr>
              <w:t>7809</w:t>
            </w:r>
          </w:p>
        </w:tc>
        <w:tc>
          <w:tcPr>
            <w:tcW w:w="2131" w:type="dxa"/>
            <w:tcBorders>
              <w:tl2br w:val="nil"/>
              <w:tr2bl w:val="nil"/>
            </w:tcBorders>
            <w:vAlign w:val="center"/>
          </w:tcPr>
          <w:p w14:paraId="2574B8C6">
            <w:pPr>
              <w:pStyle w:val="26"/>
              <w:rPr>
                <w:rFonts w:hint="default"/>
                <w:color w:val="auto"/>
              </w:rPr>
            </w:pPr>
            <w:r>
              <w:rPr>
                <w:color w:val="auto"/>
              </w:rPr>
              <w:t>0.091205331</w:t>
            </w:r>
          </w:p>
        </w:tc>
        <w:tc>
          <w:tcPr>
            <w:tcW w:w="2131" w:type="dxa"/>
            <w:tcBorders>
              <w:tl2br w:val="nil"/>
              <w:tr2bl w:val="nil"/>
            </w:tcBorders>
            <w:vAlign w:val="center"/>
          </w:tcPr>
          <w:p w14:paraId="09E15A40">
            <w:pPr>
              <w:pStyle w:val="26"/>
              <w:rPr>
                <w:rFonts w:hint="default"/>
                <w:color w:val="auto"/>
              </w:rPr>
            </w:pPr>
            <w:r>
              <w:rPr>
                <w:color w:val="auto"/>
              </w:rPr>
              <w:t>30</w:t>
            </w:r>
          </w:p>
        </w:tc>
      </w:tr>
      <w:tr w14:paraId="598F10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A0F2CB1">
            <w:pPr>
              <w:pStyle w:val="26"/>
              <w:rPr>
                <w:rFonts w:hint="default"/>
                <w:color w:val="auto"/>
              </w:rPr>
            </w:pPr>
            <w:r>
              <w:rPr>
                <w:color w:val="auto"/>
              </w:rPr>
              <w:t>注输、护理和防护器械</w:t>
            </w:r>
          </w:p>
        </w:tc>
        <w:tc>
          <w:tcPr>
            <w:tcW w:w="1402" w:type="dxa"/>
            <w:tcBorders>
              <w:tl2br w:val="nil"/>
              <w:tr2bl w:val="nil"/>
            </w:tcBorders>
            <w:vAlign w:val="center"/>
          </w:tcPr>
          <w:p w14:paraId="03323EEC">
            <w:pPr>
              <w:pStyle w:val="26"/>
              <w:rPr>
                <w:rFonts w:hint="default"/>
                <w:color w:val="auto"/>
              </w:rPr>
            </w:pPr>
            <w:r>
              <w:rPr>
                <w:color w:val="auto"/>
              </w:rPr>
              <w:t>84598</w:t>
            </w:r>
          </w:p>
        </w:tc>
        <w:tc>
          <w:tcPr>
            <w:tcW w:w="2131" w:type="dxa"/>
            <w:tcBorders>
              <w:tl2br w:val="nil"/>
              <w:tr2bl w:val="nil"/>
            </w:tcBorders>
            <w:vAlign w:val="center"/>
          </w:tcPr>
          <w:p w14:paraId="39A49530">
            <w:pPr>
              <w:pStyle w:val="26"/>
              <w:rPr>
                <w:rFonts w:hint="default"/>
                <w:color w:val="auto"/>
              </w:rPr>
            </w:pPr>
            <w:r>
              <w:rPr>
                <w:color w:val="auto"/>
              </w:rPr>
              <w:t>0.052954787</w:t>
            </w:r>
          </w:p>
        </w:tc>
        <w:tc>
          <w:tcPr>
            <w:tcW w:w="2131" w:type="dxa"/>
            <w:tcBorders>
              <w:tl2br w:val="nil"/>
              <w:tr2bl w:val="nil"/>
            </w:tcBorders>
            <w:vAlign w:val="center"/>
          </w:tcPr>
          <w:p w14:paraId="79FC27C8">
            <w:pPr>
              <w:pStyle w:val="26"/>
              <w:rPr>
                <w:rFonts w:hint="default"/>
                <w:color w:val="auto"/>
              </w:rPr>
            </w:pPr>
            <w:r>
              <w:rPr>
                <w:color w:val="auto"/>
              </w:rPr>
              <w:t>52</w:t>
            </w:r>
          </w:p>
        </w:tc>
      </w:tr>
      <w:tr w14:paraId="0EB615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06E628D">
            <w:pPr>
              <w:pStyle w:val="26"/>
              <w:rPr>
                <w:rFonts w:hint="default"/>
                <w:color w:val="auto"/>
              </w:rPr>
            </w:pPr>
            <w:r>
              <w:rPr>
                <w:color w:val="auto"/>
              </w:rPr>
              <w:t>患者承载器械</w:t>
            </w:r>
          </w:p>
        </w:tc>
        <w:tc>
          <w:tcPr>
            <w:tcW w:w="1402" w:type="dxa"/>
            <w:tcBorders>
              <w:tl2br w:val="nil"/>
              <w:tr2bl w:val="nil"/>
            </w:tcBorders>
            <w:vAlign w:val="center"/>
          </w:tcPr>
          <w:p w14:paraId="05C7A121">
            <w:pPr>
              <w:pStyle w:val="26"/>
              <w:rPr>
                <w:rFonts w:hint="default"/>
                <w:color w:val="auto"/>
              </w:rPr>
            </w:pPr>
            <w:r>
              <w:rPr>
                <w:color w:val="auto"/>
              </w:rPr>
              <w:t>13402</w:t>
            </w:r>
          </w:p>
        </w:tc>
        <w:tc>
          <w:tcPr>
            <w:tcW w:w="2131" w:type="dxa"/>
            <w:tcBorders>
              <w:tl2br w:val="nil"/>
              <w:tr2bl w:val="nil"/>
            </w:tcBorders>
            <w:vAlign w:val="center"/>
          </w:tcPr>
          <w:p w14:paraId="567D23A9">
            <w:pPr>
              <w:pStyle w:val="26"/>
              <w:rPr>
                <w:rFonts w:hint="default"/>
                <w:color w:val="auto"/>
              </w:rPr>
            </w:pPr>
            <w:r>
              <w:rPr>
                <w:color w:val="auto"/>
              </w:rPr>
              <w:t>0.087097231</w:t>
            </w:r>
          </w:p>
        </w:tc>
        <w:tc>
          <w:tcPr>
            <w:tcW w:w="2131" w:type="dxa"/>
            <w:tcBorders>
              <w:tl2br w:val="nil"/>
              <w:tr2bl w:val="nil"/>
            </w:tcBorders>
            <w:vAlign w:val="center"/>
          </w:tcPr>
          <w:p w14:paraId="19CDFED6">
            <w:pPr>
              <w:pStyle w:val="26"/>
              <w:rPr>
                <w:rFonts w:hint="default"/>
                <w:color w:val="auto"/>
              </w:rPr>
            </w:pPr>
            <w:r>
              <w:rPr>
                <w:color w:val="auto"/>
              </w:rPr>
              <w:t>30</w:t>
            </w:r>
          </w:p>
        </w:tc>
      </w:tr>
      <w:tr w14:paraId="7997F2F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A65E32A">
            <w:pPr>
              <w:pStyle w:val="26"/>
              <w:rPr>
                <w:rFonts w:hint="default"/>
                <w:color w:val="auto"/>
              </w:rPr>
            </w:pPr>
            <w:r>
              <w:rPr>
                <w:color w:val="auto"/>
              </w:rPr>
              <w:t>眼科器械</w:t>
            </w:r>
          </w:p>
        </w:tc>
        <w:tc>
          <w:tcPr>
            <w:tcW w:w="1402" w:type="dxa"/>
            <w:tcBorders>
              <w:tl2br w:val="nil"/>
              <w:tr2bl w:val="nil"/>
            </w:tcBorders>
            <w:vAlign w:val="center"/>
          </w:tcPr>
          <w:p w14:paraId="31C8C8C1">
            <w:pPr>
              <w:pStyle w:val="26"/>
              <w:rPr>
                <w:rFonts w:hint="default"/>
                <w:color w:val="auto"/>
              </w:rPr>
            </w:pPr>
            <w:r>
              <w:rPr>
                <w:color w:val="auto"/>
              </w:rPr>
              <w:t>65667</w:t>
            </w:r>
          </w:p>
        </w:tc>
        <w:tc>
          <w:tcPr>
            <w:tcW w:w="2131" w:type="dxa"/>
            <w:tcBorders>
              <w:tl2br w:val="nil"/>
              <w:tr2bl w:val="nil"/>
            </w:tcBorders>
            <w:vAlign w:val="center"/>
          </w:tcPr>
          <w:p w14:paraId="7ECA6FBF">
            <w:pPr>
              <w:pStyle w:val="26"/>
              <w:rPr>
                <w:rFonts w:hint="default"/>
                <w:color w:val="auto"/>
              </w:rPr>
            </w:pPr>
            <w:r>
              <w:rPr>
                <w:color w:val="auto"/>
              </w:rPr>
              <w:t>0.067403703</w:t>
            </w:r>
          </w:p>
        </w:tc>
        <w:tc>
          <w:tcPr>
            <w:tcW w:w="2131" w:type="dxa"/>
            <w:tcBorders>
              <w:tl2br w:val="nil"/>
              <w:tr2bl w:val="nil"/>
            </w:tcBorders>
            <w:vAlign w:val="center"/>
          </w:tcPr>
          <w:p w14:paraId="372DF836">
            <w:pPr>
              <w:pStyle w:val="26"/>
              <w:rPr>
                <w:rFonts w:hint="default"/>
                <w:color w:val="auto"/>
              </w:rPr>
            </w:pPr>
            <w:r>
              <w:rPr>
                <w:color w:val="auto"/>
              </w:rPr>
              <w:t>33</w:t>
            </w:r>
          </w:p>
        </w:tc>
      </w:tr>
      <w:tr w14:paraId="75BDD45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shd w:val="clear" w:color="auto" w:fill="auto"/>
            <w:vAlign w:val="center"/>
          </w:tcPr>
          <w:p w14:paraId="0A52AF22">
            <w:pPr>
              <w:pStyle w:val="26"/>
              <w:ind w:firstLine="0" w:firstLineChars="0"/>
              <w:rPr>
                <w:rFonts w:hint="default" w:ascii="Times New Roman" w:hAnsi="Times New Roman" w:eastAsia="宋体" w:cstheme="minorBidi"/>
                <w:color w:val="auto"/>
                <w:kern w:val="2"/>
                <w:sz w:val="21"/>
                <w:szCs w:val="21"/>
                <w:lang w:val="en-US" w:eastAsia="zh-CN" w:bidi="ar-SA"/>
              </w:rPr>
            </w:pPr>
            <w:bookmarkStart w:id="138" w:name="_Toc216114500"/>
            <w:r>
              <w:rPr>
                <w:color w:val="auto"/>
              </w:rPr>
              <w:t>口腔科器械</w:t>
            </w:r>
          </w:p>
        </w:tc>
        <w:tc>
          <w:tcPr>
            <w:tcW w:w="1402" w:type="dxa"/>
            <w:tcBorders>
              <w:tl2br w:val="nil"/>
              <w:tr2bl w:val="nil"/>
            </w:tcBorders>
            <w:shd w:val="clear" w:color="auto" w:fill="auto"/>
            <w:vAlign w:val="center"/>
          </w:tcPr>
          <w:p w14:paraId="206E194D">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69618</w:t>
            </w:r>
          </w:p>
        </w:tc>
        <w:tc>
          <w:tcPr>
            <w:tcW w:w="2131" w:type="dxa"/>
            <w:tcBorders>
              <w:tl2br w:val="nil"/>
              <w:tr2bl w:val="nil"/>
            </w:tcBorders>
            <w:shd w:val="clear" w:color="auto" w:fill="auto"/>
            <w:vAlign w:val="center"/>
          </w:tcPr>
          <w:p w14:paraId="7698D12B">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0.061515223</w:t>
            </w:r>
          </w:p>
        </w:tc>
        <w:tc>
          <w:tcPr>
            <w:tcW w:w="2131" w:type="dxa"/>
            <w:tcBorders>
              <w:tl2br w:val="nil"/>
              <w:tr2bl w:val="nil"/>
            </w:tcBorders>
            <w:shd w:val="clear" w:color="auto" w:fill="auto"/>
            <w:vAlign w:val="center"/>
          </w:tcPr>
          <w:p w14:paraId="5C3C8256">
            <w:pPr>
              <w:pStyle w:val="26"/>
              <w:ind w:firstLine="0" w:firstLineChars="0"/>
              <w:rPr>
                <w:rFonts w:hint="default" w:ascii="Times New Roman" w:hAnsi="Times New Roman" w:eastAsia="宋体" w:cstheme="minorBidi"/>
                <w:color w:val="auto"/>
                <w:kern w:val="2"/>
                <w:sz w:val="21"/>
                <w:szCs w:val="21"/>
                <w:lang w:val="en-US" w:eastAsia="zh-CN" w:bidi="ar-SA"/>
              </w:rPr>
            </w:pPr>
            <w:r>
              <w:rPr>
                <w:color w:val="auto"/>
              </w:rPr>
              <w:t>30</w:t>
            </w:r>
          </w:p>
        </w:tc>
      </w:tr>
    </w:tbl>
    <w:p w14:paraId="36D61432">
      <w:pPr>
        <w:pStyle w:val="25"/>
        <w:rPr>
          <w:color w:val="auto"/>
        </w:rPr>
      </w:pPr>
      <w:r>
        <w:rPr>
          <w:color w:val="auto"/>
        </w:rPr>
        <w:t>续表3-5  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A0D045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4757F528">
            <w:pPr>
              <w:pStyle w:val="26"/>
              <w:rPr>
                <w:rFonts w:hint="default"/>
                <w:color w:val="auto"/>
              </w:rPr>
            </w:pPr>
            <w:r>
              <w:rPr>
                <w:color w:val="auto"/>
              </w:rPr>
              <w:t>一级产品类别</w:t>
            </w:r>
          </w:p>
        </w:tc>
        <w:tc>
          <w:tcPr>
            <w:tcW w:w="1402" w:type="dxa"/>
            <w:tcBorders>
              <w:bottom w:val="single" w:color="auto" w:sz="6" w:space="0"/>
              <w:tl2br w:val="nil"/>
              <w:tr2bl w:val="nil"/>
            </w:tcBorders>
            <w:vAlign w:val="center"/>
          </w:tcPr>
          <w:p w14:paraId="1464E5E3">
            <w:pPr>
              <w:pStyle w:val="26"/>
              <w:rPr>
                <w:rFonts w:hint="default"/>
                <w:color w:val="auto"/>
              </w:rPr>
            </w:pPr>
            <w:r>
              <w:rPr>
                <w:color w:val="auto"/>
              </w:rPr>
              <w:t>随机种子</w:t>
            </w:r>
          </w:p>
        </w:tc>
        <w:tc>
          <w:tcPr>
            <w:tcW w:w="2131" w:type="dxa"/>
            <w:tcBorders>
              <w:bottom w:val="single" w:color="auto" w:sz="6" w:space="0"/>
              <w:tl2br w:val="nil"/>
              <w:tr2bl w:val="nil"/>
            </w:tcBorders>
            <w:vAlign w:val="center"/>
          </w:tcPr>
          <w:p w14:paraId="7DD3ED95">
            <w:pPr>
              <w:pStyle w:val="26"/>
              <w:rPr>
                <w:rFonts w:hint="default"/>
                <w:color w:val="auto"/>
              </w:rPr>
            </w:pPr>
            <w:r>
              <w:rPr>
                <w:color w:val="auto"/>
              </w:rPr>
              <w:t>JS散度</w:t>
            </w:r>
          </w:p>
        </w:tc>
        <w:tc>
          <w:tcPr>
            <w:tcW w:w="2131" w:type="dxa"/>
            <w:tcBorders>
              <w:bottom w:val="single" w:color="auto" w:sz="6" w:space="0"/>
              <w:tl2br w:val="nil"/>
              <w:tr2bl w:val="nil"/>
            </w:tcBorders>
            <w:vAlign w:val="center"/>
          </w:tcPr>
          <w:p w14:paraId="464E6F34">
            <w:pPr>
              <w:pStyle w:val="26"/>
              <w:rPr>
                <w:rFonts w:hint="default"/>
                <w:color w:val="auto"/>
              </w:rPr>
            </w:pPr>
            <w:r>
              <w:rPr>
                <w:color w:val="auto"/>
              </w:rPr>
              <w:t>样本数</w:t>
            </w:r>
          </w:p>
        </w:tc>
      </w:tr>
      <w:tr w14:paraId="59842B7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145BD1">
            <w:pPr>
              <w:pStyle w:val="26"/>
              <w:rPr>
                <w:rFonts w:hint="default"/>
                <w:color w:val="auto"/>
              </w:rPr>
            </w:pPr>
            <w:r>
              <w:rPr>
                <w:color w:val="auto"/>
              </w:rPr>
              <w:t>妇产科、辅助生殖和避孕器械</w:t>
            </w:r>
          </w:p>
        </w:tc>
        <w:tc>
          <w:tcPr>
            <w:tcW w:w="1402" w:type="dxa"/>
            <w:tcBorders>
              <w:tl2br w:val="nil"/>
              <w:tr2bl w:val="nil"/>
            </w:tcBorders>
            <w:vAlign w:val="center"/>
          </w:tcPr>
          <w:p w14:paraId="79130F27">
            <w:pPr>
              <w:pStyle w:val="26"/>
              <w:rPr>
                <w:rFonts w:hint="default"/>
                <w:color w:val="auto"/>
              </w:rPr>
            </w:pPr>
            <w:r>
              <w:rPr>
                <w:color w:val="auto"/>
              </w:rPr>
              <w:t>69647</w:t>
            </w:r>
          </w:p>
        </w:tc>
        <w:tc>
          <w:tcPr>
            <w:tcW w:w="2131" w:type="dxa"/>
            <w:tcBorders>
              <w:tl2br w:val="nil"/>
              <w:tr2bl w:val="nil"/>
            </w:tcBorders>
            <w:vAlign w:val="center"/>
          </w:tcPr>
          <w:p w14:paraId="6B394E24">
            <w:pPr>
              <w:pStyle w:val="26"/>
              <w:rPr>
                <w:rFonts w:hint="default"/>
                <w:color w:val="auto"/>
              </w:rPr>
            </w:pPr>
            <w:r>
              <w:rPr>
                <w:color w:val="auto"/>
              </w:rPr>
              <w:t>0.091536967</w:t>
            </w:r>
          </w:p>
        </w:tc>
        <w:tc>
          <w:tcPr>
            <w:tcW w:w="2131" w:type="dxa"/>
            <w:tcBorders>
              <w:tl2br w:val="nil"/>
              <w:tr2bl w:val="nil"/>
            </w:tcBorders>
            <w:vAlign w:val="center"/>
          </w:tcPr>
          <w:p w14:paraId="1077A867">
            <w:pPr>
              <w:pStyle w:val="26"/>
              <w:rPr>
                <w:rFonts w:hint="default"/>
                <w:color w:val="auto"/>
              </w:rPr>
            </w:pPr>
            <w:r>
              <w:rPr>
                <w:color w:val="auto"/>
              </w:rPr>
              <w:t>30</w:t>
            </w:r>
          </w:p>
        </w:tc>
      </w:tr>
      <w:tr w14:paraId="5C0FEE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E8563D4">
            <w:pPr>
              <w:pStyle w:val="26"/>
              <w:rPr>
                <w:rFonts w:hint="default"/>
                <w:color w:val="auto"/>
              </w:rPr>
            </w:pPr>
            <w:r>
              <w:rPr>
                <w:color w:val="auto"/>
              </w:rPr>
              <w:t>医用康复器械</w:t>
            </w:r>
          </w:p>
        </w:tc>
        <w:tc>
          <w:tcPr>
            <w:tcW w:w="1402" w:type="dxa"/>
            <w:tcBorders>
              <w:tl2br w:val="nil"/>
              <w:tr2bl w:val="nil"/>
            </w:tcBorders>
            <w:vAlign w:val="center"/>
          </w:tcPr>
          <w:p w14:paraId="1E539ACD">
            <w:pPr>
              <w:pStyle w:val="26"/>
              <w:rPr>
                <w:rFonts w:hint="default"/>
                <w:color w:val="auto"/>
              </w:rPr>
            </w:pPr>
            <w:r>
              <w:rPr>
                <w:color w:val="auto"/>
              </w:rPr>
              <w:t>38419</w:t>
            </w:r>
          </w:p>
        </w:tc>
        <w:tc>
          <w:tcPr>
            <w:tcW w:w="2131" w:type="dxa"/>
            <w:tcBorders>
              <w:tl2br w:val="nil"/>
              <w:tr2bl w:val="nil"/>
            </w:tcBorders>
            <w:vAlign w:val="center"/>
          </w:tcPr>
          <w:p w14:paraId="08667BB3">
            <w:pPr>
              <w:pStyle w:val="26"/>
              <w:rPr>
                <w:rFonts w:hint="default"/>
                <w:color w:val="auto"/>
              </w:rPr>
            </w:pPr>
            <w:r>
              <w:rPr>
                <w:color w:val="auto"/>
              </w:rPr>
              <w:t>0.098865981</w:t>
            </w:r>
          </w:p>
        </w:tc>
        <w:tc>
          <w:tcPr>
            <w:tcW w:w="2131" w:type="dxa"/>
            <w:tcBorders>
              <w:tl2br w:val="nil"/>
              <w:tr2bl w:val="nil"/>
            </w:tcBorders>
            <w:vAlign w:val="center"/>
          </w:tcPr>
          <w:p w14:paraId="5EA4319B">
            <w:pPr>
              <w:pStyle w:val="26"/>
              <w:rPr>
                <w:rFonts w:hint="default"/>
                <w:color w:val="auto"/>
              </w:rPr>
            </w:pPr>
            <w:r>
              <w:rPr>
                <w:color w:val="auto"/>
              </w:rPr>
              <w:t>30</w:t>
            </w:r>
          </w:p>
        </w:tc>
      </w:tr>
      <w:tr w14:paraId="6D25E9A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A3449D8">
            <w:pPr>
              <w:pStyle w:val="26"/>
              <w:rPr>
                <w:rFonts w:hint="default"/>
                <w:color w:val="auto"/>
              </w:rPr>
            </w:pPr>
            <w:r>
              <w:rPr>
                <w:color w:val="auto"/>
              </w:rPr>
              <w:t>中医器械</w:t>
            </w:r>
          </w:p>
        </w:tc>
        <w:tc>
          <w:tcPr>
            <w:tcW w:w="1402" w:type="dxa"/>
            <w:tcBorders>
              <w:tl2br w:val="nil"/>
              <w:tr2bl w:val="nil"/>
            </w:tcBorders>
            <w:vAlign w:val="center"/>
          </w:tcPr>
          <w:p w14:paraId="7301C493">
            <w:pPr>
              <w:pStyle w:val="26"/>
              <w:rPr>
                <w:rFonts w:hint="default"/>
                <w:color w:val="auto"/>
              </w:rPr>
            </w:pPr>
            <w:r>
              <w:rPr>
                <w:color w:val="auto"/>
              </w:rPr>
              <w:t>21332</w:t>
            </w:r>
          </w:p>
        </w:tc>
        <w:tc>
          <w:tcPr>
            <w:tcW w:w="2131" w:type="dxa"/>
            <w:tcBorders>
              <w:tl2br w:val="nil"/>
              <w:tr2bl w:val="nil"/>
            </w:tcBorders>
            <w:vAlign w:val="center"/>
          </w:tcPr>
          <w:p w14:paraId="25DF24D4">
            <w:pPr>
              <w:pStyle w:val="26"/>
              <w:rPr>
                <w:rFonts w:hint="default"/>
                <w:color w:val="auto"/>
              </w:rPr>
            </w:pPr>
            <w:r>
              <w:rPr>
                <w:color w:val="auto"/>
              </w:rPr>
              <w:t>0.093469022</w:t>
            </w:r>
          </w:p>
        </w:tc>
        <w:tc>
          <w:tcPr>
            <w:tcW w:w="2131" w:type="dxa"/>
            <w:tcBorders>
              <w:tl2br w:val="nil"/>
              <w:tr2bl w:val="nil"/>
            </w:tcBorders>
            <w:vAlign w:val="center"/>
          </w:tcPr>
          <w:p w14:paraId="7C94A25E">
            <w:pPr>
              <w:pStyle w:val="26"/>
              <w:rPr>
                <w:rFonts w:hint="default"/>
                <w:color w:val="auto"/>
              </w:rPr>
            </w:pPr>
            <w:r>
              <w:rPr>
                <w:color w:val="auto"/>
              </w:rPr>
              <w:t>30</w:t>
            </w:r>
          </w:p>
        </w:tc>
      </w:tr>
      <w:tr w14:paraId="622A4C9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282AA06">
            <w:pPr>
              <w:pStyle w:val="26"/>
              <w:rPr>
                <w:rFonts w:hint="default"/>
                <w:color w:val="auto"/>
              </w:rPr>
            </w:pPr>
            <w:r>
              <w:rPr>
                <w:color w:val="auto"/>
              </w:rPr>
              <w:t>医用软件</w:t>
            </w:r>
          </w:p>
        </w:tc>
        <w:tc>
          <w:tcPr>
            <w:tcW w:w="1402" w:type="dxa"/>
            <w:tcBorders>
              <w:tl2br w:val="nil"/>
              <w:tr2bl w:val="nil"/>
            </w:tcBorders>
            <w:vAlign w:val="center"/>
          </w:tcPr>
          <w:p w14:paraId="49C1A516">
            <w:pPr>
              <w:pStyle w:val="26"/>
              <w:rPr>
                <w:rFonts w:hint="default"/>
                <w:color w:val="auto"/>
              </w:rPr>
            </w:pPr>
            <w:r>
              <w:rPr>
                <w:color w:val="auto"/>
              </w:rPr>
              <w:t>61089</w:t>
            </w:r>
          </w:p>
        </w:tc>
        <w:tc>
          <w:tcPr>
            <w:tcW w:w="2131" w:type="dxa"/>
            <w:tcBorders>
              <w:tl2br w:val="nil"/>
              <w:tr2bl w:val="nil"/>
            </w:tcBorders>
            <w:vAlign w:val="center"/>
          </w:tcPr>
          <w:p w14:paraId="24E70EF7">
            <w:pPr>
              <w:pStyle w:val="26"/>
              <w:rPr>
                <w:rFonts w:hint="default"/>
                <w:color w:val="auto"/>
              </w:rPr>
            </w:pPr>
            <w:r>
              <w:rPr>
                <w:color w:val="auto"/>
              </w:rPr>
              <w:t>0.084989251</w:t>
            </w:r>
          </w:p>
        </w:tc>
        <w:tc>
          <w:tcPr>
            <w:tcW w:w="2131" w:type="dxa"/>
            <w:tcBorders>
              <w:tl2br w:val="nil"/>
              <w:tr2bl w:val="nil"/>
            </w:tcBorders>
            <w:vAlign w:val="center"/>
          </w:tcPr>
          <w:p w14:paraId="4F35E8A1">
            <w:pPr>
              <w:pStyle w:val="26"/>
              <w:rPr>
                <w:rFonts w:hint="default"/>
                <w:color w:val="auto"/>
              </w:rPr>
            </w:pPr>
            <w:r>
              <w:rPr>
                <w:color w:val="auto"/>
              </w:rPr>
              <w:t>41</w:t>
            </w:r>
          </w:p>
        </w:tc>
      </w:tr>
      <w:tr w14:paraId="6F02DAF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BC93079">
            <w:pPr>
              <w:pStyle w:val="26"/>
              <w:rPr>
                <w:rFonts w:hint="default"/>
                <w:color w:val="auto"/>
              </w:rPr>
            </w:pPr>
            <w:r>
              <w:rPr>
                <w:color w:val="auto"/>
              </w:rPr>
              <w:t>临床检验器械</w:t>
            </w:r>
          </w:p>
        </w:tc>
        <w:tc>
          <w:tcPr>
            <w:tcW w:w="1402" w:type="dxa"/>
            <w:tcBorders>
              <w:tl2br w:val="nil"/>
              <w:tr2bl w:val="nil"/>
            </w:tcBorders>
            <w:vAlign w:val="center"/>
          </w:tcPr>
          <w:p w14:paraId="40554FD9">
            <w:pPr>
              <w:pStyle w:val="26"/>
              <w:rPr>
                <w:rFonts w:hint="default"/>
                <w:color w:val="auto"/>
              </w:rPr>
            </w:pPr>
            <w:r>
              <w:rPr>
                <w:color w:val="auto"/>
              </w:rPr>
              <w:t>5161</w:t>
            </w:r>
          </w:p>
        </w:tc>
        <w:tc>
          <w:tcPr>
            <w:tcW w:w="2131" w:type="dxa"/>
            <w:tcBorders>
              <w:tl2br w:val="nil"/>
              <w:tr2bl w:val="nil"/>
            </w:tcBorders>
            <w:vAlign w:val="center"/>
          </w:tcPr>
          <w:p w14:paraId="23E51306">
            <w:pPr>
              <w:pStyle w:val="26"/>
              <w:rPr>
                <w:rFonts w:hint="default"/>
                <w:color w:val="auto"/>
              </w:rPr>
            </w:pPr>
            <w:r>
              <w:rPr>
                <w:color w:val="auto"/>
              </w:rPr>
              <w:t>0.056356851</w:t>
            </w:r>
          </w:p>
        </w:tc>
        <w:tc>
          <w:tcPr>
            <w:tcW w:w="2131" w:type="dxa"/>
            <w:tcBorders>
              <w:tl2br w:val="nil"/>
              <w:tr2bl w:val="nil"/>
            </w:tcBorders>
            <w:vAlign w:val="center"/>
          </w:tcPr>
          <w:p w14:paraId="261782D5">
            <w:pPr>
              <w:pStyle w:val="26"/>
              <w:rPr>
                <w:rFonts w:hint="default"/>
                <w:color w:val="auto"/>
              </w:rPr>
            </w:pPr>
            <w:r>
              <w:rPr>
                <w:color w:val="auto"/>
              </w:rPr>
              <w:t>48</w:t>
            </w:r>
          </w:p>
        </w:tc>
      </w:tr>
    </w:tbl>
    <w:p w14:paraId="4ED9CE26">
      <w:pPr>
        <w:pStyle w:val="3"/>
        <w:numPr>
          <w:ilvl w:val="1"/>
          <w:numId w:val="1"/>
        </w:numPr>
        <w:tabs>
          <w:tab w:val="clear" w:pos="420"/>
        </w:tabs>
        <w:rPr>
          <w:color w:val="auto"/>
        </w:rPr>
      </w:pPr>
      <w:bookmarkStart w:id="139" w:name="_Toc229086884"/>
      <w:bookmarkStart w:id="140" w:name="_Toc25723"/>
      <w:r>
        <w:rPr>
          <w:rFonts w:hint="eastAsia"/>
          <w:color w:val="auto"/>
        </w:rPr>
        <w:t>自动</w:t>
      </w:r>
      <w:bookmarkEnd w:id="138"/>
      <w:r>
        <w:rPr>
          <w:rFonts w:hint="eastAsia"/>
          <w:color w:val="auto"/>
        </w:rPr>
        <w:t>标注工作流构建</w:t>
      </w:r>
      <w:bookmarkEnd w:id="139"/>
      <w:bookmarkEnd w:id="140"/>
    </w:p>
    <w:p w14:paraId="14C6652B">
      <w:pPr>
        <w:ind w:firstLine="480"/>
        <w:rPr>
          <w:color w:val="auto"/>
        </w:rPr>
      </w:pPr>
      <w:r>
        <w:rPr>
          <w:rFonts w:hint="eastAsia"/>
          <w:color w:val="auto"/>
        </w:rPr>
        <w:t>对于近6万条候选数据，逐条人工标注成本较高，且不同标注者之间也可能存在理解差异。本文使用D2作为评价基准，对自动标注工作流进行设计、优化和验证，再将其用于剩余数据的标签补全。</w:t>
      </w:r>
    </w:p>
    <w:p w14:paraId="1A23E28A">
      <w:pPr>
        <w:pStyle w:val="4"/>
        <w:numPr>
          <w:ilvl w:val="2"/>
          <w:numId w:val="1"/>
        </w:numPr>
        <w:tabs>
          <w:tab w:val="clear" w:pos="420"/>
        </w:tabs>
        <w:rPr>
          <w:color w:val="auto"/>
        </w:rPr>
      </w:pPr>
      <w:bookmarkStart w:id="141" w:name="_Toc229086885"/>
      <w:bookmarkStart w:id="142" w:name="_Toc6180"/>
      <w:bookmarkStart w:id="143" w:name="_Toc216114501"/>
      <w:r>
        <w:rPr>
          <w:rFonts w:hint="eastAsia"/>
          <w:color w:val="auto"/>
        </w:rPr>
        <w:t>环境搭建</w:t>
      </w:r>
      <w:bookmarkEnd w:id="141"/>
      <w:bookmarkEnd w:id="142"/>
      <w:bookmarkEnd w:id="143"/>
    </w:p>
    <w:p w14:paraId="6DB67949">
      <w:pPr>
        <w:ind w:firstLine="480"/>
        <w:rPr>
          <w:rFonts w:hint="eastAsia"/>
          <w:color w:val="auto"/>
        </w:rPr>
      </w:pPr>
      <w:r>
        <w:rPr>
          <w:rFonts w:hint="eastAsia"/>
          <w:color w:val="auto"/>
        </w:rPr>
        <w:t>由于数据量以及成本原因，本文并没有采用API调用方式，在本地搭建了一个完全私有的推理以及调度环境，相关软硬件配置见表3-6、表3-7。</w:t>
      </w:r>
    </w:p>
    <w:p w14:paraId="0C57C55B">
      <w:pPr>
        <w:ind w:firstLine="480"/>
        <w:rPr>
          <w:color w:val="auto"/>
        </w:rPr>
      </w:pPr>
      <w:r>
        <w:rPr>
          <w:rFonts w:hint="eastAsia"/>
          <w:color w:val="auto"/>
        </w:rPr>
        <w:t>推理阶段使用NVIDIA RTX</w:t>
      </w:r>
      <w:r>
        <w:rPr>
          <w:rFonts w:hint="eastAsia"/>
          <w:color w:val="auto"/>
          <w:lang w:val="en-US" w:eastAsia="zh-CN"/>
        </w:rPr>
        <w:t xml:space="preserve"> </w:t>
      </w:r>
      <w:r>
        <w:rPr>
          <w:rFonts w:hint="eastAsia"/>
          <w:color w:val="auto"/>
        </w:rPr>
        <w:t>4060显卡，在此显卡上集成了AdaLovelace架构，支持FP8以及INT8等低精度运算，在大规模模型量化推理场景下适用，由于Qwen3:8B模型所需显存为8GB，所以此显卡也足够用于本地部署。</w:t>
      </w:r>
    </w:p>
    <w:p w14:paraId="1E3AF3D3">
      <w:pPr>
        <w:ind w:firstLine="480"/>
        <w:rPr>
          <w:color w:val="auto"/>
        </w:rPr>
      </w:pPr>
      <w:r>
        <w:rPr>
          <w:rFonts w:hint="eastAsia"/>
          <w:color w:val="auto"/>
        </w:rPr>
        <w:t>在模型推理层面，使用Ollama</w:t>
      </w:r>
      <w:r>
        <w:rPr>
          <w:rStyle w:val="33"/>
          <w:color w:val="auto"/>
        </w:rPr>
        <w:fldChar w:fldCharType="begin"/>
      </w:r>
      <w:r>
        <w:rPr>
          <w:rStyle w:val="33"/>
          <w:color w:val="auto"/>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3"/>
          <w:color w:val="auto"/>
        </w:rPr>
        <w:fldChar w:fldCharType="separate"/>
      </w:r>
      <w:r>
        <w:rPr>
          <w:rStyle w:val="33"/>
          <w:color w:val="auto"/>
        </w:rPr>
        <w:t>[</w:t>
      </w:r>
      <w:r>
        <w:rPr>
          <w:rStyle w:val="33"/>
          <w:rFonts w:hint="eastAsia"/>
          <w:color w:val="auto"/>
        </w:rPr>
        <w:t>52</w:t>
      </w:r>
      <w:r>
        <w:rPr>
          <w:rStyle w:val="33"/>
          <w:color w:val="auto"/>
        </w:rPr>
        <w:t>]</w:t>
      </w:r>
      <w:r>
        <w:rPr>
          <w:rStyle w:val="33"/>
          <w:color w:val="auto"/>
        </w:rPr>
        <w:fldChar w:fldCharType="end"/>
      </w:r>
      <w:r>
        <w:rPr>
          <w:rFonts w:hint="eastAsia"/>
          <w:color w:val="auto"/>
        </w:rPr>
        <w:t>作为本地大语言模型运行时，在此进行模型加载、量化推理以及服务化部署等工作，该方式减少了重复部署和接口适配工作，并提高了本地推理服务的稳定性。</w:t>
      </w:r>
    </w:p>
    <w:p w14:paraId="56A8AF3B">
      <w:pPr>
        <w:ind w:firstLine="480"/>
        <w:rPr>
          <w:rFonts w:hint="eastAsia"/>
          <w:color w:val="auto"/>
        </w:rPr>
      </w:pPr>
      <w:r>
        <w:rPr>
          <w:rFonts w:hint="eastAsia"/>
          <w:color w:val="auto"/>
        </w:rPr>
        <w:t>在应用及编排方面，本文使用Dify进行LLM的应用开发以及工作流的实现，同时采用Docker</w:t>
      </w:r>
      <w:r>
        <w:rPr>
          <w:rStyle w:val="33"/>
          <w:color w:val="auto"/>
        </w:rPr>
        <w:fldChar w:fldCharType="begin"/>
      </w:r>
      <w:r>
        <w:rPr>
          <w:rStyle w:val="33"/>
          <w:color w:val="auto"/>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3"/>
          <w:color w:val="auto"/>
        </w:rPr>
        <w:fldChar w:fldCharType="separate"/>
      </w:r>
      <w:r>
        <w:rPr>
          <w:rStyle w:val="33"/>
          <w:color w:val="auto"/>
        </w:rPr>
        <w:t>[</w:t>
      </w:r>
      <w:r>
        <w:rPr>
          <w:rStyle w:val="33"/>
          <w:rFonts w:hint="eastAsia"/>
          <w:color w:val="auto"/>
        </w:rPr>
        <w:t>53</w:t>
      </w:r>
      <w:r>
        <w:rPr>
          <w:rStyle w:val="33"/>
          <w:color w:val="auto"/>
        </w:rPr>
        <w:t>]</w:t>
      </w:r>
      <w:r>
        <w:rPr>
          <w:rStyle w:val="33"/>
          <w:color w:val="auto"/>
        </w:rPr>
        <w:fldChar w:fldCharType="end"/>
      </w:r>
      <w:r>
        <w:rPr>
          <w:rFonts w:hint="eastAsia"/>
          <w:color w:val="auto"/>
        </w:rPr>
        <w:t>的方式对应用进行容器化部署以便提供一致的操作环境并且便于复制。</w:t>
      </w:r>
    </w:p>
    <w:p w14:paraId="68B75C30">
      <w:pPr>
        <w:ind w:firstLine="480"/>
        <w:rPr>
          <w:rFonts w:hint="eastAsia"/>
          <w:color w:val="auto"/>
        </w:rPr>
      </w:pPr>
    </w:p>
    <w:p w14:paraId="2445A302">
      <w:pPr>
        <w:ind w:firstLine="480"/>
        <w:rPr>
          <w:rFonts w:hint="eastAsia"/>
          <w:color w:val="auto"/>
        </w:rPr>
      </w:pPr>
    </w:p>
    <w:p w14:paraId="310B162A">
      <w:pPr>
        <w:ind w:firstLine="480"/>
        <w:rPr>
          <w:rFonts w:hint="eastAsia"/>
          <w:color w:val="auto"/>
        </w:rPr>
      </w:pPr>
    </w:p>
    <w:p w14:paraId="16B11C3A">
      <w:pPr>
        <w:pStyle w:val="25"/>
        <w:rPr>
          <w:rFonts w:hint="default"/>
          <w:color w:val="auto"/>
        </w:rPr>
      </w:pPr>
      <w:r>
        <w:rPr>
          <w:color w:val="auto"/>
        </w:rPr>
        <w:t>表3-6  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D5CF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2806BFC6">
            <w:pPr>
              <w:pStyle w:val="26"/>
              <w:rPr>
                <w:rFonts w:hint="default"/>
                <w:color w:val="auto"/>
              </w:rPr>
            </w:pPr>
            <w:r>
              <w:rPr>
                <w:color w:val="auto"/>
              </w:rPr>
              <w:t>硬件组件</w:t>
            </w:r>
          </w:p>
        </w:tc>
        <w:tc>
          <w:tcPr>
            <w:tcW w:w="5349" w:type="dxa"/>
            <w:tcBorders>
              <w:top w:val="single" w:color="auto" w:sz="8" w:space="0"/>
              <w:left w:val="nil"/>
              <w:bottom w:val="single" w:color="auto" w:sz="6" w:space="0"/>
              <w:right w:val="nil"/>
            </w:tcBorders>
          </w:tcPr>
          <w:p w14:paraId="77115DA2">
            <w:pPr>
              <w:pStyle w:val="26"/>
              <w:rPr>
                <w:rFonts w:hint="default"/>
                <w:color w:val="auto"/>
              </w:rPr>
            </w:pPr>
            <w:r>
              <w:rPr>
                <w:color w:val="auto"/>
              </w:rPr>
              <w:t>规格</w:t>
            </w:r>
          </w:p>
        </w:tc>
      </w:tr>
      <w:tr w14:paraId="58DD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5E216DCE">
            <w:pPr>
              <w:pStyle w:val="26"/>
              <w:rPr>
                <w:rFonts w:hint="default"/>
                <w:color w:val="auto"/>
              </w:rPr>
            </w:pPr>
            <w:r>
              <w:rPr>
                <w:color w:val="auto"/>
              </w:rPr>
              <w:t>GPU</w:t>
            </w:r>
          </w:p>
        </w:tc>
        <w:tc>
          <w:tcPr>
            <w:tcW w:w="5349" w:type="dxa"/>
            <w:tcBorders>
              <w:top w:val="single" w:color="auto" w:sz="6" w:space="0"/>
              <w:left w:val="nil"/>
              <w:bottom w:val="nil"/>
              <w:right w:val="nil"/>
            </w:tcBorders>
          </w:tcPr>
          <w:p w14:paraId="1AC96471">
            <w:pPr>
              <w:pStyle w:val="26"/>
              <w:rPr>
                <w:rFonts w:hint="default"/>
                <w:color w:val="auto"/>
              </w:rPr>
            </w:pPr>
            <w:r>
              <w:rPr>
                <w:color w:val="auto"/>
              </w:rPr>
              <w:t>NVIDIA GeForce RTX 4060 Laptop GPU</w:t>
            </w:r>
          </w:p>
        </w:tc>
      </w:tr>
      <w:tr w14:paraId="3DF6A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58F6AAA4">
            <w:pPr>
              <w:pStyle w:val="26"/>
              <w:rPr>
                <w:rFonts w:hint="default"/>
                <w:color w:val="auto"/>
              </w:rPr>
            </w:pPr>
            <w:r>
              <w:rPr>
                <w:color w:val="auto"/>
              </w:rPr>
              <w:t>显存</w:t>
            </w:r>
            <w:r>
              <w:rPr>
                <w:rFonts w:hint="default"/>
                <w:color w:val="auto"/>
              </w:rPr>
              <w:t> </w:t>
            </w:r>
          </w:p>
        </w:tc>
        <w:tc>
          <w:tcPr>
            <w:tcW w:w="5349" w:type="dxa"/>
            <w:tcBorders>
              <w:top w:val="nil"/>
              <w:left w:val="nil"/>
              <w:bottom w:val="nil"/>
              <w:right w:val="nil"/>
            </w:tcBorders>
          </w:tcPr>
          <w:p w14:paraId="027D6D47">
            <w:pPr>
              <w:pStyle w:val="26"/>
              <w:rPr>
                <w:rFonts w:hint="default"/>
                <w:color w:val="auto"/>
              </w:rPr>
            </w:pPr>
            <w:r>
              <w:rPr>
                <w:color w:val="auto"/>
              </w:rPr>
              <w:t>8GB</w:t>
            </w:r>
          </w:p>
        </w:tc>
      </w:tr>
      <w:tr w14:paraId="1995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47426E2C">
            <w:pPr>
              <w:pStyle w:val="26"/>
              <w:rPr>
                <w:rFonts w:hint="default"/>
                <w:color w:val="auto"/>
              </w:rPr>
            </w:pPr>
            <w:r>
              <w:rPr>
                <w:color w:val="auto"/>
              </w:rPr>
              <w:t>操作系统</w:t>
            </w:r>
          </w:p>
        </w:tc>
        <w:tc>
          <w:tcPr>
            <w:tcW w:w="5349" w:type="dxa"/>
            <w:tcBorders>
              <w:top w:val="nil"/>
              <w:left w:val="nil"/>
              <w:bottom w:val="single" w:color="auto" w:sz="8" w:space="0"/>
              <w:right w:val="nil"/>
            </w:tcBorders>
          </w:tcPr>
          <w:p w14:paraId="7904552F">
            <w:pPr>
              <w:pStyle w:val="26"/>
              <w:rPr>
                <w:rFonts w:hint="default"/>
                <w:color w:val="auto"/>
              </w:rPr>
            </w:pPr>
            <w:r>
              <w:rPr>
                <w:rFonts w:hint="default"/>
                <w:color w:val="auto"/>
              </w:rPr>
              <w:tab/>
            </w:r>
            <w:r>
              <w:rPr>
                <w:rFonts w:hint="default"/>
                <w:color w:val="auto"/>
              </w:rPr>
              <w:t>Windows 11 (x64)</w:t>
            </w:r>
          </w:p>
        </w:tc>
      </w:tr>
    </w:tbl>
    <w:p w14:paraId="3763CB71">
      <w:pPr>
        <w:pStyle w:val="25"/>
        <w:rPr>
          <w:rFonts w:hint="default"/>
          <w:color w:val="auto"/>
        </w:rPr>
      </w:pPr>
      <w:r>
        <w:rPr>
          <w:color w:val="auto"/>
        </w:rPr>
        <w:t>表3-7  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2A09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10E891AA">
            <w:pPr>
              <w:pStyle w:val="26"/>
              <w:rPr>
                <w:rFonts w:hint="default"/>
                <w:color w:val="auto"/>
              </w:rPr>
            </w:pPr>
            <w:r>
              <w:rPr>
                <w:color w:val="auto"/>
              </w:rPr>
              <w:t>软件</w:t>
            </w:r>
          </w:p>
        </w:tc>
        <w:tc>
          <w:tcPr>
            <w:tcW w:w="5349" w:type="dxa"/>
            <w:tcBorders>
              <w:top w:val="single" w:color="auto" w:sz="8" w:space="0"/>
              <w:left w:val="nil"/>
              <w:bottom w:val="single" w:color="auto" w:sz="6" w:space="0"/>
              <w:right w:val="nil"/>
            </w:tcBorders>
          </w:tcPr>
          <w:p w14:paraId="123CE24A">
            <w:pPr>
              <w:pStyle w:val="26"/>
              <w:rPr>
                <w:rFonts w:hint="default"/>
                <w:color w:val="auto"/>
              </w:rPr>
            </w:pPr>
            <w:r>
              <w:rPr>
                <w:color w:val="auto"/>
              </w:rPr>
              <w:t>版本</w:t>
            </w:r>
          </w:p>
        </w:tc>
      </w:tr>
      <w:tr w14:paraId="38801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76A403A8">
            <w:pPr>
              <w:pStyle w:val="26"/>
              <w:rPr>
                <w:rFonts w:hint="default"/>
                <w:color w:val="auto"/>
              </w:rPr>
            </w:pPr>
            <w:r>
              <w:rPr>
                <w:color w:val="auto"/>
              </w:rPr>
              <w:t>CUDA Toolkit</w:t>
            </w:r>
          </w:p>
        </w:tc>
        <w:tc>
          <w:tcPr>
            <w:tcW w:w="5349" w:type="dxa"/>
            <w:tcBorders>
              <w:top w:val="single" w:color="auto" w:sz="6" w:space="0"/>
              <w:left w:val="nil"/>
              <w:bottom w:val="nil"/>
              <w:right w:val="nil"/>
            </w:tcBorders>
          </w:tcPr>
          <w:p w14:paraId="4A37FF6D">
            <w:pPr>
              <w:pStyle w:val="26"/>
              <w:rPr>
                <w:rFonts w:hint="default"/>
                <w:color w:val="auto"/>
              </w:rPr>
            </w:pPr>
            <w:r>
              <w:rPr>
                <w:color w:val="auto"/>
              </w:rPr>
              <w:t>12.8.93</w:t>
            </w:r>
          </w:p>
        </w:tc>
      </w:tr>
      <w:tr w14:paraId="57FE6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E1F3A5F">
            <w:pPr>
              <w:pStyle w:val="26"/>
              <w:rPr>
                <w:rFonts w:hint="default"/>
                <w:color w:val="auto"/>
              </w:rPr>
            </w:pPr>
            <w:r>
              <w:rPr>
                <w:color w:val="auto"/>
              </w:rPr>
              <w:t>Docker</w:t>
            </w:r>
          </w:p>
        </w:tc>
        <w:tc>
          <w:tcPr>
            <w:tcW w:w="5349" w:type="dxa"/>
            <w:tcBorders>
              <w:top w:val="nil"/>
              <w:left w:val="nil"/>
              <w:bottom w:val="nil"/>
              <w:right w:val="nil"/>
            </w:tcBorders>
          </w:tcPr>
          <w:p w14:paraId="76A23F25">
            <w:pPr>
              <w:pStyle w:val="26"/>
              <w:rPr>
                <w:rFonts w:hint="default"/>
                <w:color w:val="auto"/>
              </w:rPr>
            </w:pPr>
            <w:r>
              <w:rPr>
                <w:color w:val="auto"/>
              </w:rPr>
              <w:t>28.3.2</w:t>
            </w:r>
          </w:p>
        </w:tc>
      </w:tr>
      <w:tr w14:paraId="5F389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32996253">
            <w:pPr>
              <w:pStyle w:val="26"/>
              <w:rPr>
                <w:rFonts w:hint="default"/>
                <w:color w:val="auto"/>
              </w:rPr>
            </w:pPr>
            <w:r>
              <w:rPr>
                <w:color w:val="auto"/>
              </w:rPr>
              <w:t>P</w:t>
            </w:r>
            <w:r>
              <w:rPr>
                <w:rFonts w:hint="default"/>
                <w:color w:val="auto"/>
              </w:rPr>
              <w:t>ython</w:t>
            </w:r>
          </w:p>
        </w:tc>
        <w:tc>
          <w:tcPr>
            <w:tcW w:w="5349" w:type="dxa"/>
            <w:tcBorders>
              <w:top w:val="nil"/>
              <w:left w:val="nil"/>
              <w:bottom w:val="nil"/>
              <w:right w:val="nil"/>
            </w:tcBorders>
          </w:tcPr>
          <w:p w14:paraId="3EFA5DEF">
            <w:pPr>
              <w:pStyle w:val="26"/>
              <w:rPr>
                <w:rFonts w:hint="default"/>
                <w:color w:val="auto"/>
              </w:rPr>
            </w:pPr>
            <w:r>
              <w:rPr>
                <w:rFonts w:hint="default"/>
                <w:color w:val="auto"/>
              </w:rPr>
              <w:t>3.11.4</w:t>
            </w:r>
          </w:p>
        </w:tc>
      </w:tr>
      <w:tr w14:paraId="211C8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38897D97">
            <w:pPr>
              <w:pStyle w:val="26"/>
              <w:rPr>
                <w:rFonts w:hint="default"/>
                <w:color w:val="auto"/>
              </w:rPr>
            </w:pPr>
            <w:r>
              <w:rPr>
                <w:color w:val="auto"/>
              </w:rPr>
              <w:t>O</w:t>
            </w:r>
            <w:r>
              <w:rPr>
                <w:rFonts w:hint="default"/>
                <w:color w:val="auto"/>
              </w:rPr>
              <w:t xml:space="preserve">llama </w:t>
            </w:r>
          </w:p>
        </w:tc>
        <w:tc>
          <w:tcPr>
            <w:tcW w:w="5349" w:type="dxa"/>
            <w:tcBorders>
              <w:top w:val="nil"/>
              <w:left w:val="nil"/>
              <w:bottom w:val="nil"/>
              <w:right w:val="nil"/>
            </w:tcBorders>
          </w:tcPr>
          <w:p w14:paraId="5AB7926B">
            <w:pPr>
              <w:pStyle w:val="26"/>
              <w:rPr>
                <w:rFonts w:hint="default"/>
                <w:color w:val="auto"/>
              </w:rPr>
            </w:pPr>
            <w:r>
              <w:rPr>
                <w:rFonts w:hint="default"/>
                <w:color w:val="auto"/>
              </w:rPr>
              <w:t>0.13.5</w:t>
            </w:r>
          </w:p>
        </w:tc>
      </w:tr>
      <w:tr w14:paraId="37705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65C12D6D">
            <w:pPr>
              <w:pStyle w:val="26"/>
              <w:rPr>
                <w:rFonts w:hint="default"/>
                <w:color w:val="auto"/>
              </w:rPr>
            </w:pPr>
            <w:r>
              <w:rPr>
                <w:rFonts w:hint="default"/>
                <w:color w:val="auto"/>
              </w:rPr>
              <w:t>Dify</w:t>
            </w:r>
          </w:p>
        </w:tc>
        <w:tc>
          <w:tcPr>
            <w:tcW w:w="5349" w:type="dxa"/>
            <w:tcBorders>
              <w:top w:val="nil"/>
              <w:left w:val="nil"/>
              <w:bottom w:val="single" w:color="auto" w:sz="8" w:space="0"/>
              <w:right w:val="nil"/>
            </w:tcBorders>
          </w:tcPr>
          <w:p w14:paraId="7D448228">
            <w:pPr>
              <w:pStyle w:val="26"/>
              <w:rPr>
                <w:rFonts w:hint="default"/>
                <w:color w:val="auto"/>
              </w:rPr>
            </w:pPr>
            <w:r>
              <w:rPr>
                <w:rFonts w:hint="default"/>
                <w:color w:val="auto"/>
              </w:rPr>
              <w:t>1.6.0</w:t>
            </w:r>
          </w:p>
        </w:tc>
      </w:tr>
    </w:tbl>
    <w:p w14:paraId="7D7BDC89">
      <w:pPr>
        <w:pStyle w:val="4"/>
        <w:numPr>
          <w:ilvl w:val="2"/>
          <w:numId w:val="1"/>
        </w:numPr>
        <w:tabs>
          <w:tab w:val="clear" w:pos="420"/>
        </w:tabs>
        <w:rPr>
          <w:color w:val="auto"/>
        </w:rPr>
      </w:pPr>
      <w:bookmarkStart w:id="144" w:name="_Toc216114502"/>
      <w:bookmarkStart w:id="145" w:name="_Toc19874"/>
      <w:bookmarkStart w:id="146" w:name="_Toc229086886"/>
      <w:r>
        <w:rPr>
          <w:rFonts w:hint="eastAsia"/>
          <w:color w:val="auto"/>
        </w:rPr>
        <w:t>自动标注工作流设计</w:t>
      </w:r>
      <w:bookmarkEnd w:id="144"/>
      <w:bookmarkEnd w:id="145"/>
      <w:bookmarkEnd w:id="146"/>
    </w:p>
    <w:p w14:paraId="13C881B0">
      <w:pPr>
        <w:ind w:firstLine="480"/>
        <w:rPr>
          <w:color w:val="auto"/>
        </w:rPr>
      </w:pPr>
      <w:r>
        <w:rPr>
          <w:rFonts w:hint="eastAsia"/>
          <w:color w:val="auto"/>
        </w:rPr>
        <w:t>医疗器械专利文本具有专业术语密集、类别边界模糊和功能描述交叉等特点。单纯依赖LLM内部知识容易出现过度泛化，单纯依赖关键词匹配又难以理解器械用途。因此，本文在Dify中构建了RAG知识检索结合规则提示与条件纠错的自动标注工作流，如图3-3所示。</w:t>
      </w:r>
    </w:p>
    <w:p w14:paraId="0E23F19E">
      <w:pPr>
        <w:pStyle w:val="25"/>
        <w:rPr>
          <w:rFonts w:hint="default"/>
          <w:color w:val="auto"/>
        </w:rPr>
      </w:pPr>
      <w:r>
        <w:rPr>
          <w:color w:val="auto"/>
        </w:rPr>
        <w:drawing>
          <wp:inline distT="0" distB="0" distL="114300" distR="114300">
            <wp:extent cx="5339080" cy="2256155"/>
            <wp:effectExtent l="0" t="0" r="4445" b="0"/>
            <wp:docPr id="7" name="图片 7" descr="数据标注v1.1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3)"/>
                    <pic:cNvPicPr>
                      <a:picLocks noChangeAspect="1"/>
                    </pic:cNvPicPr>
                  </pic:nvPicPr>
                  <pic:blipFill>
                    <a:blip r:embed="rId42"/>
                    <a:srcRect l="3278" t="4646" b="10196"/>
                    <a:stretch>
                      <a:fillRect/>
                    </a:stretch>
                  </pic:blipFill>
                  <pic:spPr>
                    <a:xfrm>
                      <a:off x="0" y="0"/>
                      <a:ext cx="5339080" cy="2256155"/>
                    </a:xfrm>
                    <a:prstGeom prst="rect">
                      <a:avLst/>
                    </a:prstGeom>
                  </pic:spPr>
                </pic:pic>
              </a:graphicData>
            </a:graphic>
          </wp:inline>
        </w:drawing>
      </w:r>
    </w:p>
    <w:p w14:paraId="13F8E21D">
      <w:pPr>
        <w:pStyle w:val="25"/>
        <w:rPr>
          <w:rFonts w:hint="default"/>
          <w:color w:val="auto"/>
        </w:rPr>
      </w:pPr>
      <w:r>
        <w:rPr>
          <w:color w:val="auto"/>
        </w:rPr>
        <w:t>图3-3  自动标注工作流</w:t>
      </w:r>
    </w:p>
    <w:p w14:paraId="4E07305A">
      <w:pPr>
        <w:numPr>
          <w:ilvl w:val="0"/>
          <w:numId w:val="11"/>
        </w:numPr>
        <w:ind w:firstLine="480"/>
        <w:rPr>
          <w:color w:val="auto"/>
        </w:rPr>
      </w:pPr>
      <w:r>
        <w:rPr>
          <w:rFonts w:hint="eastAsia"/>
          <w:color w:val="auto"/>
        </w:rPr>
        <w:t>知识检索模块</w:t>
      </w:r>
    </w:p>
    <w:p w14:paraId="04D6C0EB">
      <w:pPr>
        <w:ind w:firstLine="480"/>
        <w:rPr>
          <w:color w:val="auto"/>
        </w:rPr>
      </w:pPr>
      <w:r>
        <w:rPr>
          <w:rFonts w:hint="eastAsia"/>
          <w:color w:val="auto"/>
        </w:rPr>
        <w:t>本模块用于指导大模型进行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3DB3B124">
      <w:pPr>
        <w:numPr>
          <w:ilvl w:val="0"/>
          <w:numId w:val="11"/>
        </w:numPr>
        <w:ind w:firstLine="480"/>
        <w:rPr>
          <w:color w:val="auto"/>
        </w:rPr>
      </w:pPr>
      <w:r>
        <w:rPr>
          <w:rFonts w:hint="eastAsia"/>
          <w:color w:val="auto"/>
        </w:rPr>
        <w:t>初步分类决策模块</w:t>
      </w:r>
    </w:p>
    <w:p w14:paraId="319F8DA4">
      <w:pPr>
        <w:ind w:firstLine="480"/>
        <w:rPr>
          <w:color w:val="auto"/>
        </w:rPr>
      </w:pPr>
      <w:r>
        <w:rPr>
          <w:rFonts w:hint="eastAsia"/>
          <w:color w:val="auto"/>
          <w:highlight w:val="yellow"/>
        </w:rPr>
        <w:t>本文在系统提示词中补入国家市场监督管理总局发布的《医疗器械分类规则》中的关键定义，包括有源医疗器械、无源医疗器械、植入器械和独立软件等概念。同时，本文将“有源与无源”“植入与手术器械”“临床检验与诊察监护”“医用软件与硬件器械”等易混类别整理为区分重点，要求模型优先依据专利摘要中的主要功能、工作原理和使用场景进行判断</w:t>
      </w:r>
      <w:r>
        <w:rPr>
          <w:rFonts w:hint="eastAsia"/>
          <w:color w:val="auto"/>
        </w:rPr>
        <w:t>。</w:t>
      </w:r>
    </w:p>
    <w:p w14:paraId="5109A511">
      <w:pPr>
        <w:ind w:firstLine="480"/>
        <w:rPr>
          <w:rFonts w:hint="eastAsia"/>
          <w:color w:val="auto"/>
        </w:rPr>
      </w:pPr>
      <w:r>
        <w:rPr>
          <w:rFonts w:hint="eastAsia"/>
          <w:color w:val="auto"/>
        </w:rPr>
        <w:t>Qwen3:8B根据专利摘要、检索到的目录片段和系统提示词输出一级产品类别。输出被约束为结构化JSON格式，字段包括类别，结构化输出可减少后续解析错误，也便于对多轮输出进行一致性统计。</w:t>
      </w:r>
    </w:p>
    <w:p w14:paraId="057E185E">
      <w:pPr>
        <w:pStyle w:val="25"/>
        <w:rPr>
          <w:rFonts w:hint="default"/>
          <w:color w:val="auto"/>
        </w:rPr>
      </w:pPr>
      <w:r>
        <w:rPr>
          <w:color w:val="auto"/>
        </w:rPr>
        <w:t>表3-8  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69124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09E4F0EC">
            <w:pPr>
              <w:pStyle w:val="26"/>
              <w:rPr>
                <w:rFonts w:hint="default"/>
                <w:color w:val="auto"/>
              </w:rPr>
            </w:pPr>
            <w:r>
              <w:rPr>
                <w:color w:val="auto"/>
              </w:rPr>
              <w:t>分支</w:t>
            </w:r>
          </w:p>
        </w:tc>
        <w:tc>
          <w:tcPr>
            <w:tcW w:w="6307" w:type="dxa"/>
            <w:tcBorders>
              <w:top w:val="single" w:color="auto" w:sz="8" w:space="0"/>
              <w:left w:val="nil"/>
              <w:bottom w:val="single" w:color="auto" w:sz="6" w:space="0"/>
              <w:right w:val="nil"/>
            </w:tcBorders>
          </w:tcPr>
          <w:p w14:paraId="614C19F4">
            <w:pPr>
              <w:pStyle w:val="26"/>
              <w:rPr>
                <w:rFonts w:hint="default"/>
                <w:color w:val="auto"/>
              </w:rPr>
            </w:pPr>
            <w:r>
              <w:rPr>
                <w:color w:val="auto"/>
              </w:rPr>
              <w:t>作用</w:t>
            </w:r>
          </w:p>
        </w:tc>
      </w:tr>
      <w:tr w14:paraId="570C2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67ACAA13">
            <w:pPr>
              <w:pStyle w:val="26"/>
              <w:rPr>
                <w:rFonts w:hint="default"/>
                <w:color w:val="auto"/>
              </w:rPr>
            </w:pPr>
            <w:r>
              <w:rPr>
                <w:color w:val="auto"/>
              </w:rPr>
              <w:t>有源植入器械</w:t>
            </w:r>
          </w:p>
        </w:tc>
        <w:tc>
          <w:tcPr>
            <w:tcW w:w="6307" w:type="dxa"/>
            <w:tcBorders>
              <w:top w:val="single" w:color="auto" w:sz="6" w:space="0"/>
              <w:left w:val="nil"/>
              <w:bottom w:val="nil"/>
              <w:right w:val="nil"/>
            </w:tcBorders>
          </w:tcPr>
          <w:p w14:paraId="4C2660A3">
            <w:pPr>
              <w:pStyle w:val="26"/>
              <w:rPr>
                <w:rFonts w:hint="default"/>
                <w:color w:val="auto"/>
              </w:rPr>
            </w:pPr>
            <w:r>
              <w:rPr>
                <w:color w:val="auto"/>
              </w:rPr>
              <w:t>当初步判定为“有源植入器械”时，进入该分支。专门的LLM节点会重点对比“有源植入器械”与“有源手术器械”，通过检查是否“长期留置体内”及“是否依赖能源驱动”等核心特征进行最终确认。</w:t>
            </w:r>
          </w:p>
        </w:tc>
      </w:tr>
      <w:tr w14:paraId="7ECBC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1CD9E35">
            <w:pPr>
              <w:pStyle w:val="26"/>
              <w:rPr>
                <w:rFonts w:hint="default"/>
                <w:color w:val="auto"/>
              </w:rPr>
            </w:pPr>
            <w:r>
              <w:rPr>
                <w:color w:val="auto"/>
              </w:rPr>
              <w:t>医用诊察和监护器械</w:t>
            </w:r>
          </w:p>
        </w:tc>
        <w:tc>
          <w:tcPr>
            <w:tcW w:w="6307" w:type="dxa"/>
            <w:tcBorders>
              <w:top w:val="nil"/>
              <w:left w:val="nil"/>
              <w:bottom w:val="nil"/>
              <w:right w:val="nil"/>
            </w:tcBorders>
          </w:tcPr>
          <w:p w14:paraId="7F933488">
            <w:pPr>
              <w:pStyle w:val="26"/>
              <w:rPr>
                <w:rFonts w:hint="default"/>
                <w:color w:val="auto"/>
              </w:rPr>
            </w:pPr>
            <w:r>
              <w:rPr>
                <w:color w:val="auto"/>
              </w:rPr>
              <w:t>针对该类别与“医用软件”的界限模糊问题，校验节点重点分析核心创新点是在于硬件传感器还是数据处理算法。</w:t>
            </w:r>
          </w:p>
        </w:tc>
      </w:tr>
      <w:tr w14:paraId="21581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05CBFF3A">
            <w:pPr>
              <w:pStyle w:val="26"/>
              <w:rPr>
                <w:rFonts w:hint="default"/>
                <w:color w:val="auto"/>
              </w:rPr>
            </w:pPr>
            <w:r>
              <w:rPr>
                <w:color w:val="auto"/>
              </w:rPr>
              <w:t>无源植入器械</w:t>
            </w:r>
          </w:p>
        </w:tc>
        <w:tc>
          <w:tcPr>
            <w:tcW w:w="6307" w:type="dxa"/>
            <w:tcBorders>
              <w:top w:val="nil"/>
              <w:left w:val="nil"/>
              <w:bottom w:val="nil"/>
              <w:right w:val="nil"/>
            </w:tcBorders>
          </w:tcPr>
          <w:p w14:paraId="54FC1E54">
            <w:pPr>
              <w:pStyle w:val="26"/>
              <w:rPr>
                <w:rFonts w:hint="default"/>
                <w:color w:val="auto"/>
              </w:rPr>
            </w:pPr>
            <w:r>
              <w:rPr>
                <w:color w:val="auto"/>
              </w:rPr>
              <w:t>重点区分“无源植入”与“有源植入”，严格排查摘要中是否包含“电极”、“传感器”等暗示有源属性的关键词。</w:t>
            </w:r>
          </w:p>
        </w:tc>
      </w:tr>
      <w:tr w14:paraId="41C36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16542D7C">
            <w:pPr>
              <w:pStyle w:val="26"/>
              <w:rPr>
                <w:rFonts w:hint="default"/>
                <w:color w:val="auto"/>
              </w:rPr>
            </w:pPr>
            <w:r>
              <w:rPr>
                <w:color w:val="auto"/>
              </w:rPr>
              <w:t>医用康复器械</w:t>
            </w:r>
          </w:p>
        </w:tc>
        <w:tc>
          <w:tcPr>
            <w:tcW w:w="6307" w:type="dxa"/>
            <w:tcBorders>
              <w:top w:val="nil"/>
              <w:left w:val="nil"/>
              <w:bottom w:val="single" w:color="auto" w:sz="8" w:space="0"/>
              <w:right w:val="nil"/>
            </w:tcBorders>
          </w:tcPr>
          <w:p w14:paraId="529B7367">
            <w:pPr>
              <w:pStyle w:val="26"/>
              <w:rPr>
                <w:rFonts w:hint="default"/>
                <w:color w:val="auto"/>
              </w:rPr>
            </w:pPr>
            <w:r>
              <w:rPr>
                <w:color w:val="auto"/>
              </w:rPr>
              <w:t>鉴于康复器械常与“医用软件”或“患者承载器械”混淆，该分支重点判断设备的主要功能是“功能恢复训练”、“单纯承载”还是“纯算法分析”。</w:t>
            </w:r>
          </w:p>
        </w:tc>
      </w:tr>
    </w:tbl>
    <w:p w14:paraId="7A0E6ADE">
      <w:pPr>
        <w:numPr>
          <w:ilvl w:val="0"/>
          <w:numId w:val="11"/>
        </w:numPr>
        <w:ind w:firstLine="480"/>
        <w:rPr>
          <w:color w:val="auto"/>
        </w:rPr>
      </w:pPr>
      <w:r>
        <w:rPr>
          <w:rFonts w:hint="eastAsia"/>
          <w:color w:val="auto"/>
        </w:rPr>
        <w:t>条件分支纠错模块</w:t>
      </w:r>
    </w:p>
    <w:p w14:paraId="4E48D17F">
      <w:pPr>
        <w:ind w:firstLine="480"/>
        <w:rPr>
          <w:rFonts w:hint="eastAsia"/>
          <w:color w:val="auto"/>
        </w:rPr>
      </w:pPr>
      <w:r>
        <w:rPr>
          <w:rFonts w:hint="eastAsia"/>
          <w:color w:val="auto"/>
        </w:rPr>
        <w:t>为避免初筛过程中出现误判情况，在工作流中增加条件分支以对某些类目再次甄别。基于前期测试结果，发现四个高频易混类别并分别为其设置专门纠错节点，如表3-8所示。</w:t>
      </w:r>
    </w:p>
    <w:p w14:paraId="368B13A4">
      <w:pPr>
        <w:numPr>
          <w:ilvl w:val="0"/>
          <w:numId w:val="11"/>
        </w:numPr>
        <w:ind w:firstLine="480"/>
        <w:rPr>
          <w:color w:val="auto"/>
        </w:rPr>
      </w:pPr>
      <w:r>
        <w:rPr>
          <w:rFonts w:hint="eastAsia"/>
          <w:color w:val="auto"/>
        </w:rPr>
        <w:t>变量聚合与输出</w:t>
      </w:r>
    </w:p>
    <w:p w14:paraId="107D4057">
      <w:pPr>
        <w:ind w:firstLine="480"/>
        <w:rPr>
          <w:color w:val="auto"/>
        </w:rPr>
      </w:pPr>
      <w:r>
        <w:rPr>
          <w:rFonts w:hint="eastAsia"/>
          <w:color w:val="auto"/>
        </w:rPr>
        <w:t>变量聚合器汇总各分支最终结果，无论样本经过何种分支路径，系统最终均输出统一格式的分类标签，用于完成单条专利的自动标注。</w:t>
      </w:r>
    </w:p>
    <w:p w14:paraId="301A0134">
      <w:pPr>
        <w:ind w:firstLine="480"/>
        <w:rPr>
          <w:color w:val="auto"/>
        </w:rPr>
      </w:pPr>
      <w:r>
        <w:rPr>
          <w:rFonts w:hint="eastAsia"/>
          <w:color w:val="auto"/>
        </w:rPr>
        <w:t>该设计并不等同于对LLM进行垂直领域微调，但通过分类目录RAG、分类规则提示和分支纠错，将领域知识嵌入标注过程，形成了可复现的领域适配流程。</w:t>
      </w:r>
    </w:p>
    <w:p w14:paraId="1565B610">
      <w:pPr>
        <w:pStyle w:val="4"/>
        <w:numPr>
          <w:ilvl w:val="2"/>
          <w:numId w:val="1"/>
        </w:numPr>
        <w:tabs>
          <w:tab w:val="clear" w:pos="420"/>
        </w:tabs>
        <w:rPr>
          <w:color w:val="auto"/>
        </w:rPr>
      </w:pPr>
      <w:bookmarkStart w:id="147" w:name="_Toc216114503"/>
      <w:bookmarkStart w:id="148" w:name="_Toc229086890"/>
      <w:bookmarkStart w:id="149" w:name="_Toc1771"/>
      <w:r>
        <w:rPr>
          <w:rFonts w:hint="eastAsia"/>
          <w:color w:val="auto"/>
        </w:rPr>
        <w:t>自动标注结果评估</w:t>
      </w:r>
      <w:bookmarkEnd w:id="147"/>
      <w:bookmarkEnd w:id="148"/>
      <w:bookmarkEnd w:id="149"/>
    </w:p>
    <w:p w14:paraId="7A06485E">
      <w:pPr>
        <w:ind w:firstLine="480"/>
        <w:rPr>
          <w:color w:val="auto"/>
        </w:rPr>
      </w:pPr>
      <w:r>
        <w:rPr>
          <w:rFonts w:hint="eastAsia"/>
          <w:color w:val="auto"/>
        </w:rPr>
        <w:t>为了测试自动标注工作流的效果以及控制最终生成标签的质量，在专家对数据集D2进行标注后，对自动标注工作流进行定量评价。在实验过程中，本文根据D2上的错误样本不断调整RAG检索参数、LLM提示词和LLM生成参数，并增加针对易混类别的条件分支检查。这个过程并不是简单比较一次输出，而是围绕D2校对结果逐步收敛工作流。</w:t>
      </w:r>
    </w:p>
    <w:p w14:paraId="5E134611">
      <w:pPr>
        <w:ind w:firstLine="480"/>
        <w:rPr>
          <w:color w:val="auto"/>
        </w:rPr>
      </w:pPr>
      <w:r>
        <w:rPr>
          <w:rFonts w:hint="eastAsia"/>
          <w:color w:val="auto"/>
        </w:rPr>
        <w:t>由于LLM生成具有一定随机性，为获得较稳定的标注结果，本文将LLM的温度和Top-P均设为0.5，使模型输出相对保守。随后，本文在D2上重复运行10轮自动标注工作流，并以10次结果中的众数作为该样本的最终工作流标签。若多轮输出高度一致，说明该工作流对同一输入的判定较稳定；若多轮结果分散，则说明该样本可能处于类间边界或提示词约束不足。</w:t>
      </w:r>
    </w:p>
    <w:p w14:paraId="2473E733">
      <w:pPr>
        <w:ind w:firstLine="480"/>
        <w:rPr>
          <w:color w:val="auto"/>
        </w:rPr>
      </w:pPr>
      <w:r>
        <w:rPr>
          <w:rFonts w:hint="eastAsia"/>
          <w:color w:val="auto"/>
        </w:rPr>
        <w:t>本研究选取了以下三个核心指标对标注质量进行多维度评估：</w:t>
      </w:r>
    </w:p>
    <w:p w14:paraId="0D794E05">
      <w:pPr>
        <w:numPr>
          <w:ilvl w:val="0"/>
          <w:numId w:val="12"/>
        </w:numPr>
        <w:ind w:firstLine="480"/>
        <w:rPr>
          <w:color w:val="auto"/>
        </w:rPr>
      </w:pPr>
      <w:r>
        <w:rPr>
          <w:rFonts w:hint="eastAsia"/>
          <w:color w:val="auto"/>
        </w:rPr>
        <w:t>Accuracy</w:t>
      </w:r>
    </w:p>
    <w:p w14:paraId="01B2DC07">
      <w:pPr>
        <w:ind w:firstLine="480"/>
        <w:rPr>
          <w:color w:val="auto"/>
        </w:rPr>
      </w:pPr>
      <w:r>
        <w:rPr>
          <w:rFonts w:hint="eastAsia"/>
          <w:color w:val="auto"/>
        </w:rPr>
        <w:t>衡量模型整体分类正确的样本比例，直观反映标注的总体精度。</w:t>
      </w:r>
    </w:p>
    <w:p w14:paraId="45AFB396">
      <w:pPr>
        <w:numPr>
          <w:ilvl w:val="0"/>
          <w:numId w:val="12"/>
        </w:numPr>
        <w:ind w:firstLine="480"/>
        <w:rPr>
          <w:color w:val="auto"/>
        </w:rPr>
      </w:pPr>
      <w:r>
        <w:rPr>
          <w:rFonts w:hint="eastAsia"/>
          <w:color w:val="auto"/>
        </w:rPr>
        <w:t>Macro F1-score</w:t>
      </w:r>
    </w:p>
    <w:p w14:paraId="0089606F">
      <w:pPr>
        <w:ind w:firstLine="480"/>
        <w:rPr>
          <w:color w:val="auto"/>
        </w:rPr>
      </w:pPr>
      <w:r>
        <w:rPr>
          <w:rFonts w:hint="eastAsia"/>
          <w:color w:val="auto"/>
        </w:rPr>
        <w:t>求所有类别的F1分数均值。但由于医疗器械类别分布极不平衡，MacroF1-score更能真实体现模型对于稀有类别性能，而不会被大多数类别所影响。</w:t>
      </w:r>
    </w:p>
    <w:p w14:paraId="31452BC3">
      <w:pPr>
        <w:numPr>
          <w:ilvl w:val="0"/>
          <w:numId w:val="12"/>
        </w:numPr>
        <w:ind w:firstLine="480"/>
        <w:rPr>
          <w:color w:val="auto"/>
        </w:rPr>
      </w:pPr>
      <w:r>
        <w:rPr>
          <w:rFonts w:hint="eastAsia"/>
          <w:color w:val="auto"/>
        </w:rPr>
        <w:t>Fleiss' Kappa系数</w:t>
      </w:r>
    </w:p>
    <w:p w14:paraId="45AC9C7A">
      <w:pPr>
        <w:ind w:firstLine="480"/>
        <w:rPr>
          <w:color w:val="auto"/>
        </w:rPr>
      </w:pPr>
      <w:r>
        <w:rPr>
          <w:rFonts w:hint="eastAsia"/>
          <w:color w:val="auto"/>
        </w:rPr>
        <w:t>用来衡量10次运行的结果是否一致。Kappa值越大，说明模型在不同的轮次所得到的结果越一致，随机性的成分就越小。</w:t>
      </w:r>
    </w:p>
    <w:p w14:paraId="09FBC1FD">
      <w:pPr>
        <w:pStyle w:val="25"/>
        <w:rPr>
          <w:rFonts w:hint="default"/>
          <w:color w:val="auto"/>
          <w:highlight w:val="yellow"/>
        </w:rPr>
      </w:pPr>
      <w:r>
        <w:rPr>
          <w:color w:val="auto"/>
        </w:rPr>
        <w:t xml:space="preserve">表3-9  </w:t>
      </w:r>
      <w:r>
        <w:rPr>
          <w:color w:val="auto"/>
          <w:highlight w:val="yellow"/>
        </w:rPr>
        <w:t>不同标注方法在D2上的对比结果</w:t>
      </w:r>
    </w:p>
    <w:tbl>
      <w:tblPr>
        <w:tblStyle w:val="15"/>
        <w:tblW w:w="4998" w:type="pct"/>
        <w:tblInd w:w="0" w:type="dxa"/>
        <w:tblLayout w:type="autofit"/>
        <w:tblCellMar>
          <w:top w:w="0" w:type="dxa"/>
          <w:left w:w="108" w:type="dxa"/>
          <w:bottom w:w="0" w:type="dxa"/>
          <w:right w:w="108" w:type="dxa"/>
        </w:tblCellMar>
      </w:tblPr>
      <w:tblGrid>
        <w:gridCol w:w="1421"/>
        <w:gridCol w:w="1198"/>
        <w:gridCol w:w="1822"/>
        <w:gridCol w:w="4078"/>
      </w:tblGrid>
      <w:tr w14:paraId="1E24E06D">
        <w:tblPrEx>
          <w:tblCellMar>
            <w:top w:w="0" w:type="dxa"/>
            <w:left w:w="108" w:type="dxa"/>
            <w:bottom w:w="0" w:type="dxa"/>
            <w:right w:w="108" w:type="dxa"/>
          </w:tblCellMar>
        </w:tblPrEx>
        <w:trPr>
          <w:trHeight w:val="471" w:hRule="atLeast"/>
        </w:trPr>
        <w:tc>
          <w:tcPr>
            <w:tcW w:w="834" w:type="pct"/>
            <w:tcBorders>
              <w:top w:val="single" w:color="auto" w:sz="8" w:space="0"/>
              <w:left w:val="nil"/>
              <w:bottom w:val="single" w:color="auto" w:sz="6" w:space="0"/>
              <w:right w:val="nil"/>
            </w:tcBorders>
            <w:shd w:val="clear" w:color="auto" w:fill="FFFFFF"/>
            <w:vAlign w:val="center"/>
          </w:tcPr>
          <w:p w14:paraId="1A4DB19F">
            <w:pPr>
              <w:pStyle w:val="26"/>
              <w:rPr>
                <w:rFonts w:hint="default"/>
                <w:color w:val="auto"/>
                <w:highlight w:val="yellow"/>
              </w:rPr>
            </w:pPr>
            <w:r>
              <w:rPr>
                <w:rFonts w:hint="default"/>
                <w:color w:val="auto"/>
                <w:highlight w:val="yellow"/>
              </w:rPr>
              <w:t>方法</w:t>
            </w:r>
          </w:p>
        </w:tc>
        <w:tc>
          <w:tcPr>
            <w:tcW w:w="703" w:type="pct"/>
            <w:tcBorders>
              <w:top w:val="single" w:color="auto" w:sz="8" w:space="0"/>
              <w:left w:val="nil"/>
              <w:bottom w:val="single" w:color="auto" w:sz="6" w:space="0"/>
              <w:right w:val="nil"/>
            </w:tcBorders>
            <w:shd w:val="clear" w:color="auto" w:fill="FFFFFF"/>
            <w:vAlign w:val="center"/>
          </w:tcPr>
          <w:p w14:paraId="31A3E8C5">
            <w:pPr>
              <w:pStyle w:val="26"/>
              <w:rPr>
                <w:rFonts w:hint="default"/>
                <w:color w:val="auto"/>
                <w:highlight w:val="yellow"/>
              </w:rPr>
            </w:pPr>
            <w:r>
              <w:rPr>
                <w:rFonts w:hint="default"/>
                <w:color w:val="auto"/>
                <w:highlight w:val="yellow"/>
              </w:rPr>
              <w:t>Accuracy</w:t>
            </w:r>
          </w:p>
        </w:tc>
        <w:tc>
          <w:tcPr>
            <w:tcW w:w="1069" w:type="pct"/>
            <w:tcBorders>
              <w:top w:val="single" w:color="auto" w:sz="8" w:space="0"/>
              <w:left w:val="nil"/>
              <w:bottom w:val="single" w:color="auto" w:sz="6" w:space="0"/>
              <w:right w:val="nil"/>
            </w:tcBorders>
            <w:shd w:val="clear" w:color="auto" w:fill="FFFFFF"/>
            <w:vAlign w:val="center"/>
          </w:tcPr>
          <w:p w14:paraId="78259665">
            <w:pPr>
              <w:pStyle w:val="26"/>
              <w:rPr>
                <w:rFonts w:hint="default"/>
                <w:color w:val="auto"/>
                <w:highlight w:val="yellow"/>
              </w:rPr>
            </w:pPr>
            <w:r>
              <w:rPr>
                <w:rFonts w:hint="default"/>
                <w:color w:val="auto"/>
                <w:highlight w:val="yellow"/>
              </w:rPr>
              <w:t>Macro F1-score</w:t>
            </w:r>
          </w:p>
        </w:tc>
        <w:tc>
          <w:tcPr>
            <w:tcW w:w="2392" w:type="pct"/>
            <w:tcBorders>
              <w:top w:val="single" w:color="auto" w:sz="8" w:space="0"/>
              <w:left w:val="nil"/>
              <w:bottom w:val="single" w:color="auto" w:sz="6" w:space="0"/>
              <w:right w:val="nil"/>
            </w:tcBorders>
            <w:shd w:val="clear" w:color="auto" w:fill="FFFFFF"/>
            <w:vAlign w:val="center"/>
          </w:tcPr>
          <w:p w14:paraId="55078FCF">
            <w:pPr>
              <w:pStyle w:val="26"/>
              <w:rPr>
                <w:rFonts w:hint="default"/>
                <w:color w:val="auto"/>
                <w:highlight w:val="yellow"/>
              </w:rPr>
            </w:pPr>
            <w:r>
              <w:rPr>
                <w:rFonts w:hint="default"/>
                <w:color w:val="auto"/>
                <w:highlight w:val="yellow"/>
              </w:rPr>
              <w:t>说明</w:t>
            </w:r>
          </w:p>
        </w:tc>
      </w:tr>
      <w:tr w14:paraId="692FEE4C">
        <w:tblPrEx>
          <w:tblCellMar>
            <w:top w:w="0" w:type="dxa"/>
            <w:left w:w="108" w:type="dxa"/>
            <w:bottom w:w="0" w:type="dxa"/>
            <w:right w:w="108" w:type="dxa"/>
          </w:tblCellMar>
        </w:tblPrEx>
        <w:trPr>
          <w:trHeight w:val="471" w:hRule="atLeast"/>
        </w:trPr>
        <w:tc>
          <w:tcPr>
            <w:tcW w:w="834" w:type="pct"/>
            <w:tcBorders>
              <w:top w:val="single" w:color="auto" w:sz="6" w:space="0"/>
              <w:left w:val="nil"/>
              <w:bottom w:val="nil"/>
              <w:right w:val="nil"/>
            </w:tcBorders>
            <w:shd w:val="clear" w:color="auto" w:fill="FFFFFF"/>
          </w:tcPr>
          <w:p w14:paraId="07C2827A">
            <w:pPr>
              <w:pStyle w:val="26"/>
              <w:rPr>
                <w:rFonts w:hint="default"/>
                <w:color w:val="auto"/>
                <w:highlight w:val="yellow"/>
              </w:rPr>
            </w:pPr>
            <w:r>
              <w:rPr>
                <w:rFonts w:hint="default"/>
                <w:color w:val="auto"/>
                <w:highlight w:val="yellow"/>
              </w:rPr>
              <w:t>Original</w:t>
            </w:r>
          </w:p>
        </w:tc>
        <w:tc>
          <w:tcPr>
            <w:tcW w:w="703" w:type="pct"/>
            <w:tcBorders>
              <w:top w:val="single" w:color="auto" w:sz="6" w:space="0"/>
              <w:left w:val="nil"/>
              <w:bottom w:val="nil"/>
              <w:right w:val="nil"/>
            </w:tcBorders>
            <w:shd w:val="clear" w:color="auto" w:fill="FFFFFF"/>
          </w:tcPr>
          <w:p w14:paraId="4C1443BB">
            <w:pPr>
              <w:pStyle w:val="26"/>
              <w:rPr>
                <w:rFonts w:hint="default"/>
                <w:color w:val="auto"/>
                <w:highlight w:val="yellow"/>
              </w:rPr>
            </w:pPr>
            <w:r>
              <w:rPr>
                <w:rFonts w:hint="default"/>
                <w:color w:val="auto"/>
                <w:highlight w:val="yellow"/>
              </w:rPr>
              <w:t>0.5833</w:t>
            </w:r>
          </w:p>
        </w:tc>
        <w:tc>
          <w:tcPr>
            <w:tcW w:w="1069" w:type="pct"/>
            <w:tcBorders>
              <w:top w:val="single" w:color="auto" w:sz="6" w:space="0"/>
              <w:left w:val="nil"/>
              <w:bottom w:val="nil"/>
              <w:right w:val="nil"/>
            </w:tcBorders>
            <w:shd w:val="clear" w:color="auto" w:fill="FFFFFF"/>
          </w:tcPr>
          <w:p w14:paraId="40774CBA">
            <w:pPr>
              <w:pStyle w:val="26"/>
              <w:rPr>
                <w:rFonts w:hint="default"/>
                <w:color w:val="auto"/>
                <w:highlight w:val="yellow"/>
              </w:rPr>
            </w:pPr>
            <w:r>
              <w:rPr>
                <w:rFonts w:hint="default"/>
                <w:color w:val="auto"/>
                <w:highlight w:val="yellow"/>
              </w:rPr>
              <w:t>0.5535</w:t>
            </w:r>
          </w:p>
        </w:tc>
        <w:tc>
          <w:tcPr>
            <w:tcW w:w="2392" w:type="pct"/>
            <w:tcBorders>
              <w:top w:val="single" w:color="auto" w:sz="6" w:space="0"/>
              <w:left w:val="nil"/>
              <w:bottom w:val="nil"/>
              <w:right w:val="nil"/>
            </w:tcBorders>
            <w:shd w:val="clear" w:color="auto" w:fill="FFFFFF"/>
          </w:tcPr>
          <w:p w14:paraId="3BC755B6">
            <w:pPr>
              <w:pStyle w:val="26"/>
              <w:rPr>
                <w:rFonts w:hint="default"/>
                <w:color w:val="auto"/>
                <w:highlight w:val="yellow"/>
              </w:rPr>
            </w:pPr>
            <w:r>
              <w:rPr>
                <w:rFonts w:hint="default"/>
                <w:color w:val="auto"/>
                <w:highlight w:val="yellow"/>
              </w:rPr>
              <w:t>数据原始标签</w:t>
            </w:r>
          </w:p>
        </w:tc>
      </w:tr>
      <w:tr w14:paraId="6F8FB044">
        <w:tblPrEx>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tcPr>
          <w:p w14:paraId="6ED5C8E0">
            <w:pPr>
              <w:pStyle w:val="26"/>
              <w:rPr>
                <w:rFonts w:hint="default"/>
                <w:color w:val="auto"/>
                <w:highlight w:val="yellow"/>
              </w:rPr>
            </w:pPr>
            <w:r>
              <w:rPr>
                <w:rFonts w:hint="default"/>
                <w:color w:val="auto"/>
                <w:highlight w:val="yellow"/>
              </w:rPr>
              <w:t>Keyword</w:t>
            </w:r>
          </w:p>
        </w:tc>
        <w:tc>
          <w:tcPr>
            <w:tcW w:w="703" w:type="pct"/>
            <w:tcBorders>
              <w:top w:val="nil"/>
              <w:left w:val="nil"/>
              <w:bottom w:val="nil"/>
              <w:right w:val="nil"/>
            </w:tcBorders>
            <w:shd w:val="clear" w:color="auto" w:fill="FFFFFF"/>
          </w:tcPr>
          <w:p w14:paraId="1A882F77">
            <w:pPr>
              <w:pStyle w:val="26"/>
              <w:rPr>
                <w:rFonts w:hint="default"/>
                <w:color w:val="auto"/>
                <w:highlight w:val="yellow"/>
              </w:rPr>
            </w:pPr>
            <w:r>
              <w:rPr>
                <w:rFonts w:hint="default"/>
                <w:color w:val="auto"/>
                <w:highlight w:val="yellow"/>
              </w:rPr>
              <w:t>0.3324</w:t>
            </w:r>
          </w:p>
        </w:tc>
        <w:tc>
          <w:tcPr>
            <w:tcW w:w="1069" w:type="pct"/>
            <w:tcBorders>
              <w:top w:val="nil"/>
              <w:left w:val="nil"/>
              <w:bottom w:val="nil"/>
              <w:right w:val="nil"/>
            </w:tcBorders>
            <w:shd w:val="clear" w:color="auto" w:fill="FFFFFF"/>
          </w:tcPr>
          <w:p w14:paraId="7591A5E5">
            <w:pPr>
              <w:pStyle w:val="26"/>
              <w:rPr>
                <w:rFonts w:hint="default"/>
                <w:color w:val="auto"/>
                <w:highlight w:val="yellow"/>
              </w:rPr>
            </w:pPr>
            <w:r>
              <w:rPr>
                <w:rFonts w:hint="default"/>
                <w:color w:val="auto"/>
                <w:highlight w:val="yellow"/>
              </w:rPr>
              <w:t>0.2428</w:t>
            </w:r>
          </w:p>
        </w:tc>
        <w:tc>
          <w:tcPr>
            <w:tcW w:w="2392" w:type="pct"/>
            <w:tcBorders>
              <w:top w:val="nil"/>
              <w:left w:val="nil"/>
              <w:bottom w:val="nil"/>
              <w:right w:val="nil"/>
            </w:tcBorders>
            <w:shd w:val="clear" w:color="auto" w:fill="FFFFFF"/>
          </w:tcPr>
          <w:p w14:paraId="6F962ED6">
            <w:pPr>
              <w:pStyle w:val="26"/>
              <w:rPr>
                <w:rFonts w:hint="default"/>
                <w:color w:val="auto"/>
                <w:highlight w:val="yellow"/>
              </w:rPr>
            </w:pPr>
            <w:r>
              <w:rPr>
                <w:rFonts w:hint="default"/>
                <w:color w:val="auto"/>
                <w:highlight w:val="yellow"/>
              </w:rPr>
              <w:t>BM25关键词匹配</w:t>
            </w:r>
          </w:p>
        </w:tc>
      </w:tr>
      <w:tr w14:paraId="2EC2C312">
        <w:tblPrEx>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tcPr>
          <w:p w14:paraId="766A0986">
            <w:pPr>
              <w:pStyle w:val="26"/>
              <w:rPr>
                <w:rFonts w:hint="default"/>
                <w:color w:val="auto"/>
                <w:highlight w:val="yellow"/>
              </w:rPr>
            </w:pPr>
            <w:r>
              <w:rPr>
                <w:rFonts w:hint="default"/>
                <w:color w:val="auto"/>
                <w:highlight w:val="yellow"/>
              </w:rPr>
              <w:t>KNN+BGE</w:t>
            </w:r>
          </w:p>
        </w:tc>
        <w:tc>
          <w:tcPr>
            <w:tcW w:w="703" w:type="pct"/>
            <w:tcBorders>
              <w:top w:val="nil"/>
              <w:left w:val="nil"/>
              <w:bottom w:val="nil"/>
              <w:right w:val="nil"/>
            </w:tcBorders>
            <w:shd w:val="clear" w:color="auto" w:fill="FFFFFF"/>
          </w:tcPr>
          <w:p w14:paraId="5CFC5E60">
            <w:pPr>
              <w:pStyle w:val="26"/>
              <w:rPr>
                <w:rFonts w:hint="default"/>
                <w:color w:val="auto"/>
                <w:highlight w:val="yellow"/>
              </w:rPr>
            </w:pPr>
            <w:r>
              <w:rPr>
                <w:rFonts w:hint="default"/>
                <w:color w:val="auto"/>
                <w:highlight w:val="yellow"/>
              </w:rPr>
              <w:t>0.6141</w:t>
            </w:r>
          </w:p>
        </w:tc>
        <w:tc>
          <w:tcPr>
            <w:tcW w:w="1069" w:type="pct"/>
            <w:tcBorders>
              <w:top w:val="nil"/>
              <w:left w:val="nil"/>
              <w:bottom w:val="nil"/>
              <w:right w:val="nil"/>
            </w:tcBorders>
            <w:shd w:val="clear" w:color="auto" w:fill="FFFFFF"/>
          </w:tcPr>
          <w:p w14:paraId="58BD7D16">
            <w:pPr>
              <w:pStyle w:val="26"/>
              <w:rPr>
                <w:rFonts w:hint="default"/>
                <w:color w:val="auto"/>
                <w:highlight w:val="yellow"/>
              </w:rPr>
            </w:pPr>
            <w:r>
              <w:rPr>
                <w:rFonts w:hint="default"/>
                <w:color w:val="auto"/>
                <w:highlight w:val="yellow"/>
              </w:rPr>
              <w:t>0.5454</w:t>
            </w:r>
          </w:p>
        </w:tc>
        <w:tc>
          <w:tcPr>
            <w:tcW w:w="2392" w:type="pct"/>
            <w:tcBorders>
              <w:top w:val="nil"/>
              <w:left w:val="nil"/>
              <w:bottom w:val="nil"/>
              <w:right w:val="nil"/>
            </w:tcBorders>
            <w:shd w:val="clear" w:color="auto" w:fill="FFFFFF"/>
          </w:tcPr>
          <w:p w14:paraId="7874AAA0">
            <w:pPr>
              <w:pStyle w:val="26"/>
              <w:rPr>
                <w:rFonts w:hint="default"/>
                <w:color w:val="auto"/>
                <w:highlight w:val="yellow"/>
              </w:rPr>
            </w:pPr>
            <w:r>
              <w:rPr>
                <w:rFonts w:hint="default"/>
                <w:color w:val="auto"/>
                <w:highlight w:val="yellow"/>
              </w:rPr>
              <w:t>基于目录嵌入的KNN加权投票</w:t>
            </w:r>
          </w:p>
        </w:tc>
      </w:tr>
      <w:tr w14:paraId="7B5627EE">
        <w:tblPrEx>
          <w:tblCellMar>
            <w:top w:w="0" w:type="dxa"/>
            <w:left w:w="108" w:type="dxa"/>
            <w:bottom w:w="0" w:type="dxa"/>
            <w:right w:w="108" w:type="dxa"/>
          </w:tblCellMar>
        </w:tblPrEx>
        <w:trPr>
          <w:trHeight w:val="471" w:hRule="atLeast"/>
        </w:trPr>
        <w:tc>
          <w:tcPr>
            <w:tcW w:w="834" w:type="pct"/>
            <w:tcBorders>
              <w:top w:val="nil"/>
              <w:left w:val="nil"/>
              <w:bottom w:val="single" w:color="auto" w:sz="8" w:space="0"/>
              <w:right w:val="nil"/>
            </w:tcBorders>
            <w:shd w:val="clear" w:color="auto" w:fill="FFFFFF"/>
          </w:tcPr>
          <w:p w14:paraId="00C268A1">
            <w:pPr>
              <w:pStyle w:val="26"/>
              <w:rPr>
                <w:rFonts w:hint="default"/>
                <w:color w:val="auto"/>
                <w:highlight w:val="yellow"/>
              </w:rPr>
            </w:pPr>
            <w:r>
              <w:rPr>
                <w:color w:val="auto"/>
                <w:highlight w:val="yellow"/>
              </w:rPr>
              <w:t>本文工作流</w:t>
            </w:r>
          </w:p>
        </w:tc>
        <w:tc>
          <w:tcPr>
            <w:tcW w:w="703" w:type="pct"/>
            <w:tcBorders>
              <w:top w:val="nil"/>
              <w:left w:val="nil"/>
              <w:bottom w:val="single" w:color="auto" w:sz="8" w:space="0"/>
              <w:right w:val="nil"/>
            </w:tcBorders>
            <w:shd w:val="clear" w:color="auto" w:fill="FFFFFF"/>
          </w:tcPr>
          <w:p w14:paraId="3D3488DC">
            <w:pPr>
              <w:pStyle w:val="26"/>
              <w:rPr>
                <w:rFonts w:hint="default"/>
                <w:b/>
                <w:bCs/>
                <w:color w:val="auto"/>
                <w:highlight w:val="yellow"/>
              </w:rPr>
            </w:pPr>
            <w:r>
              <w:rPr>
                <w:rFonts w:hint="default"/>
                <w:b/>
                <w:bCs/>
                <w:color w:val="auto"/>
                <w:highlight w:val="yellow"/>
              </w:rPr>
              <w:t>0.9321</w:t>
            </w:r>
          </w:p>
        </w:tc>
        <w:tc>
          <w:tcPr>
            <w:tcW w:w="1069" w:type="pct"/>
            <w:tcBorders>
              <w:top w:val="nil"/>
              <w:left w:val="nil"/>
              <w:bottom w:val="single" w:color="auto" w:sz="8" w:space="0"/>
              <w:right w:val="nil"/>
            </w:tcBorders>
            <w:shd w:val="clear" w:color="auto" w:fill="FFFFFF"/>
          </w:tcPr>
          <w:p w14:paraId="23732562">
            <w:pPr>
              <w:pStyle w:val="26"/>
              <w:rPr>
                <w:rFonts w:hint="default"/>
                <w:b/>
                <w:bCs/>
                <w:color w:val="auto"/>
                <w:highlight w:val="yellow"/>
              </w:rPr>
            </w:pPr>
            <w:r>
              <w:rPr>
                <w:rFonts w:hint="default"/>
                <w:b/>
                <w:bCs/>
                <w:color w:val="auto"/>
                <w:highlight w:val="yellow"/>
              </w:rPr>
              <w:t>0.922</w:t>
            </w:r>
            <w:r>
              <w:rPr>
                <w:b/>
                <w:bCs/>
                <w:color w:val="auto"/>
                <w:highlight w:val="yellow"/>
              </w:rPr>
              <w:t>0</w:t>
            </w:r>
          </w:p>
        </w:tc>
        <w:tc>
          <w:tcPr>
            <w:tcW w:w="2392" w:type="pct"/>
            <w:tcBorders>
              <w:top w:val="nil"/>
              <w:left w:val="nil"/>
              <w:bottom w:val="single" w:color="auto" w:sz="8" w:space="0"/>
              <w:right w:val="nil"/>
            </w:tcBorders>
            <w:shd w:val="clear" w:color="auto" w:fill="FFFFFF"/>
          </w:tcPr>
          <w:p w14:paraId="136DEE28">
            <w:pPr>
              <w:pStyle w:val="26"/>
              <w:rPr>
                <w:rFonts w:hint="default"/>
                <w:color w:val="auto"/>
                <w:highlight w:val="yellow"/>
              </w:rPr>
            </w:pPr>
            <w:r>
              <w:rPr>
                <w:rFonts w:hint="default"/>
                <w:color w:val="auto"/>
                <w:highlight w:val="yellow"/>
              </w:rPr>
              <w:t>分类规则+分类目录RAG+纠错分支</w:t>
            </w:r>
          </w:p>
        </w:tc>
      </w:tr>
    </w:tbl>
    <w:p w14:paraId="3346C687">
      <w:pPr>
        <w:ind w:firstLine="480"/>
        <w:rPr>
          <w:rFonts w:hint="eastAsia"/>
          <w:color w:val="auto"/>
          <w:highlight w:val="yellow"/>
        </w:rPr>
      </w:pPr>
      <w:r>
        <w:rPr>
          <w:rFonts w:hint="eastAsia"/>
          <w:color w:val="auto"/>
          <w:highlight w:val="yellow"/>
        </w:rPr>
        <w:t>表3-9结果显示，原始标签的Accuracy为0.5833，说明原始标签不能直接作为高质量训练真值。Keyword方法受限于词面匹配，Macro F1-score仅为0.2428；KNN+BGE引入语义嵌入后Accuracy提升到0.6141，但仍难以处理功能边界复杂的专利摘要。完整结构的Accuracy达到0.9321，Macro F1-score达到0.9220，明显高于原始标签、词法匹配和语义向量匹配方法。这说明，医疗器械专利一级产品类别标注不能只依赖词面重合或向量近邻，还需要引入分类规则、目录知识和针对易混类别的纠错判断。</w:t>
      </w:r>
    </w:p>
    <w:p w14:paraId="330D4523">
      <w:pPr>
        <w:pStyle w:val="25"/>
        <w:rPr>
          <w:rFonts w:hint="default"/>
          <w:color w:val="auto"/>
          <w:highlight w:val="yellow"/>
        </w:rPr>
      </w:pPr>
      <w:r>
        <w:rPr>
          <w:color w:val="auto"/>
          <w:highlight w:val="yellow"/>
        </w:rPr>
        <w:t>表3-10  自动标注工作流的领域知识消融结果</w:t>
      </w:r>
    </w:p>
    <w:tbl>
      <w:tblPr>
        <w:tblStyle w:val="15"/>
        <w:tblW w:w="5000" w:type="pct"/>
        <w:tblInd w:w="0" w:type="dxa"/>
        <w:tblLayout w:type="autofit"/>
        <w:tblCellMar>
          <w:top w:w="0" w:type="dxa"/>
          <w:left w:w="108" w:type="dxa"/>
          <w:bottom w:w="0" w:type="dxa"/>
          <w:right w:w="108" w:type="dxa"/>
        </w:tblCellMar>
      </w:tblPr>
      <w:tblGrid>
        <w:gridCol w:w="1861"/>
        <w:gridCol w:w="1068"/>
        <w:gridCol w:w="1115"/>
        <w:gridCol w:w="880"/>
        <w:gridCol w:w="1224"/>
        <w:gridCol w:w="1182"/>
        <w:gridCol w:w="1192"/>
      </w:tblGrid>
      <w:tr w14:paraId="0EA65756">
        <w:tblPrEx>
          <w:tblCellMar>
            <w:top w:w="0" w:type="dxa"/>
            <w:left w:w="108" w:type="dxa"/>
            <w:bottom w:w="0" w:type="dxa"/>
            <w:right w:w="108" w:type="dxa"/>
          </w:tblCellMar>
        </w:tblPrEx>
        <w:trPr>
          <w:trHeight w:val="471" w:hRule="atLeast"/>
        </w:trPr>
        <w:tc>
          <w:tcPr>
            <w:tcW w:w="1091" w:type="pct"/>
            <w:tcBorders>
              <w:top w:val="single" w:color="auto" w:sz="8" w:space="0"/>
              <w:left w:val="nil"/>
              <w:bottom w:val="single" w:color="auto" w:sz="6" w:space="0"/>
              <w:right w:val="nil"/>
            </w:tcBorders>
            <w:shd w:val="clear" w:color="auto" w:fill="FFFFFF"/>
            <w:vAlign w:val="center"/>
          </w:tcPr>
          <w:p w14:paraId="2D3A76C5">
            <w:pPr>
              <w:pStyle w:val="26"/>
              <w:rPr>
                <w:rFonts w:hint="default"/>
                <w:color w:val="auto"/>
                <w:highlight w:val="yellow"/>
              </w:rPr>
            </w:pPr>
            <w:r>
              <w:rPr>
                <w:rFonts w:hint="default"/>
                <w:color w:val="auto"/>
                <w:highlight w:val="yellow"/>
              </w:rPr>
              <w:t>方法</w:t>
            </w:r>
          </w:p>
        </w:tc>
        <w:tc>
          <w:tcPr>
            <w:tcW w:w="626" w:type="pct"/>
            <w:tcBorders>
              <w:top w:val="single" w:color="auto" w:sz="8" w:space="0"/>
              <w:left w:val="nil"/>
              <w:bottom w:val="single" w:color="auto" w:sz="6" w:space="0"/>
              <w:right w:val="nil"/>
            </w:tcBorders>
            <w:shd w:val="clear" w:color="auto" w:fill="FFFFFF"/>
            <w:vAlign w:val="center"/>
          </w:tcPr>
          <w:p w14:paraId="712F5D89">
            <w:pPr>
              <w:pStyle w:val="26"/>
              <w:rPr>
                <w:rFonts w:hint="default"/>
                <w:color w:val="auto"/>
                <w:highlight w:val="yellow"/>
              </w:rPr>
            </w:pPr>
            <w:r>
              <w:rPr>
                <w:rFonts w:hint="default"/>
                <w:color w:val="auto"/>
                <w:highlight w:val="yellow"/>
              </w:rPr>
              <w:t>分类规则</w:t>
            </w:r>
          </w:p>
        </w:tc>
        <w:tc>
          <w:tcPr>
            <w:tcW w:w="654" w:type="pct"/>
            <w:tcBorders>
              <w:top w:val="single" w:color="auto" w:sz="8" w:space="0"/>
              <w:left w:val="nil"/>
              <w:bottom w:val="single" w:color="auto" w:sz="6" w:space="0"/>
              <w:right w:val="nil"/>
            </w:tcBorders>
            <w:shd w:val="clear" w:color="auto" w:fill="FFFFFF"/>
            <w:vAlign w:val="center"/>
          </w:tcPr>
          <w:p w14:paraId="64751BE0">
            <w:pPr>
              <w:pStyle w:val="26"/>
              <w:rPr>
                <w:rFonts w:hint="default"/>
                <w:color w:val="auto"/>
                <w:highlight w:val="yellow"/>
              </w:rPr>
            </w:pPr>
            <w:r>
              <w:rPr>
                <w:rFonts w:hint="default"/>
                <w:color w:val="auto"/>
                <w:highlight w:val="yellow"/>
              </w:rPr>
              <w:t>分类目录</w:t>
            </w:r>
          </w:p>
        </w:tc>
        <w:tc>
          <w:tcPr>
            <w:tcW w:w="516" w:type="pct"/>
            <w:tcBorders>
              <w:top w:val="single" w:color="auto" w:sz="8" w:space="0"/>
              <w:left w:val="nil"/>
              <w:bottom w:val="single" w:color="auto" w:sz="6" w:space="0"/>
              <w:right w:val="nil"/>
            </w:tcBorders>
            <w:shd w:val="clear" w:color="auto" w:fill="FFFFFF"/>
            <w:vAlign w:val="center"/>
          </w:tcPr>
          <w:p w14:paraId="433B58B8">
            <w:pPr>
              <w:pStyle w:val="26"/>
              <w:rPr>
                <w:rFonts w:hint="default"/>
                <w:color w:val="auto"/>
                <w:highlight w:val="yellow"/>
              </w:rPr>
            </w:pPr>
            <w:r>
              <w:rPr>
                <w:rFonts w:hint="default"/>
                <w:color w:val="auto"/>
                <w:highlight w:val="yellow"/>
              </w:rPr>
              <w:t>纠错</w:t>
            </w:r>
          </w:p>
        </w:tc>
        <w:tc>
          <w:tcPr>
            <w:tcW w:w="718" w:type="pct"/>
            <w:tcBorders>
              <w:top w:val="single" w:color="auto" w:sz="8" w:space="0"/>
              <w:left w:val="nil"/>
              <w:bottom w:val="single" w:color="auto" w:sz="6" w:space="0"/>
              <w:right w:val="nil"/>
            </w:tcBorders>
            <w:shd w:val="clear" w:color="auto" w:fill="FFFFFF"/>
            <w:vAlign w:val="center"/>
          </w:tcPr>
          <w:p w14:paraId="0C70424D">
            <w:pPr>
              <w:pStyle w:val="26"/>
              <w:rPr>
                <w:rFonts w:hint="default"/>
                <w:color w:val="auto"/>
                <w:highlight w:val="yellow"/>
              </w:rPr>
            </w:pPr>
            <w:r>
              <w:rPr>
                <w:rFonts w:hint="default"/>
                <w:color w:val="auto"/>
                <w:highlight w:val="yellow"/>
              </w:rPr>
              <w:t>Accuracy</w:t>
            </w:r>
          </w:p>
        </w:tc>
        <w:tc>
          <w:tcPr>
            <w:tcW w:w="693" w:type="pct"/>
            <w:tcBorders>
              <w:top w:val="single" w:color="auto" w:sz="8" w:space="0"/>
              <w:left w:val="nil"/>
              <w:bottom w:val="single" w:color="auto" w:sz="6" w:space="0"/>
              <w:right w:val="nil"/>
            </w:tcBorders>
            <w:shd w:val="clear" w:color="auto" w:fill="FFFFFF"/>
            <w:vAlign w:val="center"/>
          </w:tcPr>
          <w:p w14:paraId="4A9F9964">
            <w:pPr>
              <w:pStyle w:val="26"/>
              <w:rPr>
                <w:rFonts w:hint="default"/>
                <w:color w:val="auto"/>
                <w:highlight w:val="yellow"/>
              </w:rPr>
            </w:pPr>
            <w:r>
              <w:rPr>
                <w:rFonts w:hint="default"/>
                <w:color w:val="auto"/>
                <w:highlight w:val="yellow"/>
              </w:rPr>
              <w:t>Macro F1-score</w:t>
            </w:r>
          </w:p>
        </w:tc>
        <w:tc>
          <w:tcPr>
            <w:tcW w:w="699" w:type="pct"/>
            <w:tcBorders>
              <w:top w:val="single" w:color="auto" w:sz="8" w:space="0"/>
              <w:left w:val="nil"/>
              <w:bottom w:val="single" w:color="auto" w:sz="6" w:space="0"/>
              <w:right w:val="nil"/>
            </w:tcBorders>
            <w:shd w:val="clear" w:color="auto" w:fill="FFFFFF"/>
            <w:vAlign w:val="center"/>
          </w:tcPr>
          <w:p w14:paraId="51B68FC7">
            <w:pPr>
              <w:pStyle w:val="26"/>
              <w:rPr>
                <w:rFonts w:hint="default"/>
                <w:color w:val="auto"/>
                <w:highlight w:val="yellow"/>
              </w:rPr>
            </w:pPr>
            <w:r>
              <w:rPr>
                <w:rFonts w:hint="default"/>
                <w:color w:val="auto"/>
                <w:highlight w:val="yellow"/>
              </w:rPr>
              <w:t>Fleiss' Kappa</w:t>
            </w:r>
          </w:p>
        </w:tc>
      </w:tr>
      <w:tr w14:paraId="30C420B5">
        <w:tblPrEx>
          <w:tblCellMar>
            <w:top w:w="0" w:type="dxa"/>
            <w:left w:w="108" w:type="dxa"/>
            <w:bottom w:w="0" w:type="dxa"/>
            <w:right w:w="108" w:type="dxa"/>
          </w:tblCellMar>
        </w:tblPrEx>
        <w:trPr>
          <w:trHeight w:val="471" w:hRule="atLeast"/>
        </w:trPr>
        <w:tc>
          <w:tcPr>
            <w:tcW w:w="1091" w:type="pct"/>
            <w:tcBorders>
              <w:top w:val="single" w:color="auto" w:sz="6" w:space="0"/>
              <w:left w:val="nil"/>
              <w:bottom w:val="nil"/>
              <w:right w:val="nil"/>
            </w:tcBorders>
            <w:shd w:val="clear" w:color="auto" w:fill="FFFFFF"/>
          </w:tcPr>
          <w:p w14:paraId="303D73FA">
            <w:pPr>
              <w:pStyle w:val="26"/>
              <w:rPr>
                <w:rFonts w:hint="default"/>
                <w:color w:val="auto"/>
                <w:highlight w:val="yellow"/>
              </w:rPr>
            </w:pPr>
            <w:r>
              <w:rPr>
                <w:rFonts w:hint="default"/>
                <w:color w:val="auto"/>
                <w:highlight w:val="yellow"/>
              </w:rPr>
              <w:t>LLM-Zero-Shot</w:t>
            </w:r>
          </w:p>
        </w:tc>
        <w:tc>
          <w:tcPr>
            <w:tcW w:w="626" w:type="pct"/>
            <w:tcBorders>
              <w:top w:val="single" w:color="auto" w:sz="6" w:space="0"/>
              <w:left w:val="nil"/>
              <w:bottom w:val="nil"/>
              <w:right w:val="nil"/>
            </w:tcBorders>
            <w:shd w:val="clear" w:color="auto" w:fill="FFFFFF"/>
          </w:tcPr>
          <w:p w14:paraId="3188A9BA">
            <w:pPr>
              <w:pStyle w:val="26"/>
              <w:rPr>
                <w:rFonts w:hint="default"/>
                <w:color w:val="auto"/>
                <w:highlight w:val="yellow"/>
              </w:rPr>
            </w:pPr>
            <w:r>
              <w:rPr>
                <w:rFonts w:hint="default"/>
                <w:color w:val="auto"/>
                <w:highlight w:val="yellow"/>
              </w:rPr>
              <w:t>否</w:t>
            </w:r>
          </w:p>
        </w:tc>
        <w:tc>
          <w:tcPr>
            <w:tcW w:w="654" w:type="pct"/>
            <w:tcBorders>
              <w:top w:val="single" w:color="auto" w:sz="6" w:space="0"/>
              <w:left w:val="nil"/>
              <w:bottom w:val="nil"/>
              <w:right w:val="nil"/>
            </w:tcBorders>
            <w:shd w:val="clear" w:color="auto" w:fill="FFFFFF"/>
          </w:tcPr>
          <w:p w14:paraId="0772644A">
            <w:pPr>
              <w:pStyle w:val="26"/>
              <w:rPr>
                <w:rFonts w:hint="default"/>
                <w:color w:val="auto"/>
                <w:highlight w:val="yellow"/>
              </w:rPr>
            </w:pPr>
            <w:r>
              <w:rPr>
                <w:rFonts w:hint="default"/>
                <w:color w:val="auto"/>
                <w:highlight w:val="yellow"/>
              </w:rPr>
              <w:t>否</w:t>
            </w:r>
          </w:p>
        </w:tc>
        <w:tc>
          <w:tcPr>
            <w:tcW w:w="516" w:type="pct"/>
            <w:tcBorders>
              <w:top w:val="single" w:color="auto" w:sz="6" w:space="0"/>
              <w:left w:val="nil"/>
              <w:bottom w:val="nil"/>
              <w:right w:val="nil"/>
            </w:tcBorders>
            <w:shd w:val="clear" w:color="auto" w:fill="FFFFFF"/>
          </w:tcPr>
          <w:p w14:paraId="6F9E83FC">
            <w:pPr>
              <w:pStyle w:val="26"/>
              <w:rPr>
                <w:rFonts w:hint="default"/>
                <w:color w:val="auto"/>
                <w:highlight w:val="yellow"/>
              </w:rPr>
            </w:pPr>
            <w:r>
              <w:rPr>
                <w:rFonts w:hint="default"/>
                <w:color w:val="auto"/>
                <w:highlight w:val="yellow"/>
              </w:rPr>
              <w:t>否</w:t>
            </w:r>
          </w:p>
        </w:tc>
        <w:tc>
          <w:tcPr>
            <w:tcW w:w="718" w:type="pct"/>
            <w:tcBorders>
              <w:top w:val="single" w:color="auto" w:sz="6" w:space="0"/>
              <w:left w:val="nil"/>
              <w:bottom w:val="nil"/>
              <w:right w:val="nil"/>
            </w:tcBorders>
            <w:shd w:val="clear" w:color="auto" w:fill="FFFFFF"/>
          </w:tcPr>
          <w:p w14:paraId="35081009">
            <w:pPr>
              <w:pStyle w:val="26"/>
              <w:rPr>
                <w:rFonts w:hint="default"/>
                <w:color w:val="auto"/>
                <w:highlight w:val="yellow"/>
              </w:rPr>
            </w:pPr>
            <w:r>
              <w:rPr>
                <w:rFonts w:hint="default"/>
                <w:color w:val="auto"/>
                <w:highlight w:val="yellow"/>
              </w:rPr>
              <w:t>0.5326</w:t>
            </w:r>
          </w:p>
        </w:tc>
        <w:tc>
          <w:tcPr>
            <w:tcW w:w="693" w:type="pct"/>
            <w:tcBorders>
              <w:top w:val="single" w:color="auto" w:sz="6" w:space="0"/>
              <w:left w:val="nil"/>
              <w:bottom w:val="nil"/>
              <w:right w:val="nil"/>
            </w:tcBorders>
            <w:shd w:val="clear" w:color="auto" w:fill="FFFFFF"/>
          </w:tcPr>
          <w:p w14:paraId="5A81D773">
            <w:pPr>
              <w:pStyle w:val="26"/>
              <w:rPr>
                <w:rFonts w:hint="default"/>
                <w:color w:val="auto"/>
                <w:highlight w:val="yellow"/>
              </w:rPr>
            </w:pPr>
            <w:r>
              <w:rPr>
                <w:rFonts w:hint="default"/>
                <w:color w:val="auto"/>
                <w:highlight w:val="yellow"/>
              </w:rPr>
              <w:t>0.4941</w:t>
            </w:r>
          </w:p>
        </w:tc>
        <w:tc>
          <w:tcPr>
            <w:tcW w:w="699" w:type="pct"/>
            <w:tcBorders>
              <w:top w:val="single" w:color="auto" w:sz="6" w:space="0"/>
              <w:left w:val="nil"/>
              <w:bottom w:val="nil"/>
              <w:right w:val="nil"/>
            </w:tcBorders>
            <w:shd w:val="clear" w:color="auto" w:fill="FFFFFF"/>
          </w:tcPr>
          <w:p w14:paraId="11FD9908">
            <w:pPr>
              <w:pStyle w:val="26"/>
              <w:rPr>
                <w:rFonts w:hint="default"/>
                <w:color w:val="auto"/>
                <w:highlight w:val="yellow"/>
              </w:rPr>
            </w:pPr>
            <w:r>
              <w:rPr>
                <w:rFonts w:hint="default"/>
                <w:color w:val="auto"/>
                <w:highlight w:val="yellow"/>
              </w:rPr>
              <w:t>0.9943</w:t>
            </w:r>
          </w:p>
        </w:tc>
      </w:tr>
      <w:tr w14:paraId="415AB49A">
        <w:tblPrEx>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tcPr>
          <w:p w14:paraId="372024CA">
            <w:pPr>
              <w:pStyle w:val="26"/>
              <w:rPr>
                <w:rFonts w:hint="default"/>
                <w:color w:val="auto"/>
                <w:highlight w:val="yellow"/>
              </w:rPr>
            </w:pPr>
            <w:r>
              <w:rPr>
                <w:rFonts w:hint="default"/>
                <w:color w:val="auto"/>
                <w:highlight w:val="yellow"/>
              </w:rPr>
              <w:t>LLM-Prompt</w:t>
            </w:r>
          </w:p>
        </w:tc>
        <w:tc>
          <w:tcPr>
            <w:tcW w:w="626" w:type="pct"/>
            <w:tcBorders>
              <w:top w:val="nil"/>
              <w:left w:val="nil"/>
              <w:bottom w:val="nil"/>
              <w:right w:val="nil"/>
            </w:tcBorders>
            <w:shd w:val="clear" w:color="auto" w:fill="FFFFFF"/>
          </w:tcPr>
          <w:p w14:paraId="55ED07AF">
            <w:pPr>
              <w:pStyle w:val="26"/>
              <w:rPr>
                <w:rFonts w:hint="default"/>
                <w:color w:val="auto"/>
                <w:highlight w:val="yellow"/>
              </w:rPr>
            </w:pPr>
            <w:r>
              <w:rPr>
                <w:rFonts w:hint="default"/>
                <w:color w:val="auto"/>
                <w:highlight w:val="yellow"/>
              </w:rPr>
              <w:t>是</w:t>
            </w:r>
          </w:p>
        </w:tc>
        <w:tc>
          <w:tcPr>
            <w:tcW w:w="654" w:type="pct"/>
            <w:tcBorders>
              <w:top w:val="nil"/>
              <w:left w:val="nil"/>
              <w:bottom w:val="nil"/>
              <w:right w:val="nil"/>
            </w:tcBorders>
            <w:shd w:val="clear" w:color="auto" w:fill="FFFFFF"/>
          </w:tcPr>
          <w:p w14:paraId="6A0DAABA">
            <w:pPr>
              <w:pStyle w:val="26"/>
              <w:rPr>
                <w:rFonts w:hint="default"/>
                <w:color w:val="auto"/>
                <w:highlight w:val="yellow"/>
              </w:rPr>
            </w:pPr>
            <w:r>
              <w:rPr>
                <w:rFonts w:hint="default"/>
                <w:color w:val="auto"/>
                <w:highlight w:val="yellow"/>
              </w:rPr>
              <w:t>否</w:t>
            </w:r>
          </w:p>
        </w:tc>
        <w:tc>
          <w:tcPr>
            <w:tcW w:w="516" w:type="pct"/>
            <w:tcBorders>
              <w:top w:val="nil"/>
              <w:left w:val="nil"/>
              <w:bottom w:val="nil"/>
              <w:right w:val="nil"/>
            </w:tcBorders>
            <w:shd w:val="clear" w:color="auto" w:fill="FFFFFF"/>
          </w:tcPr>
          <w:p w14:paraId="53589967">
            <w:pPr>
              <w:pStyle w:val="26"/>
              <w:rPr>
                <w:rFonts w:hint="default"/>
                <w:color w:val="auto"/>
                <w:highlight w:val="yellow"/>
              </w:rPr>
            </w:pPr>
            <w:r>
              <w:rPr>
                <w:rFonts w:hint="default"/>
                <w:color w:val="auto"/>
                <w:highlight w:val="yellow"/>
              </w:rPr>
              <w:t>否</w:t>
            </w:r>
          </w:p>
        </w:tc>
        <w:tc>
          <w:tcPr>
            <w:tcW w:w="718" w:type="pct"/>
            <w:tcBorders>
              <w:top w:val="nil"/>
              <w:left w:val="nil"/>
              <w:bottom w:val="nil"/>
              <w:right w:val="nil"/>
            </w:tcBorders>
            <w:shd w:val="clear" w:color="auto" w:fill="FFFFFF"/>
          </w:tcPr>
          <w:p w14:paraId="4FB8540C">
            <w:pPr>
              <w:pStyle w:val="26"/>
              <w:rPr>
                <w:rFonts w:hint="default"/>
                <w:color w:val="auto"/>
                <w:highlight w:val="yellow"/>
              </w:rPr>
            </w:pPr>
            <w:r>
              <w:rPr>
                <w:rFonts w:hint="default"/>
                <w:color w:val="auto"/>
                <w:highlight w:val="yellow"/>
              </w:rPr>
              <w:t>0.7032</w:t>
            </w:r>
          </w:p>
        </w:tc>
        <w:tc>
          <w:tcPr>
            <w:tcW w:w="693" w:type="pct"/>
            <w:tcBorders>
              <w:top w:val="nil"/>
              <w:left w:val="nil"/>
              <w:bottom w:val="nil"/>
              <w:right w:val="nil"/>
            </w:tcBorders>
            <w:shd w:val="clear" w:color="auto" w:fill="FFFFFF"/>
          </w:tcPr>
          <w:p w14:paraId="0B890405">
            <w:pPr>
              <w:pStyle w:val="26"/>
              <w:rPr>
                <w:rFonts w:hint="default"/>
                <w:color w:val="auto"/>
                <w:highlight w:val="yellow"/>
              </w:rPr>
            </w:pPr>
            <w:r>
              <w:rPr>
                <w:rFonts w:hint="default"/>
                <w:color w:val="auto"/>
                <w:highlight w:val="yellow"/>
              </w:rPr>
              <w:t>0.6127</w:t>
            </w:r>
          </w:p>
        </w:tc>
        <w:tc>
          <w:tcPr>
            <w:tcW w:w="699" w:type="pct"/>
            <w:tcBorders>
              <w:top w:val="nil"/>
              <w:left w:val="nil"/>
              <w:bottom w:val="nil"/>
              <w:right w:val="nil"/>
            </w:tcBorders>
            <w:shd w:val="clear" w:color="auto" w:fill="FFFFFF"/>
          </w:tcPr>
          <w:p w14:paraId="56A20CC1">
            <w:pPr>
              <w:pStyle w:val="26"/>
              <w:rPr>
                <w:rFonts w:hint="default"/>
                <w:color w:val="auto"/>
                <w:highlight w:val="yellow"/>
              </w:rPr>
            </w:pPr>
            <w:r>
              <w:rPr>
                <w:rFonts w:hint="default"/>
                <w:color w:val="auto"/>
                <w:highlight w:val="yellow"/>
              </w:rPr>
              <w:t>0.9958</w:t>
            </w:r>
          </w:p>
        </w:tc>
      </w:tr>
      <w:tr w14:paraId="65B69A7C">
        <w:tblPrEx>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tcPr>
          <w:p w14:paraId="18868F47">
            <w:pPr>
              <w:pStyle w:val="26"/>
              <w:rPr>
                <w:rFonts w:hint="default"/>
                <w:color w:val="auto"/>
                <w:highlight w:val="yellow"/>
              </w:rPr>
            </w:pPr>
            <w:r>
              <w:rPr>
                <w:rFonts w:hint="default"/>
                <w:color w:val="auto"/>
                <w:highlight w:val="yellow"/>
              </w:rPr>
              <w:t>LLM-Prompt-RAG</w:t>
            </w:r>
          </w:p>
        </w:tc>
        <w:tc>
          <w:tcPr>
            <w:tcW w:w="626" w:type="pct"/>
            <w:tcBorders>
              <w:top w:val="nil"/>
              <w:left w:val="nil"/>
              <w:bottom w:val="nil"/>
              <w:right w:val="nil"/>
            </w:tcBorders>
            <w:shd w:val="clear" w:color="auto" w:fill="FFFFFF"/>
          </w:tcPr>
          <w:p w14:paraId="77A72409">
            <w:pPr>
              <w:pStyle w:val="26"/>
              <w:rPr>
                <w:rFonts w:hint="default"/>
                <w:color w:val="auto"/>
                <w:highlight w:val="yellow"/>
              </w:rPr>
            </w:pPr>
            <w:r>
              <w:rPr>
                <w:rFonts w:hint="default"/>
                <w:color w:val="auto"/>
                <w:highlight w:val="yellow"/>
              </w:rPr>
              <w:t>是</w:t>
            </w:r>
          </w:p>
        </w:tc>
        <w:tc>
          <w:tcPr>
            <w:tcW w:w="654" w:type="pct"/>
            <w:tcBorders>
              <w:top w:val="nil"/>
              <w:left w:val="nil"/>
              <w:bottom w:val="nil"/>
              <w:right w:val="nil"/>
            </w:tcBorders>
            <w:shd w:val="clear" w:color="auto" w:fill="FFFFFF"/>
          </w:tcPr>
          <w:p w14:paraId="19D82640">
            <w:pPr>
              <w:pStyle w:val="26"/>
              <w:rPr>
                <w:rFonts w:hint="default"/>
                <w:color w:val="auto"/>
                <w:highlight w:val="yellow"/>
              </w:rPr>
            </w:pPr>
            <w:r>
              <w:rPr>
                <w:rFonts w:hint="default"/>
                <w:color w:val="auto"/>
                <w:highlight w:val="yellow"/>
              </w:rPr>
              <w:t>是</w:t>
            </w:r>
          </w:p>
        </w:tc>
        <w:tc>
          <w:tcPr>
            <w:tcW w:w="516" w:type="pct"/>
            <w:tcBorders>
              <w:top w:val="nil"/>
              <w:left w:val="nil"/>
              <w:bottom w:val="nil"/>
              <w:right w:val="nil"/>
            </w:tcBorders>
            <w:shd w:val="clear" w:color="auto" w:fill="FFFFFF"/>
          </w:tcPr>
          <w:p w14:paraId="1E0A7ED0">
            <w:pPr>
              <w:pStyle w:val="26"/>
              <w:rPr>
                <w:rFonts w:hint="default"/>
                <w:color w:val="auto"/>
                <w:highlight w:val="yellow"/>
              </w:rPr>
            </w:pPr>
            <w:r>
              <w:rPr>
                <w:rFonts w:hint="default"/>
                <w:color w:val="auto"/>
                <w:highlight w:val="yellow"/>
              </w:rPr>
              <w:t>否</w:t>
            </w:r>
          </w:p>
        </w:tc>
        <w:tc>
          <w:tcPr>
            <w:tcW w:w="718" w:type="pct"/>
            <w:tcBorders>
              <w:top w:val="nil"/>
              <w:left w:val="nil"/>
              <w:bottom w:val="nil"/>
              <w:right w:val="nil"/>
            </w:tcBorders>
            <w:shd w:val="clear" w:color="auto" w:fill="FFFFFF"/>
          </w:tcPr>
          <w:p w14:paraId="366CF55D">
            <w:pPr>
              <w:pStyle w:val="26"/>
              <w:rPr>
                <w:rFonts w:hint="default"/>
                <w:color w:val="auto"/>
                <w:highlight w:val="yellow"/>
              </w:rPr>
            </w:pPr>
            <w:r>
              <w:rPr>
                <w:rFonts w:hint="default"/>
                <w:color w:val="auto"/>
                <w:highlight w:val="yellow"/>
              </w:rPr>
              <w:t>0.8958</w:t>
            </w:r>
          </w:p>
        </w:tc>
        <w:tc>
          <w:tcPr>
            <w:tcW w:w="693" w:type="pct"/>
            <w:tcBorders>
              <w:top w:val="nil"/>
              <w:left w:val="nil"/>
              <w:bottom w:val="nil"/>
              <w:right w:val="nil"/>
            </w:tcBorders>
            <w:shd w:val="clear" w:color="auto" w:fill="FFFFFF"/>
          </w:tcPr>
          <w:p w14:paraId="3EAB3319">
            <w:pPr>
              <w:pStyle w:val="26"/>
              <w:rPr>
                <w:rFonts w:hint="default"/>
                <w:color w:val="auto"/>
                <w:highlight w:val="yellow"/>
              </w:rPr>
            </w:pPr>
            <w:r>
              <w:rPr>
                <w:rFonts w:hint="default"/>
                <w:color w:val="auto"/>
                <w:highlight w:val="yellow"/>
              </w:rPr>
              <w:t>0.8801</w:t>
            </w:r>
          </w:p>
        </w:tc>
        <w:tc>
          <w:tcPr>
            <w:tcW w:w="699" w:type="pct"/>
            <w:tcBorders>
              <w:top w:val="nil"/>
              <w:left w:val="nil"/>
              <w:bottom w:val="nil"/>
              <w:right w:val="nil"/>
            </w:tcBorders>
            <w:shd w:val="clear" w:color="auto" w:fill="FFFFFF"/>
          </w:tcPr>
          <w:p w14:paraId="5A784F63">
            <w:pPr>
              <w:pStyle w:val="26"/>
              <w:rPr>
                <w:rFonts w:hint="default"/>
                <w:color w:val="auto"/>
                <w:highlight w:val="yellow"/>
              </w:rPr>
            </w:pPr>
            <w:r>
              <w:rPr>
                <w:rFonts w:hint="default"/>
                <w:color w:val="auto"/>
                <w:highlight w:val="yellow"/>
              </w:rPr>
              <w:t>0.9972</w:t>
            </w:r>
          </w:p>
        </w:tc>
      </w:tr>
      <w:tr w14:paraId="153F04B3">
        <w:tblPrEx>
          <w:tblCellMar>
            <w:top w:w="0" w:type="dxa"/>
            <w:left w:w="108" w:type="dxa"/>
            <w:bottom w:w="0" w:type="dxa"/>
            <w:right w:w="108" w:type="dxa"/>
          </w:tblCellMar>
        </w:tblPrEx>
        <w:trPr>
          <w:trHeight w:val="471" w:hRule="atLeast"/>
        </w:trPr>
        <w:tc>
          <w:tcPr>
            <w:tcW w:w="1091" w:type="pct"/>
            <w:tcBorders>
              <w:top w:val="nil"/>
              <w:left w:val="nil"/>
              <w:bottom w:val="single" w:color="auto" w:sz="8" w:space="0"/>
              <w:right w:val="nil"/>
            </w:tcBorders>
            <w:shd w:val="clear" w:color="auto" w:fill="FFFFFF"/>
          </w:tcPr>
          <w:p w14:paraId="1DDE2215">
            <w:pPr>
              <w:pStyle w:val="26"/>
              <w:rPr>
                <w:rFonts w:hint="default"/>
                <w:color w:val="auto"/>
                <w:highlight w:val="yellow"/>
              </w:rPr>
            </w:pPr>
            <w:r>
              <w:rPr>
                <w:rFonts w:hint="default"/>
                <w:color w:val="auto"/>
                <w:highlight w:val="yellow"/>
              </w:rPr>
              <w:t>完整结构</w:t>
            </w:r>
          </w:p>
        </w:tc>
        <w:tc>
          <w:tcPr>
            <w:tcW w:w="626" w:type="pct"/>
            <w:tcBorders>
              <w:top w:val="nil"/>
              <w:left w:val="nil"/>
              <w:bottom w:val="single" w:color="auto" w:sz="8" w:space="0"/>
              <w:right w:val="nil"/>
            </w:tcBorders>
            <w:shd w:val="clear" w:color="auto" w:fill="FFFFFF"/>
          </w:tcPr>
          <w:p w14:paraId="61778F01">
            <w:pPr>
              <w:pStyle w:val="26"/>
              <w:rPr>
                <w:rFonts w:hint="default"/>
                <w:color w:val="auto"/>
                <w:highlight w:val="yellow"/>
              </w:rPr>
            </w:pPr>
            <w:r>
              <w:rPr>
                <w:rFonts w:hint="default"/>
                <w:color w:val="auto"/>
                <w:highlight w:val="yellow"/>
              </w:rPr>
              <w:t>是</w:t>
            </w:r>
          </w:p>
        </w:tc>
        <w:tc>
          <w:tcPr>
            <w:tcW w:w="654" w:type="pct"/>
            <w:tcBorders>
              <w:top w:val="nil"/>
              <w:left w:val="nil"/>
              <w:bottom w:val="single" w:color="auto" w:sz="8" w:space="0"/>
              <w:right w:val="nil"/>
            </w:tcBorders>
            <w:shd w:val="clear" w:color="auto" w:fill="FFFFFF"/>
          </w:tcPr>
          <w:p w14:paraId="39680725">
            <w:pPr>
              <w:pStyle w:val="26"/>
              <w:rPr>
                <w:rFonts w:hint="default"/>
                <w:color w:val="auto"/>
                <w:highlight w:val="yellow"/>
              </w:rPr>
            </w:pPr>
            <w:r>
              <w:rPr>
                <w:rFonts w:hint="default"/>
                <w:color w:val="auto"/>
                <w:highlight w:val="yellow"/>
              </w:rPr>
              <w:t>是</w:t>
            </w:r>
          </w:p>
        </w:tc>
        <w:tc>
          <w:tcPr>
            <w:tcW w:w="516" w:type="pct"/>
            <w:tcBorders>
              <w:top w:val="nil"/>
              <w:left w:val="nil"/>
              <w:bottom w:val="single" w:color="auto" w:sz="8" w:space="0"/>
              <w:right w:val="nil"/>
            </w:tcBorders>
            <w:shd w:val="clear" w:color="auto" w:fill="FFFFFF"/>
          </w:tcPr>
          <w:p w14:paraId="2C7ACD96">
            <w:pPr>
              <w:pStyle w:val="26"/>
              <w:rPr>
                <w:rFonts w:hint="default"/>
                <w:color w:val="auto"/>
                <w:highlight w:val="yellow"/>
              </w:rPr>
            </w:pPr>
            <w:r>
              <w:rPr>
                <w:rFonts w:hint="default"/>
                <w:color w:val="auto"/>
                <w:highlight w:val="yellow"/>
              </w:rPr>
              <w:t>是</w:t>
            </w:r>
          </w:p>
        </w:tc>
        <w:tc>
          <w:tcPr>
            <w:tcW w:w="718" w:type="pct"/>
            <w:tcBorders>
              <w:top w:val="nil"/>
              <w:left w:val="nil"/>
              <w:bottom w:val="single" w:color="auto" w:sz="8" w:space="0"/>
              <w:right w:val="nil"/>
            </w:tcBorders>
            <w:shd w:val="clear" w:color="auto" w:fill="FFFFFF"/>
          </w:tcPr>
          <w:p w14:paraId="3B2949A4">
            <w:pPr>
              <w:pStyle w:val="26"/>
              <w:rPr>
                <w:rFonts w:hint="default"/>
                <w:b/>
                <w:bCs/>
                <w:color w:val="auto"/>
                <w:highlight w:val="yellow"/>
              </w:rPr>
            </w:pPr>
            <w:r>
              <w:rPr>
                <w:rFonts w:hint="default"/>
                <w:b/>
                <w:bCs/>
                <w:color w:val="auto"/>
                <w:highlight w:val="yellow"/>
              </w:rPr>
              <w:t>0.9321</w:t>
            </w:r>
          </w:p>
        </w:tc>
        <w:tc>
          <w:tcPr>
            <w:tcW w:w="693" w:type="pct"/>
            <w:tcBorders>
              <w:top w:val="nil"/>
              <w:left w:val="nil"/>
              <w:bottom w:val="single" w:color="auto" w:sz="8" w:space="0"/>
              <w:right w:val="nil"/>
            </w:tcBorders>
            <w:shd w:val="clear" w:color="auto" w:fill="FFFFFF"/>
          </w:tcPr>
          <w:p w14:paraId="0EDE9D66">
            <w:pPr>
              <w:pStyle w:val="26"/>
              <w:rPr>
                <w:rFonts w:hint="default"/>
                <w:b/>
                <w:bCs/>
                <w:color w:val="auto"/>
                <w:highlight w:val="yellow"/>
              </w:rPr>
            </w:pPr>
            <w:r>
              <w:rPr>
                <w:rFonts w:hint="default"/>
                <w:b/>
                <w:bCs/>
                <w:color w:val="auto"/>
                <w:highlight w:val="yellow"/>
              </w:rPr>
              <w:t>0.922</w:t>
            </w:r>
            <w:r>
              <w:rPr>
                <w:b/>
                <w:bCs/>
                <w:color w:val="auto"/>
                <w:highlight w:val="yellow"/>
              </w:rPr>
              <w:t>0</w:t>
            </w:r>
          </w:p>
        </w:tc>
        <w:tc>
          <w:tcPr>
            <w:tcW w:w="699" w:type="pct"/>
            <w:tcBorders>
              <w:top w:val="nil"/>
              <w:left w:val="nil"/>
              <w:bottom w:val="single" w:color="auto" w:sz="8" w:space="0"/>
              <w:right w:val="nil"/>
            </w:tcBorders>
            <w:shd w:val="clear" w:color="auto" w:fill="FFFFFF"/>
          </w:tcPr>
          <w:p w14:paraId="7FB039D1">
            <w:pPr>
              <w:pStyle w:val="26"/>
              <w:rPr>
                <w:rFonts w:hint="default"/>
                <w:b/>
                <w:bCs/>
                <w:color w:val="auto"/>
                <w:highlight w:val="yellow"/>
              </w:rPr>
            </w:pPr>
            <w:r>
              <w:rPr>
                <w:rFonts w:hint="default"/>
                <w:b/>
                <w:bCs/>
                <w:color w:val="auto"/>
                <w:highlight w:val="yellow"/>
              </w:rPr>
              <w:t>0.9986</w:t>
            </w:r>
          </w:p>
        </w:tc>
      </w:tr>
    </w:tbl>
    <w:p w14:paraId="3D3B06A1">
      <w:pPr>
        <w:ind w:firstLine="480"/>
        <w:rPr>
          <w:color w:val="auto"/>
          <w:highlight w:val="yellow"/>
        </w:rPr>
      </w:pPr>
      <w:r>
        <w:rPr>
          <w:rFonts w:hint="eastAsia"/>
          <w:color w:val="auto"/>
          <w:highlight w:val="yellow"/>
        </w:rPr>
        <w:t>为进一步说明完整结构中各组成部分的作用，本文开展自动标注工作流的消融实验。消融实验只比较同一LLM工作流下的内部变体：LLM-Zero-Shot作为不注入领域知识的起点，LLM-Prompt加入《医疗器械分类规则》，LLM-Prompt-RAG继续加入《医疗器械分类目录》RAG，完整结构在此基础上加入纠错分支。这样划分可以避免将不同技术路线的对比实验与同一方法内部组件消融混在一起。</w:t>
      </w:r>
    </w:p>
    <w:p w14:paraId="40CE5DB5">
      <w:pPr>
        <w:ind w:firstLine="480"/>
        <w:rPr>
          <w:color w:val="auto"/>
          <w:highlight w:val="yellow"/>
        </w:rPr>
      </w:pPr>
      <w:r>
        <w:rPr>
          <w:rFonts w:hint="eastAsia"/>
          <w:color w:val="auto"/>
          <w:highlight w:val="yellow"/>
        </w:rPr>
        <w:t>消融结果表明，领域规则可以帮助LLM建立有源/无源、植入/非植入等基本判断框架；分类目录RAG提供更贴近产品类别的外部知识，是性能提升的主要来源；纠错分支则针对易混类别进一步压缩错误空间。</w:t>
      </w:r>
    </w:p>
    <w:p w14:paraId="47EDB721">
      <w:pPr>
        <w:ind w:firstLine="480"/>
        <w:rPr>
          <w:rFonts w:hint="eastAsia"/>
          <w:color w:val="auto"/>
        </w:rPr>
      </w:pPr>
      <w:r>
        <w:rPr>
          <w:rFonts w:hint="eastAsia"/>
          <w:color w:val="auto"/>
        </w:rPr>
        <w:t>为观察完整结构在不同类别上的错误分布，本文进一步绘制D2上的混淆矩阵，如图3-4所示。可以看到，大部分样本集中在主对角线上，说明预测标签与专家校对标签整体一致。其中，样本量较大的“医用成像器械”“医用诊察和监护器械”和“无源手术器械”分别有193条、183条和120条样本被正确识别，构成矩阵中最主要的正确分类区域；“骨科手术器械”“医用软件”“有源手术器械”等类别也在对角线上形成较明显的集中分布。</w:t>
      </w:r>
    </w:p>
    <w:p w14:paraId="7A4E2337">
      <w:pPr>
        <w:ind w:firstLine="0" w:firstLineChars="0"/>
        <w:rPr>
          <w:color w:val="auto"/>
        </w:rPr>
      </w:pPr>
      <w:r>
        <w:rPr>
          <w:rFonts w:hint="eastAsia"/>
          <w:color w:val="auto"/>
        </w:rPr>
        <w:drawing>
          <wp:inline distT="0" distB="0" distL="114300" distR="114300">
            <wp:extent cx="5271770" cy="4553585"/>
            <wp:effectExtent l="0" t="0" r="6985" b="1905"/>
            <wp:docPr id="2" name="图片 2" descr="last_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ast_confusion_matrix"/>
                    <pic:cNvPicPr>
                      <a:picLocks noChangeAspect="1"/>
                    </pic:cNvPicPr>
                  </pic:nvPicPr>
                  <pic:blipFill>
                    <a:blip r:embed="rId43"/>
                    <a:srcRect t="2898"/>
                    <a:stretch>
                      <a:fillRect/>
                    </a:stretch>
                  </pic:blipFill>
                  <pic:spPr>
                    <a:xfrm>
                      <a:off x="0" y="0"/>
                      <a:ext cx="5271770" cy="4553585"/>
                    </a:xfrm>
                    <a:prstGeom prst="rect">
                      <a:avLst/>
                    </a:prstGeom>
                  </pic:spPr>
                </pic:pic>
              </a:graphicData>
            </a:graphic>
          </wp:inline>
        </w:drawing>
      </w:r>
    </w:p>
    <w:p w14:paraId="756CD755">
      <w:pPr>
        <w:pStyle w:val="25"/>
        <w:rPr>
          <w:rFonts w:hint="default"/>
          <w:color w:val="auto"/>
        </w:rPr>
      </w:pPr>
      <w:r>
        <w:rPr>
          <w:color w:val="auto"/>
        </w:rPr>
        <w:t>图3-4  工作流在D2上的混淆矩阵</w:t>
      </w:r>
    </w:p>
    <w:p w14:paraId="059746AE">
      <w:pPr>
        <w:ind w:firstLine="480"/>
        <w:rPr>
          <w:color w:val="auto"/>
        </w:rPr>
      </w:pPr>
      <w:r>
        <w:rPr>
          <w:rFonts w:hint="eastAsia"/>
          <w:color w:val="auto"/>
        </w:rPr>
        <w:t>非对角线位置的错误数量相对较少，且主要集中在语义或功能边界接近的类别之间。例如，医用成像器械与医用诊察和监护器械都可能涉及超声、信号采集和图像处理等表述；有源手术器械与无源手术器械的差异依赖于摘要中是否明确出现能源驱动特征；无源手术器械、骨科手术器械和神经心血管手术器械之间也会因手术场景或解剖部位描述不充分而出现混淆。</w:t>
      </w:r>
    </w:p>
    <w:p w14:paraId="177F44F3">
      <w:pPr>
        <w:ind w:firstLine="480"/>
        <w:rPr>
          <w:color w:val="auto"/>
        </w:rPr>
      </w:pPr>
      <w:r>
        <w:rPr>
          <w:rFonts w:hint="eastAsia"/>
          <w:color w:val="auto"/>
        </w:rPr>
        <w:t>混淆矩阵结果与表3-10中完整结构的Accuracy为0.9321、Macro F1-score为0.9220相吻合，说明该工作流在多数类别上具有较稳定的标注效果，但在功能边界接近或摘要关键信息不足的样本上仍存在少量误判。</w:t>
      </w:r>
    </w:p>
    <w:p w14:paraId="2592BF0A">
      <w:pPr>
        <w:pStyle w:val="4"/>
        <w:numPr>
          <w:ilvl w:val="2"/>
          <w:numId w:val="1"/>
        </w:numPr>
        <w:tabs>
          <w:tab w:val="clear" w:pos="420"/>
        </w:tabs>
        <w:rPr>
          <w:color w:val="auto"/>
        </w:rPr>
      </w:pPr>
      <w:bookmarkStart w:id="150" w:name="_Toc229086891"/>
      <w:bookmarkStart w:id="151" w:name="_Toc11313"/>
      <w:bookmarkStart w:id="152" w:name="_Toc216114504"/>
      <w:r>
        <w:rPr>
          <w:rFonts w:hint="eastAsia"/>
          <w:color w:val="auto"/>
        </w:rPr>
        <w:t>案例分析</w:t>
      </w:r>
      <w:bookmarkEnd w:id="150"/>
      <w:bookmarkEnd w:id="151"/>
    </w:p>
    <w:p w14:paraId="09B7B189">
      <w:pPr>
        <w:ind w:firstLine="480"/>
        <w:rPr>
          <w:color w:val="auto"/>
          <w:highlight w:val="yellow"/>
        </w:rPr>
      </w:pPr>
      <w:r>
        <w:rPr>
          <w:rFonts w:hint="eastAsia"/>
          <w:color w:val="auto"/>
          <w:highlight w:val="yellow"/>
        </w:rPr>
        <w:t>为进一步说明不同标注方法的差异，本文选取三条具有代表性的D2样本进行案例分析。案例分别对应逐级修正、纠错修正和失败边界三种情况。</w:t>
      </w:r>
    </w:p>
    <w:p w14:paraId="67229282">
      <w:pPr>
        <w:ind w:firstLine="480"/>
        <w:rPr>
          <w:color w:val="auto"/>
          <w:highlight w:val="yellow"/>
        </w:rPr>
      </w:pPr>
      <w:r>
        <w:rPr>
          <w:rFonts w:hint="eastAsia"/>
          <w:color w:val="auto"/>
          <w:highlight w:val="yellow"/>
        </w:rPr>
        <w:t>案例一为CN200910105446.X“肝脏纤维化检测装置”。该专利摘要包含“超声探头”“回波电信号”等词，Keyword、LLM-Zero-Shot和LLM-Prompt均将其标为“医用成像器械”。但其核心功能是检测肝脏纤维化程度并输出实时定量信息，属于诊察与监护，而非获取结构影像。RAG检索到与组织硬度检测、纤维化评估相关的目录条目后，LLM-Prompt-RAG和完整结构均修正为“医用诊察和监护器械”。该案例说明，分类目录知识能够纠正由表层技术词引起的误判。</w:t>
      </w:r>
    </w:p>
    <w:p w14:paraId="345B78D8">
      <w:pPr>
        <w:ind w:firstLine="480"/>
        <w:rPr>
          <w:color w:val="auto"/>
          <w:highlight w:val="yellow"/>
        </w:rPr>
      </w:pPr>
      <w:r>
        <w:rPr>
          <w:rFonts w:hint="eastAsia"/>
          <w:color w:val="auto"/>
          <w:highlight w:val="yellow"/>
        </w:rPr>
        <w:t>案例二为CN202011051118.9“一种结合药物递送的深部柔性脑电极的植入方法”。LLM-Prompt-RAG将其误判为“无源植入器械”，原因是摘要中存在“柔性”“蛋白保护层”等材料表述，容易指向无源植入。完整结构在纠错分支中识别到“脑电极”和“植入方法”等关键信息，并依据“电极一般属于有源植入器械”的区分规则，将结果修正为“有源植入器械”。这说明纠错模块具有独立价值，不只是对主LLM结果的形式化包装。</w:t>
      </w:r>
    </w:p>
    <w:p w14:paraId="3437B45C">
      <w:pPr>
        <w:ind w:firstLine="480"/>
        <w:rPr>
          <w:color w:val="auto"/>
          <w:highlight w:val="yellow"/>
        </w:rPr>
      </w:pPr>
      <w:r>
        <w:rPr>
          <w:rFonts w:hint="eastAsia"/>
          <w:color w:val="auto"/>
          <w:highlight w:val="yellow"/>
        </w:rPr>
        <w:t>案例三为CN202110898105.3“一种肝胆外科临床用取石装置”。该摘要主体大量描述滑块、弧形板、弹性铰链等机械结构，完整结构最终输出“无源手术器械”，但摘要末尾出现“碎石电极击碎结石”，正确类别应为“有源手术器械”。该样本显示，当关键分类信息在摘要中占比很低，且主LLM输出结果未触发相应纠错分支时，工作流仍可能失败。保留这类失败案例，有助于界定方法边界。</w:t>
      </w:r>
    </w:p>
    <w:p w14:paraId="580F089C">
      <w:pPr>
        <w:pStyle w:val="3"/>
        <w:numPr>
          <w:ilvl w:val="1"/>
          <w:numId w:val="1"/>
        </w:numPr>
        <w:tabs>
          <w:tab w:val="clear" w:pos="420"/>
        </w:tabs>
        <w:rPr>
          <w:color w:val="auto"/>
        </w:rPr>
      </w:pPr>
      <w:bookmarkStart w:id="153" w:name="_Toc28075"/>
      <w:bookmarkStart w:id="154" w:name="_Toc229086892"/>
      <w:r>
        <w:rPr>
          <w:rFonts w:hint="eastAsia"/>
          <w:color w:val="auto"/>
        </w:rPr>
        <w:t>置信度过滤与最终数据集</w:t>
      </w:r>
      <w:bookmarkEnd w:id="153"/>
      <w:bookmarkEnd w:id="154"/>
    </w:p>
    <w:p w14:paraId="53CA24AF">
      <w:pPr>
        <w:ind w:firstLine="480"/>
        <w:rPr>
          <w:color w:val="auto"/>
          <w:highlight w:val="yellow"/>
        </w:rPr>
      </w:pPr>
      <w:r>
        <w:rPr>
          <w:rFonts w:hint="eastAsia"/>
          <w:color w:val="auto"/>
          <w:highlight w:val="yellow"/>
        </w:rPr>
        <w:t>自动标注结果不能只看D2上的整体指标。真正用于第四章训练的，是未进入D2的大量样本。若直接使用全部自动标签，低质量样本仍可能进入训练集。为此，本文基于D2分析原始标签与工作流标签的一致性，将其作为置信度划分依据。</w:t>
      </w:r>
    </w:p>
    <w:p w14:paraId="0CEE2984">
      <w:pPr>
        <w:ind w:firstLine="480"/>
        <w:rPr>
          <w:color w:val="auto"/>
          <w:highlight w:val="yellow"/>
        </w:rPr>
      </w:pPr>
      <w:r>
        <w:rPr>
          <w:rFonts w:hint="eastAsia"/>
          <w:color w:val="auto"/>
          <w:highlight w:val="yellow"/>
        </w:rPr>
        <w:t>D2中每个样本有两个相互独立的标签信号，一是原始标签，二是本文自动标注工作流输出标签。两者错误来源不同。若二者一致，说明该样本被两个独立来源同时归入同一类别，标签可靠性应更高；若二者不一致，则样本更可能存在原始标签错误。D2上的统计结果见表3-11。</w:t>
      </w:r>
    </w:p>
    <w:p w14:paraId="27BB5B8F">
      <w:pPr>
        <w:pStyle w:val="25"/>
        <w:rPr>
          <w:rFonts w:hint="default"/>
          <w:color w:val="auto"/>
          <w:highlight w:val="yellow"/>
        </w:rPr>
      </w:pPr>
      <w:r>
        <w:rPr>
          <w:color w:val="auto"/>
          <w:highlight w:val="yellow"/>
        </w:rPr>
        <w:t>表3-11  D2中原始标签与工作流标签一致性的置信度统计</w:t>
      </w:r>
    </w:p>
    <w:tbl>
      <w:tblPr>
        <w:tblStyle w:val="15"/>
        <w:tblW w:w="4998" w:type="pct"/>
        <w:tblInd w:w="0" w:type="dxa"/>
        <w:tblLayout w:type="autofit"/>
        <w:tblCellMar>
          <w:top w:w="0" w:type="dxa"/>
          <w:left w:w="108" w:type="dxa"/>
          <w:bottom w:w="0" w:type="dxa"/>
          <w:right w:w="108" w:type="dxa"/>
        </w:tblCellMar>
      </w:tblPr>
      <w:tblGrid>
        <w:gridCol w:w="971"/>
        <w:gridCol w:w="2557"/>
        <w:gridCol w:w="2056"/>
        <w:gridCol w:w="1943"/>
        <w:gridCol w:w="992"/>
      </w:tblGrid>
      <w:tr w14:paraId="3AA072D7">
        <w:tblPrEx>
          <w:tblCellMar>
            <w:top w:w="0" w:type="dxa"/>
            <w:left w:w="108" w:type="dxa"/>
            <w:bottom w:w="0" w:type="dxa"/>
            <w:right w:w="108" w:type="dxa"/>
          </w:tblCellMar>
        </w:tblPrEx>
        <w:trPr>
          <w:trHeight w:val="471" w:hRule="atLeast"/>
        </w:trPr>
        <w:tc>
          <w:tcPr>
            <w:tcW w:w="570" w:type="pct"/>
            <w:tcBorders>
              <w:top w:val="single" w:color="auto" w:sz="8" w:space="0"/>
              <w:left w:val="nil"/>
              <w:bottom w:val="single" w:color="auto" w:sz="6" w:space="0"/>
              <w:right w:val="nil"/>
            </w:tcBorders>
            <w:shd w:val="clear" w:color="auto" w:fill="FFFFFF"/>
            <w:vAlign w:val="center"/>
          </w:tcPr>
          <w:p w14:paraId="59B4560A">
            <w:pPr>
              <w:pStyle w:val="26"/>
              <w:rPr>
                <w:rFonts w:hint="default"/>
                <w:color w:val="auto"/>
                <w:highlight w:val="yellow"/>
              </w:rPr>
            </w:pPr>
            <w:r>
              <w:rPr>
                <w:rFonts w:hint="default"/>
                <w:color w:val="auto"/>
                <w:highlight w:val="yellow"/>
              </w:rPr>
              <w:t>置信层</w:t>
            </w:r>
          </w:p>
        </w:tc>
        <w:tc>
          <w:tcPr>
            <w:tcW w:w="1500" w:type="pct"/>
            <w:tcBorders>
              <w:top w:val="single" w:color="auto" w:sz="8" w:space="0"/>
              <w:left w:val="nil"/>
              <w:bottom w:val="single" w:color="auto" w:sz="6" w:space="0"/>
              <w:right w:val="nil"/>
            </w:tcBorders>
            <w:shd w:val="clear" w:color="auto" w:fill="FFFFFF"/>
            <w:vAlign w:val="center"/>
          </w:tcPr>
          <w:p w14:paraId="76559658">
            <w:pPr>
              <w:pStyle w:val="26"/>
              <w:rPr>
                <w:rFonts w:hint="default"/>
                <w:color w:val="auto"/>
                <w:highlight w:val="yellow"/>
              </w:rPr>
            </w:pPr>
            <w:r>
              <w:rPr>
                <w:rFonts w:hint="default"/>
                <w:color w:val="auto"/>
                <w:highlight w:val="yellow"/>
              </w:rPr>
              <w:t>条件</w:t>
            </w:r>
          </w:p>
        </w:tc>
        <w:tc>
          <w:tcPr>
            <w:tcW w:w="1206" w:type="pct"/>
            <w:tcBorders>
              <w:top w:val="single" w:color="auto" w:sz="8" w:space="0"/>
              <w:left w:val="nil"/>
              <w:bottom w:val="single" w:color="auto" w:sz="6" w:space="0"/>
              <w:right w:val="nil"/>
            </w:tcBorders>
            <w:shd w:val="clear" w:color="auto" w:fill="FFFFFF"/>
            <w:vAlign w:val="center"/>
          </w:tcPr>
          <w:p w14:paraId="4C75B091">
            <w:pPr>
              <w:pStyle w:val="26"/>
              <w:rPr>
                <w:rFonts w:hint="default"/>
                <w:color w:val="auto"/>
                <w:highlight w:val="yellow"/>
              </w:rPr>
            </w:pPr>
            <w:r>
              <w:rPr>
                <w:rFonts w:hint="default"/>
                <w:color w:val="auto"/>
                <w:highlight w:val="yellow"/>
              </w:rPr>
              <w:t>D2占比</w:t>
            </w:r>
          </w:p>
        </w:tc>
        <w:tc>
          <w:tcPr>
            <w:tcW w:w="1140" w:type="pct"/>
            <w:tcBorders>
              <w:top w:val="single" w:color="auto" w:sz="8" w:space="0"/>
              <w:left w:val="nil"/>
              <w:bottom w:val="single" w:color="auto" w:sz="6" w:space="0"/>
              <w:right w:val="nil"/>
            </w:tcBorders>
            <w:shd w:val="clear" w:color="auto" w:fill="FFFFFF"/>
            <w:vAlign w:val="center"/>
          </w:tcPr>
          <w:p w14:paraId="5A039B97">
            <w:pPr>
              <w:pStyle w:val="26"/>
              <w:rPr>
                <w:rFonts w:hint="default"/>
                <w:color w:val="auto"/>
                <w:highlight w:val="yellow"/>
              </w:rPr>
            </w:pPr>
            <w:r>
              <w:rPr>
                <w:rFonts w:hint="default"/>
                <w:color w:val="auto"/>
                <w:highlight w:val="yellow"/>
              </w:rPr>
              <w:t>正确率</w:t>
            </w:r>
          </w:p>
        </w:tc>
        <w:tc>
          <w:tcPr>
            <w:tcW w:w="582" w:type="pct"/>
            <w:tcBorders>
              <w:top w:val="single" w:color="auto" w:sz="8" w:space="0"/>
              <w:left w:val="nil"/>
              <w:bottom w:val="single" w:color="auto" w:sz="6" w:space="0"/>
              <w:right w:val="nil"/>
            </w:tcBorders>
            <w:shd w:val="clear" w:color="auto" w:fill="FFFFFF"/>
            <w:vAlign w:val="center"/>
          </w:tcPr>
          <w:p w14:paraId="5774E5CB">
            <w:pPr>
              <w:pStyle w:val="26"/>
              <w:rPr>
                <w:rFonts w:hint="default"/>
                <w:color w:val="auto"/>
                <w:highlight w:val="yellow"/>
              </w:rPr>
            </w:pPr>
            <w:r>
              <w:rPr>
                <w:rFonts w:hint="default"/>
                <w:color w:val="auto"/>
                <w:highlight w:val="yellow"/>
              </w:rPr>
              <w:t>错误率</w:t>
            </w:r>
          </w:p>
        </w:tc>
      </w:tr>
      <w:tr w14:paraId="5FBBD51D">
        <w:tblPrEx>
          <w:tblCellMar>
            <w:top w:w="0" w:type="dxa"/>
            <w:left w:w="108" w:type="dxa"/>
            <w:bottom w:w="0" w:type="dxa"/>
            <w:right w:w="108" w:type="dxa"/>
          </w:tblCellMar>
        </w:tblPrEx>
        <w:trPr>
          <w:trHeight w:val="471" w:hRule="atLeast"/>
        </w:trPr>
        <w:tc>
          <w:tcPr>
            <w:tcW w:w="570" w:type="pct"/>
            <w:tcBorders>
              <w:top w:val="single" w:color="auto" w:sz="6" w:space="0"/>
              <w:left w:val="nil"/>
              <w:bottom w:val="nil"/>
              <w:right w:val="nil"/>
            </w:tcBorders>
            <w:shd w:val="clear" w:color="auto" w:fill="FFFFFF"/>
          </w:tcPr>
          <w:p w14:paraId="386270A2">
            <w:pPr>
              <w:pStyle w:val="26"/>
              <w:rPr>
                <w:rFonts w:hint="default"/>
                <w:color w:val="auto"/>
                <w:highlight w:val="yellow"/>
              </w:rPr>
            </w:pPr>
            <w:r>
              <w:rPr>
                <w:rFonts w:hint="default"/>
                <w:color w:val="auto"/>
                <w:highlight w:val="yellow"/>
              </w:rPr>
              <w:t>高置信</w:t>
            </w:r>
          </w:p>
        </w:tc>
        <w:tc>
          <w:tcPr>
            <w:tcW w:w="1500" w:type="pct"/>
            <w:tcBorders>
              <w:top w:val="single" w:color="auto" w:sz="6" w:space="0"/>
              <w:left w:val="nil"/>
              <w:bottom w:val="nil"/>
              <w:right w:val="nil"/>
            </w:tcBorders>
            <w:shd w:val="clear" w:color="auto" w:fill="FFFFFF"/>
          </w:tcPr>
          <w:p w14:paraId="3387B81D">
            <w:pPr>
              <w:pStyle w:val="26"/>
              <w:rPr>
                <w:rFonts w:hint="default"/>
                <w:color w:val="auto"/>
                <w:highlight w:val="yellow"/>
              </w:rPr>
            </w:pPr>
            <w:r>
              <w:rPr>
                <w:rFonts w:hint="default"/>
                <w:color w:val="auto"/>
                <w:highlight w:val="yellow"/>
              </w:rPr>
              <w:t>原始标签=工作流标签</w:t>
            </w:r>
          </w:p>
        </w:tc>
        <w:tc>
          <w:tcPr>
            <w:tcW w:w="1206" w:type="pct"/>
            <w:tcBorders>
              <w:top w:val="single" w:color="auto" w:sz="6" w:space="0"/>
              <w:left w:val="nil"/>
              <w:bottom w:val="nil"/>
              <w:right w:val="nil"/>
            </w:tcBorders>
            <w:shd w:val="clear" w:color="auto" w:fill="FFFFFF"/>
          </w:tcPr>
          <w:p w14:paraId="78AF1263">
            <w:pPr>
              <w:pStyle w:val="26"/>
              <w:rPr>
                <w:rFonts w:hint="default"/>
                <w:color w:val="auto"/>
                <w:highlight w:val="yellow"/>
              </w:rPr>
            </w:pPr>
            <w:r>
              <w:rPr>
                <w:rFonts w:hint="default"/>
                <w:color w:val="auto"/>
                <w:highlight w:val="yellow"/>
              </w:rPr>
              <w:t>56.25%(621/1104)</w:t>
            </w:r>
          </w:p>
        </w:tc>
        <w:tc>
          <w:tcPr>
            <w:tcW w:w="1140" w:type="pct"/>
            <w:tcBorders>
              <w:top w:val="single" w:color="auto" w:sz="6" w:space="0"/>
              <w:left w:val="nil"/>
              <w:bottom w:val="nil"/>
              <w:right w:val="nil"/>
            </w:tcBorders>
            <w:shd w:val="clear" w:color="auto" w:fill="FFFFFF"/>
          </w:tcPr>
          <w:p w14:paraId="6F6168B5">
            <w:pPr>
              <w:pStyle w:val="26"/>
              <w:rPr>
                <w:rFonts w:hint="default"/>
                <w:color w:val="auto"/>
                <w:highlight w:val="yellow"/>
              </w:rPr>
            </w:pPr>
            <w:r>
              <w:rPr>
                <w:rFonts w:hint="default"/>
                <w:color w:val="auto"/>
                <w:highlight w:val="yellow"/>
              </w:rPr>
              <w:t>97.91%(608/621)</w:t>
            </w:r>
          </w:p>
        </w:tc>
        <w:tc>
          <w:tcPr>
            <w:tcW w:w="582" w:type="pct"/>
            <w:tcBorders>
              <w:top w:val="single" w:color="auto" w:sz="6" w:space="0"/>
              <w:left w:val="nil"/>
              <w:bottom w:val="nil"/>
              <w:right w:val="nil"/>
            </w:tcBorders>
            <w:shd w:val="clear" w:color="auto" w:fill="FFFFFF"/>
          </w:tcPr>
          <w:p w14:paraId="06FAD4A1">
            <w:pPr>
              <w:pStyle w:val="26"/>
              <w:rPr>
                <w:rFonts w:hint="default"/>
                <w:color w:val="auto"/>
                <w:highlight w:val="yellow"/>
              </w:rPr>
            </w:pPr>
            <w:r>
              <w:rPr>
                <w:rFonts w:hint="default"/>
                <w:color w:val="auto"/>
                <w:highlight w:val="yellow"/>
              </w:rPr>
              <w:t>2.09%</w:t>
            </w:r>
          </w:p>
        </w:tc>
      </w:tr>
      <w:tr w14:paraId="66E2497F">
        <w:tblPrEx>
          <w:tblCellMar>
            <w:top w:w="0" w:type="dxa"/>
            <w:left w:w="108" w:type="dxa"/>
            <w:bottom w:w="0" w:type="dxa"/>
            <w:right w:w="108" w:type="dxa"/>
          </w:tblCellMar>
        </w:tblPrEx>
        <w:trPr>
          <w:trHeight w:val="471" w:hRule="atLeast"/>
        </w:trPr>
        <w:tc>
          <w:tcPr>
            <w:tcW w:w="570" w:type="pct"/>
            <w:tcBorders>
              <w:top w:val="nil"/>
              <w:left w:val="nil"/>
              <w:bottom w:val="single" w:color="auto" w:sz="8" w:space="0"/>
              <w:right w:val="nil"/>
            </w:tcBorders>
            <w:shd w:val="clear" w:color="auto" w:fill="FFFFFF"/>
          </w:tcPr>
          <w:p w14:paraId="43EBB551">
            <w:pPr>
              <w:pStyle w:val="26"/>
              <w:rPr>
                <w:rFonts w:hint="default"/>
                <w:color w:val="auto"/>
                <w:highlight w:val="yellow"/>
              </w:rPr>
            </w:pPr>
            <w:r>
              <w:rPr>
                <w:rFonts w:hint="default"/>
                <w:color w:val="auto"/>
                <w:highlight w:val="yellow"/>
              </w:rPr>
              <w:t>低置信</w:t>
            </w:r>
          </w:p>
        </w:tc>
        <w:tc>
          <w:tcPr>
            <w:tcW w:w="1500" w:type="pct"/>
            <w:tcBorders>
              <w:top w:val="nil"/>
              <w:left w:val="nil"/>
              <w:bottom w:val="single" w:color="auto" w:sz="8" w:space="0"/>
              <w:right w:val="nil"/>
            </w:tcBorders>
            <w:shd w:val="clear" w:color="auto" w:fill="FFFFFF"/>
          </w:tcPr>
          <w:p w14:paraId="4497C0F6">
            <w:pPr>
              <w:pStyle w:val="26"/>
              <w:rPr>
                <w:rFonts w:hint="default"/>
                <w:color w:val="auto"/>
                <w:highlight w:val="yellow"/>
              </w:rPr>
            </w:pPr>
            <w:r>
              <w:rPr>
                <w:rFonts w:hint="default"/>
                <w:color w:val="auto"/>
                <w:highlight w:val="yellow"/>
              </w:rPr>
              <w:t>原始标签≠工作流标签</w:t>
            </w:r>
          </w:p>
        </w:tc>
        <w:tc>
          <w:tcPr>
            <w:tcW w:w="1206" w:type="pct"/>
            <w:tcBorders>
              <w:top w:val="nil"/>
              <w:left w:val="nil"/>
              <w:bottom w:val="single" w:color="auto" w:sz="8" w:space="0"/>
              <w:right w:val="nil"/>
            </w:tcBorders>
            <w:shd w:val="clear" w:color="auto" w:fill="FFFFFF"/>
          </w:tcPr>
          <w:p w14:paraId="0CD283B9">
            <w:pPr>
              <w:pStyle w:val="26"/>
              <w:rPr>
                <w:rFonts w:hint="default"/>
                <w:color w:val="auto"/>
                <w:highlight w:val="yellow"/>
              </w:rPr>
            </w:pPr>
            <w:r>
              <w:rPr>
                <w:rFonts w:hint="default"/>
                <w:color w:val="auto"/>
                <w:highlight w:val="yellow"/>
              </w:rPr>
              <w:t>43.75%(483/1104)</w:t>
            </w:r>
          </w:p>
        </w:tc>
        <w:tc>
          <w:tcPr>
            <w:tcW w:w="1140" w:type="pct"/>
            <w:tcBorders>
              <w:top w:val="nil"/>
              <w:left w:val="nil"/>
              <w:bottom w:val="single" w:color="auto" w:sz="8" w:space="0"/>
              <w:right w:val="nil"/>
            </w:tcBorders>
            <w:shd w:val="clear" w:color="auto" w:fill="FFFFFF"/>
          </w:tcPr>
          <w:p w14:paraId="03140855">
            <w:pPr>
              <w:pStyle w:val="26"/>
              <w:rPr>
                <w:rFonts w:hint="default"/>
                <w:color w:val="auto"/>
                <w:highlight w:val="yellow"/>
              </w:rPr>
            </w:pPr>
            <w:r>
              <w:rPr>
                <w:rFonts w:hint="default"/>
                <w:color w:val="auto"/>
                <w:highlight w:val="yellow"/>
              </w:rPr>
              <w:t>87.16%(421/483)</w:t>
            </w:r>
          </w:p>
        </w:tc>
        <w:tc>
          <w:tcPr>
            <w:tcW w:w="582" w:type="pct"/>
            <w:tcBorders>
              <w:top w:val="nil"/>
              <w:left w:val="nil"/>
              <w:bottom w:val="single" w:color="auto" w:sz="8" w:space="0"/>
              <w:right w:val="nil"/>
            </w:tcBorders>
            <w:shd w:val="clear" w:color="auto" w:fill="FFFFFF"/>
          </w:tcPr>
          <w:p w14:paraId="32905A3B">
            <w:pPr>
              <w:pStyle w:val="26"/>
              <w:rPr>
                <w:rFonts w:hint="default"/>
                <w:color w:val="auto"/>
                <w:highlight w:val="yellow"/>
              </w:rPr>
            </w:pPr>
            <w:r>
              <w:rPr>
                <w:rFonts w:hint="default"/>
                <w:color w:val="auto"/>
                <w:highlight w:val="yellow"/>
              </w:rPr>
              <w:t>12.84%</w:t>
            </w:r>
          </w:p>
        </w:tc>
      </w:tr>
    </w:tbl>
    <w:p w14:paraId="122A8999">
      <w:pPr>
        <w:ind w:firstLine="480"/>
        <w:rPr>
          <w:color w:val="auto"/>
          <w:highlight w:val="yellow"/>
        </w:rPr>
      </w:pPr>
      <w:r>
        <w:rPr>
          <w:rFonts w:hint="eastAsia"/>
          <w:color w:val="auto"/>
          <w:highlight w:val="yellow"/>
        </w:rPr>
        <w:t>高低置信层错误率相差10.75个百分点，说明双信号一致性可以作为有效的错误检测机制。随后，本文对D3样本进行置信度标记。D3指原始候选数据中扣除D2后的未校对样本。标记结果显示，高置信样本33327条，占58.07%；低置信样本24064条，占41.93%。</w:t>
      </w:r>
    </w:p>
    <w:p w14:paraId="04ED5ABF">
      <w:pPr>
        <w:ind w:firstLine="480"/>
        <w:rPr>
          <w:color w:val="auto"/>
          <w:highlight w:val="yellow"/>
        </w:rPr>
      </w:pPr>
      <w:r>
        <w:rPr>
          <w:rFonts w:hint="eastAsia"/>
          <w:color w:val="auto"/>
          <w:highlight w:val="yellow"/>
        </w:rPr>
        <w:t>为了验证D3置信层质量是否与D2中观察到的规律一致，本文按22个一级类别和高低置信层进行交叉分层抽样，其中高置信层抽取440条、低置信层抽取330条，并进行专家校对，结果见表3-12。</w:t>
      </w:r>
    </w:p>
    <w:p w14:paraId="20BF12A7">
      <w:pPr>
        <w:pStyle w:val="25"/>
        <w:rPr>
          <w:rFonts w:hint="default"/>
          <w:color w:val="auto"/>
          <w:highlight w:val="yellow"/>
        </w:rPr>
      </w:pPr>
      <w:r>
        <w:rPr>
          <w:color w:val="auto"/>
          <w:highlight w:val="yellow"/>
        </w:rPr>
        <w:t>表3-12  D3置信层抽样验证结果</w:t>
      </w:r>
    </w:p>
    <w:tbl>
      <w:tblPr>
        <w:tblStyle w:val="15"/>
        <w:tblW w:w="4998" w:type="pct"/>
        <w:tblInd w:w="0" w:type="dxa"/>
        <w:tblLayout w:type="autofit"/>
        <w:tblCellMar>
          <w:top w:w="0" w:type="dxa"/>
          <w:left w:w="108" w:type="dxa"/>
          <w:bottom w:w="0" w:type="dxa"/>
          <w:right w:w="108" w:type="dxa"/>
        </w:tblCellMar>
      </w:tblPr>
      <w:tblGrid>
        <w:gridCol w:w="1100"/>
        <w:gridCol w:w="2202"/>
        <w:gridCol w:w="5217"/>
      </w:tblGrid>
      <w:tr w14:paraId="3CF6FE05">
        <w:tblPrEx>
          <w:tblCellMar>
            <w:top w:w="0" w:type="dxa"/>
            <w:left w:w="108" w:type="dxa"/>
            <w:bottom w:w="0" w:type="dxa"/>
            <w:right w:w="108" w:type="dxa"/>
          </w:tblCellMar>
        </w:tblPrEx>
        <w:trPr>
          <w:trHeight w:val="471" w:hRule="atLeast"/>
        </w:trPr>
        <w:tc>
          <w:tcPr>
            <w:tcW w:w="646" w:type="pct"/>
            <w:tcBorders>
              <w:top w:val="single" w:color="auto" w:sz="8" w:space="0"/>
              <w:left w:val="nil"/>
              <w:bottom w:val="single" w:color="auto" w:sz="6" w:space="0"/>
              <w:right w:val="nil"/>
            </w:tcBorders>
            <w:shd w:val="clear" w:color="auto" w:fill="auto"/>
            <w:vAlign w:val="center"/>
          </w:tcPr>
          <w:p w14:paraId="5D3B4C29">
            <w:pPr>
              <w:pStyle w:val="26"/>
              <w:rPr>
                <w:rFonts w:hint="default"/>
                <w:color w:val="auto"/>
                <w:highlight w:val="yellow"/>
              </w:rPr>
            </w:pPr>
            <w:r>
              <w:rPr>
                <w:color w:val="auto"/>
                <w:highlight w:val="yellow"/>
              </w:rPr>
              <w:t>置信层</w:t>
            </w:r>
          </w:p>
        </w:tc>
        <w:tc>
          <w:tcPr>
            <w:tcW w:w="1292" w:type="pct"/>
            <w:tcBorders>
              <w:top w:val="single" w:color="auto" w:sz="8" w:space="0"/>
              <w:left w:val="nil"/>
              <w:bottom w:val="single" w:color="auto" w:sz="6" w:space="0"/>
              <w:right w:val="nil"/>
            </w:tcBorders>
            <w:shd w:val="clear" w:color="auto" w:fill="auto"/>
            <w:vAlign w:val="center"/>
          </w:tcPr>
          <w:p w14:paraId="46E5A346">
            <w:pPr>
              <w:pStyle w:val="26"/>
              <w:rPr>
                <w:rFonts w:hint="default"/>
                <w:color w:val="auto"/>
                <w:highlight w:val="yellow"/>
              </w:rPr>
            </w:pPr>
            <w:r>
              <w:rPr>
                <w:color w:val="auto"/>
                <w:highlight w:val="yellow"/>
              </w:rPr>
              <w:t>抽样正确率</w:t>
            </w:r>
          </w:p>
        </w:tc>
        <w:tc>
          <w:tcPr>
            <w:tcW w:w="3061" w:type="pct"/>
            <w:tcBorders>
              <w:top w:val="single" w:color="auto" w:sz="8" w:space="0"/>
              <w:left w:val="nil"/>
              <w:bottom w:val="single" w:color="auto" w:sz="6" w:space="0"/>
              <w:right w:val="nil"/>
            </w:tcBorders>
            <w:shd w:val="clear" w:color="auto" w:fill="auto"/>
            <w:vAlign w:val="center"/>
          </w:tcPr>
          <w:p w14:paraId="72B5A139">
            <w:pPr>
              <w:pStyle w:val="26"/>
              <w:rPr>
                <w:rFonts w:hint="default"/>
                <w:color w:val="auto"/>
                <w:highlight w:val="yellow"/>
              </w:rPr>
            </w:pPr>
            <w:r>
              <w:rPr>
                <w:color w:val="auto"/>
                <w:highlight w:val="yellow"/>
              </w:rPr>
              <w:t>与D2同层对比</w:t>
            </w:r>
          </w:p>
        </w:tc>
      </w:tr>
      <w:tr w14:paraId="2C2DC66B">
        <w:tblPrEx>
          <w:tblCellMar>
            <w:top w:w="0" w:type="dxa"/>
            <w:left w:w="108" w:type="dxa"/>
            <w:bottom w:w="0" w:type="dxa"/>
            <w:right w:w="108" w:type="dxa"/>
          </w:tblCellMar>
        </w:tblPrEx>
        <w:trPr>
          <w:trHeight w:val="471" w:hRule="atLeast"/>
        </w:trPr>
        <w:tc>
          <w:tcPr>
            <w:tcW w:w="646" w:type="pct"/>
            <w:tcBorders>
              <w:top w:val="single" w:color="auto" w:sz="6" w:space="0"/>
              <w:left w:val="nil"/>
              <w:bottom w:val="nil"/>
              <w:right w:val="nil"/>
            </w:tcBorders>
            <w:shd w:val="clear" w:color="auto" w:fill="auto"/>
          </w:tcPr>
          <w:p w14:paraId="6A7BD876">
            <w:pPr>
              <w:pStyle w:val="26"/>
              <w:rPr>
                <w:rFonts w:hint="default"/>
                <w:color w:val="auto"/>
                <w:highlight w:val="yellow"/>
              </w:rPr>
            </w:pPr>
            <w:r>
              <w:rPr>
                <w:color w:val="auto"/>
                <w:highlight w:val="yellow"/>
              </w:rPr>
              <w:t>高置信</w:t>
            </w:r>
          </w:p>
        </w:tc>
        <w:tc>
          <w:tcPr>
            <w:tcW w:w="1292" w:type="pct"/>
            <w:tcBorders>
              <w:top w:val="single" w:color="auto" w:sz="6" w:space="0"/>
              <w:left w:val="nil"/>
              <w:bottom w:val="nil"/>
              <w:right w:val="nil"/>
            </w:tcBorders>
            <w:shd w:val="clear" w:color="auto" w:fill="auto"/>
          </w:tcPr>
          <w:p w14:paraId="2C2C0E1F">
            <w:pPr>
              <w:pStyle w:val="26"/>
              <w:rPr>
                <w:rFonts w:hint="default"/>
                <w:color w:val="auto"/>
                <w:highlight w:val="yellow"/>
              </w:rPr>
            </w:pPr>
            <w:r>
              <w:rPr>
                <w:color w:val="auto"/>
                <w:highlight w:val="yellow"/>
              </w:rPr>
              <w:t>96.59%(425/440)</w:t>
            </w:r>
          </w:p>
        </w:tc>
        <w:tc>
          <w:tcPr>
            <w:tcW w:w="3061" w:type="pct"/>
            <w:tcBorders>
              <w:top w:val="single" w:color="auto" w:sz="6" w:space="0"/>
              <w:left w:val="nil"/>
              <w:bottom w:val="nil"/>
              <w:right w:val="nil"/>
            </w:tcBorders>
            <w:shd w:val="clear" w:color="auto" w:fill="auto"/>
          </w:tcPr>
          <w:p w14:paraId="31267A47">
            <w:pPr>
              <w:pStyle w:val="26"/>
              <w:rPr>
                <w:rFonts w:hint="default"/>
                <w:color w:val="auto"/>
                <w:highlight w:val="yellow"/>
              </w:rPr>
            </w:pPr>
            <w:r>
              <w:rPr>
                <w:color w:val="auto"/>
                <w:highlight w:val="yellow"/>
              </w:rPr>
              <w:t>D2高置信为97.91%，差距1.32个百分点</w:t>
            </w:r>
          </w:p>
        </w:tc>
      </w:tr>
      <w:tr w14:paraId="66434562">
        <w:tblPrEx>
          <w:tblCellMar>
            <w:top w:w="0" w:type="dxa"/>
            <w:left w:w="108" w:type="dxa"/>
            <w:bottom w:w="0" w:type="dxa"/>
            <w:right w:w="108" w:type="dxa"/>
          </w:tblCellMar>
        </w:tblPrEx>
        <w:trPr>
          <w:trHeight w:val="471" w:hRule="atLeast"/>
        </w:trPr>
        <w:tc>
          <w:tcPr>
            <w:tcW w:w="646" w:type="pct"/>
            <w:tcBorders>
              <w:top w:val="nil"/>
              <w:left w:val="nil"/>
              <w:bottom w:val="single" w:color="auto" w:sz="8" w:space="0"/>
              <w:right w:val="nil"/>
            </w:tcBorders>
            <w:shd w:val="clear" w:color="auto" w:fill="auto"/>
          </w:tcPr>
          <w:p w14:paraId="7321BB6D">
            <w:pPr>
              <w:pStyle w:val="26"/>
              <w:rPr>
                <w:rFonts w:hint="default"/>
                <w:color w:val="auto"/>
                <w:highlight w:val="yellow"/>
              </w:rPr>
            </w:pPr>
            <w:r>
              <w:rPr>
                <w:color w:val="auto"/>
                <w:highlight w:val="yellow"/>
              </w:rPr>
              <w:t>低置信</w:t>
            </w:r>
          </w:p>
        </w:tc>
        <w:tc>
          <w:tcPr>
            <w:tcW w:w="1292" w:type="pct"/>
            <w:tcBorders>
              <w:top w:val="nil"/>
              <w:left w:val="nil"/>
              <w:bottom w:val="single" w:color="auto" w:sz="8" w:space="0"/>
              <w:right w:val="nil"/>
            </w:tcBorders>
            <w:shd w:val="clear" w:color="auto" w:fill="auto"/>
          </w:tcPr>
          <w:p w14:paraId="70204C84">
            <w:pPr>
              <w:pStyle w:val="26"/>
              <w:rPr>
                <w:rFonts w:hint="default"/>
                <w:color w:val="auto"/>
                <w:highlight w:val="yellow"/>
              </w:rPr>
            </w:pPr>
            <w:r>
              <w:rPr>
                <w:color w:val="auto"/>
                <w:highlight w:val="yellow"/>
              </w:rPr>
              <w:t>82.12%(271/330)</w:t>
            </w:r>
          </w:p>
        </w:tc>
        <w:tc>
          <w:tcPr>
            <w:tcW w:w="3061" w:type="pct"/>
            <w:tcBorders>
              <w:top w:val="nil"/>
              <w:left w:val="nil"/>
              <w:bottom w:val="single" w:color="auto" w:sz="8" w:space="0"/>
              <w:right w:val="nil"/>
            </w:tcBorders>
            <w:shd w:val="clear" w:color="auto" w:fill="auto"/>
          </w:tcPr>
          <w:p w14:paraId="222450FA">
            <w:pPr>
              <w:pStyle w:val="26"/>
              <w:rPr>
                <w:rFonts w:hint="default"/>
                <w:color w:val="auto"/>
                <w:highlight w:val="yellow"/>
              </w:rPr>
            </w:pPr>
            <w:r>
              <w:rPr>
                <w:color w:val="auto"/>
                <w:highlight w:val="yellow"/>
              </w:rPr>
              <w:t>D2低置信为87.16%，差距5.04个百分点</w:t>
            </w:r>
          </w:p>
        </w:tc>
      </w:tr>
    </w:tbl>
    <w:p w14:paraId="3DC9B424">
      <w:pPr>
        <w:ind w:firstLine="480"/>
        <w:rPr>
          <w:color w:val="auto"/>
          <w:highlight w:val="yellow"/>
        </w:rPr>
      </w:pPr>
      <w:r>
        <w:rPr>
          <w:rFonts w:hint="eastAsia"/>
          <w:color w:val="auto"/>
          <w:highlight w:val="yellow"/>
        </w:rPr>
        <w:t>仅凭抽样正确率仍不足以判断D3高置信层能否作为训练数据使用。因此，本文进一步采用TOST等价性检验，以D2同层准确率作为参照基准，等价边界设为3%，显著性水平设为0.05，检验结果见表3-13。</w:t>
      </w:r>
    </w:p>
    <w:p w14:paraId="7E10A65C">
      <w:pPr>
        <w:pStyle w:val="25"/>
        <w:rPr>
          <w:rFonts w:hint="default"/>
          <w:color w:val="auto"/>
          <w:highlight w:val="yellow"/>
        </w:rPr>
      </w:pPr>
      <w:r>
        <w:rPr>
          <w:color w:val="auto"/>
          <w:highlight w:val="yellow"/>
        </w:rPr>
        <w:t>表3-13  D3置信层TOST等价性检验结果</w:t>
      </w:r>
    </w:p>
    <w:tbl>
      <w:tblPr>
        <w:tblStyle w:val="15"/>
        <w:tblW w:w="4998" w:type="pct"/>
        <w:tblInd w:w="0" w:type="dxa"/>
        <w:tblLayout w:type="autofit"/>
        <w:tblCellMar>
          <w:top w:w="0" w:type="dxa"/>
          <w:left w:w="108" w:type="dxa"/>
          <w:bottom w:w="0" w:type="dxa"/>
          <w:right w:w="108" w:type="dxa"/>
        </w:tblCellMar>
      </w:tblPr>
      <w:tblGrid>
        <w:gridCol w:w="1006"/>
        <w:gridCol w:w="1775"/>
        <w:gridCol w:w="2088"/>
        <w:gridCol w:w="2213"/>
        <w:gridCol w:w="1437"/>
      </w:tblGrid>
      <w:tr w14:paraId="05A3684E">
        <w:tblPrEx>
          <w:tblCellMar>
            <w:top w:w="0" w:type="dxa"/>
            <w:left w:w="108" w:type="dxa"/>
            <w:bottom w:w="0" w:type="dxa"/>
            <w:right w:w="108" w:type="dxa"/>
          </w:tblCellMar>
        </w:tblPrEx>
        <w:trPr>
          <w:trHeight w:val="471" w:hRule="atLeast"/>
        </w:trPr>
        <w:tc>
          <w:tcPr>
            <w:tcW w:w="590" w:type="pct"/>
            <w:tcBorders>
              <w:top w:val="single" w:color="auto" w:sz="8" w:space="0"/>
              <w:left w:val="nil"/>
              <w:bottom w:val="single" w:color="auto" w:sz="6" w:space="0"/>
              <w:right w:val="nil"/>
            </w:tcBorders>
            <w:shd w:val="clear" w:color="auto" w:fill="FFFFFF"/>
            <w:vAlign w:val="center"/>
          </w:tcPr>
          <w:p w14:paraId="5FCB1D18">
            <w:pPr>
              <w:pStyle w:val="26"/>
              <w:rPr>
                <w:rFonts w:hint="default"/>
                <w:color w:val="auto"/>
                <w:highlight w:val="yellow"/>
              </w:rPr>
            </w:pPr>
            <w:r>
              <w:rPr>
                <w:rFonts w:hint="default"/>
                <w:color w:val="auto"/>
                <w:highlight w:val="yellow"/>
              </w:rPr>
              <w:t>置信层</w:t>
            </w:r>
          </w:p>
        </w:tc>
        <w:tc>
          <w:tcPr>
            <w:tcW w:w="1041" w:type="pct"/>
            <w:tcBorders>
              <w:top w:val="single" w:color="auto" w:sz="8" w:space="0"/>
              <w:left w:val="nil"/>
              <w:bottom w:val="single" w:color="auto" w:sz="6" w:space="0"/>
              <w:right w:val="nil"/>
            </w:tcBorders>
            <w:shd w:val="clear" w:color="auto" w:fill="FFFFFF"/>
            <w:vAlign w:val="center"/>
          </w:tcPr>
          <w:p w14:paraId="0E27FD5C">
            <w:pPr>
              <w:pStyle w:val="26"/>
              <w:rPr>
                <w:rFonts w:hint="default"/>
                <w:color w:val="auto"/>
                <w:highlight w:val="yellow"/>
              </w:rPr>
            </w:pPr>
            <w:r>
              <w:rPr>
                <w:rFonts w:hint="default"/>
                <w:color w:val="auto"/>
                <w:highlight w:val="yellow"/>
              </w:rPr>
              <w:t>观测Accuracy</w:t>
            </w:r>
          </w:p>
        </w:tc>
        <w:tc>
          <w:tcPr>
            <w:tcW w:w="1225" w:type="pct"/>
            <w:tcBorders>
              <w:top w:val="single" w:color="auto" w:sz="8" w:space="0"/>
              <w:left w:val="nil"/>
              <w:bottom w:val="single" w:color="auto" w:sz="6" w:space="0"/>
              <w:right w:val="nil"/>
            </w:tcBorders>
            <w:shd w:val="clear" w:color="auto" w:fill="FFFFFF"/>
            <w:vAlign w:val="center"/>
          </w:tcPr>
          <w:p w14:paraId="2F2F6B85">
            <w:pPr>
              <w:pStyle w:val="26"/>
              <w:rPr>
                <w:rFonts w:hint="default"/>
                <w:color w:val="auto"/>
                <w:highlight w:val="yellow"/>
              </w:rPr>
            </w:pPr>
            <w:r>
              <w:rPr>
                <w:rFonts w:hint="default"/>
                <w:color w:val="auto"/>
                <w:highlight w:val="yellow"/>
              </w:rPr>
              <w:t>90%CI</w:t>
            </w:r>
          </w:p>
        </w:tc>
        <w:tc>
          <w:tcPr>
            <w:tcW w:w="1298" w:type="pct"/>
            <w:tcBorders>
              <w:top w:val="single" w:color="auto" w:sz="8" w:space="0"/>
              <w:left w:val="nil"/>
              <w:bottom w:val="single" w:color="auto" w:sz="6" w:space="0"/>
              <w:right w:val="nil"/>
            </w:tcBorders>
            <w:shd w:val="clear" w:color="auto" w:fill="FFFFFF"/>
            <w:vAlign w:val="center"/>
          </w:tcPr>
          <w:p w14:paraId="493C9087">
            <w:pPr>
              <w:pStyle w:val="26"/>
              <w:rPr>
                <w:rFonts w:hint="default"/>
                <w:color w:val="auto"/>
                <w:highlight w:val="yellow"/>
              </w:rPr>
            </w:pPr>
            <w:r>
              <w:rPr>
                <w:rFonts w:hint="default"/>
                <w:color w:val="auto"/>
                <w:highlight w:val="yellow"/>
              </w:rPr>
              <w:t>等价区间</w:t>
            </w:r>
          </w:p>
        </w:tc>
        <w:tc>
          <w:tcPr>
            <w:tcW w:w="843" w:type="pct"/>
            <w:tcBorders>
              <w:top w:val="single" w:color="auto" w:sz="8" w:space="0"/>
              <w:left w:val="nil"/>
              <w:bottom w:val="single" w:color="auto" w:sz="6" w:space="0"/>
              <w:right w:val="nil"/>
            </w:tcBorders>
            <w:shd w:val="clear" w:color="auto" w:fill="FFFFFF"/>
            <w:vAlign w:val="center"/>
          </w:tcPr>
          <w:p w14:paraId="33816243">
            <w:pPr>
              <w:pStyle w:val="26"/>
              <w:rPr>
                <w:rFonts w:hint="default"/>
                <w:color w:val="auto"/>
                <w:highlight w:val="yellow"/>
              </w:rPr>
            </w:pPr>
            <w:r>
              <w:rPr>
                <w:rFonts w:hint="default"/>
                <w:color w:val="auto"/>
                <w:highlight w:val="yellow"/>
              </w:rPr>
              <w:t>TOST结论</w:t>
            </w:r>
          </w:p>
        </w:tc>
      </w:tr>
      <w:tr w14:paraId="618A8DA2">
        <w:tblPrEx>
          <w:tblCellMar>
            <w:top w:w="0" w:type="dxa"/>
            <w:left w:w="108" w:type="dxa"/>
            <w:bottom w:w="0" w:type="dxa"/>
            <w:right w:w="108" w:type="dxa"/>
          </w:tblCellMar>
        </w:tblPrEx>
        <w:trPr>
          <w:trHeight w:val="479" w:hRule="atLeast"/>
        </w:trPr>
        <w:tc>
          <w:tcPr>
            <w:tcW w:w="590" w:type="pct"/>
            <w:tcBorders>
              <w:top w:val="single" w:color="auto" w:sz="6" w:space="0"/>
              <w:left w:val="nil"/>
              <w:bottom w:val="nil"/>
              <w:right w:val="nil"/>
            </w:tcBorders>
            <w:shd w:val="clear" w:color="auto" w:fill="FFFFFF"/>
          </w:tcPr>
          <w:p w14:paraId="68E52225">
            <w:pPr>
              <w:pStyle w:val="26"/>
              <w:rPr>
                <w:rFonts w:hint="default"/>
                <w:color w:val="auto"/>
                <w:highlight w:val="yellow"/>
              </w:rPr>
            </w:pPr>
            <w:r>
              <w:rPr>
                <w:rFonts w:hint="default"/>
                <w:color w:val="auto"/>
                <w:highlight w:val="yellow"/>
              </w:rPr>
              <w:t>高置信</w:t>
            </w:r>
          </w:p>
        </w:tc>
        <w:tc>
          <w:tcPr>
            <w:tcW w:w="1041" w:type="pct"/>
            <w:tcBorders>
              <w:top w:val="single" w:color="auto" w:sz="6" w:space="0"/>
              <w:left w:val="nil"/>
              <w:bottom w:val="nil"/>
              <w:right w:val="nil"/>
            </w:tcBorders>
            <w:shd w:val="clear" w:color="auto" w:fill="FFFFFF"/>
          </w:tcPr>
          <w:p w14:paraId="395BCCEB">
            <w:pPr>
              <w:pStyle w:val="26"/>
              <w:rPr>
                <w:rFonts w:hint="default"/>
                <w:color w:val="auto"/>
                <w:highlight w:val="yellow"/>
              </w:rPr>
            </w:pPr>
            <w:r>
              <w:rPr>
                <w:rFonts w:hint="default"/>
                <w:color w:val="auto"/>
                <w:highlight w:val="yellow"/>
              </w:rPr>
              <w:t>96.59%</w:t>
            </w:r>
          </w:p>
        </w:tc>
        <w:tc>
          <w:tcPr>
            <w:tcW w:w="1225" w:type="pct"/>
            <w:tcBorders>
              <w:top w:val="single" w:color="auto" w:sz="6" w:space="0"/>
              <w:left w:val="nil"/>
              <w:bottom w:val="nil"/>
              <w:right w:val="nil"/>
            </w:tcBorders>
            <w:shd w:val="clear" w:color="auto" w:fill="FFFFFF"/>
          </w:tcPr>
          <w:p w14:paraId="11D1274B">
            <w:pPr>
              <w:pStyle w:val="26"/>
              <w:rPr>
                <w:rFonts w:hint="default"/>
                <w:color w:val="auto"/>
                <w:highlight w:val="yellow"/>
              </w:rPr>
            </w:pPr>
            <w:r>
              <w:rPr>
                <w:rFonts w:hint="default"/>
                <w:color w:val="auto"/>
                <w:highlight w:val="yellow"/>
              </w:rPr>
              <w:t>(95.17%, 98.01%)</w:t>
            </w:r>
          </w:p>
        </w:tc>
        <w:tc>
          <w:tcPr>
            <w:tcW w:w="1298" w:type="pct"/>
            <w:tcBorders>
              <w:top w:val="single" w:color="auto" w:sz="6" w:space="0"/>
              <w:left w:val="nil"/>
              <w:bottom w:val="nil"/>
              <w:right w:val="nil"/>
            </w:tcBorders>
            <w:shd w:val="clear" w:color="auto" w:fill="FFFFFF"/>
          </w:tcPr>
          <w:p w14:paraId="1FDD2C82">
            <w:pPr>
              <w:pStyle w:val="26"/>
              <w:rPr>
                <w:rFonts w:hint="default"/>
                <w:color w:val="auto"/>
                <w:highlight w:val="yellow"/>
              </w:rPr>
            </w:pPr>
            <w:r>
              <w:rPr>
                <w:rFonts w:hint="default"/>
                <w:color w:val="auto"/>
                <w:highlight w:val="yellow"/>
              </w:rPr>
              <w:t>(94.91%, 100.91%)</w:t>
            </w:r>
          </w:p>
        </w:tc>
        <w:tc>
          <w:tcPr>
            <w:tcW w:w="843" w:type="pct"/>
            <w:tcBorders>
              <w:top w:val="single" w:color="auto" w:sz="6" w:space="0"/>
              <w:left w:val="nil"/>
              <w:bottom w:val="nil"/>
              <w:right w:val="nil"/>
            </w:tcBorders>
            <w:shd w:val="clear" w:color="auto" w:fill="FFFFFF"/>
          </w:tcPr>
          <w:p w14:paraId="03013CEA">
            <w:pPr>
              <w:pStyle w:val="26"/>
              <w:rPr>
                <w:rFonts w:hint="default"/>
                <w:color w:val="auto"/>
                <w:highlight w:val="yellow"/>
              </w:rPr>
            </w:pPr>
            <w:r>
              <w:rPr>
                <w:rFonts w:hint="default"/>
                <w:color w:val="auto"/>
                <w:highlight w:val="yellow"/>
              </w:rPr>
              <w:t>通过</w:t>
            </w:r>
          </w:p>
        </w:tc>
      </w:tr>
      <w:tr w14:paraId="55F9A4C4">
        <w:tblPrEx>
          <w:tblCellMar>
            <w:top w:w="0" w:type="dxa"/>
            <w:left w:w="108" w:type="dxa"/>
            <w:bottom w:w="0" w:type="dxa"/>
            <w:right w:w="108" w:type="dxa"/>
          </w:tblCellMar>
        </w:tblPrEx>
        <w:trPr>
          <w:trHeight w:val="471" w:hRule="atLeast"/>
        </w:trPr>
        <w:tc>
          <w:tcPr>
            <w:tcW w:w="590" w:type="pct"/>
            <w:tcBorders>
              <w:top w:val="nil"/>
              <w:left w:val="nil"/>
              <w:bottom w:val="single" w:color="auto" w:sz="8" w:space="0"/>
              <w:right w:val="nil"/>
            </w:tcBorders>
            <w:shd w:val="clear" w:color="auto" w:fill="FFFFFF"/>
          </w:tcPr>
          <w:p w14:paraId="1B687BA3">
            <w:pPr>
              <w:pStyle w:val="26"/>
              <w:rPr>
                <w:rFonts w:hint="default"/>
                <w:color w:val="auto"/>
                <w:highlight w:val="yellow"/>
              </w:rPr>
            </w:pPr>
            <w:r>
              <w:rPr>
                <w:rFonts w:hint="default"/>
                <w:color w:val="auto"/>
                <w:highlight w:val="yellow"/>
              </w:rPr>
              <w:t>低置信</w:t>
            </w:r>
          </w:p>
        </w:tc>
        <w:tc>
          <w:tcPr>
            <w:tcW w:w="1041" w:type="pct"/>
            <w:tcBorders>
              <w:top w:val="nil"/>
              <w:left w:val="nil"/>
              <w:bottom w:val="single" w:color="auto" w:sz="8" w:space="0"/>
              <w:right w:val="nil"/>
            </w:tcBorders>
            <w:shd w:val="clear" w:color="auto" w:fill="FFFFFF"/>
          </w:tcPr>
          <w:p w14:paraId="125BE965">
            <w:pPr>
              <w:pStyle w:val="26"/>
              <w:rPr>
                <w:rFonts w:hint="default"/>
                <w:color w:val="auto"/>
                <w:highlight w:val="yellow"/>
              </w:rPr>
            </w:pPr>
            <w:r>
              <w:rPr>
                <w:rFonts w:hint="default"/>
                <w:color w:val="auto"/>
                <w:highlight w:val="yellow"/>
              </w:rPr>
              <w:t>82.12%</w:t>
            </w:r>
          </w:p>
        </w:tc>
        <w:tc>
          <w:tcPr>
            <w:tcW w:w="1225" w:type="pct"/>
            <w:tcBorders>
              <w:top w:val="nil"/>
              <w:left w:val="nil"/>
              <w:bottom w:val="single" w:color="auto" w:sz="8" w:space="0"/>
              <w:right w:val="nil"/>
            </w:tcBorders>
            <w:shd w:val="clear" w:color="auto" w:fill="FFFFFF"/>
          </w:tcPr>
          <w:p w14:paraId="6B157E9D">
            <w:pPr>
              <w:pStyle w:val="26"/>
              <w:rPr>
                <w:rFonts w:hint="default"/>
                <w:color w:val="auto"/>
                <w:highlight w:val="yellow"/>
              </w:rPr>
            </w:pPr>
            <w:r>
              <w:rPr>
                <w:rFonts w:hint="default"/>
                <w:color w:val="auto"/>
                <w:highlight w:val="yellow"/>
              </w:rPr>
              <w:t>(78.65%, 85.59%)</w:t>
            </w:r>
          </w:p>
        </w:tc>
        <w:tc>
          <w:tcPr>
            <w:tcW w:w="1298" w:type="pct"/>
            <w:tcBorders>
              <w:top w:val="nil"/>
              <w:left w:val="nil"/>
              <w:bottom w:val="single" w:color="auto" w:sz="8" w:space="0"/>
              <w:right w:val="nil"/>
            </w:tcBorders>
            <w:shd w:val="clear" w:color="auto" w:fill="FFFFFF"/>
          </w:tcPr>
          <w:p w14:paraId="32A72C58">
            <w:pPr>
              <w:pStyle w:val="26"/>
              <w:rPr>
                <w:rFonts w:hint="default"/>
                <w:color w:val="auto"/>
                <w:highlight w:val="yellow"/>
              </w:rPr>
            </w:pPr>
            <w:r>
              <w:rPr>
                <w:rFonts w:hint="default"/>
                <w:color w:val="auto"/>
                <w:highlight w:val="yellow"/>
              </w:rPr>
              <w:t>(84.16%, 90.16%)</w:t>
            </w:r>
          </w:p>
        </w:tc>
        <w:tc>
          <w:tcPr>
            <w:tcW w:w="843" w:type="pct"/>
            <w:tcBorders>
              <w:top w:val="nil"/>
              <w:left w:val="nil"/>
              <w:bottom w:val="single" w:color="auto" w:sz="8" w:space="0"/>
              <w:right w:val="nil"/>
            </w:tcBorders>
            <w:shd w:val="clear" w:color="auto" w:fill="FFFFFF"/>
          </w:tcPr>
          <w:p w14:paraId="525D079B">
            <w:pPr>
              <w:pStyle w:val="26"/>
              <w:rPr>
                <w:rFonts w:hint="default"/>
                <w:color w:val="auto"/>
                <w:highlight w:val="yellow"/>
              </w:rPr>
            </w:pPr>
            <w:r>
              <w:rPr>
                <w:rFonts w:hint="default"/>
                <w:color w:val="auto"/>
                <w:highlight w:val="yellow"/>
              </w:rPr>
              <w:t>未通过</w:t>
            </w:r>
          </w:p>
        </w:tc>
      </w:tr>
    </w:tbl>
    <w:p w14:paraId="6532DCC6">
      <w:pPr>
        <w:ind w:firstLine="480"/>
        <w:rPr>
          <w:color w:val="auto"/>
          <w:highlight w:val="yellow"/>
        </w:rPr>
      </w:pPr>
      <w:r>
        <w:rPr>
          <w:rFonts w:hint="eastAsia"/>
          <w:color w:val="auto"/>
          <w:highlight w:val="yellow"/>
        </w:rPr>
        <w:t>检验结果表明，D3高置信层与D2高置信层在统计意义上等价，可以作为训练数据保留；D3低置信层未通过等价性检验，且其准确率明显低于D2整体水平，继续使用会增加训练标签噪声。因此，本文过滤D3低置信样本，仅保留D3高置信样本33327条，并与D2的1104条专家校对样本合并，得到34431条高质量标注数据。</w:t>
      </w:r>
    </w:p>
    <w:p w14:paraId="6B4C9582">
      <w:pPr>
        <w:pStyle w:val="3"/>
        <w:numPr>
          <w:ilvl w:val="1"/>
          <w:numId w:val="1"/>
        </w:numPr>
        <w:tabs>
          <w:tab w:val="clear" w:pos="420"/>
        </w:tabs>
        <w:rPr>
          <w:color w:val="auto"/>
          <w:highlight w:val="yellow"/>
        </w:rPr>
      </w:pPr>
      <w:bookmarkStart w:id="155" w:name="_Toc26443"/>
      <w:bookmarkStart w:id="156" w:name="_Toc229086893"/>
      <w:r>
        <w:rPr>
          <w:rFonts w:hint="eastAsia"/>
          <w:color w:val="auto"/>
          <w:highlight w:val="yellow"/>
        </w:rPr>
        <w:t>数据增强</w:t>
      </w:r>
      <w:bookmarkEnd w:id="152"/>
      <w:bookmarkEnd w:id="155"/>
      <w:bookmarkEnd w:id="156"/>
    </w:p>
    <w:p w14:paraId="7410868C">
      <w:pPr>
        <w:ind w:firstLine="480"/>
        <w:rPr>
          <w:color w:val="auto"/>
          <w:highlight w:val="yellow"/>
        </w:rPr>
      </w:pPr>
      <w:r>
        <w:rPr>
          <w:rFonts w:hint="eastAsia"/>
          <w:color w:val="auto"/>
          <w:highlight w:val="yellow"/>
        </w:rPr>
        <w:t>置信度过滤提高了标签质量，但也放大了部分类别的长尾问题。过滤后，“输血、透析和体外循环器械”仅有31条样本，是所有类别中样本量最少的一类。是否需要增强，不能只按样本数量判断。本文采用训练过程中的可学习性作为依据，若某类别在常规训练中测试集Recall持续为0或接近0，则说明模型难以学习到该类别的有效边界，才对该类别进行增强。</w:t>
      </w:r>
    </w:p>
    <w:p w14:paraId="39069F79">
      <w:pPr>
        <w:ind w:firstLine="480"/>
        <w:rPr>
          <w:color w:val="auto"/>
          <w:highlight w:val="yellow"/>
        </w:rPr>
      </w:pPr>
      <w:r>
        <w:rPr>
          <w:rFonts w:hint="eastAsia"/>
          <w:color w:val="auto"/>
          <w:highlight w:val="yellow"/>
        </w:rPr>
        <w:t>在不使用增强数据时，“输血、透析和体外循环器械”在前8轮训练中的测试集Recall均为0，第9轮才达到0.33，F1-score为0.50。与之相比，样本量为98条的“医疗器械消毒灭菌器械”在第2轮训练时Recall已达到0.89，此后保持较高水平。也就是说，在本研究中31条样本对应的类别处于模型难以学习的区间，而98条及以上的少样本类别已具备基本可学习性。因此本文仅对“输血、透析和体外循环器械”进行LLM数据增强。增强时，本文从该类别真实专利中提取独立权利要求和第一权利要求，将其中的技术内容作为输入，要求LLM在不改变关键技术实体、技术逻辑和技术边界的前提下改写为摘要形式文本。最终生成62条增强摘要，使该类别样本量由31条增加到93条。</w:t>
      </w:r>
    </w:p>
    <w:p w14:paraId="4E20AD1D">
      <w:pPr>
        <w:ind w:firstLine="420" w:firstLineChars="0"/>
        <w:rPr>
          <w:color w:val="auto"/>
          <w:highlight w:val="yellow"/>
        </w:rPr>
      </w:pPr>
      <w:r>
        <w:rPr>
          <w:rFonts w:hint="eastAsia"/>
          <w:color w:val="auto"/>
          <w:highlight w:val="yellow"/>
        </w:rPr>
        <w:t>专利文本具有较强的技术严谨性，生成式增强不能只看文本是否通顺。本文对生成摘要进行专家核验，重点检查三个方面，关键实体是否保留，实体之间的技术关系是否自洽，生成文本是否引入原文未披露的技术特征。通过核验后的增强样本才进入最终训练集。</w:t>
      </w:r>
    </w:p>
    <w:p w14:paraId="569E084D">
      <w:pPr>
        <w:ind w:firstLine="420" w:firstLineChars="0"/>
        <w:rPr>
          <w:color w:val="auto"/>
          <w:highlight w:val="yellow"/>
        </w:rPr>
      </w:pPr>
      <w:r>
        <w:rPr>
          <w:rFonts w:hint="eastAsia"/>
          <w:color w:val="auto"/>
          <w:highlight w:val="yellow"/>
        </w:rPr>
        <w:t>在人工核验之外，本文使用bge-large-zh-v1.5嵌入向量计算余弦相似度，作为语义层面的辅助证据。这里比较三组相似度。第一组是“增强摘要与来源专利摘要”，即每条生成摘要和其对应原专利摘要之间的相似度，用来观察改写后是否仍贴近原文。第二组是“原始同类专利两两之间”，即31条真实的输血、透析和体外循环器械专利之间的两两相似度，用来表示同一类别内部不同真实专利的自然差异。第三组是“增强摘要两两之间”，用来观察生成样本之间是否过度相似，结果见表3-14。</w:t>
      </w:r>
    </w:p>
    <w:p w14:paraId="39AA65BB">
      <w:pPr>
        <w:pStyle w:val="25"/>
        <w:rPr>
          <w:rFonts w:hint="default"/>
          <w:color w:val="auto"/>
          <w:highlight w:val="yellow"/>
        </w:rPr>
      </w:pPr>
      <w:r>
        <w:rPr>
          <w:rFonts w:hint="default"/>
          <w:color w:val="auto"/>
          <w:highlight w:val="yellow"/>
        </w:rPr>
        <w:t>表3-1</w:t>
      </w:r>
      <w:r>
        <w:rPr>
          <w:color w:val="auto"/>
          <w:highlight w:val="yellow"/>
        </w:rPr>
        <w:t xml:space="preserve">4  </w:t>
      </w:r>
      <w:r>
        <w:rPr>
          <w:rFonts w:hint="default"/>
          <w:color w:val="auto"/>
          <w:highlight w:val="yellow"/>
        </w:rPr>
        <w:t>LLM增强摘要与原始摘要的BGE相似度分析</w:t>
      </w:r>
    </w:p>
    <w:tbl>
      <w:tblPr>
        <w:tblStyle w:val="15"/>
        <w:tblW w:w="4998" w:type="pct"/>
        <w:tblInd w:w="0" w:type="dxa"/>
        <w:tblLayout w:type="autofit"/>
        <w:tblCellMar>
          <w:top w:w="0" w:type="dxa"/>
          <w:left w:w="108" w:type="dxa"/>
          <w:bottom w:w="0" w:type="dxa"/>
          <w:right w:w="108" w:type="dxa"/>
        </w:tblCellMar>
      </w:tblPr>
      <w:tblGrid>
        <w:gridCol w:w="1140"/>
        <w:gridCol w:w="2837"/>
        <w:gridCol w:w="2554"/>
        <w:gridCol w:w="1988"/>
      </w:tblGrid>
      <w:tr w14:paraId="44E9EA4E">
        <w:tblPrEx>
          <w:tblCellMar>
            <w:top w:w="0" w:type="dxa"/>
            <w:left w:w="108" w:type="dxa"/>
            <w:bottom w:w="0" w:type="dxa"/>
            <w:right w:w="108" w:type="dxa"/>
          </w:tblCellMar>
        </w:tblPrEx>
        <w:trPr>
          <w:trHeight w:val="471" w:hRule="atLeast"/>
        </w:trPr>
        <w:tc>
          <w:tcPr>
            <w:tcW w:w="669" w:type="pct"/>
            <w:tcBorders>
              <w:top w:val="single" w:color="auto" w:sz="8" w:space="0"/>
              <w:left w:val="nil"/>
              <w:bottom w:val="single" w:color="auto" w:sz="6" w:space="0"/>
              <w:right w:val="nil"/>
            </w:tcBorders>
            <w:shd w:val="clear" w:color="auto" w:fill="FFFFFF"/>
            <w:vAlign w:val="center"/>
          </w:tcPr>
          <w:p w14:paraId="590D9C29">
            <w:pPr>
              <w:pStyle w:val="26"/>
              <w:rPr>
                <w:rFonts w:hint="default"/>
                <w:color w:val="auto"/>
                <w:highlight w:val="yellow"/>
              </w:rPr>
            </w:pPr>
            <w:r>
              <w:rPr>
                <w:rFonts w:hint="default"/>
                <w:color w:val="auto"/>
                <w:highlight w:val="yellow"/>
              </w:rPr>
              <w:t>指标</w:t>
            </w:r>
          </w:p>
        </w:tc>
        <w:tc>
          <w:tcPr>
            <w:tcW w:w="1665" w:type="pct"/>
            <w:tcBorders>
              <w:top w:val="single" w:color="auto" w:sz="8" w:space="0"/>
              <w:left w:val="nil"/>
              <w:bottom w:val="single" w:color="auto" w:sz="6" w:space="0"/>
              <w:right w:val="nil"/>
            </w:tcBorders>
            <w:shd w:val="clear" w:color="auto" w:fill="FFFFFF"/>
            <w:vAlign w:val="center"/>
          </w:tcPr>
          <w:p w14:paraId="7A2CB9F1">
            <w:pPr>
              <w:pStyle w:val="26"/>
              <w:rPr>
                <w:rFonts w:hint="default"/>
                <w:color w:val="auto"/>
                <w:highlight w:val="yellow"/>
              </w:rPr>
            </w:pPr>
            <w:r>
              <w:rPr>
                <w:rFonts w:hint="default"/>
                <w:color w:val="auto"/>
                <w:highlight w:val="yellow"/>
              </w:rPr>
              <w:t>生成摘要与对应原文</w:t>
            </w:r>
          </w:p>
        </w:tc>
        <w:tc>
          <w:tcPr>
            <w:tcW w:w="1499" w:type="pct"/>
            <w:tcBorders>
              <w:top w:val="single" w:color="auto" w:sz="8" w:space="0"/>
              <w:left w:val="nil"/>
              <w:bottom w:val="single" w:color="auto" w:sz="6" w:space="0"/>
              <w:right w:val="nil"/>
            </w:tcBorders>
            <w:shd w:val="clear" w:color="auto" w:fill="FFFFFF"/>
            <w:vAlign w:val="center"/>
          </w:tcPr>
          <w:p w14:paraId="20E645B8">
            <w:pPr>
              <w:pStyle w:val="26"/>
              <w:rPr>
                <w:rFonts w:hint="default"/>
                <w:color w:val="auto"/>
                <w:highlight w:val="yellow"/>
              </w:rPr>
            </w:pPr>
            <w:r>
              <w:rPr>
                <w:rFonts w:hint="default"/>
                <w:color w:val="auto"/>
                <w:highlight w:val="yellow"/>
              </w:rPr>
              <w:t>原始同类专利之间</w:t>
            </w:r>
          </w:p>
        </w:tc>
        <w:tc>
          <w:tcPr>
            <w:tcW w:w="1167" w:type="pct"/>
            <w:tcBorders>
              <w:top w:val="single" w:color="auto" w:sz="8" w:space="0"/>
              <w:left w:val="nil"/>
              <w:bottom w:val="single" w:color="auto" w:sz="6" w:space="0"/>
              <w:right w:val="nil"/>
            </w:tcBorders>
            <w:shd w:val="clear" w:color="auto" w:fill="FFFFFF"/>
            <w:vAlign w:val="center"/>
          </w:tcPr>
          <w:p w14:paraId="3D0D5E5D">
            <w:pPr>
              <w:pStyle w:val="26"/>
              <w:rPr>
                <w:rFonts w:hint="default"/>
                <w:color w:val="auto"/>
                <w:highlight w:val="yellow"/>
              </w:rPr>
            </w:pPr>
            <w:r>
              <w:rPr>
                <w:rFonts w:hint="default"/>
                <w:color w:val="auto"/>
                <w:highlight w:val="yellow"/>
              </w:rPr>
              <w:t>生成摘要之间</w:t>
            </w:r>
          </w:p>
        </w:tc>
      </w:tr>
      <w:tr w14:paraId="604E9DA4">
        <w:tblPrEx>
          <w:tblCellMar>
            <w:top w:w="0" w:type="dxa"/>
            <w:left w:w="108" w:type="dxa"/>
            <w:bottom w:w="0" w:type="dxa"/>
            <w:right w:w="108" w:type="dxa"/>
          </w:tblCellMar>
        </w:tblPrEx>
        <w:trPr>
          <w:trHeight w:val="471" w:hRule="atLeast"/>
        </w:trPr>
        <w:tc>
          <w:tcPr>
            <w:tcW w:w="669" w:type="pct"/>
            <w:tcBorders>
              <w:top w:val="single" w:color="auto" w:sz="6" w:space="0"/>
              <w:left w:val="nil"/>
              <w:bottom w:val="nil"/>
              <w:right w:val="nil"/>
            </w:tcBorders>
            <w:shd w:val="clear" w:color="auto" w:fill="FFFFFF"/>
          </w:tcPr>
          <w:p w14:paraId="5CCE87FA">
            <w:pPr>
              <w:pStyle w:val="26"/>
              <w:rPr>
                <w:rFonts w:hint="default"/>
                <w:color w:val="auto"/>
                <w:highlight w:val="yellow"/>
              </w:rPr>
            </w:pPr>
            <w:r>
              <w:rPr>
                <w:rFonts w:hint="default"/>
                <w:color w:val="auto"/>
                <w:highlight w:val="yellow"/>
              </w:rPr>
              <w:t>样本数</w:t>
            </w:r>
          </w:p>
        </w:tc>
        <w:tc>
          <w:tcPr>
            <w:tcW w:w="1665" w:type="pct"/>
            <w:tcBorders>
              <w:top w:val="single" w:color="auto" w:sz="6" w:space="0"/>
              <w:left w:val="nil"/>
              <w:bottom w:val="nil"/>
              <w:right w:val="nil"/>
            </w:tcBorders>
            <w:shd w:val="clear" w:color="auto" w:fill="FFFFFF"/>
          </w:tcPr>
          <w:p w14:paraId="7A437342">
            <w:pPr>
              <w:pStyle w:val="26"/>
              <w:rPr>
                <w:rFonts w:hint="default"/>
                <w:color w:val="auto"/>
                <w:highlight w:val="yellow"/>
              </w:rPr>
            </w:pPr>
            <w:r>
              <w:rPr>
                <w:rFonts w:hint="default"/>
                <w:color w:val="auto"/>
                <w:highlight w:val="yellow"/>
              </w:rPr>
              <w:t>62</w:t>
            </w:r>
          </w:p>
        </w:tc>
        <w:tc>
          <w:tcPr>
            <w:tcW w:w="1499" w:type="pct"/>
            <w:tcBorders>
              <w:top w:val="single" w:color="auto" w:sz="6" w:space="0"/>
              <w:left w:val="nil"/>
              <w:bottom w:val="nil"/>
              <w:right w:val="nil"/>
            </w:tcBorders>
            <w:shd w:val="clear" w:color="auto" w:fill="FFFFFF"/>
          </w:tcPr>
          <w:p w14:paraId="08A9AB55">
            <w:pPr>
              <w:pStyle w:val="26"/>
              <w:rPr>
                <w:rFonts w:hint="default"/>
                <w:color w:val="auto"/>
                <w:highlight w:val="yellow"/>
              </w:rPr>
            </w:pPr>
            <w:r>
              <w:rPr>
                <w:rFonts w:hint="default"/>
                <w:color w:val="auto"/>
                <w:highlight w:val="yellow"/>
              </w:rPr>
              <w:t>465</w:t>
            </w:r>
          </w:p>
        </w:tc>
        <w:tc>
          <w:tcPr>
            <w:tcW w:w="1167" w:type="pct"/>
            <w:tcBorders>
              <w:top w:val="single" w:color="auto" w:sz="6" w:space="0"/>
              <w:left w:val="nil"/>
              <w:bottom w:val="nil"/>
              <w:right w:val="nil"/>
            </w:tcBorders>
            <w:shd w:val="clear" w:color="auto" w:fill="FFFFFF"/>
          </w:tcPr>
          <w:p w14:paraId="701E9532">
            <w:pPr>
              <w:pStyle w:val="26"/>
              <w:rPr>
                <w:rFonts w:hint="default"/>
                <w:color w:val="auto"/>
                <w:highlight w:val="yellow"/>
              </w:rPr>
            </w:pPr>
            <w:r>
              <w:rPr>
                <w:rFonts w:hint="default"/>
                <w:color w:val="auto"/>
                <w:highlight w:val="yellow"/>
              </w:rPr>
              <w:t>1891</w:t>
            </w:r>
          </w:p>
        </w:tc>
      </w:tr>
      <w:tr w14:paraId="71E2842D">
        <w:tblPrEx>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tcPr>
          <w:p w14:paraId="43028DCB">
            <w:pPr>
              <w:pStyle w:val="26"/>
              <w:rPr>
                <w:rFonts w:hint="default"/>
                <w:color w:val="auto"/>
                <w:highlight w:val="yellow"/>
              </w:rPr>
            </w:pPr>
            <w:r>
              <w:rPr>
                <w:rFonts w:hint="default"/>
                <w:color w:val="auto"/>
                <w:highlight w:val="yellow"/>
              </w:rPr>
              <w:t>均值</w:t>
            </w:r>
          </w:p>
        </w:tc>
        <w:tc>
          <w:tcPr>
            <w:tcW w:w="1665" w:type="pct"/>
            <w:tcBorders>
              <w:top w:val="nil"/>
              <w:left w:val="nil"/>
              <w:bottom w:val="nil"/>
              <w:right w:val="nil"/>
            </w:tcBorders>
            <w:shd w:val="clear" w:color="auto" w:fill="FFFFFF"/>
          </w:tcPr>
          <w:p w14:paraId="54069031">
            <w:pPr>
              <w:pStyle w:val="26"/>
              <w:rPr>
                <w:rFonts w:hint="default"/>
                <w:color w:val="auto"/>
                <w:highlight w:val="yellow"/>
              </w:rPr>
            </w:pPr>
            <w:r>
              <w:rPr>
                <w:rFonts w:hint="default"/>
                <w:color w:val="auto"/>
                <w:highlight w:val="yellow"/>
              </w:rPr>
              <w:t>0.831</w:t>
            </w:r>
            <w:r>
              <w:rPr>
                <w:color w:val="auto"/>
                <w:highlight w:val="yellow"/>
              </w:rPr>
              <w:t>0</w:t>
            </w:r>
          </w:p>
        </w:tc>
        <w:tc>
          <w:tcPr>
            <w:tcW w:w="1499" w:type="pct"/>
            <w:tcBorders>
              <w:top w:val="nil"/>
              <w:left w:val="nil"/>
              <w:bottom w:val="nil"/>
              <w:right w:val="nil"/>
            </w:tcBorders>
            <w:shd w:val="clear" w:color="auto" w:fill="FFFFFF"/>
          </w:tcPr>
          <w:p w14:paraId="1AD693C6">
            <w:pPr>
              <w:pStyle w:val="26"/>
              <w:rPr>
                <w:rFonts w:hint="default"/>
                <w:color w:val="auto"/>
                <w:highlight w:val="yellow"/>
              </w:rPr>
            </w:pPr>
            <w:r>
              <w:rPr>
                <w:rFonts w:hint="default"/>
                <w:color w:val="auto"/>
                <w:highlight w:val="yellow"/>
              </w:rPr>
              <w:t>0.5637</w:t>
            </w:r>
          </w:p>
        </w:tc>
        <w:tc>
          <w:tcPr>
            <w:tcW w:w="1167" w:type="pct"/>
            <w:tcBorders>
              <w:top w:val="nil"/>
              <w:left w:val="nil"/>
              <w:bottom w:val="nil"/>
              <w:right w:val="nil"/>
            </w:tcBorders>
            <w:shd w:val="clear" w:color="auto" w:fill="FFFFFF"/>
          </w:tcPr>
          <w:p w14:paraId="34EFE2F4">
            <w:pPr>
              <w:pStyle w:val="26"/>
              <w:rPr>
                <w:rFonts w:hint="default"/>
                <w:color w:val="auto"/>
                <w:highlight w:val="yellow"/>
              </w:rPr>
            </w:pPr>
            <w:r>
              <w:rPr>
                <w:rFonts w:hint="default"/>
                <w:color w:val="auto"/>
                <w:highlight w:val="yellow"/>
              </w:rPr>
              <w:t>0.6397</w:t>
            </w:r>
          </w:p>
        </w:tc>
      </w:tr>
      <w:tr w14:paraId="50F49AA8">
        <w:tblPrEx>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tcPr>
          <w:p w14:paraId="19F5B4E0">
            <w:pPr>
              <w:pStyle w:val="26"/>
              <w:rPr>
                <w:rFonts w:hint="default"/>
                <w:color w:val="auto"/>
                <w:highlight w:val="yellow"/>
              </w:rPr>
            </w:pPr>
            <w:r>
              <w:rPr>
                <w:rFonts w:hint="default"/>
                <w:color w:val="auto"/>
                <w:highlight w:val="yellow"/>
              </w:rPr>
              <w:t>标准差</w:t>
            </w:r>
          </w:p>
        </w:tc>
        <w:tc>
          <w:tcPr>
            <w:tcW w:w="1665" w:type="pct"/>
            <w:tcBorders>
              <w:top w:val="nil"/>
              <w:left w:val="nil"/>
              <w:bottom w:val="nil"/>
              <w:right w:val="nil"/>
            </w:tcBorders>
            <w:shd w:val="clear" w:color="auto" w:fill="FFFFFF"/>
          </w:tcPr>
          <w:p w14:paraId="0228B90A">
            <w:pPr>
              <w:pStyle w:val="26"/>
              <w:rPr>
                <w:rFonts w:hint="default"/>
                <w:color w:val="auto"/>
                <w:highlight w:val="yellow"/>
              </w:rPr>
            </w:pPr>
            <w:r>
              <w:rPr>
                <w:rFonts w:hint="default"/>
                <w:color w:val="auto"/>
                <w:highlight w:val="yellow"/>
              </w:rPr>
              <w:t>0.0722</w:t>
            </w:r>
          </w:p>
        </w:tc>
        <w:tc>
          <w:tcPr>
            <w:tcW w:w="1499" w:type="pct"/>
            <w:tcBorders>
              <w:top w:val="nil"/>
              <w:left w:val="nil"/>
              <w:bottom w:val="nil"/>
              <w:right w:val="nil"/>
            </w:tcBorders>
            <w:shd w:val="clear" w:color="auto" w:fill="FFFFFF"/>
          </w:tcPr>
          <w:p w14:paraId="6F4F68EE">
            <w:pPr>
              <w:pStyle w:val="26"/>
              <w:rPr>
                <w:rFonts w:hint="default"/>
                <w:color w:val="auto"/>
                <w:highlight w:val="yellow"/>
              </w:rPr>
            </w:pPr>
            <w:r>
              <w:rPr>
                <w:rFonts w:hint="default"/>
                <w:color w:val="auto"/>
                <w:highlight w:val="yellow"/>
              </w:rPr>
              <w:t>0.0983</w:t>
            </w:r>
          </w:p>
        </w:tc>
        <w:tc>
          <w:tcPr>
            <w:tcW w:w="1167" w:type="pct"/>
            <w:tcBorders>
              <w:top w:val="nil"/>
              <w:left w:val="nil"/>
              <w:bottom w:val="nil"/>
              <w:right w:val="nil"/>
            </w:tcBorders>
            <w:shd w:val="clear" w:color="auto" w:fill="FFFFFF"/>
          </w:tcPr>
          <w:p w14:paraId="54796A6C">
            <w:pPr>
              <w:pStyle w:val="26"/>
              <w:rPr>
                <w:rFonts w:hint="default"/>
                <w:color w:val="auto"/>
                <w:highlight w:val="yellow"/>
              </w:rPr>
            </w:pPr>
            <w:r>
              <w:rPr>
                <w:rFonts w:hint="default"/>
                <w:color w:val="auto"/>
                <w:highlight w:val="yellow"/>
              </w:rPr>
              <w:t>0.0867</w:t>
            </w:r>
          </w:p>
        </w:tc>
      </w:tr>
      <w:tr w14:paraId="12E30623">
        <w:tblPrEx>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tcPr>
          <w:p w14:paraId="52DE0EAC">
            <w:pPr>
              <w:pStyle w:val="26"/>
              <w:rPr>
                <w:rFonts w:hint="default"/>
                <w:color w:val="auto"/>
                <w:highlight w:val="yellow"/>
              </w:rPr>
            </w:pPr>
            <w:r>
              <w:rPr>
                <w:rFonts w:hint="default"/>
                <w:color w:val="auto"/>
                <w:highlight w:val="yellow"/>
              </w:rPr>
              <w:t>最小值</w:t>
            </w:r>
          </w:p>
        </w:tc>
        <w:tc>
          <w:tcPr>
            <w:tcW w:w="1665" w:type="pct"/>
            <w:tcBorders>
              <w:top w:val="nil"/>
              <w:left w:val="nil"/>
              <w:bottom w:val="nil"/>
              <w:right w:val="nil"/>
            </w:tcBorders>
            <w:shd w:val="clear" w:color="auto" w:fill="FFFFFF"/>
          </w:tcPr>
          <w:p w14:paraId="2BE5CF0D">
            <w:pPr>
              <w:pStyle w:val="26"/>
              <w:rPr>
                <w:rFonts w:hint="default"/>
                <w:color w:val="auto"/>
                <w:highlight w:val="yellow"/>
              </w:rPr>
            </w:pPr>
            <w:r>
              <w:rPr>
                <w:rFonts w:hint="default"/>
                <w:color w:val="auto"/>
                <w:highlight w:val="yellow"/>
              </w:rPr>
              <w:t>0.636</w:t>
            </w:r>
            <w:r>
              <w:rPr>
                <w:color w:val="auto"/>
                <w:highlight w:val="yellow"/>
              </w:rPr>
              <w:t>0</w:t>
            </w:r>
          </w:p>
        </w:tc>
        <w:tc>
          <w:tcPr>
            <w:tcW w:w="1499" w:type="pct"/>
            <w:tcBorders>
              <w:top w:val="nil"/>
              <w:left w:val="nil"/>
              <w:bottom w:val="nil"/>
              <w:right w:val="nil"/>
            </w:tcBorders>
            <w:shd w:val="clear" w:color="auto" w:fill="FFFFFF"/>
          </w:tcPr>
          <w:p w14:paraId="2A44F526">
            <w:pPr>
              <w:pStyle w:val="26"/>
              <w:rPr>
                <w:rFonts w:hint="default"/>
                <w:color w:val="auto"/>
                <w:highlight w:val="yellow"/>
              </w:rPr>
            </w:pPr>
            <w:r>
              <w:rPr>
                <w:rFonts w:hint="default"/>
                <w:color w:val="auto"/>
                <w:highlight w:val="yellow"/>
              </w:rPr>
              <w:t>0.3586</w:t>
            </w:r>
          </w:p>
        </w:tc>
        <w:tc>
          <w:tcPr>
            <w:tcW w:w="1167" w:type="pct"/>
            <w:tcBorders>
              <w:top w:val="nil"/>
              <w:left w:val="nil"/>
              <w:bottom w:val="nil"/>
              <w:right w:val="nil"/>
            </w:tcBorders>
            <w:shd w:val="clear" w:color="auto" w:fill="FFFFFF"/>
          </w:tcPr>
          <w:p w14:paraId="327D7AF6">
            <w:pPr>
              <w:pStyle w:val="26"/>
              <w:rPr>
                <w:rFonts w:hint="default"/>
                <w:color w:val="auto"/>
                <w:highlight w:val="yellow"/>
              </w:rPr>
            </w:pPr>
            <w:r>
              <w:rPr>
                <w:rFonts w:hint="default"/>
                <w:color w:val="auto"/>
                <w:highlight w:val="yellow"/>
              </w:rPr>
              <w:t>0.376</w:t>
            </w:r>
            <w:r>
              <w:rPr>
                <w:color w:val="auto"/>
                <w:highlight w:val="yellow"/>
              </w:rPr>
              <w:t>0</w:t>
            </w:r>
          </w:p>
        </w:tc>
      </w:tr>
      <w:tr w14:paraId="32F3AFE8">
        <w:tblPrEx>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tcPr>
          <w:p w14:paraId="2A6F2D3B">
            <w:pPr>
              <w:pStyle w:val="26"/>
              <w:rPr>
                <w:rFonts w:hint="default"/>
                <w:color w:val="auto"/>
                <w:highlight w:val="yellow"/>
              </w:rPr>
            </w:pPr>
            <w:r>
              <w:rPr>
                <w:rFonts w:hint="default"/>
                <w:color w:val="auto"/>
                <w:highlight w:val="yellow"/>
              </w:rPr>
              <w:t>最大值</w:t>
            </w:r>
          </w:p>
        </w:tc>
        <w:tc>
          <w:tcPr>
            <w:tcW w:w="1665" w:type="pct"/>
            <w:tcBorders>
              <w:top w:val="nil"/>
              <w:left w:val="nil"/>
              <w:bottom w:val="nil"/>
              <w:right w:val="nil"/>
            </w:tcBorders>
            <w:shd w:val="clear" w:color="auto" w:fill="FFFFFF"/>
          </w:tcPr>
          <w:p w14:paraId="0626F2F9">
            <w:pPr>
              <w:pStyle w:val="26"/>
              <w:rPr>
                <w:rFonts w:hint="default"/>
                <w:color w:val="auto"/>
                <w:highlight w:val="yellow"/>
              </w:rPr>
            </w:pPr>
            <w:r>
              <w:rPr>
                <w:rFonts w:hint="default"/>
                <w:color w:val="auto"/>
                <w:highlight w:val="yellow"/>
              </w:rPr>
              <w:t>0.9607</w:t>
            </w:r>
          </w:p>
        </w:tc>
        <w:tc>
          <w:tcPr>
            <w:tcW w:w="1499" w:type="pct"/>
            <w:tcBorders>
              <w:top w:val="nil"/>
              <w:left w:val="nil"/>
              <w:bottom w:val="nil"/>
              <w:right w:val="nil"/>
            </w:tcBorders>
            <w:shd w:val="clear" w:color="auto" w:fill="FFFFFF"/>
          </w:tcPr>
          <w:p w14:paraId="1F43F953">
            <w:pPr>
              <w:pStyle w:val="26"/>
              <w:rPr>
                <w:rFonts w:hint="default"/>
                <w:color w:val="auto"/>
                <w:highlight w:val="yellow"/>
              </w:rPr>
            </w:pPr>
            <w:r>
              <w:rPr>
                <w:rFonts w:hint="default"/>
                <w:color w:val="auto"/>
                <w:highlight w:val="yellow"/>
              </w:rPr>
              <w:t>0.8402</w:t>
            </w:r>
          </w:p>
        </w:tc>
        <w:tc>
          <w:tcPr>
            <w:tcW w:w="1167" w:type="pct"/>
            <w:tcBorders>
              <w:top w:val="nil"/>
              <w:left w:val="nil"/>
              <w:bottom w:val="nil"/>
              <w:right w:val="nil"/>
            </w:tcBorders>
            <w:shd w:val="clear" w:color="auto" w:fill="FFFFFF"/>
          </w:tcPr>
          <w:p w14:paraId="0DC0A7D8">
            <w:pPr>
              <w:pStyle w:val="26"/>
              <w:rPr>
                <w:rFonts w:hint="default"/>
                <w:color w:val="auto"/>
                <w:highlight w:val="yellow"/>
              </w:rPr>
            </w:pPr>
            <w:r>
              <w:rPr>
                <w:rFonts w:hint="default"/>
                <w:color w:val="auto"/>
                <w:highlight w:val="yellow"/>
              </w:rPr>
              <w:t>0.9873</w:t>
            </w:r>
          </w:p>
        </w:tc>
      </w:tr>
      <w:tr w14:paraId="30BE1F53">
        <w:tblPrEx>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tcPr>
          <w:p w14:paraId="49B03817">
            <w:pPr>
              <w:pStyle w:val="26"/>
              <w:rPr>
                <w:rFonts w:hint="default"/>
                <w:color w:val="auto"/>
                <w:highlight w:val="yellow"/>
              </w:rPr>
            </w:pPr>
            <w:r>
              <w:rPr>
                <w:rFonts w:hint="default"/>
                <w:color w:val="auto"/>
                <w:highlight w:val="yellow"/>
              </w:rPr>
              <w:t>P50</w:t>
            </w:r>
          </w:p>
        </w:tc>
        <w:tc>
          <w:tcPr>
            <w:tcW w:w="1665" w:type="pct"/>
            <w:tcBorders>
              <w:top w:val="nil"/>
              <w:left w:val="nil"/>
              <w:bottom w:val="nil"/>
              <w:right w:val="nil"/>
            </w:tcBorders>
            <w:shd w:val="clear" w:color="auto" w:fill="FFFFFF"/>
          </w:tcPr>
          <w:p w14:paraId="086497E9">
            <w:pPr>
              <w:pStyle w:val="26"/>
              <w:rPr>
                <w:rFonts w:hint="default"/>
                <w:color w:val="auto"/>
                <w:highlight w:val="yellow"/>
              </w:rPr>
            </w:pPr>
            <w:r>
              <w:rPr>
                <w:rFonts w:hint="default"/>
                <w:color w:val="auto"/>
                <w:highlight w:val="yellow"/>
              </w:rPr>
              <w:t>0.8375</w:t>
            </w:r>
          </w:p>
        </w:tc>
        <w:tc>
          <w:tcPr>
            <w:tcW w:w="1499" w:type="pct"/>
            <w:tcBorders>
              <w:top w:val="nil"/>
              <w:left w:val="nil"/>
              <w:bottom w:val="nil"/>
              <w:right w:val="nil"/>
            </w:tcBorders>
            <w:shd w:val="clear" w:color="auto" w:fill="FFFFFF"/>
          </w:tcPr>
          <w:p w14:paraId="1624790C">
            <w:pPr>
              <w:pStyle w:val="26"/>
              <w:rPr>
                <w:rFonts w:hint="default"/>
                <w:color w:val="auto"/>
                <w:highlight w:val="yellow"/>
              </w:rPr>
            </w:pPr>
            <w:r>
              <w:rPr>
                <w:rFonts w:hint="default"/>
                <w:color w:val="auto"/>
                <w:highlight w:val="yellow"/>
              </w:rPr>
              <w:t>0.555</w:t>
            </w:r>
            <w:r>
              <w:rPr>
                <w:color w:val="auto"/>
                <w:highlight w:val="yellow"/>
              </w:rPr>
              <w:t>0</w:t>
            </w:r>
          </w:p>
        </w:tc>
        <w:tc>
          <w:tcPr>
            <w:tcW w:w="1167" w:type="pct"/>
            <w:tcBorders>
              <w:top w:val="nil"/>
              <w:left w:val="nil"/>
              <w:bottom w:val="nil"/>
              <w:right w:val="nil"/>
            </w:tcBorders>
            <w:shd w:val="clear" w:color="auto" w:fill="FFFFFF"/>
          </w:tcPr>
          <w:p w14:paraId="10448C11">
            <w:pPr>
              <w:pStyle w:val="26"/>
              <w:rPr>
                <w:rFonts w:hint="default"/>
                <w:color w:val="auto"/>
                <w:highlight w:val="yellow"/>
              </w:rPr>
            </w:pPr>
            <w:r>
              <w:rPr>
                <w:rFonts w:hint="default"/>
                <w:color w:val="auto"/>
                <w:highlight w:val="yellow"/>
              </w:rPr>
              <w:t>0.6381</w:t>
            </w:r>
          </w:p>
        </w:tc>
      </w:tr>
      <w:tr w14:paraId="27C1E0E6">
        <w:tblPrEx>
          <w:tblCellMar>
            <w:top w:w="0" w:type="dxa"/>
            <w:left w:w="108" w:type="dxa"/>
            <w:bottom w:w="0" w:type="dxa"/>
            <w:right w:w="108" w:type="dxa"/>
          </w:tblCellMar>
        </w:tblPrEx>
        <w:trPr>
          <w:trHeight w:val="471" w:hRule="atLeast"/>
        </w:trPr>
        <w:tc>
          <w:tcPr>
            <w:tcW w:w="669" w:type="pct"/>
            <w:tcBorders>
              <w:top w:val="nil"/>
              <w:left w:val="nil"/>
              <w:bottom w:val="single" w:color="auto" w:sz="8" w:space="0"/>
              <w:right w:val="nil"/>
            </w:tcBorders>
            <w:shd w:val="clear" w:color="auto" w:fill="FFFFFF"/>
          </w:tcPr>
          <w:p w14:paraId="08C48102">
            <w:pPr>
              <w:pStyle w:val="26"/>
              <w:rPr>
                <w:rFonts w:hint="default"/>
                <w:color w:val="auto"/>
                <w:highlight w:val="yellow"/>
              </w:rPr>
            </w:pPr>
            <w:r>
              <w:rPr>
                <w:rFonts w:hint="default"/>
                <w:color w:val="auto"/>
                <w:highlight w:val="yellow"/>
              </w:rPr>
              <w:t>P95</w:t>
            </w:r>
          </w:p>
        </w:tc>
        <w:tc>
          <w:tcPr>
            <w:tcW w:w="1665" w:type="pct"/>
            <w:tcBorders>
              <w:top w:val="nil"/>
              <w:left w:val="nil"/>
              <w:bottom w:val="single" w:color="auto" w:sz="8" w:space="0"/>
              <w:right w:val="nil"/>
            </w:tcBorders>
            <w:shd w:val="clear" w:color="auto" w:fill="FFFFFF"/>
          </w:tcPr>
          <w:p w14:paraId="7595D2A2">
            <w:pPr>
              <w:pStyle w:val="26"/>
              <w:rPr>
                <w:rFonts w:hint="default"/>
                <w:color w:val="auto"/>
                <w:highlight w:val="yellow"/>
              </w:rPr>
            </w:pPr>
            <w:r>
              <w:rPr>
                <w:rFonts w:hint="default"/>
                <w:color w:val="auto"/>
                <w:highlight w:val="yellow"/>
              </w:rPr>
              <w:t>0.9502</w:t>
            </w:r>
          </w:p>
        </w:tc>
        <w:tc>
          <w:tcPr>
            <w:tcW w:w="1499" w:type="pct"/>
            <w:tcBorders>
              <w:top w:val="nil"/>
              <w:left w:val="nil"/>
              <w:bottom w:val="single" w:color="auto" w:sz="8" w:space="0"/>
              <w:right w:val="nil"/>
            </w:tcBorders>
            <w:shd w:val="clear" w:color="auto" w:fill="FFFFFF"/>
          </w:tcPr>
          <w:p w14:paraId="0FBE97CD">
            <w:pPr>
              <w:pStyle w:val="26"/>
              <w:rPr>
                <w:rFonts w:hint="default"/>
                <w:color w:val="auto"/>
                <w:highlight w:val="yellow"/>
              </w:rPr>
            </w:pPr>
            <w:r>
              <w:rPr>
                <w:rFonts w:hint="default"/>
                <w:color w:val="auto"/>
                <w:highlight w:val="yellow"/>
              </w:rPr>
              <w:t>0.7446</w:t>
            </w:r>
          </w:p>
        </w:tc>
        <w:tc>
          <w:tcPr>
            <w:tcW w:w="1167" w:type="pct"/>
            <w:tcBorders>
              <w:top w:val="nil"/>
              <w:left w:val="nil"/>
              <w:bottom w:val="single" w:color="auto" w:sz="8" w:space="0"/>
              <w:right w:val="nil"/>
            </w:tcBorders>
            <w:shd w:val="clear" w:color="auto" w:fill="FFFFFF"/>
          </w:tcPr>
          <w:p w14:paraId="1DD24C32">
            <w:pPr>
              <w:pStyle w:val="26"/>
              <w:rPr>
                <w:rFonts w:hint="default"/>
                <w:color w:val="auto"/>
                <w:highlight w:val="yellow"/>
              </w:rPr>
            </w:pPr>
            <w:r>
              <w:rPr>
                <w:rFonts w:hint="default"/>
                <w:color w:val="auto"/>
                <w:highlight w:val="yellow"/>
              </w:rPr>
              <w:t>0.7737</w:t>
            </w:r>
          </w:p>
        </w:tc>
      </w:tr>
    </w:tbl>
    <w:p w14:paraId="58C70C56">
      <w:pPr>
        <w:ind w:firstLine="480" w:firstLineChars="200"/>
        <w:rPr>
          <w:color w:val="auto"/>
          <w:highlight w:val="yellow"/>
        </w:rPr>
      </w:pPr>
      <w:r>
        <w:rPr>
          <w:rFonts w:hint="eastAsia"/>
          <w:color w:val="auto"/>
          <w:highlight w:val="yellow"/>
        </w:rPr>
        <w:t>表3-14结果显示，生成摘要与对应原文的平均相似度为0.8310，高于原始同类专利之间的平均相似度0.5637。这说明生成摘要与其来源专利的语义关系，比同类别中两件不同真实专利之间的语义关系更接近。即使在最低值处，生成摘要与对应原文的相似度仍为0.6360，高于原始同类专利之间的平均水平。与此同时，生成摘要之间的平均相似度为0.6397，低于生成摘要与对应原文的0.8310，说明生成样本没有简单聚集为高度重复的文本。</w:t>
      </w:r>
    </w:p>
    <w:p w14:paraId="53DD9D03">
      <w:pPr>
        <w:ind w:firstLine="420" w:firstLineChars="0"/>
        <w:rPr>
          <w:color w:val="auto"/>
        </w:rPr>
      </w:pPr>
      <w:r>
        <w:rPr>
          <w:rFonts w:hint="eastAsia"/>
          <w:color w:val="auto"/>
          <w:highlight w:val="yellow"/>
        </w:rPr>
        <w:t>上述结果从语义向量角度说明，增强摘要整体上贴近来源专利，未表现出明显语义偏移。最终，本文将34431条过滤后数据与62条增强数据合并，形成34493条训练数据，用于第四章分类模型训练与评估</w:t>
      </w:r>
      <w:r>
        <w:rPr>
          <w:rFonts w:hint="eastAsia"/>
          <w:color w:val="auto"/>
        </w:rPr>
        <w:t>。</w:t>
      </w:r>
    </w:p>
    <w:p w14:paraId="77DD6489">
      <w:pPr>
        <w:pStyle w:val="25"/>
        <w:rPr>
          <w:rFonts w:hint="default"/>
          <w:color w:val="auto"/>
        </w:rPr>
      </w:pPr>
    </w:p>
    <w:p w14:paraId="0366E3EB">
      <w:pPr>
        <w:pStyle w:val="25"/>
        <w:rPr>
          <w:rFonts w:hint="default"/>
          <w:color w:val="auto"/>
        </w:rPr>
      </w:pPr>
    </w:p>
    <w:p w14:paraId="1D42637F">
      <w:pPr>
        <w:pStyle w:val="25"/>
        <w:rPr>
          <w:rFonts w:hint="default"/>
          <w:color w:val="auto"/>
        </w:rPr>
        <w:sectPr>
          <w:footerReference r:id="rId24" w:type="default"/>
          <w:footerReference r:id="rId25" w:type="even"/>
          <w:pgSz w:w="11906" w:h="16838"/>
          <w:pgMar w:top="1440" w:right="1800" w:bottom="1440" w:left="1800" w:header="850" w:footer="992" w:gutter="0"/>
          <w:pgBorders>
            <w:top w:val="none" w:sz="0" w:space="0"/>
            <w:left w:val="none" w:sz="0" w:space="0"/>
            <w:bottom w:val="none" w:sz="0" w:space="0"/>
            <w:right w:val="none" w:sz="0" w:space="0"/>
          </w:pgBorders>
          <w:cols w:space="0" w:num="1"/>
          <w:docGrid w:type="lines" w:linePitch="326" w:charSpace="0"/>
        </w:sectPr>
      </w:pPr>
    </w:p>
    <w:p w14:paraId="16EFD0A9">
      <w:pPr>
        <w:pStyle w:val="2"/>
        <w:numPr>
          <w:ilvl w:val="0"/>
          <w:numId w:val="1"/>
        </w:numPr>
        <w:tabs>
          <w:tab w:val="clear" w:pos="0"/>
        </w:tabs>
        <w:rPr>
          <w:color w:val="auto"/>
        </w:rPr>
      </w:pPr>
      <w:bookmarkStart w:id="157" w:name="_Toc229086894"/>
      <w:bookmarkStart w:id="158" w:name="_Toc2677"/>
      <w:bookmarkStart w:id="159" w:name="_Toc216114506"/>
      <w:r>
        <w:rPr>
          <w:rFonts w:hint="eastAsia"/>
          <w:color w:val="auto"/>
        </w:rPr>
        <w:t>分类模型设计与评估</w:t>
      </w:r>
      <w:bookmarkEnd w:id="157"/>
      <w:bookmarkEnd w:id="158"/>
      <w:bookmarkEnd w:id="159"/>
    </w:p>
    <w:p w14:paraId="0924AEDA">
      <w:pPr>
        <w:ind w:firstLine="480"/>
        <w:rPr>
          <w:color w:val="auto"/>
        </w:rPr>
      </w:pPr>
      <w:r>
        <w:rPr>
          <w:rFonts w:hint="eastAsia"/>
          <w:color w:val="auto"/>
        </w:rPr>
        <w:t>本章面向第三章构建的医疗器械发明专利数据集开展一级产品类别分类模型的设计与评估工作。分类任务的目标是根据发明专利文本内容，将其归入《医疗器械分类目录》规定的22个一级产品类别。考虑到专利文本篇幅较长、术语密集，不同类别之间又存在一定语义重叠，本文分别考察传统机器学习方法和基于预训练语言模型的深度学习方法，并通过模型对比、消融实验和外部验证分析不同方法在本文数据集上的适用性。</w:t>
      </w:r>
      <w:bookmarkStart w:id="160" w:name="_Toc216116716"/>
      <w:bookmarkEnd w:id="160"/>
      <w:bookmarkStart w:id="161" w:name="_Toc216114670"/>
      <w:bookmarkEnd w:id="161"/>
      <w:bookmarkStart w:id="162" w:name="_Toc216114439"/>
      <w:bookmarkEnd w:id="162"/>
      <w:bookmarkStart w:id="163" w:name="_Toc216115305"/>
      <w:bookmarkEnd w:id="163"/>
      <w:bookmarkStart w:id="164" w:name="_Toc216114507"/>
      <w:bookmarkEnd w:id="164"/>
      <w:bookmarkStart w:id="165" w:name="_Toc216115377"/>
      <w:bookmarkEnd w:id="165"/>
      <w:bookmarkStart w:id="166" w:name="_Toc216114667"/>
      <w:bookmarkEnd w:id="166"/>
      <w:bookmarkStart w:id="167" w:name="_Toc216117071"/>
      <w:bookmarkEnd w:id="167"/>
      <w:bookmarkStart w:id="168" w:name="_Toc216117074"/>
      <w:bookmarkEnd w:id="168"/>
      <w:bookmarkStart w:id="169" w:name="_Toc216115374"/>
      <w:bookmarkEnd w:id="169"/>
      <w:bookmarkStart w:id="170" w:name="_Toc216114368"/>
      <w:bookmarkEnd w:id="170"/>
      <w:bookmarkStart w:id="171" w:name="_Toc216114436"/>
      <w:bookmarkEnd w:id="171"/>
      <w:bookmarkStart w:id="172" w:name="_Toc216115308"/>
      <w:bookmarkEnd w:id="172"/>
      <w:bookmarkStart w:id="173" w:name="_Toc216114365"/>
      <w:bookmarkEnd w:id="173"/>
      <w:bookmarkStart w:id="174" w:name="_Toc216114510"/>
      <w:bookmarkEnd w:id="174"/>
      <w:bookmarkStart w:id="175" w:name="_Toc216116641"/>
      <w:bookmarkEnd w:id="175"/>
      <w:bookmarkStart w:id="176" w:name="_Toc216116644"/>
      <w:bookmarkEnd w:id="176"/>
      <w:bookmarkStart w:id="177" w:name="_Toc216116713"/>
      <w:bookmarkEnd w:id="177"/>
    </w:p>
    <w:p w14:paraId="5F54914C">
      <w:pPr>
        <w:pStyle w:val="3"/>
        <w:numPr>
          <w:ilvl w:val="1"/>
          <w:numId w:val="1"/>
        </w:numPr>
        <w:tabs>
          <w:tab w:val="clear" w:pos="420"/>
        </w:tabs>
        <w:rPr>
          <w:color w:val="auto"/>
        </w:rPr>
      </w:pPr>
      <w:bookmarkStart w:id="178" w:name="_Toc229086895"/>
      <w:bookmarkStart w:id="179" w:name="_Toc216114512"/>
      <w:bookmarkStart w:id="180" w:name="_Toc21066"/>
      <w:r>
        <w:rPr>
          <w:rFonts w:hint="eastAsia"/>
          <w:color w:val="auto"/>
        </w:rPr>
        <w:t>分类模型设计</w:t>
      </w:r>
      <w:bookmarkEnd w:id="178"/>
      <w:bookmarkEnd w:id="179"/>
      <w:bookmarkEnd w:id="180"/>
    </w:p>
    <w:p w14:paraId="4A5701FA">
      <w:pPr>
        <w:pStyle w:val="4"/>
        <w:numPr>
          <w:ilvl w:val="2"/>
          <w:numId w:val="1"/>
        </w:numPr>
        <w:rPr>
          <w:color w:val="auto"/>
        </w:rPr>
      </w:pPr>
      <w:bookmarkStart w:id="181" w:name="_Toc216114513"/>
      <w:bookmarkStart w:id="182" w:name="_Toc641"/>
      <w:bookmarkStart w:id="183" w:name="_Toc229086896"/>
      <w:r>
        <w:rPr>
          <w:color w:val="auto"/>
        </w:rPr>
        <w:t>机器学习</w:t>
      </w:r>
      <w:bookmarkEnd w:id="181"/>
      <w:r>
        <w:rPr>
          <w:rFonts w:hint="eastAsia"/>
          <w:color w:val="auto"/>
        </w:rPr>
        <w:t>模型</w:t>
      </w:r>
      <w:bookmarkEnd w:id="182"/>
      <w:bookmarkEnd w:id="183"/>
    </w:p>
    <w:p w14:paraId="06F3A6D8">
      <w:pPr>
        <w:ind w:firstLine="480"/>
        <w:rPr>
          <w:color w:val="auto"/>
        </w:rPr>
      </w:pPr>
      <w:r>
        <w:rPr>
          <w:rFonts w:hint="eastAsia"/>
          <w:color w:val="auto"/>
        </w:rPr>
        <w:t>为了进行基准比较，在此基础上实现四种机器学习分类方法，KNN、LR、RF以及XGBoost，分类过程见图4-1。</w:t>
      </w:r>
    </w:p>
    <w:p w14:paraId="4C5469D6">
      <w:pPr>
        <w:ind w:firstLine="0" w:firstLineChars="0"/>
        <w:jc w:val="center"/>
        <w:rPr>
          <w:color w:val="auto"/>
        </w:rPr>
      </w:pPr>
      <w:r>
        <w:rPr>
          <w:color w:val="auto"/>
        </w:rP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5D6D0783">
      <w:pPr>
        <w:pStyle w:val="25"/>
        <w:rPr>
          <w:rFonts w:hint="default"/>
          <w:color w:val="auto"/>
        </w:rPr>
      </w:pPr>
      <w:r>
        <w:rPr>
          <w:color w:val="auto"/>
        </w:rPr>
        <w:t>图4-1  机器学习分类流程</w:t>
      </w:r>
    </w:p>
    <w:p w14:paraId="3AC62573">
      <w:pPr>
        <w:ind w:firstLine="480"/>
        <w:rPr>
          <w:color w:val="auto"/>
        </w:rPr>
      </w:pPr>
      <w:r>
        <w:rPr>
          <w:rFonts w:hint="eastAsia"/>
          <w:color w:val="auto"/>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 F1-score为优化目标，对KNN、LR、RF和XGBoost四种模型的超参数进行寻优，最终在测试集上评估其分类性能。</w:t>
      </w:r>
    </w:p>
    <w:p w14:paraId="5E978617">
      <w:pPr>
        <w:pStyle w:val="4"/>
        <w:numPr>
          <w:ilvl w:val="2"/>
          <w:numId w:val="1"/>
        </w:numPr>
        <w:rPr>
          <w:rFonts w:eastAsia="宋体"/>
          <w:color w:val="auto"/>
        </w:rPr>
      </w:pPr>
      <w:bookmarkStart w:id="184" w:name="_Toc216114514"/>
      <w:bookmarkStart w:id="185" w:name="_Toc229086897"/>
      <w:bookmarkStart w:id="186" w:name="_Toc18344"/>
      <w:r>
        <w:rPr>
          <w:rFonts w:hint="eastAsia"/>
          <w:color w:val="auto"/>
        </w:rPr>
        <w:t>深度</w:t>
      </w:r>
      <w:r>
        <w:rPr>
          <w:color w:val="auto"/>
        </w:rPr>
        <w:t>学习</w:t>
      </w:r>
      <w:bookmarkEnd w:id="184"/>
      <w:r>
        <w:rPr>
          <w:rFonts w:hint="eastAsia"/>
          <w:color w:val="auto"/>
        </w:rPr>
        <w:t>模型</w:t>
      </w:r>
      <w:bookmarkEnd w:id="185"/>
      <w:bookmarkEnd w:id="186"/>
    </w:p>
    <w:p w14:paraId="76000DF9">
      <w:pPr>
        <w:ind w:firstLine="480"/>
        <w:rPr>
          <w:color w:val="auto"/>
        </w:rPr>
      </w:pPr>
      <w:r>
        <w:rPr>
          <w:rFonts w:hint="eastAsia"/>
          <w:color w:val="auto"/>
        </w:rPr>
        <w:t>在构建深度学习模型前，在原始数据集上对第二章提到的三种候选预训练模型进行泛化能力比较，以选取最适配医疗器械领域预训练模型为基础，降低后续全部微调工作量。</w:t>
      </w:r>
    </w:p>
    <w:p w14:paraId="7B24FFB1">
      <w:pPr>
        <w:ind w:firstLine="480"/>
        <w:rPr>
          <w:color w:val="auto"/>
        </w:rPr>
      </w:pPr>
      <w:r>
        <w:rPr>
          <w:rFonts w:hint="eastAsia"/>
          <w:color w:val="auto"/>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55721B6A">
      <w:pPr>
        <w:ind w:firstLine="0" w:firstLineChars="0"/>
        <w:jc w:val="center"/>
        <w:rPr>
          <w:color w:val="auto"/>
        </w:rPr>
      </w:pPr>
      <w:r>
        <w:rPr>
          <w:color w:val="auto"/>
        </w:rP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1592A3ED">
      <w:pPr>
        <w:pStyle w:val="25"/>
        <w:rPr>
          <w:rFonts w:hint="default"/>
          <w:color w:val="auto"/>
        </w:rPr>
      </w:pPr>
      <w:r>
        <w:rPr>
          <w:color w:val="auto"/>
        </w:rPr>
        <w:t>图4-2  预训练模型泛化性能评估</w:t>
      </w:r>
    </w:p>
    <w:p w14:paraId="35A77C96">
      <w:pPr>
        <w:ind w:firstLine="480"/>
        <w:rPr>
          <w:color w:val="auto"/>
        </w:rPr>
      </w:pPr>
      <w:r>
        <w:rPr>
          <w:rFonts w:hint="eastAsia"/>
          <w:color w:val="auto"/>
        </w:rPr>
        <w:t>如图4-2所示，chinese-roberta-wwm-ext在各轮测试中均保持较高的平均准确率。第1个Epoch时，该模型的平均测试准确率为0.3242，分别高于bert-base-chinese的0.2680和chinese-macbert-base的0.2264；训练至第10个Epoch后，其平均准确率达到0.5526，仍高于bert-base-chinese的0.4936和chinese-macbert-base的0.4273。该结果说明，chinese-roberta-wwm-ext在本文任务中具有较好的初始表征能力和持续学习能力。</w:t>
      </w:r>
    </w:p>
    <w:p w14:paraId="756356E3">
      <w:pPr>
        <w:ind w:firstLine="480"/>
        <w:rPr>
          <w:color w:val="auto"/>
        </w:rPr>
      </w:pPr>
      <w:r>
        <w:rPr>
          <w:rFonts w:hint="eastAsia"/>
          <w:color w:val="auto"/>
        </w:rPr>
        <w:t>综合以上结果可见，chinese-roberta-wwm-ext具有较好的零样本特征提取能力，初始表现较优，且随训练轮次增加呈现较稳定的提升趋势。这说明该模型在预训练阶段已学习到一定的中文医学语义信息。因此，本文采用chinese-roberta-wwm-ext开展后续微调实验，以在分类效果和计算成本之间取得相对平衡。</w:t>
      </w:r>
    </w:p>
    <w:p w14:paraId="7F093ED8">
      <w:pPr>
        <w:ind w:firstLine="480"/>
        <w:rPr>
          <w:color w:val="auto"/>
        </w:rPr>
      </w:pPr>
      <w:r>
        <w:rPr>
          <w:rFonts w:hint="eastAsia"/>
          <w:color w:val="auto"/>
        </w:rPr>
        <w:t>为更好挖掘专利文本内部所隐含深层次语义信息并且能够准确地区分各类别局部重要部分，本文构建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20BCD264">
      <w:pPr>
        <w:ind w:firstLine="0" w:firstLineChars="0"/>
        <w:jc w:val="center"/>
        <w:rPr>
          <w:color w:val="auto"/>
        </w:rPr>
      </w:pPr>
      <w:r>
        <w:rPr>
          <w:color w:val="auto"/>
        </w:rP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06E00BCA">
      <w:pPr>
        <w:pStyle w:val="25"/>
        <w:rPr>
          <w:rFonts w:hint="default"/>
          <w:color w:val="auto"/>
        </w:rPr>
      </w:pPr>
      <w:r>
        <w:rPr>
          <w:color w:val="auto"/>
        </w:rPr>
        <w:t>图4-3  BERT-TextCNN架构</w:t>
      </w:r>
    </w:p>
    <w:p w14:paraId="5C310678">
      <w:pPr>
        <w:numPr>
          <w:ilvl w:val="0"/>
          <w:numId w:val="13"/>
        </w:numPr>
        <w:ind w:firstLine="480"/>
        <w:rPr>
          <w:color w:val="auto"/>
        </w:rPr>
      </w:pPr>
      <w:r>
        <w:rPr>
          <w:rFonts w:hint="eastAsia"/>
          <w:color w:val="auto"/>
        </w:rPr>
        <w:t>BERT编码层</w:t>
      </w:r>
    </w:p>
    <w:p w14:paraId="5FD20B60">
      <w:pPr>
        <w:ind w:firstLine="480"/>
        <w:rPr>
          <w:color w:val="auto"/>
        </w:rPr>
      </w:pPr>
      <w:r>
        <w:rPr>
          <w:rFonts w:hint="eastAsia"/>
          <w:color w:val="auto"/>
        </w:rPr>
        <w:t>使用Chinese-RoBERTa-WWM-Ext作为基础模型，在对输入文本进行分词并且将其截断或者补全到一定长度</w:t>
      </w:r>
      <m:oMath>
        <m:r>
          <m:rPr>
            <m:nor/>
            <m:sty m:val="p"/>
          </m:rPr>
          <w:rPr>
            <w:rFonts w:cs="Times New Roman"/>
            <w:b w:val="0"/>
            <w:i w:val="0"/>
            <w:color w:val="auto"/>
          </w:rPr>
          <m:t>L=512</m:t>
        </m:r>
      </m:oMath>
      <w:r>
        <w:rPr>
          <w:rFonts w:hint="eastAsia"/>
          <w:color w:val="auto"/>
        </w:rPr>
        <w:t>之后得到输入文本</w:t>
      </w:r>
      <m:oMath>
        <m:r>
          <m:rPr>
            <m:nor/>
            <m:sty m:val="p"/>
          </m:rPr>
          <w:rPr>
            <w:rFonts w:cs="Times New Roman"/>
            <w:b w:val="0"/>
            <w:i w:val="0"/>
            <w:color w:val="auto"/>
          </w:rPr>
          <m:t>X</m:t>
        </m:r>
        <m:r>
          <m:rPr>
            <m:nor/>
            <m:sty m:val="p"/>
          </m:rPr>
          <w:rPr>
            <w:rFonts w:hint="eastAsia" w:ascii="宋体" w:hAnsi="宋体" w:cs="宋体"/>
            <w:b w:val="0"/>
            <w:i w:val="0"/>
            <w:color w:val="auto"/>
          </w:rPr>
          <m:t>∈</m:t>
        </m:r>
        <m:sSup>
          <m:sSupPr>
            <m:ctrlPr>
              <w:rPr>
                <w:rFonts w:ascii="Cambria Math" w:hAnsi="Cambria Math" w:cs="Times New Roman"/>
                <w:color w:val="auto"/>
              </w:rPr>
            </m:ctrlPr>
          </m:sSupPr>
          <m:e>
            <m:r>
              <m:rPr>
                <m:nor/>
                <m:sty m:val="p"/>
              </m:rPr>
              <w:rPr>
                <w:rFonts w:eastAsia="MS Mincho" w:cs="MS Mincho"/>
                <w:b w:val="0"/>
                <w:i w:val="0"/>
                <w:color w:val="auto"/>
              </w:rPr>
              <m:t>R</m:t>
            </m:r>
            <m:ctrlPr>
              <w:rPr>
                <w:rFonts w:ascii="Cambria Math" w:hAnsi="Cambria Math" w:cs="Times New Roman"/>
                <w:color w:val="auto"/>
              </w:rPr>
            </m:ctrlPr>
          </m:e>
          <m:sup>
            <m:r>
              <m:rPr>
                <m:nor/>
                <m:sty m:val="p"/>
              </m:rPr>
              <w:rPr>
                <w:rFonts w:cs="Times New Roman"/>
                <w:b w:val="0"/>
                <w:i w:val="0"/>
                <w:color w:val="auto"/>
              </w:rPr>
              <m:t>B×L</m:t>
            </m:r>
            <m:ctrlPr>
              <w:rPr>
                <w:rFonts w:ascii="Cambria Math" w:hAnsi="Cambria Math" w:cs="Times New Roman"/>
                <w:color w:val="auto"/>
              </w:rPr>
            </m:ctrlPr>
          </m:sup>
        </m:sSup>
      </m:oMath>
      <w:r>
        <w:rPr>
          <w:rFonts w:hint="eastAsia" w:hAnsi="Cambria Math"/>
          <w:color w:val="auto"/>
        </w:rPr>
        <w:t>，</w:t>
      </w:r>
      <m:oMath>
        <m:r>
          <m:rPr>
            <m:sty m:val="p"/>
          </m:rPr>
          <w:rPr>
            <w:rFonts w:ascii="Cambria Math" w:hAnsi="Cambria Math"/>
            <w:color w:val="auto"/>
          </w:rPr>
          <m:t>B</m:t>
        </m:r>
      </m:oMath>
      <w:r>
        <w:rPr>
          <w:rFonts w:hint="eastAsia"/>
          <w:color w:val="auto"/>
        </w:rPr>
        <w:t>是批量大小，通过BERT得到每一层的表示形式</w:t>
      </w:r>
      <m:oMath>
        <m:r>
          <m:rPr>
            <m:nor/>
            <m:sty m:val="p"/>
          </m:rPr>
          <w:rPr>
            <w:rFonts w:cs="Times New Roman"/>
            <w:b w:val="0"/>
            <w:i w:val="0"/>
            <w:color w:val="auto"/>
          </w:rPr>
          <m:t>H</m:t>
        </m:r>
        <m:r>
          <m:rPr>
            <m:nor/>
            <m:sty m:val="p"/>
          </m:rPr>
          <w:rPr>
            <w:rFonts w:hint="eastAsia" w:ascii="宋体" w:hAnsi="宋体" w:cs="宋体"/>
            <w:b w:val="0"/>
            <w:i w:val="0"/>
            <w:color w:val="auto"/>
          </w:rPr>
          <m:t>∈</m:t>
        </m:r>
        <m:sSup>
          <m:sSupPr>
            <m:ctrlPr>
              <w:rPr>
                <w:rFonts w:ascii="Cambria Math" w:hAnsi="Cambria Math" w:cs="Times New Roman"/>
                <w:color w:val="auto"/>
              </w:rPr>
            </m:ctrlPr>
          </m:sSupPr>
          <m:e>
            <m:r>
              <m:rPr>
                <m:nor/>
                <m:sty m:val="p"/>
              </m:rPr>
              <w:rPr>
                <w:rFonts w:eastAsia="MS Mincho" w:cs="MS Mincho"/>
                <w:b w:val="0"/>
                <w:i w:val="0"/>
                <w:color w:val="auto"/>
              </w:rPr>
              <m:t>R</m:t>
            </m:r>
            <m:ctrlPr>
              <w:rPr>
                <w:rFonts w:ascii="Cambria Math" w:hAnsi="Cambria Math" w:cs="Times New Roman"/>
                <w:color w:val="auto"/>
              </w:rPr>
            </m:ctrlPr>
          </m:e>
          <m:sup>
            <m:r>
              <m:rPr>
                <m:nor/>
                <m:sty m:val="p"/>
              </m:rPr>
              <w:rPr>
                <w:rFonts w:cs="Times New Roman"/>
                <w:b w:val="0"/>
                <w:i w:val="0"/>
                <w:color w:val="auto"/>
              </w:rPr>
              <m:t>B×L×D</m:t>
            </m:r>
            <m:ctrlPr>
              <w:rPr>
                <w:rFonts w:ascii="Cambria Math" w:hAnsi="Cambria Math" w:cs="Times New Roman"/>
                <w:color w:val="auto"/>
              </w:rPr>
            </m:ctrlPr>
          </m:sup>
        </m:sSup>
      </m:oMath>
      <w:r>
        <w:rPr>
          <w:rFonts w:hint="eastAsia"/>
          <w:color w:val="auto"/>
        </w:rPr>
        <w:t>，隐藏单元数</w:t>
      </w:r>
      <m:oMath>
        <m:r>
          <m:rPr>
            <m:nor/>
            <m:sty m:val="p"/>
          </m:rPr>
          <w:rPr>
            <w:rFonts w:cs="Times New Roman"/>
            <w:b w:val="0"/>
            <w:i w:val="0"/>
            <w:color w:val="auto"/>
          </w:rPr>
          <m:t>D=768</m:t>
        </m:r>
      </m:oMath>
      <w:r>
        <w:rPr>
          <w:rFonts w:hint="eastAsia"/>
          <w:color w:val="auto"/>
        </w:rPr>
        <w:t>。</w:t>
      </w:r>
    </w:p>
    <w:p w14:paraId="180B3D4A">
      <w:pPr>
        <w:ind w:firstLine="480"/>
        <w:rPr>
          <w:color w:val="auto"/>
        </w:rPr>
      </w:pPr>
      <w:r>
        <w:rPr>
          <w:rFonts w:hint="eastAsia"/>
          <w:color w:val="auto"/>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还可以避免因少量样本导致的灾难性遗忘以及过拟合问题。</w:t>
      </w:r>
    </w:p>
    <w:p w14:paraId="023B0A71">
      <w:pPr>
        <w:numPr>
          <w:ilvl w:val="0"/>
          <w:numId w:val="13"/>
        </w:numPr>
        <w:ind w:firstLine="480"/>
        <w:rPr>
          <w:color w:val="auto"/>
        </w:rPr>
      </w:pPr>
      <w:r>
        <w:rPr>
          <w:rFonts w:hint="eastAsia"/>
          <w:color w:val="auto"/>
        </w:rPr>
        <w:t>特征提取层</w:t>
      </w:r>
    </w:p>
    <w:p w14:paraId="2E0C3A43">
      <w:pPr>
        <w:ind w:firstLine="480"/>
        <w:rPr>
          <w:color w:val="auto"/>
        </w:rPr>
      </w:pPr>
      <w:r>
        <w:rPr>
          <w:rFonts w:hint="eastAsia"/>
          <w:color w:val="auto"/>
        </w:rPr>
        <w:t>为使得到更丰富语义信息，在此层采用全局特征通路与局部特征通路相结合方式进行特征学习。</w:t>
      </w:r>
    </w:p>
    <w:p w14:paraId="2623F270">
      <w:pPr>
        <w:ind w:firstLine="480"/>
        <w:rPr>
          <w:color w:val="auto"/>
        </w:rPr>
      </w:pPr>
      <w:r>
        <w:rPr>
          <w:rFonts w:hint="eastAsia"/>
          <w:color w:val="auto"/>
        </w:rPr>
        <w:t>全局特征通路用于获取整个句子的信息。从BERT输出的[CLS]标记向量</w:t>
      </w:r>
      <m:oMath>
        <m:sSub>
          <m:sSubPr>
            <m:ctrlPr>
              <w:rPr>
                <w:rFonts w:ascii="Cambria Math" w:hAnsi="Cambria Math" w:cs="Times New Roman"/>
                <w:color w:val="auto"/>
              </w:rPr>
            </m:ctrlPr>
          </m:sSubPr>
          <m:e>
            <m:r>
              <m:rPr>
                <m:nor/>
                <m:sty m:val="p"/>
              </m:rPr>
              <w:rPr>
                <w:rFonts w:cs="Times New Roman"/>
                <w:b w:val="0"/>
                <w:i w:val="0"/>
                <w:color w:val="auto"/>
              </w:rPr>
              <m:t>h</m:t>
            </m:r>
            <m:ctrlPr>
              <w:rPr>
                <w:rFonts w:ascii="Cambria Math" w:hAnsi="Cambria Math" w:cs="Times New Roman"/>
                <w:color w:val="auto"/>
              </w:rPr>
            </m:ctrlPr>
          </m:e>
          <m:sub>
            <m:r>
              <m:rPr>
                <m:nor/>
                <m:sty m:val="p"/>
              </m:rPr>
              <w:rPr>
                <w:rFonts w:cs="Times New Roman"/>
                <w:b w:val="0"/>
                <w:i w:val="0"/>
                <w:color w:val="auto"/>
              </w:rPr>
              <m:t>cls</m:t>
            </m:r>
            <m:ctrlPr>
              <w:rPr>
                <w:rFonts w:ascii="Cambria Math" w:hAnsi="Cambria Math" w:cs="Times New Roman"/>
                <w:color w:val="auto"/>
              </w:rPr>
            </m:ctrlPr>
          </m:sub>
        </m:sSub>
        <m:r>
          <m:rPr>
            <m:nor/>
            <m:sty m:val="p"/>
          </m:rPr>
          <w:rPr>
            <w:rFonts w:hint="eastAsia" w:ascii="宋体" w:hAnsi="宋体" w:cs="宋体"/>
            <w:b w:val="0"/>
            <w:i w:val="0"/>
            <w:color w:val="auto"/>
          </w:rPr>
          <m:t>∈</m:t>
        </m:r>
        <m:sSup>
          <m:sSupPr>
            <m:ctrlPr>
              <w:rPr>
                <w:rFonts w:ascii="Cambria Math" w:hAnsi="Cambria Math" w:cs="Times New Roman"/>
                <w:color w:val="auto"/>
              </w:rPr>
            </m:ctrlPr>
          </m:sSupPr>
          <m:e>
            <m:r>
              <m:rPr>
                <m:nor/>
                <m:sty m:val="p"/>
              </m:rPr>
              <w:rPr>
                <w:rFonts w:eastAsia="MS Mincho" w:cs="MS Mincho"/>
                <w:b w:val="0"/>
                <w:i w:val="0"/>
                <w:color w:val="auto"/>
              </w:rPr>
              <m:t>R</m:t>
            </m:r>
            <m:ctrlPr>
              <w:rPr>
                <w:rFonts w:ascii="Cambria Math" w:hAnsi="Cambria Math" w:cs="Times New Roman"/>
                <w:color w:val="auto"/>
              </w:rPr>
            </m:ctrlPr>
          </m:e>
          <m:sup>
            <m:r>
              <m:rPr>
                <m:nor/>
                <m:sty m:val="p"/>
              </m:rPr>
              <w:rPr>
                <w:rFonts w:cs="Times New Roman"/>
                <w:b w:val="0"/>
                <w:i w:val="0"/>
                <w:color w:val="auto"/>
              </w:rPr>
              <m:t>D</m:t>
            </m:r>
            <m:ctrlPr>
              <w:rPr>
                <w:rFonts w:ascii="Cambria Math" w:hAnsi="Cambria Math" w:cs="Times New Roman"/>
                <w:color w:val="auto"/>
              </w:rPr>
            </m:ctrlPr>
          </m:sup>
        </m:sSup>
      </m:oMath>
      <w:r>
        <w:rPr>
          <w:rFonts w:hint="eastAsia"/>
          <w:color w:val="auto"/>
        </w:rPr>
        <w:t>开始，接着计算所有有效Token平均池化向量</w:t>
      </w:r>
      <m:oMath>
        <m:sSub>
          <m:sSubPr>
            <m:ctrlPr>
              <w:rPr>
                <w:rFonts w:ascii="Cambria Math" w:hAnsi="Cambria Math" w:cs="Times New Roman"/>
                <w:color w:val="auto"/>
              </w:rPr>
            </m:ctrlPr>
          </m:sSubPr>
          <m:e>
            <m:r>
              <m:rPr>
                <m:nor/>
                <m:sty m:val="p"/>
              </m:rPr>
              <w:rPr>
                <w:rFonts w:cs="Times New Roman"/>
                <w:b w:val="0"/>
                <w:i w:val="0"/>
                <w:color w:val="auto"/>
              </w:rPr>
              <m:t>h</m:t>
            </m:r>
            <m:ctrlPr>
              <w:rPr>
                <w:rFonts w:ascii="Cambria Math" w:hAnsi="Cambria Math" w:cs="Times New Roman"/>
                <w:color w:val="auto"/>
              </w:rPr>
            </m:ctrlPr>
          </m:e>
          <m:sub>
            <m:r>
              <m:rPr>
                <m:nor/>
                <m:sty m:val="p"/>
              </m:rPr>
              <w:rPr>
                <w:rFonts w:cs="Times New Roman"/>
                <w:b w:val="0"/>
                <w:i w:val="0"/>
                <w:color w:val="auto"/>
              </w:rPr>
              <m:t>mean</m:t>
            </m:r>
            <m:ctrlPr>
              <w:rPr>
                <w:rFonts w:ascii="Cambria Math" w:hAnsi="Cambria Math" w:cs="Times New Roman"/>
                <w:color w:val="auto"/>
              </w:rPr>
            </m:ctrlPr>
          </m:sub>
        </m:sSub>
        <m:r>
          <m:rPr>
            <m:nor/>
            <m:sty m:val="p"/>
          </m:rPr>
          <w:rPr>
            <w:rFonts w:hint="eastAsia" w:ascii="宋体" w:hAnsi="宋体" w:cs="宋体"/>
            <w:b w:val="0"/>
            <w:i w:val="0"/>
            <w:color w:val="auto"/>
          </w:rPr>
          <m:t>∈</m:t>
        </m:r>
        <m:sSup>
          <m:sSupPr>
            <m:ctrlPr>
              <w:rPr>
                <w:rFonts w:ascii="Cambria Math" w:hAnsi="Cambria Math" w:cs="Times New Roman"/>
                <w:color w:val="auto"/>
              </w:rPr>
            </m:ctrlPr>
          </m:sSupPr>
          <m:e>
            <m:r>
              <m:rPr>
                <m:nor/>
                <m:sty m:val="p"/>
              </m:rPr>
              <w:rPr>
                <w:rFonts w:eastAsia="MS Mincho" w:cs="MS Mincho"/>
                <w:b w:val="0"/>
                <w:i w:val="0"/>
                <w:color w:val="auto"/>
              </w:rPr>
              <m:t>R</m:t>
            </m:r>
            <m:ctrlPr>
              <w:rPr>
                <w:rFonts w:ascii="Cambria Math" w:hAnsi="Cambria Math" w:cs="Times New Roman"/>
                <w:color w:val="auto"/>
              </w:rPr>
            </m:ctrlPr>
          </m:e>
          <m:sup>
            <m:r>
              <m:rPr>
                <m:nor/>
                <m:sty m:val="p"/>
              </m:rPr>
              <w:rPr>
                <w:rFonts w:cs="Times New Roman"/>
                <w:b w:val="0"/>
                <w:i w:val="0"/>
                <w:color w:val="auto"/>
              </w:rPr>
              <m:t>D</m:t>
            </m:r>
            <m:ctrlPr>
              <w:rPr>
                <w:rFonts w:ascii="Cambria Math" w:hAnsi="Cambria Math" w:cs="Times New Roman"/>
                <w:color w:val="auto"/>
              </w:rPr>
            </m:ctrlPr>
          </m:sup>
        </m:sSup>
      </m:oMath>
      <w:r>
        <w:rPr>
          <w:rFonts w:hint="eastAsia"/>
          <w:color w:val="auto"/>
        </w:rPr>
        <w:t>，忽略[CLS]、[SEP]以及Padding。然后将这两个向量连接成一个大小为2D维的初始全局向量，再用一个全连接层将其映射到大小为</w:t>
      </w:r>
      <m:oMath>
        <m:sSub>
          <m:sSubPr>
            <m:ctrlPr>
              <w:rPr>
                <w:rFonts w:ascii="Cambria Math" w:hAnsi="Cambria Math" w:cs="Times New Roman"/>
                <w:color w:val="auto"/>
              </w:rPr>
            </m:ctrlPr>
          </m:sSubPr>
          <m:e>
            <m:r>
              <m:rPr>
                <m:nor/>
                <m:sty m:val="p"/>
              </m:rPr>
              <w:rPr>
                <w:rFonts w:cs="Times New Roman"/>
                <w:b w:val="0"/>
                <w:i w:val="0"/>
                <w:color w:val="auto"/>
              </w:rPr>
              <m:t>d</m:t>
            </m:r>
            <m:ctrlPr>
              <w:rPr>
                <w:rFonts w:ascii="Cambria Math" w:hAnsi="Cambria Math" w:cs="Times New Roman"/>
                <w:color w:val="auto"/>
              </w:rPr>
            </m:ctrlPr>
          </m:e>
          <m:sub>
            <m:r>
              <m:rPr>
                <m:nor/>
                <m:sty m:val="p"/>
              </m:rPr>
              <w:rPr>
                <w:rFonts w:cs="Times New Roman"/>
                <w:b w:val="0"/>
                <w:i w:val="0"/>
                <w:color w:val="auto"/>
              </w:rPr>
              <m:t>proj</m:t>
            </m:r>
            <m:ctrlPr>
              <w:rPr>
                <w:rFonts w:ascii="Cambria Math" w:hAnsi="Cambria Math" w:cs="Times New Roman"/>
                <w:color w:val="auto"/>
              </w:rPr>
            </m:ctrlPr>
          </m:sub>
        </m:sSub>
        <m:r>
          <m:rPr>
            <m:nor/>
            <m:sty m:val="p"/>
          </m:rPr>
          <w:rPr>
            <w:rFonts w:cs="Times New Roman"/>
            <w:b w:val="0"/>
            <w:i w:val="0"/>
            <w:color w:val="auto"/>
          </w:rPr>
          <m:t>=656</m:t>
        </m:r>
      </m:oMath>
      <w:r>
        <w:rPr>
          <w:rFonts w:hint="eastAsia"/>
          <w:color w:val="auto"/>
        </w:rPr>
        <w:t>，并且使用ReLU激活函数以及一层BatchNormalization后得到最后的全局特征向量</w:t>
      </w:r>
      <m:oMath>
        <m:sSub>
          <m:sSubPr>
            <m:ctrlPr>
              <w:rPr>
                <w:rFonts w:ascii="Cambria Math" w:hAnsi="Cambria Math" w:cs="Times New Roman"/>
                <w:color w:val="auto"/>
              </w:rPr>
            </m:ctrlPr>
          </m:sSubPr>
          <m:e>
            <m:r>
              <m:rPr>
                <m:nor/>
                <m:sty m:val="p"/>
              </m:rPr>
              <w:rPr>
                <w:rFonts w:cs="Times New Roman"/>
                <w:b w:val="0"/>
                <w:i w:val="0"/>
                <w:color w:val="auto"/>
              </w:rPr>
              <m:t>v</m:t>
            </m:r>
            <m:ctrlPr>
              <w:rPr>
                <w:rFonts w:ascii="Cambria Math" w:hAnsi="Cambria Math" w:cs="Times New Roman"/>
                <w:color w:val="auto"/>
              </w:rPr>
            </m:ctrlPr>
          </m:e>
          <m:sub>
            <m:r>
              <m:rPr>
                <m:nor/>
                <m:sty m:val="p"/>
              </m:rPr>
              <w:rPr>
                <w:rFonts w:cs="Times New Roman"/>
                <w:b w:val="0"/>
                <w:i w:val="0"/>
                <w:color w:val="auto"/>
              </w:rPr>
              <m:t>global</m:t>
            </m:r>
            <m:ctrlPr>
              <w:rPr>
                <w:rFonts w:ascii="Cambria Math" w:hAnsi="Cambria Math" w:cs="Times New Roman"/>
                <w:color w:val="auto"/>
              </w:rPr>
            </m:ctrlPr>
          </m:sub>
        </m:sSub>
        <m:r>
          <m:rPr>
            <m:nor/>
            <m:sty m:val="p"/>
          </m:rPr>
          <w:rPr>
            <w:rFonts w:hint="eastAsia" w:ascii="宋体" w:hAnsi="宋体" w:cs="宋体"/>
            <w:b w:val="0"/>
            <w:i w:val="0"/>
            <w:color w:val="auto"/>
          </w:rPr>
          <m:t>∈</m:t>
        </m:r>
        <m:sSup>
          <m:sSupPr>
            <m:ctrlPr>
              <w:rPr>
                <w:rFonts w:ascii="Cambria Math" w:hAnsi="Cambria Math" w:cs="Times New Roman"/>
                <w:color w:val="auto"/>
              </w:rPr>
            </m:ctrlPr>
          </m:sSupPr>
          <m:e>
            <m:r>
              <m:rPr>
                <m:nor/>
                <m:sty m:val="p"/>
              </m:rPr>
              <w:rPr>
                <w:rFonts w:eastAsia="MS Mincho" w:cs="MS Mincho"/>
                <w:b w:val="0"/>
                <w:i w:val="0"/>
                <w:color w:val="auto"/>
              </w:rPr>
              <m:t>R</m:t>
            </m:r>
            <m:ctrlPr>
              <w:rPr>
                <w:rFonts w:ascii="Cambria Math" w:hAnsi="Cambria Math" w:cs="Times New Roman"/>
                <w:color w:val="auto"/>
              </w:rPr>
            </m:ctrlPr>
          </m:e>
          <m:sup>
            <m:r>
              <m:rPr>
                <m:nor/>
                <m:sty m:val="p"/>
              </m:rPr>
              <w:rPr>
                <w:rFonts w:cs="Times New Roman"/>
                <w:b w:val="0"/>
                <w:i w:val="0"/>
                <w:color w:val="auto"/>
              </w:rPr>
              <m:t>656</m:t>
            </m:r>
            <m:ctrlPr>
              <w:rPr>
                <w:rFonts w:ascii="Cambria Math" w:hAnsi="Cambria Math" w:cs="Times New Roman"/>
                <w:color w:val="auto"/>
              </w:rPr>
            </m:ctrlPr>
          </m:sup>
        </m:sSup>
      </m:oMath>
      <w:r>
        <w:rPr>
          <w:rFonts w:hint="eastAsia"/>
          <w:color w:val="auto"/>
        </w:rPr>
        <w:t>。</w:t>
      </w:r>
    </w:p>
    <w:p w14:paraId="4C1871DA">
      <w:pPr>
        <w:ind w:firstLine="480"/>
        <w:rPr>
          <w:color w:val="auto"/>
        </w:rPr>
      </w:pPr>
      <w:r>
        <w:rPr>
          <w:rFonts w:hint="eastAsia"/>
          <w:color w:val="auto"/>
        </w:rPr>
        <w:t>局部特征通路用于通过TextCNN提取不同尺度的</w:t>
      </w:r>
      <w:r>
        <w:rPr>
          <w:color w:val="auto"/>
        </w:rPr>
        <w:t>N</w:t>
      </w:r>
      <w:r>
        <w:rPr>
          <w:rFonts w:hint="eastAsia"/>
          <w:color w:val="auto"/>
        </w:rPr>
        <w:t>-gram局部信息，输入是BERT输出的</w:t>
      </w:r>
      <m:oMath>
        <m:r>
          <m:rPr>
            <m:sty m:val="p"/>
          </m:rPr>
          <w:rPr>
            <w:rFonts w:ascii="Cambria Math" w:hAnsi="Cambria Math"/>
            <w:color w:val="auto"/>
          </w:rPr>
          <m:t>H</m:t>
        </m:r>
      </m:oMath>
      <w:r>
        <w:rPr>
          <w:rFonts w:hint="eastAsia"/>
          <w:color w:val="auto"/>
        </w:rPr>
        <w:t>。使用四个不同的宽度的一维卷积核</w:t>
      </w:r>
      <m:oMath>
        <m:r>
          <m:rPr>
            <m:nor/>
            <m:sty m:val="p"/>
          </m:rPr>
          <w:rPr>
            <w:rFonts w:cs="Times New Roman"/>
            <w:b w:val="0"/>
            <w:i w:val="0"/>
            <w:color w:val="auto"/>
          </w:rPr>
          <m:t>K</m:t>
        </m:r>
        <m:r>
          <m:rPr>
            <m:nor/>
            <m:sty m:val="p"/>
          </m:rPr>
          <w:rPr>
            <w:rFonts w:hint="eastAsia" w:ascii="宋体" w:hAnsi="宋体" w:cs="宋体"/>
            <w:b w:val="0"/>
            <w:i w:val="0"/>
            <w:color w:val="auto"/>
          </w:rPr>
          <m:t>∈</m:t>
        </m:r>
        <m:r>
          <m:rPr>
            <m:nor/>
            <m:sty m:val="p"/>
          </m:rPr>
          <w:rPr>
            <w:rFonts w:cs="Times New Roman"/>
            <w:b w:val="0"/>
            <w:i w:val="0"/>
            <w:color w:val="auto"/>
          </w:rPr>
          <m:t>{2,3,4,5}</m:t>
        </m:r>
      </m:oMath>
      <w:r>
        <w:rPr>
          <w:rFonts w:hint="eastAsia"/>
          <w:color w:val="auto"/>
        </w:rPr>
        <w:t>，每个卷积核所对应通道数为</w:t>
      </w:r>
      <m:oMath>
        <m:sSub>
          <m:sSubPr>
            <m:ctrlPr>
              <w:rPr>
                <w:rFonts w:ascii="Cambria Math" w:hAnsi="Cambria Math" w:cs="Times New Roman"/>
                <w:color w:val="auto"/>
              </w:rPr>
            </m:ctrlPr>
          </m:sSubPr>
          <m:e>
            <m:r>
              <m:rPr>
                <m:nor/>
                <m:sty m:val="p"/>
              </m:rPr>
              <w:rPr>
                <w:rFonts w:cs="Times New Roman"/>
                <w:b w:val="0"/>
                <w:i w:val="0"/>
                <w:color w:val="auto"/>
              </w:rPr>
              <m:t>N</m:t>
            </m:r>
            <m:ctrlPr>
              <w:rPr>
                <w:rFonts w:ascii="Cambria Math" w:hAnsi="Cambria Math" w:cs="Times New Roman"/>
                <w:color w:val="auto"/>
              </w:rPr>
            </m:ctrlPr>
          </m:e>
          <m:sub>
            <m:r>
              <m:rPr>
                <m:nor/>
                <m:sty m:val="p"/>
              </m:rPr>
              <w:rPr>
                <w:rFonts w:cs="Times New Roman"/>
                <w:b w:val="0"/>
                <w:i w:val="0"/>
                <w:color w:val="auto"/>
              </w:rPr>
              <m:t>k</m:t>
            </m:r>
            <m:ctrlPr>
              <w:rPr>
                <w:rFonts w:ascii="Cambria Math" w:hAnsi="Cambria Math" w:cs="Times New Roman"/>
                <w:color w:val="auto"/>
              </w:rPr>
            </m:ctrlPr>
          </m:sub>
        </m:sSub>
        <m:r>
          <m:rPr>
            <m:nor/>
            <m:sty m:val="p"/>
          </m:rPr>
          <w:rPr>
            <w:rFonts w:cs="Times New Roman"/>
            <w:b w:val="0"/>
            <w:i w:val="0"/>
            <w:color w:val="auto"/>
          </w:rPr>
          <m:t>=</m:t>
        </m:r>
        <m:r>
          <m:rPr>
            <m:nor/>
            <m:sty m:val="p"/>
          </m:rPr>
          <w:rPr>
            <w:rFonts w:ascii="Cambria" w:hAnsi="Cambria" w:cs="Cambria"/>
            <w:b w:val="0"/>
            <w:i w:val="0"/>
            <w:color w:val="auto"/>
          </w:rPr>
          <m:t>⌊</m:t>
        </m:r>
        <m:r>
          <m:rPr>
            <m:nor/>
            <m:sty m:val="p"/>
          </m:rPr>
          <w:rPr>
            <w:rFonts w:cs="Times New Roman"/>
            <w:b w:val="0"/>
            <w:i w:val="0"/>
            <w:color w:val="auto"/>
          </w:rPr>
          <m:t>L/k</m:t>
        </m:r>
        <m:r>
          <m:rPr>
            <m:nor/>
            <m:sty m:val="p"/>
          </m:rPr>
          <w:rPr>
            <w:rFonts w:ascii="Cambria" w:hAnsi="Cambria" w:cs="Cambria"/>
            <w:b w:val="0"/>
            <w:i w:val="0"/>
            <w:color w:val="auto"/>
          </w:rPr>
          <m:t>⌋</m:t>
        </m:r>
      </m:oMath>
      <w:r>
        <w:rPr>
          <w:rFonts w:hint="eastAsia"/>
          <w:color w:val="auto"/>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color w:val="auto"/>
              </w:rPr>
            </m:ctrlPr>
          </m:naryPr>
          <m:sub>
            <m:ctrlPr>
              <w:rPr>
                <w:rFonts w:ascii="Cambria Math" w:hAnsi="Cambria Math" w:cs="Times New Roman"/>
                <w:color w:val="auto"/>
              </w:rPr>
            </m:ctrlPr>
          </m:sub>
          <m:sup>
            <m:ctrlPr>
              <w:rPr>
                <w:rFonts w:ascii="Cambria Math" w:hAnsi="Cambria Math" w:cs="Times New Roman"/>
                <w:color w:val="auto"/>
              </w:rPr>
            </m:ctrlPr>
          </m:sup>
          <m:e>
            <m:sSub>
              <m:sSubPr>
                <m:ctrlPr>
                  <w:rPr>
                    <w:rFonts w:ascii="Cambria Math" w:hAnsi="Cambria Math" w:cs="Times New Roman"/>
                    <w:color w:val="auto"/>
                  </w:rPr>
                </m:ctrlPr>
              </m:sSubPr>
              <m:e>
                <m:r>
                  <m:rPr>
                    <m:nor/>
                    <m:sty m:val="p"/>
                  </m:rPr>
                  <w:rPr>
                    <w:rFonts w:cs="Times New Roman"/>
                    <w:b w:val="0"/>
                    <w:i w:val="0"/>
                    <w:color w:val="auto"/>
                  </w:rPr>
                  <m:t>N</m:t>
                </m:r>
                <m:ctrlPr>
                  <w:rPr>
                    <w:rFonts w:ascii="Cambria Math" w:hAnsi="Cambria Math" w:cs="Times New Roman"/>
                    <w:color w:val="auto"/>
                  </w:rPr>
                </m:ctrlPr>
              </m:e>
              <m:sub>
                <m:r>
                  <m:rPr>
                    <m:nor/>
                    <m:sty m:val="p"/>
                  </m:rPr>
                  <w:rPr>
                    <w:rFonts w:cs="Times New Roman"/>
                    <w:b w:val="0"/>
                    <w:i w:val="0"/>
                    <w:color w:val="auto"/>
                  </w:rPr>
                  <m:t>k</m:t>
                </m:r>
                <m:ctrlPr>
                  <w:rPr>
                    <w:rFonts w:ascii="Cambria Math" w:hAnsi="Cambria Math" w:cs="Times New Roman"/>
                    <w:color w:val="auto"/>
                  </w:rPr>
                </m:ctrlPr>
              </m:sub>
            </m:sSub>
            <m:ctrlPr>
              <w:rPr>
                <w:rFonts w:ascii="Cambria Math" w:hAnsi="Cambria Math" w:cs="Times New Roman"/>
                <w:color w:val="auto"/>
              </w:rPr>
            </m:ctrlPr>
          </m:e>
        </m:nary>
        <m:r>
          <m:rPr>
            <m:nor/>
            <m:sty m:val="p"/>
          </m:rPr>
          <w:rPr>
            <w:rFonts w:cs="Times New Roman"/>
            <w:b w:val="0"/>
            <w:i w:val="0"/>
            <w:color w:val="auto"/>
          </w:rPr>
          <m:t>=656</m:t>
        </m:r>
      </m:oMath>
      <w:r>
        <w:rPr>
          <w:rFonts w:hint="eastAsia"/>
          <w:color w:val="auto"/>
        </w:rPr>
        <w:t>的局部特征向量</w:t>
      </w:r>
      <m:oMath>
        <m:sSub>
          <m:sSubPr>
            <m:ctrlPr>
              <w:rPr>
                <w:rFonts w:ascii="Cambria Math" w:hAnsi="Cambria Math"/>
                <w:color w:val="auto"/>
              </w:rPr>
            </m:ctrlPr>
          </m:sSubPr>
          <m:e>
            <m:r>
              <m:rPr>
                <m:sty m:val="p"/>
              </m:rPr>
              <w:rPr>
                <w:rFonts w:ascii="Cambria Math" w:hAnsi="Cambria Math"/>
                <w:color w:val="auto"/>
              </w:rPr>
              <m:t>v</m:t>
            </m:r>
            <m:ctrlPr>
              <w:rPr>
                <w:rFonts w:ascii="Cambria Math" w:hAnsi="Cambria Math"/>
                <w:color w:val="auto"/>
              </w:rPr>
            </m:ctrlPr>
          </m:e>
          <m:sub>
            <m:r>
              <m:rPr>
                <m:sty m:val="p"/>
              </m:rPr>
              <w:rPr>
                <w:rFonts w:ascii="Cambria Math" w:hAnsi="Cambria Math"/>
                <w:color w:val="auto"/>
              </w:rPr>
              <m:t>local</m:t>
            </m:r>
            <m:ctrlPr>
              <w:rPr>
                <w:rFonts w:ascii="Cambria Math" w:hAnsi="Cambria Math"/>
                <w:color w:val="auto"/>
              </w:rPr>
            </m:ctrlPr>
          </m:sub>
        </m:sSub>
      </m:oMath>
      <w:r>
        <w:rPr>
          <w:rFonts w:hint="eastAsia"/>
          <w:color w:val="auto"/>
        </w:rPr>
        <w:t>，接着再做一层LayerNormalization。</w:t>
      </w:r>
    </w:p>
    <w:p w14:paraId="60D496C1">
      <w:pPr>
        <w:numPr>
          <w:ilvl w:val="0"/>
          <w:numId w:val="13"/>
        </w:numPr>
        <w:ind w:firstLine="480"/>
        <w:rPr>
          <w:color w:val="auto"/>
        </w:rPr>
      </w:pPr>
      <w:r>
        <w:rPr>
          <w:rFonts w:hint="eastAsia"/>
          <w:color w:val="auto"/>
        </w:rPr>
        <w:t>融合分类层</w:t>
      </w:r>
    </w:p>
    <w:p w14:paraId="56A84CCB">
      <w:pPr>
        <w:ind w:firstLine="480"/>
        <w:rPr>
          <w:color w:val="auto"/>
        </w:rPr>
      </w:pPr>
      <w:r>
        <w:rPr>
          <w:rFonts w:hint="eastAsia"/>
          <w:color w:val="auto"/>
        </w:rPr>
        <w:t>该部分负责综合全局以及局部信息并完成分类任务，在此将全局特征</w:t>
      </w:r>
      <m:oMath>
        <m:sSub>
          <m:sSubPr>
            <m:ctrlPr>
              <w:rPr>
                <w:rFonts w:ascii="Cambria Math" w:hAnsi="Cambria Math" w:cs="Times New Roman"/>
                <w:color w:val="auto"/>
              </w:rPr>
            </m:ctrlPr>
          </m:sSubPr>
          <m:e>
            <m:r>
              <m:rPr>
                <m:nor/>
                <m:sty m:val="p"/>
              </m:rPr>
              <w:rPr>
                <w:rFonts w:cs="Times New Roman"/>
                <w:b w:val="0"/>
                <w:i w:val="0"/>
                <w:color w:val="auto"/>
              </w:rPr>
              <m:t>v</m:t>
            </m:r>
            <m:ctrlPr>
              <w:rPr>
                <w:rFonts w:ascii="Cambria Math" w:hAnsi="Cambria Math" w:cs="Times New Roman"/>
                <w:color w:val="auto"/>
              </w:rPr>
            </m:ctrlPr>
          </m:e>
          <m:sub>
            <m:r>
              <m:rPr>
                <m:nor/>
                <m:sty m:val="p"/>
              </m:rPr>
              <w:rPr>
                <w:rFonts w:cs="Times New Roman"/>
                <w:b w:val="0"/>
                <w:i w:val="0"/>
                <w:color w:val="auto"/>
              </w:rPr>
              <m:t>global</m:t>
            </m:r>
            <m:ctrlPr>
              <w:rPr>
                <w:rFonts w:ascii="Cambria Math" w:hAnsi="Cambria Math" w:cs="Times New Roman"/>
                <w:color w:val="auto"/>
              </w:rPr>
            </m:ctrlPr>
          </m:sub>
        </m:sSub>
      </m:oMath>
      <w:r>
        <w:rPr>
          <w:rFonts w:hint="eastAsia"/>
          <w:color w:val="auto"/>
        </w:rPr>
        <w:t>与局部特征</w:t>
      </w:r>
      <m:oMath>
        <m:sSub>
          <m:sSubPr>
            <m:ctrlPr>
              <w:rPr>
                <w:rFonts w:ascii="Cambria Math" w:hAnsi="Cambria Math" w:cs="Times New Roman"/>
                <w:color w:val="auto"/>
              </w:rPr>
            </m:ctrlPr>
          </m:sSubPr>
          <m:e>
            <m:r>
              <m:rPr>
                <m:nor/>
                <m:sty m:val="p"/>
              </m:rPr>
              <w:rPr>
                <w:rFonts w:cs="Times New Roman"/>
                <w:b w:val="0"/>
                <w:i w:val="0"/>
                <w:color w:val="auto"/>
              </w:rPr>
              <m:t>v</m:t>
            </m:r>
            <m:ctrlPr>
              <w:rPr>
                <w:rFonts w:ascii="Cambria Math" w:hAnsi="Cambria Math" w:cs="Times New Roman"/>
                <w:color w:val="auto"/>
              </w:rPr>
            </m:ctrlPr>
          </m:e>
          <m:sub>
            <m:r>
              <m:rPr>
                <m:nor/>
                <m:sty m:val="p"/>
              </m:rPr>
              <w:rPr>
                <w:rFonts w:cs="Times New Roman"/>
                <w:b w:val="0"/>
                <w:i w:val="0"/>
                <w:color w:val="auto"/>
              </w:rPr>
              <m:t>local</m:t>
            </m:r>
            <m:ctrlPr>
              <w:rPr>
                <w:rFonts w:ascii="Cambria Math" w:hAnsi="Cambria Math" w:cs="Times New Roman"/>
                <w:color w:val="auto"/>
              </w:rPr>
            </m:ctrlPr>
          </m:sub>
        </m:sSub>
      </m:oMath>
      <w:r>
        <w:rPr>
          <w:rFonts w:hint="eastAsia"/>
          <w:color w:val="auto"/>
        </w:rPr>
        <w:t>进行连接形成长度为1312融合特征表示量</w:t>
      </w:r>
      <m:oMath>
        <m:sSub>
          <m:sSubPr>
            <m:ctrlPr>
              <w:rPr>
                <w:rFonts w:ascii="Cambria Math" w:hAnsi="Cambria Math" w:cs="Times New Roman"/>
                <w:color w:val="auto"/>
              </w:rPr>
            </m:ctrlPr>
          </m:sSubPr>
          <m:e>
            <m:r>
              <m:rPr>
                <m:nor/>
                <m:sty m:val="p"/>
              </m:rPr>
              <w:rPr>
                <w:rFonts w:cs="Times New Roman"/>
                <w:b w:val="0"/>
                <w:i w:val="0"/>
                <w:color w:val="auto"/>
              </w:rPr>
              <m:t>v</m:t>
            </m:r>
            <m:ctrlPr>
              <w:rPr>
                <w:rFonts w:ascii="Cambria Math" w:hAnsi="Cambria Math" w:cs="Times New Roman"/>
                <w:color w:val="auto"/>
              </w:rPr>
            </m:ctrlPr>
          </m:e>
          <m:sub>
            <m:r>
              <m:rPr>
                <m:nor/>
                <m:sty m:val="p"/>
              </m:rPr>
              <w:rPr>
                <w:rFonts w:cs="Times New Roman"/>
                <w:b w:val="0"/>
                <w:i w:val="0"/>
                <w:color w:val="auto"/>
              </w:rPr>
              <m:t>fusion</m:t>
            </m:r>
            <m:ctrlPr>
              <w:rPr>
                <w:rFonts w:ascii="Cambria Math" w:hAnsi="Cambria Math" w:cs="Times New Roman"/>
                <w:color w:val="auto"/>
              </w:rPr>
            </m:ctrlPr>
          </m:sub>
        </m:sSub>
      </m:oMath>
      <w:r>
        <w:rPr>
          <w:rFonts w:hint="eastAsia"/>
          <w:color w:val="auto"/>
        </w:rPr>
        <w:t>，为以提高模型鲁棒性，本文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1196EA0E">
      <w:pPr>
        <w:ind w:firstLine="480"/>
        <w:rPr>
          <w:color w:val="auto"/>
        </w:rPr>
      </w:pPr>
      <w:r>
        <w:rPr>
          <w:rFonts w:hint="eastAsia"/>
          <w:color w:val="auto"/>
        </w:rPr>
        <w:t>为了使模型可以学到医疗专利文本深层次信息并且有较好鲁棒性，本文设计了合理的数据集切分方法、损失函数优化方式及参数更新规则等。</w:t>
      </w:r>
    </w:p>
    <w:p w14:paraId="659DDA8C">
      <w:pPr>
        <w:numPr>
          <w:ilvl w:val="0"/>
          <w:numId w:val="14"/>
        </w:numPr>
        <w:ind w:firstLine="480"/>
        <w:rPr>
          <w:color w:val="auto"/>
        </w:rPr>
      </w:pPr>
      <w:r>
        <w:rPr>
          <w:color w:val="auto"/>
        </w:rPr>
        <w:t>数据集划分</w:t>
      </w:r>
    </w:p>
    <w:p w14:paraId="73D6274A">
      <w:pPr>
        <w:ind w:firstLine="420" w:firstLineChars="0"/>
        <w:rPr>
          <w:color w:val="auto"/>
        </w:rPr>
      </w:pPr>
      <w:r>
        <w:rPr>
          <w:rFonts w:hint="eastAsia"/>
          <w:color w:val="auto"/>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rPr>
          <w:color w:val="auto"/>
        </w:rPr>
        <w:t>。</w:t>
      </w:r>
    </w:p>
    <w:p w14:paraId="79AE3A70">
      <w:pPr>
        <w:numPr>
          <w:ilvl w:val="0"/>
          <w:numId w:val="14"/>
        </w:numPr>
        <w:ind w:firstLine="480"/>
        <w:rPr>
          <w:color w:val="auto"/>
        </w:rPr>
      </w:pPr>
      <w:r>
        <w:rPr>
          <w:color w:val="auto"/>
        </w:rPr>
        <w:t>损失函数设计</w:t>
      </w:r>
    </w:p>
    <w:p w14:paraId="2C04E4EF">
      <w:pPr>
        <w:ind w:firstLine="480"/>
        <w:rPr>
          <w:color w:val="auto"/>
        </w:rPr>
      </w:pPr>
      <w:r>
        <w:rPr>
          <w:rFonts w:hint="eastAsia"/>
          <w:color w:val="auto"/>
        </w:rPr>
        <w:t>为了提高模型泛化能力和防止过拟合，在本研究中使用带有标签平滑正则化交叉熵作为损失函数，在此基础上设定平滑参数</w:t>
      </w:r>
      <m:oMath>
        <m:r>
          <m:rPr>
            <m:nor/>
            <m:sty m:val="p"/>
          </m:rPr>
          <w:rPr>
            <w:rFonts w:cs="Times New Roman"/>
            <w:b w:val="0"/>
            <w:i w:val="0"/>
            <w:color w:val="auto"/>
          </w:rPr>
          <m:t>ϵ=0.1</m:t>
        </m:r>
      </m:oMath>
      <w:r>
        <w:rPr>
          <w:rFonts w:hint="eastAsia"/>
          <w:color w:val="auto"/>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52CF5D3F">
      <w:pPr>
        <w:numPr>
          <w:ilvl w:val="0"/>
          <w:numId w:val="14"/>
        </w:numPr>
        <w:ind w:firstLine="480"/>
        <w:rPr>
          <w:color w:val="auto"/>
        </w:rPr>
      </w:pPr>
      <w:r>
        <w:rPr>
          <w:color w:val="auto"/>
        </w:rPr>
        <w:t>优化器与学习率调度</w:t>
      </w:r>
    </w:p>
    <w:p w14:paraId="78390B1B">
      <w:pPr>
        <w:ind w:firstLine="420" w:firstLineChars="0"/>
        <w:rPr>
          <w:color w:val="auto"/>
        </w:rPr>
      </w:pPr>
      <w:r>
        <w:rPr>
          <w:rFonts w:hint="eastAsia"/>
          <w:color w:val="auto"/>
        </w:rPr>
        <w:t>对于超参数优化使用AdamW优化器来更新梯度，在Adam基础上解耦权重衰减，更适合稀疏梯度情况，初始学习率为</w:t>
      </w:r>
      <m:oMath>
        <m:r>
          <m:rPr>
            <m:nor/>
            <m:sty m:val="p"/>
          </m:rPr>
          <w:rPr>
            <w:rFonts w:cs="Times New Roman"/>
            <w:b w:val="0"/>
            <w:i w:val="0"/>
            <w:color w:val="auto"/>
          </w:rPr>
          <m:t>5×1</m:t>
        </m:r>
        <m:sSup>
          <m:sSupPr>
            <m:ctrlPr>
              <w:rPr>
                <w:rFonts w:ascii="Cambria Math" w:hAnsi="Cambria Math" w:cs="Times New Roman"/>
                <w:color w:val="auto"/>
              </w:rPr>
            </m:ctrlPr>
          </m:sSupPr>
          <m:e>
            <m:r>
              <m:rPr>
                <m:nor/>
                <m:sty m:val="p"/>
              </m:rPr>
              <w:rPr>
                <w:rFonts w:cs="Times New Roman"/>
                <w:b w:val="0"/>
                <w:i w:val="0"/>
                <w:color w:val="auto"/>
              </w:rPr>
              <m:t>0</m:t>
            </m:r>
            <m:ctrlPr>
              <w:rPr>
                <w:rFonts w:ascii="Cambria Math" w:hAnsi="Cambria Math" w:cs="Times New Roman"/>
                <w:color w:val="auto"/>
              </w:rPr>
            </m:ctrlPr>
          </m:e>
          <m:sup>
            <m:r>
              <m:rPr>
                <m:nor/>
                <m:sty m:val="p"/>
              </m:rPr>
              <w:rPr>
                <w:rFonts w:cs="Times New Roman"/>
                <w:b w:val="0"/>
                <w:i w:val="0"/>
                <w:color w:val="auto"/>
              </w:rPr>
              <m:t>-5</m:t>
            </m:r>
            <m:ctrlPr>
              <w:rPr>
                <w:rFonts w:ascii="Cambria Math" w:hAnsi="Cambria Math" w:cs="Times New Roman"/>
                <w:color w:val="auto"/>
              </w:rPr>
            </m:ctrlPr>
          </m:sup>
        </m:sSup>
      </m:oMath>
      <w:r>
        <w:rPr>
          <w:color w:val="auto"/>
        </w:rPr>
        <w:t>，权重衰减系数为</w:t>
      </w:r>
      <m:oMath>
        <m:r>
          <m:rPr>
            <m:nor/>
            <m:sty m:val="p"/>
          </m:rPr>
          <w:rPr>
            <w:rFonts w:cs="Times New Roman"/>
            <w:b w:val="0"/>
            <w:i w:val="0"/>
            <w:color w:val="auto"/>
          </w:rPr>
          <m:t>1×1</m:t>
        </m:r>
        <m:sSup>
          <m:sSupPr>
            <m:ctrlPr>
              <w:rPr>
                <w:rFonts w:ascii="Cambria Math" w:hAnsi="Cambria Math" w:cs="Times New Roman"/>
                <w:color w:val="auto"/>
              </w:rPr>
            </m:ctrlPr>
          </m:sSupPr>
          <m:e>
            <m:r>
              <m:rPr>
                <m:nor/>
                <m:sty m:val="p"/>
              </m:rPr>
              <w:rPr>
                <w:rFonts w:cs="Times New Roman"/>
                <w:b w:val="0"/>
                <w:i w:val="0"/>
                <w:color w:val="auto"/>
              </w:rPr>
              <m:t>0</m:t>
            </m:r>
            <m:ctrlPr>
              <w:rPr>
                <w:rFonts w:ascii="Cambria Math" w:hAnsi="Cambria Math" w:cs="Times New Roman"/>
                <w:color w:val="auto"/>
              </w:rPr>
            </m:ctrlPr>
          </m:e>
          <m:sup>
            <m:r>
              <m:rPr>
                <m:nor/>
                <m:sty m:val="p"/>
              </m:rPr>
              <w:rPr>
                <w:rFonts w:cs="Times New Roman"/>
                <w:b w:val="0"/>
                <w:i w:val="0"/>
                <w:color w:val="auto"/>
              </w:rPr>
              <m:t>-3</m:t>
            </m:r>
            <m:ctrlPr>
              <w:rPr>
                <w:rFonts w:ascii="Cambria Math" w:hAnsi="Cambria Math" w:cs="Times New Roman"/>
                <w:color w:val="auto"/>
              </w:rPr>
            </m:ctrlPr>
          </m:sup>
        </m:sSup>
      </m:oMath>
      <w:r>
        <w:rPr>
          <w:color w:val="auto"/>
        </w:rPr>
        <w:t>。</w:t>
      </w:r>
      <w:r>
        <w:rPr>
          <w:rFonts w:hint="eastAsia"/>
          <w:color w:val="auto"/>
        </w:rPr>
        <w:t>另外，为了使模型从局部最优解中跳出来并且找到更好的全局最优解，本文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b w:val="0"/>
            <w:i w:val="0"/>
            <w:color w:val="auto"/>
          </w:rPr>
          <m:t>Factor=0.5</m:t>
        </m:r>
      </m:oMath>
      <w:r>
        <w:rPr>
          <w:color w:val="auto"/>
        </w:rPr>
        <w:t>。</w:t>
      </w:r>
      <w:r>
        <w:rPr>
          <w:rFonts w:hint="eastAsia"/>
          <w:color w:val="auto"/>
        </w:rPr>
        <w:t>这样可以在一开始让模型迅速下降同时也可以后期更精确地微调参数</w:t>
      </w:r>
      <w:r>
        <w:rPr>
          <w:color w:val="auto"/>
        </w:rPr>
        <w:t>。</w:t>
      </w:r>
    </w:p>
    <w:p w14:paraId="3F6C071D">
      <w:pPr>
        <w:pStyle w:val="3"/>
        <w:numPr>
          <w:ilvl w:val="1"/>
          <w:numId w:val="1"/>
        </w:numPr>
        <w:tabs>
          <w:tab w:val="clear" w:pos="420"/>
        </w:tabs>
        <w:rPr>
          <w:color w:val="auto"/>
        </w:rPr>
      </w:pPr>
      <w:bookmarkStart w:id="187" w:name="_Toc216114515"/>
      <w:bookmarkStart w:id="188" w:name="_Toc229086898"/>
      <w:bookmarkStart w:id="189" w:name="_Toc28669"/>
      <w:r>
        <w:rPr>
          <w:rFonts w:hint="eastAsia"/>
          <w:color w:val="auto"/>
        </w:rPr>
        <w:t>分类模型评估</w:t>
      </w:r>
      <w:bookmarkEnd w:id="187"/>
      <w:bookmarkEnd w:id="188"/>
      <w:bookmarkEnd w:id="189"/>
    </w:p>
    <w:p w14:paraId="2E59CA90">
      <w:pPr>
        <w:pStyle w:val="4"/>
        <w:numPr>
          <w:ilvl w:val="2"/>
          <w:numId w:val="1"/>
        </w:numPr>
        <w:rPr>
          <w:color w:val="auto"/>
        </w:rPr>
      </w:pPr>
      <w:bookmarkStart w:id="190" w:name="_Toc216114516"/>
      <w:bookmarkStart w:id="191" w:name="_Toc25617"/>
      <w:bookmarkStart w:id="192" w:name="_Toc229086899"/>
      <w:r>
        <w:rPr>
          <w:rFonts w:hint="eastAsia"/>
          <w:color w:val="auto"/>
        </w:rPr>
        <w:t>模型对比实验</w:t>
      </w:r>
      <w:bookmarkEnd w:id="190"/>
      <w:bookmarkEnd w:id="191"/>
      <w:bookmarkEnd w:id="192"/>
    </w:p>
    <w:p w14:paraId="45BCC6C9">
      <w:pPr>
        <w:ind w:firstLine="480"/>
        <w:rPr>
          <w:color w:val="auto"/>
          <w:highlight w:val="yellow"/>
        </w:rPr>
      </w:pPr>
      <w:r>
        <w:rPr>
          <w:rFonts w:hint="eastAsia"/>
          <w:color w:val="auto"/>
          <w:highlight w:val="yellow"/>
        </w:rPr>
        <w:t>为了检验BERT-TextCNN在医疗器械专利分类任务中的实际效果，结合第二章对专利表示模型和近年文本分类模型的梳理，本文的对比实验覆盖传统机器学习方法、专利文本表示模型和近年文本分类模型三类方法。传统机器学习方法先在KNN、LR、RF和XGBoost中进行预实验，最终选取测试集中表现最好的KNN作为传统方法代表；深度学习对比方法包括DeepPatent</w:t>
      </w:r>
      <w:r>
        <w:rPr>
          <w:rStyle w:val="33"/>
          <w:rFonts w:hint="eastAsia"/>
          <w:color w:val="auto"/>
          <w:highlight w:val="yellow"/>
        </w:rPr>
        <w:t>[54]</w:t>
      </w:r>
      <w:r>
        <w:rPr>
          <w:rFonts w:hint="eastAsia"/>
          <w:color w:val="auto"/>
          <w:highlight w:val="yellow"/>
        </w:rPr>
        <w:t>、PatentSBERTa</w:t>
      </w:r>
      <w:r>
        <w:rPr>
          <w:rStyle w:val="33"/>
          <w:rFonts w:hint="eastAsia"/>
          <w:color w:val="auto"/>
          <w:highlight w:val="yellow"/>
        </w:rPr>
        <w:t>[27]</w:t>
      </w:r>
      <w:r>
        <w:rPr>
          <w:rFonts w:hint="eastAsia"/>
          <w:color w:val="auto"/>
          <w:highlight w:val="yellow"/>
        </w:rPr>
        <w:t>、PaECTER</w:t>
      </w:r>
      <w:r>
        <w:rPr>
          <w:rStyle w:val="33"/>
          <w:rFonts w:hint="eastAsia"/>
          <w:color w:val="auto"/>
          <w:highlight w:val="yellow"/>
        </w:rPr>
        <w:t>[33]</w:t>
      </w:r>
      <w:r>
        <w:rPr>
          <w:rFonts w:hint="eastAsia"/>
          <w:color w:val="auto"/>
          <w:highlight w:val="yellow"/>
        </w:rPr>
        <w:t>和RAMHA</w:t>
      </w:r>
      <w:r>
        <w:rPr>
          <w:rStyle w:val="33"/>
          <w:rFonts w:hint="eastAsia"/>
          <w:color w:val="auto"/>
          <w:highlight w:val="yellow"/>
        </w:rPr>
        <w:t>[34]</w:t>
      </w:r>
      <w:r>
        <w:rPr>
          <w:rFonts w:hint="eastAsia"/>
          <w:color w:val="auto"/>
          <w:highlight w:val="yellow"/>
        </w:rPr>
        <w:t>。其中，DeepPatent属于较早的专利分类深度学习结构，采用词嵌入与卷积网络进行文本建模；PatentSBERTa和PaECTER均与专利文本表示学习相关，本文将其迁移到医疗器械专利数据集上进行微调；RAMHA虽然并非专利领域方法，但属于近年文本分类模型，其结构在文本分类任务中具有一定代表性，故作为近年文本分类方法的参照组。</w:t>
      </w:r>
    </w:p>
    <w:p w14:paraId="7622EA01">
      <w:pPr>
        <w:ind w:firstLine="480"/>
        <w:rPr>
          <w:color w:val="auto"/>
          <w:highlight w:val="yellow"/>
        </w:rPr>
      </w:pPr>
      <w:r>
        <w:rPr>
          <w:rFonts w:hint="eastAsia"/>
          <w:color w:val="auto"/>
          <w:highlight w:val="yellow"/>
        </w:rPr>
        <w:t>为保证比较过程尽量公平，上述模型均在本文构建的数据集上重新训练或微调，训练集、验证集、测试集划分保持一致，主要训练参数也与本文模型保持一致。实验结果见表4-1。</w:t>
      </w:r>
    </w:p>
    <w:p w14:paraId="3478122A">
      <w:pPr>
        <w:pStyle w:val="25"/>
        <w:rPr>
          <w:rFonts w:hint="default"/>
          <w:color w:val="auto"/>
          <w:highlight w:val="yellow"/>
        </w:rPr>
      </w:pPr>
      <w:r>
        <w:rPr>
          <w:color w:val="auto"/>
          <w:highlight w:val="yellow"/>
        </w:rPr>
        <w:t>表4-1  模型对比</w:t>
      </w:r>
    </w:p>
    <w:tbl>
      <w:tblPr>
        <w:tblStyle w:val="15"/>
        <w:tblW w:w="4998" w:type="pct"/>
        <w:tblInd w:w="0" w:type="dxa"/>
        <w:tblLayout w:type="autofit"/>
        <w:tblCellMar>
          <w:top w:w="0" w:type="dxa"/>
          <w:left w:w="108" w:type="dxa"/>
          <w:bottom w:w="0" w:type="dxa"/>
          <w:right w:w="108" w:type="dxa"/>
        </w:tblCellMar>
      </w:tblPr>
      <w:tblGrid>
        <w:gridCol w:w="2285"/>
        <w:gridCol w:w="1454"/>
        <w:gridCol w:w="2211"/>
        <w:gridCol w:w="2569"/>
      </w:tblGrid>
      <w:tr w14:paraId="5F0EADFF">
        <w:tblPrEx>
          <w:tblCellMar>
            <w:top w:w="0" w:type="dxa"/>
            <w:left w:w="108" w:type="dxa"/>
            <w:bottom w:w="0" w:type="dxa"/>
            <w:right w:w="108" w:type="dxa"/>
          </w:tblCellMar>
        </w:tblPrEx>
        <w:trPr>
          <w:trHeight w:val="471" w:hRule="atLeast"/>
        </w:trPr>
        <w:tc>
          <w:tcPr>
            <w:tcW w:w="1341" w:type="pct"/>
            <w:tcBorders>
              <w:top w:val="single" w:color="auto" w:sz="8" w:space="0"/>
              <w:left w:val="nil"/>
              <w:bottom w:val="single" w:color="auto" w:sz="6" w:space="0"/>
              <w:right w:val="nil"/>
            </w:tcBorders>
            <w:shd w:val="clear" w:color="auto" w:fill="FFFFFF"/>
            <w:vAlign w:val="center"/>
          </w:tcPr>
          <w:p w14:paraId="7D5D9B03">
            <w:pPr>
              <w:pStyle w:val="26"/>
              <w:rPr>
                <w:rFonts w:hint="default"/>
                <w:color w:val="auto"/>
                <w:highlight w:val="yellow"/>
              </w:rPr>
            </w:pPr>
            <w:r>
              <w:rPr>
                <w:rFonts w:hint="default"/>
                <w:color w:val="auto"/>
                <w:highlight w:val="yellow"/>
              </w:rPr>
              <w:t>模型</w:t>
            </w:r>
          </w:p>
        </w:tc>
        <w:tc>
          <w:tcPr>
            <w:tcW w:w="853" w:type="pct"/>
            <w:tcBorders>
              <w:top w:val="single" w:color="auto" w:sz="8" w:space="0"/>
              <w:left w:val="nil"/>
              <w:bottom w:val="single" w:color="auto" w:sz="6" w:space="0"/>
              <w:right w:val="nil"/>
            </w:tcBorders>
            <w:shd w:val="clear" w:color="auto" w:fill="FFFFFF"/>
            <w:vAlign w:val="center"/>
          </w:tcPr>
          <w:p w14:paraId="0B10C66B">
            <w:pPr>
              <w:pStyle w:val="26"/>
              <w:rPr>
                <w:rFonts w:hint="default"/>
                <w:color w:val="auto"/>
                <w:highlight w:val="yellow"/>
              </w:rPr>
            </w:pPr>
            <w:r>
              <w:rPr>
                <w:rFonts w:hint="default"/>
                <w:color w:val="auto"/>
                <w:highlight w:val="yellow"/>
              </w:rPr>
              <w:t>Accuracy</w:t>
            </w:r>
          </w:p>
        </w:tc>
        <w:tc>
          <w:tcPr>
            <w:tcW w:w="1297" w:type="pct"/>
            <w:tcBorders>
              <w:top w:val="single" w:color="auto" w:sz="8" w:space="0"/>
              <w:left w:val="nil"/>
              <w:bottom w:val="single" w:color="auto" w:sz="6" w:space="0"/>
              <w:right w:val="nil"/>
            </w:tcBorders>
            <w:shd w:val="clear" w:color="auto" w:fill="FFFFFF"/>
            <w:vAlign w:val="center"/>
          </w:tcPr>
          <w:p w14:paraId="1D98A1F5">
            <w:pPr>
              <w:pStyle w:val="26"/>
              <w:rPr>
                <w:rFonts w:hint="default"/>
                <w:color w:val="auto"/>
                <w:highlight w:val="yellow"/>
              </w:rPr>
            </w:pPr>
            <w:r>
              <w:rPr>
                <w:rFonts w:hint="default"/>
                <w:color w:val="auto"/>
                <w:highlight w:val="yellow"/>
              </w:rPr>
              <w:t>Macro F1-score</w:t>
            </w:r>
          </w:p>
        </w:tc>
        <w:tc>
          <w:tcPr>
            <w:tcW w:w="1507" w:type="pct"/>
            <w:tcBorders>
              <w:top w:val="single" w:color="auto" w:sz="8" w:space="0"/>
              <w:left w:val="nil"/>
              <w:bottom w:val="single" w:color="auto" w:sz="6" w:space="0"/>
              <w:right w:val="nil"/>
            </w:tcBorders>
            <w:shd w:val="clear" w:color="auto" w:fill="FFFFFF"/>
            <w:vAlign w:val="center"/>
          </w:tcPr>
          <w:p w14:paraId="0389F87E">
            <w:pPr>
              <w:pStyle w:val="26"/>
              <w:rPr>
                <w:rFonts w:hint="default"/>
                <w:color w:val="auto"/>
                <w:highlight w:val="yellow"/>
              </w:rPr>
            </w:pPr>
            <w:r>
              <w:rPr>
                <w:rFonts w:hint="default"/>
                <w:color w:val="auto"/>
                <w:highlight w:val="yellow"/>
              </w:rPr>
              <w:t>Weighted F1-score</w:t>
            </w:r>
          </w:p>
        </w:tc>
      </w:tr>
      <w:tr w14:paraId="7AABF651">
        <w:tblPrEx>
          <w:tblCellMar>
            <w:top w:w="0" w:type="dxa"/>
            <w:left w:w="108" w:type="dxa"/>
            <w:bottom w:w="0" w:type="dxa"/>
            <w:right w:w="108" w:type="dxa"/>
          </w:tblCellMar>
        </w:tblPrEx>
        <w:trPr>
          <w:trHeight w:val="471" w:hRule="atLeast"/>
        </w:trPr>
        <w:tc>
          <w:tcPr>
            <w:tcW w:w="1341" w:type="pct"/>
            <w:tcBorders>
              <w:top w:val="single" w:color="auto" w:sz="6" w:space="0"/>
              <w:left w:val="nil"/>
              <w:bottom w:val="nil"/>
              <w:right w:val="nil"/>
            </w:tcBorders>
            <w:shd w:val="clear" w:color="auto" w:fill="FFFFFF"/>
          </w:tcPr>
          <w:p w14:paraId="513600A1">
            <w:pPr>
              <w:pStyle w:val="26"/>
              <w:rPr>
                <w:rFonts w:hint="default"/>
                <w:color w:val="auto"/>
                <w:highlight w:val="yellow"/>
              </w:rPr>
            </w:pPr>
            <w:r>
              <w:rPr>
                <w:rFonts w:hint="default"/>
                <w:color w:val="auto"/>
                <w:highlight w:val="yellow"/>
              </w:rPr>
              <w:t>KNN</w:t>
            </w:r>
          </w:p>
        </w:tc>
        <w:tc>
          <w:tcPr>
            <w:tcW w:w="853" w:type="pct"/>
            <w:tcBorders>
              <w:top w:val="single" w:color="auto" w:sz="6" w:space="0"/>
              <w:left w:val="nil"/>
              <w:bottom w:val="nil"/>
              <w:right w:val="nil"/>
            </w:tcBorders>
            <w:shd w:val="clear" w:color="auto" w:fill="FFFFFF"/>
          </w:tcPr>
          <w:p w14:paraId="1FC2F708">
            <w:pPr>
              <w:pStyle w:val="26"/>
              <w:rPr>
                <w:rFonts w:hint="default"/>
                <w:color w:val="auto"/>
                <w:highlight w:val="yellow"/>
              </w:rPr>
            </w:pPr>
            <w:r>
              <w:rPr>
                <w:color w:val="auto"/>
                <w:highlight w:val="yellow"/>
              </w:rPr>
              <w:t>0.8942</w:t>
            </w:r>
          </w:p>
        </w:tc>
        <w:tc>
          <w:tcPr>
            <w:tcW w:w="1297" w:type="pct"/>
            <w:tcBorders>
              <w:top w:val="single" w:color="auto" w:sz="6" w:space="0"/>
              <w:left w:val="nil"/>
              <w:bottom w:val="nil"/>
              <w:right w:val="nil"/>
            </w:tcBorders>
            <w:shd w:val="clear" w:color="auto" w:fill="FFFFFF"/>
          </w:tcPr>
          <w:p w14:paraId="158BBFE1">
            <w:pPr>
              <w:pStyle w:val="26"/>
              <w:rPr>
                <w:rFonts w:hint="default"/>
                <w:color w:val="auto"/>
                <w:highlight w:val="yellow"/>
              </w:rPr>
            </w:pPr>
            <w:r>
              <w:rPr>
                <w:rFonts w:hint="default"/>
                <w:color w:val="auto"/>
                <w:highlight w:val="yellow"/>
              </w:rPr>
              <w:t>0.</w:t>
            </w:r>
            <w:r>
              <w:rPr>
                <w:color w:val="auto"/>
                <w:highlight w:val="yellow"/>
              </w:rPr>
              <w:t>7461</w:t>
            </w:r>
          </w:p>
        </w:tc>
        <w:tc>
          <w:tcPr>
            <w:tcW w:w="1507" w:type="pct"/>
            <w:tcBorders>
              <w:top w:val="single" w:color="auto" w:sz="6" w:space="0"/>
              <w:left w:val="nil"/>
              <w:bottom w:val="nil"/>
              <w:right w:val="nil"/>
            </w:tcBorders>
            <w:shd w:val="clear" w:color="auto" w:fill="FFFFFF"/>
          </w:tcPr>
          <w:p w14:paraId="2D4CE9A4">
            <w:pPr>
              <w:pStyle w:val="26"/>
              <w:rPr>
                <w:rFonts w:hint="default"/>
                <w:color w:val="auto"/>
                <w:highlight w:val="yellow"/>
              </w:rPr>
            </w:pPr>
            <w:r>
              <w:rPr>
                <w:color w:val="auto"/>
                <w:highlight w:val="yellow"/>
              </w:rPr>
              <w:t>0.8884</w:t>
            </w:r>
          </w:p>
        </w:tc>
      </w:tr>
      <w:tr w14:paraId="716FA417">
        <w:tblPrEx>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tcPr>
          <w:p w14:paraId="3215750B">
            <w:pPr>
              <w:pStyle w:val="26"/>
              <w:rPr>
                <w:rFonts w:hint="default"/>
                <w:color w:val="auto"/>
                <w:highlight w:val="yellow"/>
              </w:rPr>
            </w:pPr>
            <w:r>
              <w:rPr>
                <w:rFonts w:hint="default"/>
                <w:color w:val="auto"/>
                <w:highlight w:val="yellow"/>
              </w:rPr>
              <w:t>DeepPatent</w:t>
            </w:r>
          </w:p>
        </w:tc>
        <w:tc>
          <w:tcPr>
            <w:tcW w:w="853" w:type="pct"/>
            <w:tcBorders>
              <w:top w:val="nil"/>
              <w:left w:val="nil"/>
              <w:bottom w:val="nil"/>
              <w:right w:val="nil"/>
            </w:tcBorders>
            <w:shd w:val="clear" w:color="auto" w:fill="FFFFFF"/>
          </w:tcPr>
          <w:p w14:paraId="7C37E4F5">
            <w:pPr>
              <w:pStyle w:val="26"/>
              <w:rPr>
                <w:rFonts w:hint="default"/>
                <w:color w:val="auto"/>
                <w:highlight w:val="yellow"/>
              </w:rPr>
            </w:pPr>
            <w:r>
              <w:rPr>
                <w:rFonts w:hint="default"/>
                <w:color w:val="auto"/>
                <w:highlight w:val="yellow"/>
              </w:rPr>
              <w:t>0.8945</w:t>
            </w:r>
          </w:p>
        </w:tc>
        <w:tc>
          <w:tcPr>
            <w:tcW w:w="1297" w:type="pct"/>
            <w:tcBorders>
              <w:top w:val="nil"/>
              <w:left w:val="nil"/>
              <w:bottom w:val="nil"/>
              <w:right w:val="nil"/>
            </w:tcBorders>
            <w:shd w:val="clear" w:color="auto" w:fill="FFFFFF"/>
          </w:tcPr>
          <w:p w14:paraId="07579387">
            <w:pPr>
              <w:pStyle w:val="26"/>
              <w:rPr>
                <w:rFonts w:hint="default"/>
                <w:color w:val="auto"/>
                <w:highlight w:val="yellow"/>
              </w:rPr>
            </w:pPr>
            <w:r>
              <w:rPr>
                <w:rFonts w:hint="default"/>
                <w:color w:val="auto"/>
                <w:highlight w:val="yellow"/>
              </w:rPr>
              <w:t>0.7951</w:t>
            </w:r>
          </w:p>
        </w:tc>
        <w:tc>
          <w:tcPr>
            <w:tcW w:w="1507" w:type="pct"/>
            <w:tcBorders>
              <w:top w:val="nil"/>
              <w:left w:val="nil"/>
              <w:bottom w:val="nil"/>
              <w:right w:val="nil"/>
            </w:tcBorders>
            <w:shd w:val="clear" w:color="auto" w:fill="FFFFFF"/>
          </w:tcPr>
          <w:p w14:paraId="45C353B8">
            <w:pPr>
              <w:pStyle w:val="26"/>
              <w:rPr>
                <w:rFonts w:hint="default"/>
                <w:color w:val="auto"/>
                <w:highlight w:val="yellow"/>
              </w:rPr>
            </w:pPr>
            <w:r>
              <w:rPr>
                <w:rFonts w:hint="default"/>
                <w:color w:val="auto"/>
                <w:highlight w:val="yellow"/>
              </w:rPr>
              <w:t>0.891</w:t>
            </w:r>
            <w:r>
              <w:rPr>
                <w:color w:val="auto"/>
                <w:highlight w:val="yellow"/>
              </w:rPr>
              <w:t>0</w:t>
            </w:r>
          </w:p>
        </w:tc>
      </w:tr>
      <w:tr w14:paraId="14D5BECF">
        <w:tblPrEx>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tcPr>
          <w:p w14:paraId="62F6F5EC">
            <w:pPr>
              <w:pStyle w:val="26"/>
              <w:rPr>
                <w:rFonts w:hint="default"/>
                <w:color w:val="auto"/>
                <w:highlight w:val="yellow"/>
              </w:rPr>
            </w:pPr>
            <w:r>
              <w:rPr>
                <w:rFonts w:hint="default"/>
                <w:color w:val="auto"/>
                <w:highlight w:val="yellow"/>
              </w:rPr>
              <w:t>PatentSBERTa</w:t>
            </w:r>
          </w:p>
        </w:tc>
        <w:tc>
          <w:tcPr>
            <w:tcW w:w="853" w:type="pct"/>
            <w:tcBorders>
              <w:top w:val="nil"/>
              <w:left w:val="nil"/>
              <w:bottom w:val="nil"/>
              <w:right w:val="nil"/>
            </w:tcBorders>
            <w:shd w:val="clear" w:color="auto" w:fill="FFFFFF"/>
          </w:tcPr>
          <w:p w14:paraId="37454A68">
            <w:pPr>
              <w:pStyle w:val="26"/>
              <w:rPr>
                <w:rFonts w:hint="default"/>
                <w:color w:val="auto"/>
                <w:highlight w:val="yellow"/>
              </w:rPr>
            </w:pPr>
            <w:r>
              <w:rPr>
                <w:rFonts w:hint="default"/>
                <w:color w:val="auto"/>
                <w:highlight w:val="yellow"/>
              </w:rPr>
              <w:t>0.9128</w:t>
            </w:r>
          </w:p>
        </w:tc>
        <w:tc>
          <w:tcPr>
            <w:tcW w:w="1297" w:type="pct"/>
            <w:tcBorders>
              <w:top w:val="nil"/>
              <w:left w:val="nil"/>
              <w:bottom w:val="nil"/>
              <w:right w:val="nil"/>
            </w:tcBorders>
            <w:shd w:val="clear" w:color="auto" w:fill="FFFFFF"/>
          </w:tcPr>
          <w:p w14:paraId="7844524B">
            <w:pPr>
              <w:pStyle w:val="26"/>
              <w:rPr>
                <w:rFonts w:hint="default"/>
                <w:color w:val="auto"/>
                <w:highlight w:val="yellow"/>
              </w:rPr>
            </w:pPr>
            <w:r>
              <w:rPr>
                <w:rFonts w:hint="default"/>
                <w:color w:val="auto"/>
                <w:highlight w:val="yellow"/>
              </w:rPr>
              <w:t>0.843</w:t>
            </w:r>
            <w:r>
              <w:rPr>
                <w:color w:val="auto"/>
                <w:highlight w:val="yellow"/>
              </w:rPr>
              <w:t>0</w:t>
            </w:r>
          </w:p>
        </w:tc>
        <w:tc>
          <w:tcPr>
            <w:tcW w:w="1507" w:type="pct"/>
            <w:tcBorders>
              <w:top w:val="nil"/>
              <w:left w:val="nil"/>
              <w:bottom w:val="nil"/>
              <w:right w:val="nil"/>
            </w:tcBorders>
            <w:shd w:val="clear" w:color="auto" w:fill="FFFFFF"/>
          </w:tcPr>
          <w:p w14:paraId="7015F144">
            <w:pPr>
              <w:pStyle w:val="26"/>
              <w:rPr>
                <w:rFonts w:hint="default"/>
                <w:color w:val="auto"/>
                <w:highlight w:val="yellow"/>
              </w:rPr>
            </w:pPr>
            <w:r>
              <w:rPr>
                <w:rFonts w:hint="default"/>
                <w:color w:val="auto"/>
                <w:highlight w:val="yellow"/>
              </w:rPr>
              <w:t>0.9121</w:t>
            </w:r>
          </w:p>
        </w:tc>
      </w:tr>
      <w:tr w14:paraId="05CF1F09">
        <w:tblPrEx>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tcPr>
          <w:p w14:paraId="6705BD79">
            <w:pPr>
              <w:pStyle w:val="26"/>
              <w:rPr>
                <w:rFonts w:hint="default"/>
                <w:color w:val="auto"/>
                <w:highlight w:val="yellow"/>
              </w:rPr>
            </w:pPr>
            <w:r>
              <w:rPr>
                <w:rFonts w:hint="default"/>
                <w:color w:val="auto"/>
                <w:highlight w:val="yellow"/>
              </w:rPr>
              <w:t>PaECTER</w:t>
            </w:r>
          </w:p>
        </w:tc>
        <w:tc>
          <w:tcPr>
            <w:tcW w:w="853" w:type="pct"/>
            <w:tcBorders>
              <w:top w:val="nil"/>
              <w:left w:val="nil"/>
              <w:bottom w:val="nil"/>
              <w:right w:val="nil"/>
            </w:tcBorders>
            <w:shd w:val="clear" w:color="auto" w:fill="FFFFFF"/>
          </w:tcPr>
          <w:p w14:paraId="6242C696">
            <w:pPr>
              <w:pStyle w:val="26"/>
              <w:rPr>
                <w:rFonts w:hint="default"/>
                <w:color w:val="auto"/>
                <w:highlight w:val="yellow"/>
              </w:rPr>
            </w:pPr>
            <w:r>
              <w:rPr>
                <w:rFonts w:hint="default"/>
                <w:color w:val="auto"/>
                <w:highlight w:val="yellow"/>
              </w:rPr>
              <w:t>0.9217</w:t>
            </w:r>
          </w:p>
        </w:tc>
        <w:tc>
          <w:tcPr>
            <w:tcW w:w="1297" w:type="pct"/>
            <w:tcBorders>
              <w:top w:val="nil"/>
              <w:left w:val="nil"/>
              <w:bottom w:val="nil"/>
              <w:right w:val="nil"/>
            </w:tcBorders>
            <w:shd w:val="clear" w:color="auto" w:fill="FFFFFF"/>
          </w:tcPr>
          <w:p w14:paraId="36C95D75">
            <w:pPr>
              <w:pStyle w:val="26"/>
              <w:rPr>
                <w:rFonts w:hint="default"/>
                <w:color w:val="auto"/>
                <w:highlight w:val="yellow"/>
              </w:rPr>
            </w:pPr>
            <w:r>
              <w:rPr>
                <w:rFonts w:hint="default"/>
                <w:color w:val="auto"/>
                <w:highlight w:val="yellow"/>
              </w:rPr>
              <w:t>0.8572</w:t>
            </w:r>
          </w:p>
        </w:tc>
        <w:tc>
          <w:tcPr>
            <w:tcW w:w="1507" w:type="pct"/>
            <w:tcBorders>
              <w:top w:val="nil"/>
              <w:left w:val="nil"/>
              <w:bottom w:val="nil"/>
              <w:right w:val="nil"/>
            </w:tcBorders>
            <w:shd w:val="clear" w:color="auto" w:fill="FFFFFF"/>
          </w:tcPr>
          <w:p w14:paraId="661319BC">
            <w:pPr>
              <w:pStyle w:val="26"/>
              <w:rPr>
                <w:rFonts w:hint="default"/>
                <w:color w:val="auto"/>
                <w:highlight w:val="yellow"/>
              </w:rPr>
            </w:pPr>
            <w:r>
              <w:rPr>
                <w:rFonts w:hint="default"/>
                <w:color w:val="auto"/>
                <w:highlight w:val="yellow"/>
              </w:rPr>
              <w:t>0.921</w:t>
            </w:r>
            <w:r>
              <w:rPr>
                <w:color w:val="auto"/>
                <w:highlight w:val="yellow"/>
              </w:rPr>
              <w:t>0</w:t>
            </w:r>
          </w:p>
        </w:tc>
      </w:tr>
      <w:tr w14:paraId="4DDBC96F">
        <w:tblPrEx>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tcPr>
          <w:p w14:paraId="75E658A9">
            <w:pPr>
              <w:pStyle w:val="26"/>
              <w:rPr>
                <w:rFonts w:hint="default"/>
                <w:color w:val="auto"/>
                <w:highlight w:val="yellow"/>
              </w:rPr>
            </w:pPr>
            <w:r>
              <w:rPr>
                <w:rFonts w:hint="default"/>
                <w:color w:val="auto"/>
                <w:highlight w:val="yellow"/>
              </w:rPr>
              <w:t>RAMHA</w:t>
            </w:r>
          </w:p>
        </w:tc>
        <w:tc>
          <w:tcPr>
            <w:tcW w:w="853" w:type="pct"/>
            <w:tcBorders>
              <w:top w:val="nil"/>
              <w:left w:val="nil"/>
              <w:bottom w:val="nil"/>
              <w:right w:val="nil"/>
            </w:tcBorders>
            <w:shd w:val="clear" w:color="auto" w:fill="FFFFFF"/>
          </w:tcPr>
          <w:p w14:paraId="20E434AC">
            <w:pPr>
              <w:pStyle w:val="26"/>
              <w:rPr>
                <w:rFonts w:hint="default"/>
                <w:color w:val="auto"/>
                <w:highlight w:val="yellow"/>
              </w:rPr>
            </w:pPr>
            <w:r>
              <w:rPr>
                <w:rFonts w:hint="default"/>
                <w:color w:val="auto"/>
                <w:highlight w:val="yellow"/>
              </w:rPr>
              <w:t>0.9232</w:t>
            </w:r>
          </w:p>
        </w:tc>
        <w:tc>
          <w:tcPr>
            <w:tcW w:w="1297" w:type="pct"/>
            <w:tcBorders>
              <w:top w:val="nil"/>
              <w:left w:val="nil"/>
              <w:bottom w:val="nil"/>
              <w:right w:val="nil"/>
            </w:tcBorders>
            <w:shd w:val="clear" w:color="auto" w:fill="FFFFFF"/>
          </w:tcPr>
          <w:p w14:paraId="6DC565E6">
            <w:pPr>
              <w:pStyle w:val="26"/>
              <w:rPr>
                <w:rFonts w:hint="default"/>
                <w:color w:val="auto"/>
                <w:highlight w:val="yellow"/>
              </w:rPr>
            </w:pPr>
            <w:r>
              <w:rPr>
                <w:rFonts w:hint="default"/>
                <w:color w:val="auto"/>
                <w:highlight w:val="yellow"/>
              </w:rPr>
              <w:t>0.8655</w:t>
            </w:r>
          </w:p>
        </w:tc>
        <w:tc>
          <w:tcPr>
            <w:tcW w:w="1507" w:type="pct"/>
            <w:tcBorders>
              <w:top w:val="nil"/>
              <w:left w:val="nil"/>
              <w:bottom w:val="nil"/>
              <w:right w:val="nil"/>
            </w:tcBorders>
            <w:shd w:val="clear" w:color="auto" w:fill="FFFFFF"/>
          </w:tcPr>
          <w:p w14:paraId="48E32A55">
            <w:pPr>
              <w:pStyle w:val="26"/>
              <w:rPr>
                <w:rFonts w:hint="default"/>
                <w:color w:val="auto"/>
                <w:highlight w:val="yellow"/>
              </w:rPr>
            </w:pPr>
            <w:r>
              <w:rPr>
                <w:rFonts w:hint="default"/>
                <w:color w:val="auto"/>
                <w:highlight w:val="yellow"/>
              </w:rPr>
              <w:t>0.922</w:t>
            </w:r>
            <w:r>
              <w:rPr>
                <w:color w:val="auto"/>
                <w:highlight w:val="yellow"/>
              </w:rPr>
              <w:t>0</w:t>
            </w:r>
          </w:p>
        </w:tc>
      </w:tr>
      <w:tr w14:paraId="389D666F">
        <w:tblPrEx>
          <w:tblCellMar>
            <w:top w:w="0" w:type="dxa"/>
            <w:left w:w="108" w:type="dxa"/>
            <w:bottom w:w="0" w:type="dxa"/>
            <w:right w:w="108" w:type="dxa"/>
          </w:tblCellMar>
        </w:tblPrEx>
        <w:trPr>
          <w:trHeight w:val="471" w:hRule="atLeast"/>
        </w:trPr>
        <w:tc>
          <w:tcPr>
            <w:tcW w:w="1341" w:type="pct"/>
            <w:tcBorders>
              <w:top w:val="nil"/>
              <w:left w:val="nil"/>
              <w:bottom w:val="single" w:color="auto" w:sz="8" w:space="0"/>
              <w:right w:val="nil"/>
            </w:tcBorders>
            <w:shd w:val="clear" w:color="auto" w:fill="FFFFFF"/>
          </w:tcPr>
          <w:p w14:paraId="03CB76E7">
            <w:pPr>
              <w:pStyle w:val="26"/>
              <w:rPr>
                <w:rFonts w:hint="default"/>
                <w:color w:val="auto"/>
                <w:highlight w:val="yellow"/>
              </w:rPr>
            </w:pPr>
            <w:r>
              <w:rPr>
                <w:rFonts w:hint="default"/>
                <w:color w:val="auto"/>
                <w:highlight w:val="yellow"/>
              </w:rPr>
              <w:t>BERT-TextCNN</w:t>
            </w:r>
          </w:p>
        </w:tc>
        <w:tc>
          <w:tcPr>
            <w:tcW w:w="853" w:type="pct"/>
            <w:tcBorders>
              <w:top w:val="nil"/>
              <w:left w:val="nil"/>
              <w:bottom w:val="single" w:color="auto" w:sz="8" w:space="0"/>
              <w:right w:val="nil"/>
            </w:tcBorders>
            <w:shd w:val="clear" w:color="auto" w:fill="FFFFFF"/>
          </w:tcPr>
          <w:p w14:paraId="2F9D2BA6">
            <w:pPr>
              <w:pStyle w:val="26"/>
              <w:rPr>
                <w:rFonts w:hint="default"/>
                <w:b/>
                <w:bCs/>
                <w:color w:val="auto"/>
                <w:highlight w:val="yellow"/>
              </w:rPr>
            </w:pPr>
            <w:r>
              <w:rPr>
                <w:rFonts w:hint="default"/>
                <w:b/>
                <w:bCs/>
                <w:color w:val="auto"/>
                <w:highlight w:val="yellow"/>
              </w:rPr>
              <w:t>0.9261</w:t>
            </w:r>
          </w:p>
        </w:tc>
        <w:tc>
          <w:tcPr>
            <w:tcW w:w="1297" w:type="pct"/>
            <w:tcBorders>
              <w:top w:val="nil"/>
              <w:left w:val="nil"/>
              <w:bottom w:val="single" w:color="auto" w:sz="8" w:space="0"/>
              <w:right w:val="nil"/>
            </w:tcBorders>
            <w:shd w:val="clear" w:color="auto" w:fill="FFFFFF"/>
          </w:tcPr>
          <w:p w14:paraId="3BA04DD5">
            <w:pPr>
              <w:pStyle w:val="26"/>
              <w:rPr>
                <w:rFonts w:hint="default"/>
                <w:b/>
                <w:bCs/>
                <w:color w:val="auto"/>
                <w:highlight w:val="yellow"/>
              </w:rPr>
            </w:pPr>
            <w:r>
              <w:rPr>
                <w:rFonts w:hint="default"/>
                <w:b/>
                <w:bCs/>
                <w:color w:val="auto"/>
                <w:highlight w:val="yellow"/>
              </w:rPr>
              <w:t>0.8792</w:t>
            </w:r>
          </w:p>
        </w:tc>
        <w:tc>
          <w:tcPr>
            <w:tcW w:w="1507" w:type="pct"/>
            <w:tcBorders>
              <w:top w:val="nil"/>
              <w:left w:val="nil"/>
              <w:bottom w:val="single" w:color="auto" w:sz="8" w:space="0"/>
              <w:right w:val="nil"/>
            </w:tcBorders>
            <w:shd w:val="clear" w:color="auto" w:fill="FFFFFF"/>
          </w:tcPr>
          <w:p w14:paraId="0FD6A5A5">
            <w:pPr>
              <w:pStyle w:val="26"/>
              <w:rPr>
                <w:rFonts w:hint="default"/>
                <w:b/>
                <w:bCs/>
                <w:color w:val="auto"/>
                <w:highlight w:val="yellow"/>
              </w:rPr>
            </w:pPr>
            <w:r>
              <w:rPr>
                <w:rFonts w:hint="default"/>
                <w:b/>
                <w:bCs/>
                <w:color w:val="auto"/>
                <w:highlight w:val="yellow"/>
              </w:rPr>
              <w:t>0.9249</w:t>
            </w:r>
          </w:p>
        </w:tc>
      </w:tr>
    </w:tbl>
    <w:p w14:paraId="096F92B5">
      <w:pPr>
        <w:ind w:firstLine="480"/>
        <w:rPr>
          <w:color w:val="auto"/>
        </w:rPr>
      </w:pPr>
      <w:r>
        <w:rPr>
          <w:rFonts w:hint="eastAsia"/>
          <w:color w:val="auto"/>
        </w:rPr>
        <w:t>表4-1结果显示，BERT-TextCNN在Accuracy、Macro F1-score和Weighted F1-score上均取得最高值。其中，本文模型的Accuracy为0.9261，比KNN高3.19个百分点；Macro F1-score为0.8792，比KNN高13.31个百分点。这个差距在Macro F1-score上更明显。换言之，本文模型并非只在样本较多的类别上获得较高正确率，也对样本量较少的类别保持了更稳的识别能力。</w:t>
      </w:r>
    </w:p>
    <w:p w14:paraId="185BF030">
      <w:pPr>
        <w:ind w:firstLine="480"/>
        <w:rPr>
          <w:color w:val="auto"/>
        </w:rPr>
      </w:pPr>
      <w:r>
        <w:rPr>
          <w:rFonts w:hint="eastAsia"/>
          <w:color w:val="auto"/>
        </w:rPr>
        <w:t>与近年文本分类和专利表示模型相比，BERT-TextCNN的提升幅度不大，但方向较一致。相较于RAMHA，本文模型的Accuracy提高0.29个百分点，Macro F1-score提高1.37个百分点；相较于PaECTER，Accuracy提高0.44个百分点，Macro F1-score提高2.20个百分点。该结果表明，单纯迁移通用文本分类结构或专利预训练表示并不能完全解决医疗器械专利的类别边界问题，局部器械术语、结构短语和用途短语仍需要在分类层面进一步建模。</w:t>
      </w:r>
    </w:p>
    <w:p w14:paraId="1A1A3163">
      <w:pPr>
        <w:ind w:firstLine="480"/>
        <w:rPr>
          <w:color w:val="auto"/>
        </w:rPr>
      </w:pPr>
      <w:r>
        <w:rPr>
          <w:rFonts w:hint="eastAsia"/>
          <w:color w:val="auto"/>
        </w:rPr>
        <w:t>DeepPatent的Accuracy为0.8945，Macro F1-score为0.7951，在几组深度模型中最低。该结果可能与其模型结构有关，传统词嵌入与卷积网络可以捕捉局部词序模式，但面对中文专利摘要中较强的技术性表述时，对上下文关系的建模仍显不足。PatentSBERTa和PaECTER的表现优于DeepPatent，说明专利语料上的预训练表示对该任务确有帮助；但二者并未专门面向医疗器械分类目录进行结构适配，所以在小类召回上仍落后于本文模型，虽然差别不算悬殊，却足以说明模型适配有必要。</w:t>
      </w:r>
    </w:p>
    <w:p w14:paraId="79E57588">
      <w:pPr>
        <w:ind w:firstLine="480"/>
        <w:rPr>
          <w:color w:val="auto"/>
        </w:rPr>
      </w:pPr>
      <w:r>
        <w:rPr>
          <w:rFonts w:hint="eastAsia"/>
          <w:color w:val="auto"/>
        </w:rPr>
        <w:t>为了更好地了解模型对各类别进行分类以及错分的原因，本文绘制了BERT-TextCNN在测试集上的混淆矩阵，见下图4-4。</w:t>
      </w:r>
    </w:p>
    <w:p w14:paraId="72DAE90D">
      <w:pPr>
        <w:ind w:firstLine="480"/>
        <w:rPr>
          <w:color w:val="auto"/>
        </w:rPr>
      </w:pPr>
      <w:r>
        <w:rPr>
          <w:rFonts w:hint="eastAsia"/>
          <w:color w:val="auto"/>
        </w:rPr>
        <w:t>混淆矩阵中，对角线区域明显高于非对角线区域。例如，“医用成像器械”被正确分类的样本数为958个，“医用诊察和监护器械”被正确分类的样本数为590个，“无源手术器械”和“有源手术器械”被正确分类的样本数分别为389个和270个。这说明模型在主要类别上具有较好的区分能力。</w:t>
      </w:r>
    </w:p>
    <w:p w14:paraId="532B814C">
      <w:pPr>
        <w:ind w:firstLine="0" w:firstLineChars="0"/>
        <w:rPr>
          <w:color w:val="auto"/>
        </w:rPr>
      </w:pPr>
      <w:r>
        <w:rPr>
          <w:rFonts w:hint="eastAsia"/>
          <w:color w:val="auto"/>
        </w:rPr>
        <w:drawing>
          <wp:inline distT="0" distB="0" distL="114300" distR="114300">
            <wp:extent cx="5290820" cy="4872355"/>
            <wp:effectExtent l="0" t="0" r="9525" b="6985"/>
            <wp:docPr id="22" name="图片 2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onfusion_matrix_test"/>
                    <pic:cNvPicPr>
                      <a:picLocks noChangeAspect="1"/>
                    </pic:cNvPicPr>
                  </pic:nvPicPr>
                  <pic:blipFill>
                    <a:blip r:embed="rId47"/>
                    <a:srcRect t="2860" r="1617"/>
                    <a:stretch>
                      <a:fillRect/>
                    </a:stretch>
                  </pic:blipFill>
                  <pic:spPr>
                    <a:xfrm>
                      <a:off x="0" y="0"/>
                      <a:ext cx="5290820" cy="4872355"/>
                    </a:xfrm>
                    <a:prstGeom prst="rect">
                      <a:avLst/>
                    </a:prstGeom>
                  </pic:spPr>
                </pic:pic>
              </a:graphicData>
            </a:graphic>
          </wp:inline>
        </w:drawing>
      </w:r>
    </w:p>
    <w:p w14:paraId="470C17E7">
      <w:pPr>
        <w:pStyle w:val="25"/>
        <w:rPr>
          <w:rFonts w:hint="default"/>
          <w:color w:val="auto"/>
        </w:rPr>
      </w:pPr>
      <w:r>
        <w:rPr>
          <w:color w:val="auto"/>
        </w:rPr>
        <w:t>图4-4  BERT-TextCNN模型的混淆矩阵</w:t>
      </w:r>
    </w:p>
    <w:p w14:paraId="35FDC3D9">
      <w:pPr>
        <w:ind w:firstLine="480"/>
        <w:rPr>
          <w:color w:val="auto"/>
        </w:rPr>
      </w:pPr>
      <w:r>
        <w:rPr>
          <w:rFonts w:hint="eastAsia"/>
          <w:color w:val="auto"/>
        </w:rPr>
        <w:t>误判主要集中在语义相近的器械类别之间。以手术器械相关类别为例，“骨科手术器械”中有14个样本被划入“无源手术器械”，另有6个样本被划入“有源手术器械”；“无源手术器械”中有17个样本被划入“有源手术器械”。这类误判并不意外。骨科器械、无源手术器械和有源手术器械在专利文本中经常共同出现“牵开”“固定”“刀头”“夹持”等结构和动作描述，模型较容易把局部术语相似性当成类别判据。</w:t>
      </w:r>
    </w:p>
    <w:p w14:paraId="634F27E2">
      <w:pPr>
        <w:ind w:firstLine="480"/>
        <w:rPr>
          <w:color w:val="auto"/>
        </w:rPr>
      </w:pPr>
      <w:r>
        <w:rPr>
          <w:rFonts w:hint="eastAsia"/>
          <w:color w:val="auto"/>
        </w:rPr>
        <w:t>“医用软件”与“医用诊察和监护器械”之间也存在一定混淆，其中有21个“医用软件”样本被划入“医用诊察和监护器械”。这与实际专利写法有关，许多软件类专利服务于监护、诊断或图像处理场景，摘要中常把算法、监测流程和设备端功能放在一起描述。当文本更强调使用场景而不是软件属性时，模型会更倾向于输出对应的器械类别。</w:t>
      </w:r>
    </w:p>
    <w:p w14:paraId="6EB9F0F3">
      <w:pPr>
        <w:ind w:firstLine="480"/>
        <w:rPr>
          <w:color w:val="auto"/>
        </w:rPr>
      </w:pPr>
      <w:bookmarkStart w:id="193" w:name="_Toc216114517"/>
      <w:r>
        <w:rPr>
          <w:rFonts w:hint="eastAsia"/>
          <w:color w:val="auto"/>
        </w:rPr>
        <w:t>“临床检验器械”中有6个样本被划入“医用诊察和监护器械”，另有7个“注输、护理和防护器械”样本被划入“临床检验器械”。这说明模型在处理检验、护理、监测等临床流程交叉场景时仍有误差。换句话说，模型能够识别大部分一级类别，但在跨流程、跨部件的复合型专利上仍依赖更细粒度的语义判别。</w:t>
      </w:r>
    </w:p>
    <w:p w14:paraId="6E5D9109">
      <w:pPr>
        <w:ind w:firstLine="480"/>
        <w:rPr>
          <w:color w:val="auto"/>
        </w:rPr>
      </w:pPr>
      <w:r>
        <w:rPr>
          <w:rFonts w:hint="eastAsia"/>
          <w:color w:val="auto"/>
        </w:rPr>
        <w:t>总体来看，混淆矩阵与表4-1的指标相互印证，BERT-TextCNN在总体正确率上较高，在多数类别上也能保持稳定输出，但对于术语重叠度高、应用场景相互嵌套的类别仍存在一定错分。</w:t>
      </w:r>
    </w:p>
    <w:p w14:paraId="169202BA">
      <w:pPr>
        <w:pStyle w:val="25"/>
        <w:rPr>
          <w:rFonts w:hint="default"/>
          <w:color w:val="auto"/>
        </w:rPr>
      </w:pPr>
      <w:r>
        <w:rPr>
          <w:color w:val="auto"/>
        </w:rPr>
        <w:t>表4-2  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72FA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single" w:color="auto" w:sz="6" w:space="0"/>
              <w:right w:val="nil"/>
            </w:tcBorders>
          </w:tcPr>
          <w:p w14:paraId="7A7F682B">
            <w:pPr>
              <w:pStyle w:val="26"/>
              <w:rPr>
                <w:rFonts w:hint="default"/>
                <w:color w:val="auto"/>
              </w:rPr>
            </w:pPr>
            <w:r>
              <w:rPr>
                <w:color w:val="auto"/>
              </w:rPr>
              <w:t>参数</w:t>
            </w:r>
          </w:p>
        </w:tc>
        <w:tc>
          <w:tcPr>
            <w:tcW w:w="4261" w:type="dxa"/>
            <w:tcBorders>
              <w:top w:val="single" w:color="auto" w:sz="8" w:space="0"/>
              <w:left w:val="nil"/>
              <w:bottom w:val="single" w:color="auto" w:sz="6" w:space="0"/>
              <w:right w:val="nil"/>
            </w:tcBorders>
          </w:tcPr>
          <w:p w14:paraId="04CC2838">
            <w:pPr>
              <w:pStyle w:val="26"/>
              <w:rPr>
                <w:rFonts w:hint="default"/>
                <w:color w:val="auto"/>
              </w:rPr>
            </w:pPr>
            <w:r>
              <w:rPr>
                <w:color w:val="auto"/>
              </w:rPr>
              <w:t>值</w:t>
            </w:r>
          </w:p>
        </w:tc>
      </w:tr>
      <w:tr w14:paraId="0C8DB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tcPr>
          <w:p w14:paraId="69A8863C">
            <w:pPr>
              <w:pStyle w:val="26"/>
              <w:rPr>
                <w:rFonts w:hint="default"/>
                <w:color w:val="auto"/>
              </w:rPr>
            </w:pPr>
            <w:r>
              <w:rPr>
                <w:rFonts w:hint="default"/>
                <w:color w:val="auto"/>
              </w:rPr>
              <w:t>batch_size</w:t>
            </w:r>
          </w:p>
        </w:tc>
        <w:tc>
          <w:tcPr>
            <w:tcW w:w="4261" w:type="dxa"/>
            <w:tcBorders>
              <w:top w:val="single" w:color="auto" w:sz="6" w:space="0"/>
              <w:left w:val="nil"/>
              <w:bottom w:val="nil"/>
              <w:right w:val="nil"/>
            </w:tcBorders>
          </w:tcPr>
          <w:p w14:paraId="01329513">
            <w:pPr>
              <w:pStyle w:val="26"/>
              <w:rPr>
                <w:rFonts w:hint="default"/>
                <w:color w:val="auto"/>
              </w:rPr>
            </w:pPr>
            <w:r>
              <w:rPr>
                <w:color w:val="auto"/>
              </w:rPr>
              <w:t>64</w:t>
            </w:r>
          </w:p>
        </w:tc>
      </w:tr>
      <w:tr w14:paraId="135E8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36F0655">
            <w:pPr>
              <w:pStyle w:val="26"/>
              <w:rPr>
                <w:rFonts w:hint="default"/>
                <w:color w:val="auto"/>
              </w:rPr>
            </w:pPr>
            <w:r>
              <w:rPr>
                <w:rFonts w:hint="default"/>
                <w:color w:val="auto"/>
              </w:rPr>
              <w:t>lr</w:t>
            </w:r>
          </w:p>
        </w:tc>
        <w:tc>
          <w:tcPr>
            <w:tcW w:w="4261" w:type="dxa"/>
            <w:tcBorders>
              <w:top w:val="nil"/>
              <w:left w:val="nil"/>
              <w:bottom w:val="nil"/>
              <w:right w:val="nil"/>
            </w:tcBorders>
          </w:tcPr>
          <w:p w14:paraId="4552C50E">
            <w:pPr>
              <w:pStyle w:val="26"/>
              <w:rPr>
                <w:rFonts w:hint="default"/>
                <w:color w:val="auto"/>
              </w:rPr>
            </w:pPr>
            <w:r>
              <w:rPr>
                <w:rFonts w:hint="default"/>
                <w:color w:val="auto"/>
              </w:rPr>
              <w:t>5.0e-05</w:t>
            </w:r>
          </w:p>
        </w:tc>
      </w:tr>
      <w:tr w14:paraId="0E03E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C91B5E4">
            <w:pPr>
              <w:pStyle w:val="26"/>
              <w:rPr>
                <w:rFonts w:hint="default"/>
                <w:color w:val="auto"/>
              </w:rPr>
            </w:pPr>
            <w:r>
              <w:rPr>
                <w:rFonts w:hint="default"/>
                <w:color w:val="auto"/>
              </w:rPr>
              <w:t>weight_decay</w:t>
            </w:r>
          </w:p>
        </w:tc>
        <w:tc>
          <w:tcPr>
            <w:tcW w:w="4261" w:type="dxa"/>
            <w:tcBorders>
              <w:top w:val="nil"/>
              <w:left w:val="nil"/>
              <w:bottom w:val="nil"/>
              <w:right w:val="nil"/>
            </w:tcBorders>
          </w:tcPr>
          <w:p w14:paraId="6CFBAC0A">
            <w:pPr>
              <w:pStyle w:val="26"/>
              <w:rPr>
                <w:rFonts w:hint="default"/>
                <w:color w:val="auto"/>
              </w:rPr>
            </w:pPr>
            <w:r>
              <w:rPr>
                <w:rFonts w:hint="default"/>
                <w:color w:val="auto"/>
              </w:rPr>
              <w:t>0.001</w:t>
            </w:r>
          </w:p>
        </w:tc>
      </w:tr>
      <w:tr w14:paraId="1E68C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7F58887">
            <w:pPr>
              <w:pStyle w:val="26"/>
              <w:rPr>
                <w:rFonts w:hint="default"/>
                <w:color w:val="auto"/>
              </w:rPr>
            </w:pPr>
            <w:r>
              <w:rPr>
                <w:rFonts w:hint="default"/>
                <w:color w:val="auto"/>
              </w:rPr>
              <w:t>epochs</w:t>
            </w:r>
          </w:p>
        </w:tc>
        <w:tc>
          <w:tcPr>
            <w:tcW w:w="4261" w:type="dxa"/>
            <w:tcBorders>
              <w:top w:val="nil"/>
              <w:left w:val="nil"/>
              <w:bottom w:val="nil"/>
              <w:right w:val="nil"/>
            </w:tcBorders>
          </w:tcPr>
          <w:p w14:paraId="31838A98">
            <w:pPr>
              <w:pStyle w:val="26"/>
              <w:rPr>
                <w:rFonts w:hint="default"/>
                <w:color w:val="auto"/>
              </w:rPr>
            </w:pPr>
            <w:r>
              <w:rPr>
                <w:rFonts w:hint="default"/>
                <w:color w:val="auto"/>
              </w:rPr>
              <w:t>50</w:t>
            </w:r>
          </w:p>
        </w:tc>
      </w:tr>
      <w:tr w14:paraId="6E262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4382650">
            <w:pPr>
              <w:pStyle w:val="26"/>
              <w:rPr>
                <w:rFonts w:hint="default"/>
                <w:color w:val="auto"/>
              </w:rPr>
            </w:pPr>
            <w:r>
              <w:rPr>
                <w:rFonts w:hint="default"/>
                <w:color w:val="auto"/>
              </w:rPr>
              <w:t>patience</w:t>
            </w:r>
          </w:p>
        </w:tc>
        <w:tc>
          <w:tcPr>
            <w:tcW w:w="4261" w:type="dxa"/>
            <w:tcBorders>
              <w:top w:val="nil"/>
              <w:left w:val="nil"/>
              <w:bottom w:val="nil"/>
              <w:right w:val="nil"/>
            </w:tcBorders>
          </w:tcPr>
          <w:p w14:paraId="6922911E">
            <w:pPr>
              <w:pStyle w:val="26"/>
              <w:rPr>
                <w:rFonts w:hint="default"/>
                <w:color w:val="auto"/>
              </w:rPr>
            </w:pPr>
            <w:r>
              <w:rPr>
                <w:color w:val="auto"/>
              </w:rPr>
              <w:t>3</w:t>
            </w:r>
          </w:p>
        </w:tc>
      </w:tr>
      <w:tr w14:paraId="487AA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8825E1C">
            <w:pPr>
              <w:pStyle w:val="26"/>
              <w:rPr>
                <w:rFonts w:hint="default"/>
                <w:color w:val="auto"/>
              </w:rPr>
            </w:pPr>
            <w:r>
              <w:rPr>
                <w:rFonts w:hint="default"/>
                <w:color w:val="auto"/>
              </w:rPr>
              <w:t>dropout</w:t>
            </w:r>
          </w:p>
        </w:tc>
        <w:tc>
          <w:tcPr>
            <w:tcW w:w="4261" w:type="dxa"/>
            <w:tcBorders>
              <w:top w:val="nil"/>
              <w:left w:val="nil"/>
              <w:bottom w:val="nil"/>
              <w:right w:val="nil"/>
            </w:tcBorders>
          </w:tcPr>
          <w:p w14:paraId="4C6136A8">
            <w:pPr>
              <w:pStyle w:val="26"/>
              <w:rPr>
                <w:rFonts w:hint="default"/>
                <w:color w:val="auto"/>
              </w:rPr>
            </w:pPr>
            <w:r>
              <w:rPr>
                <w:color w:val="auto"/>
              </w:rPr>
              <w:t>0.2</w:t>
            </w:r>
          </w:p>
        </w:tc>
      </w:tr>
      <w:tr w14:paraId="3BA18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45BAD74">
            <w:pPr>
              <w:pStyle w:val="26"/>
              <w:rPr>
                <w:rFonts w:hint="default"/>
                <w:color w:val="auto"/>
              </w:rPr>
            </w:pPr>
            <w:r>
              <w:rPr>
                <w:rFonts w:hint="default"/>
                <w:color w:val="auto"/>
              </w:rPr>
              <w:t>kernel_sizes</w:t>
            </w:r>
          </w:p>
        </w:tc>
        <w:tc>
          <w:tcPr>
            <w:tcW w:w="4261" w:type="dxa"/>
            <w:tcBorders>
              <w:top w:val="nil"/>
              <w:left w:val="nil"/>
              <w:bottom w:val="nil"/>
              <w:right w:val="nil"/>
            </w:tcBorders>
          </w:tcPr>
          <w:p w14:paraId="6C19FA3A">
            <w:pPr>
              <w:pStyle w:val="26"/>
              <w:rPr>
                <w:rFonts w:hint="default"/>
                <w:color w:val="auto"/>
              </w:rPr>
            </w:pPr>
            <w:r>
              <w:rPr>
                <w:color w:val="auto"/>
              </w:rPr>
              <w:t>2,3,4,5</w:t>
            </w:r>
          </w:p>
        </w:tc>
      </w:tr>
      <w:tr w14:paraId="34EA7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DDFAA0F">
            <w:pPr>
              <w:pStyle w:val="26"/>
              <w:rPr>
                <w:rFonts w:hint="default"/>
                <w:color w:val="auto"/>
              </w:rPr>
            </w:pPr>
            <w:r>
              <w:rPr>
                <w:rFonts w:hint="default"/>
                <w:color w:val="auto"/>
              </w:rPr>
              <w:t>freeze_layers</w:t>
            </w:r>
          </w:p>
        </w:tc>
        <w:tc>
          <w:tcPr>
            <w:tcW w:w="4261" w:type="dxa"/>
            <w:tcBorders>
              <w:top w:val="nil"/>
              <w:left w:val="nil"/>
              <w:bottom w:val="nil"/>
              <w:right w:val="nil"/>
            </w:tcBorders>
          </w:tcPr>
          <w:p w14:paraId="488BC3FC">
            <w:pPr>
              <w:pStyle w:val="26"/>
              <w:rPr>
                <w:rFonts w:hint="default"/>
                <w:color w:val="auto"/>
              </w:rPr>
            </w:pPr>
            <w:r>
              <w:rPr>
                <w:color w:val="auto"/>
              </w:rPr>
              <w:t>11</w:t>
            </w:r>
          </w:p>
        </w:tc>
      </w:tr>
      <w:tr w14:paraId="10977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2334B7FB">
            <w:pPr>
              <w:pStyle w:val="26"/>
              <w:rPr>
                <w:rFonts w:hint="default"/>
                <w:color w:val="auto"/>
              </w:rPr>
            </w:pPr>
            <w:r>
              <w:rPr>
                <w:rFonts w:hint="default"/>
                <w:color w:val="auto"/>
              </w:rPr>
              <w:t>max_length</w:t>
            </w:r>
          </w:p>
        </w:tc>
        <w:tc>
          <w:tcPr>
            <w:tcW w:w="4261" w:type="dxa"/>
            <w:tcBorders>
              <w:top w:val="nil"/>
              <w:left w:val="nil"/>
              <w:bottom w:val="single" w:color="auto" w:sz="8" w:space="0"/>
              <w:right w:val="nil"/>
            </w:tcBorders>
          </w:tcPr>
          <w:p w14:paraId="3882E4FC">
            <w:pPr>
              <w:pStyle w:val="26"/>
              <w:rPr>
                <w:rFonts w:hint="default"/>
                <w:color w:val="auto"/>
              </w:rPr>
            </w:pPr>
            <w:r>
              <w:rPr>
                <w:color w:val="auto"/>
              </w:rPr>
              <w:t>512</w:t>
            </w:r>
          </w:p>
        </w:tc>
      </w:tr>
    </w:tbl>
    <w:p w14:paraId="1DF1089D">
      <w:pPr>
        <w:ind w:firstLine="480"/>
        <w:rPr>
          <w:color w:val="auto"/>
        </w:rPr>
      </w:pPr>
      <w:r>
        <w:rPr>
          <w:rFonts w:hint="eastAsia"/>
          <w:color w:val="auto"/>
        </w:rPr>
        <w:t>最后给出模型训练时使用的参数以及所用到的软硬件环境，本文中的实验环境以及模型最终使用超参数见表4-2、表4-3与表4-4中所述内容。所有的实验均是基于PyTorch进行编写并在配有较高性能的GPU服务器上进行训练。</w:t>
      </w:r>
    </w:p>
    <w:p w14:paraId="42E42270">
      <w:pPr>
        <w:pStyle w:val="25"/>
        <w:rPr>
          <w:rFonts w:hint="default"/>
          <w:color w:val="auto"/>
        </w:rPr>
      </w:pPr>
      <w:r>
        <w:rPr>
          <w:color w:val="auto"/>
        </w:rPr>
        <w:t>表4-3  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7244E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4509ED64">
            <w:pPr>
              <w:pStyle w:val="26"/>
              <w:rPr>
                <w:rFonts w:hint="default"/>
                <w:color w:val="auto"/>
              </w:rPr>
            </w:pPr>
            <w:r>
              <w:rPr>
                <w:color w:val="auto"/>
              </w:rPr>
              <w:t>硬件组件</w:t>
            </w:r>
          </w:p>
        </w:tc>
        <w:tc>
          <w:tcPr>
            <w:tcW w:w="5349" w:type="dxa"/>
            <w:tcBorders>
              <w:top w:val="single" w:color="auto" w:sz="8" w:space="0"/>
              <w:left w:val="nil"/>
              <w:bottom w:val="single" w:color="auto" w:sz="6" w:space="0"/>
              <w:right w:val="nil"/>
            </w:tcBorders>
          </w:tcPr>
          <w:p w14:paraId="28E4F2D7">
            <w:pPr>
              <w:pStyle w:val="26"/>
              <w:rPr>
                <w:rFonts w:hint="default"/>
                <w:color w:val="auto"/>
              </w:rPr>
            </w:pPr>
            <w:r>
              <w:rPr>
                <w:color w:val="auto"/>
              </w:rPr>
              <w:t>规格</w:t>
            </w:r>
          </w:p>
        </w:tc>
      </w:tr>
      <w:tr w14:paraId="6724D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59B65947">
            <w:pPr>
              <w:pStyle w:val="26"/>
              <w:rPr>
                <w:rFonts w:hint="default"/>
                <w:color w:val="auto"/>
              </w:rPr>
            </w:pPr>
            <w:r>
              <w:rPr>
                <w:color w:val="auto"/>
              </w:rPr>
              <w:t>GPU</w:t>
            </w:r>
          </w:p>
        </w:tc>
        <w:tc>
          <w:tcPr>
            <w:tcW w:w="5349" w:type="dxa"/>
            <w:tcBorders>
              <w:top w:val="single" w:color="auto" w:sz="6" w:space="0"/>
              <w:left w:val="nil"/>
              <w:bottom w:val="nil"/>
              <w:right w:val="nil"/>
            </w:tcBorders>
          </w:tcPr>
          <w:p w14:paraId="438BD987">
            <w:pPr>
              <w:pStyle w:val="26"/>
              <w:rPr>
                <w:rFonts w:hint="default"/>
                <w:color w:val="auto"/>
              </w:rPr>
            </w:pPr>
            <w:r>
              <w:rPr>
                <w:color w:val="auto"/>
              </w:rPr>
              <w:t>NVIDIA Tesla P100-PCIE-16GB * 8</w:t>
            </w:r>
          </w:p>
        </w:tc>
      </w:tr>
      <w:tr w14:paraId="3E47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B4A9604">
            <w:pPr>
              <w:pStyle w:val="26"/>
              <w:rPr>
                <w:rFonts w:hint="default"/>
                <w:color w:val="auto"/>
              </w:rPr>
            </w:pPr>
            <w:r>
              <w:rPr>
                <w:color w:val="auto"/>
              </w:rPr>
              <w:t>显存</w:t>
            </w:r>
          </w:p>
        </w:tc>
        <w:tc>
          <w:tcPr>
            <w:tcW w:w="5349" w:type="dxa"/>
            <w:tcBorders>
              <w:top w:val="nil"/>
              <w:left w:val="nil"/>
              <w:bottom w:val="nil"/>
              <w:right w:val="nil"/>
            </w:tcBorders>
          </w:tcPr>
          <w:p w14:paraId="4769BB6B">
            <w:pPr>
              <w:pStyle w:val="26"/>
              <w:rPr>
                <w:rFonts w:hint="default"/>
                <w:color w:val="auto"/>
              </w:rPr>
            </w:pPr>
            <w:r>
              <w:rPr>
                <w:color w:val="auto"/>
              </w:rPr>
              <w:t>16G * 8</w:t>
            </w:r>
          </w:p>
        </w:tc>
      </w:tr>
      <w:tr w14:paraId="470A9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6558F85F">
            <w:pPr>
              <w:pStyle w:val="26"/>
              <w:rPr>
                <w:rFonts w:hint="default"/>
                <w:color w:val="auto"/>
              </w:rPr>
            </w:pPr>
            <w:r>
              <w:rPr>
                <w:color w:val="auto"/>
              </w:rPr>
              <w:t>操作系统</w:t>
            </w:r>
          </w:p>
        </w:tc>
        <w:tc>
          <w:tcPr>
            <w:tcW w:w="5349" w:type="dxa"/>
            <w:tcBorders>
              <w:top w:val="nil"/>
              <w:left w:val="nil"/>
              <w:bottom w:val="single" w:color="auto" w:sz="8" w:space="0"/>
              <w:right w:val="nil"/>
            </w:tcBorders>
          </w:tcPr>
          <w:p w14:paraId="213D4847">
            <w:pPr>
              <w:pStyle w:val="26"/>
              <w:rPr>
                <w:rFonts w:hint="default"/>
                <w:color w:val="auto"/>
              </w:rPr>
            </w:pPr>
            <w:r>
              <w:rPr>
                <w:rFonts w:hint="default"/>
                <w:color w:val="auto"/>
              </w:rPr>
              <w:tab/>
            </w:r>
            <w:r>
              <w:rPr>
                <w:rFonts w:hint="default"/>
                <w:color w:val="auto"/>
              </w:rPr>
              <w:t>Windows server 2019</w:t>
            </w:r>
          </w:p>
        </w:tc>
      </w:tr>
    </w:tbl>
    <w:p w14:paraId="7C6781B4">
      <w:pPr>
        <w:pStyle w:val="25"/>
        <w:rPr>
          <w:rFonts w:hint="default"/>
          <w:color w:val="auto"/>
        </w:rPr>
      </w:pPr>
      <w:r>
        <w:rPr>
          <w:color w:val="auto"/>
        </w:rPr>
        <w:t>表4-4  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6722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29E7D984">
            <w:pPr>
              <w:pStyle w:val="26"/>
              <w:rPr>
                <w:rFonts w:hint="default"/>
                <w:color w:val="auto"/>
              </w:rPr>
            </w:pPr>
            <w:r>
              <w:rPr>
                <w:color w:val="auto"/>
              </w:rPr>
              <w:t>软件</w:t>
            </w:r>
          </w:p>
        </w:tc>
        <w:tc>
          <w:tcPr>
            <w:tcW w:w="5349" w:type="dxa"/>
            <w:tcBorders>
              <w:top w:val="single" w:color="auto" w:sz="8" w:space="0"/>
              <w:left w:val="nil"/>
              <w:bottom w:val="single" w:color="auto" w:sz="6" w:space="0"/>
              <w:right w:val="nil"/>
            </w:tcBorders>
          </w:tcPr>
          <w:p w14:paraId="3E9071FF">
            <w:pPr>
              <w:pStyle w:val="26"/>
              <w:rPr>
                <w:rFonts w:hint="default"/>
                <w:color w:val="auto"/>
              </w:rPr>
            </w:pPr>
            <w:r>
              <w:rPr>
                <w:color w:val="auto"/>
              </w:rPr>
              <w:t>版本</w:t>
            </w:r>
          </w:p>
        </w:tc>
      </w:tr>
      <w:tr w14:paraId="72BB1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23D03843">
            <w:pPr>
              <w:pStyle w:val="26"/>
              <w:rPr>
                <w:rFonts w:hint="default"/>
                <w:color w:val="auto"/>
              </w:rPr>
            </w:pPr>
            <w:r>
              <w:rPr>
                <w:color w:val="auto"/>
              </w:rPr>
              <w:t>CUDA Toolkit</w:t>
            </w:r>
          </w:p>
        </w:tc>
        <w:tc>
          <w:tcPr>
            <w:tcW w:w="5349" w:type="dxa"/>
            <w:tcBorders>
              <w:top w:val="single" w:color="auto" w:sz="6" w:space="0"/>
              <w:left w:val="nil"/>
              <w:bottom w:val="nil"/>
              <w:right w:val="nil"/>
            </w:tcBorders>
          </w:tcPr>
          <w:p w14:paraId="060B1897">
            <w:pPr>
              <w:pStyle w:val="26"/>
              <w:rPr>
                <w:rFonts w:hint="default"/>
                <w:color w:val="auto"/>
              </w:rPr>
            </w:pPr>
            <w:r>
              <w:rPr>
                <w:color w:val="auto"/>
              </w:rPr>
              <w:t>12.0.76</w:t>
            </w:r>
          </w:p>
        </w:tc>
      </w:tr>
      <w:tr w14:paraId="350D1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0FC048EE">
            <w:pPr>
              <w:pStyle w:val="26"/>
              <w:rPr>
                <w:rFonts w:hint="default"/>
                <w:color w:val="auto"/>
              </w:rPr>
            </w:pPr>
            <w:r>
              <w:rPr>
                <w:color w:val="auto"/>
              </w:rPr>
              <w:t>P</w:t>
            </w:r>
            <w:r>
              <w:rPr>
                <w:rFonts w:hint="default"/>
                <w:color w:val="auto"/>
              </w:rPr>
              <w:t>ython</w:t>
            </w:r>
          </w:p>
        </w:tc>
        <w:tc>
          <w:tcPr>
            <w:tcW w:w="5349" w:type="dxa"/>
            <w:tcBorders>
              <w:top w:val="nil"/>
              <w:left w:val="nil"/>
              <w:bottom w:val="single" w:color="auto" w:sz="8" w:space="0"/>
              <w:right w:val="nil"/>
            </w:tcBorders>
          </w:tcPr>
          <w:p w14:paraId="5EBA8855">
            <w:pPr>
              <w:pStyle w:val="26"/>
              <w:rPr>
                <w:rFonts w:hint="default"/>
                <w:color w:val="auto"/>
              </w:rPr>
            </w:pPr>
            <w:r>
              <w:rPr>
                <w:rFonts w:hint="default"/>
                <w:color w:val="auto"/>
              </w:rPr>
              <w:t>3.12.11</w:t>
            </w:r>
          </w:p>
        </w:tc>
      </w:tr>
    </w:tbl>
    <w:p w14:paraId="520722D0">
      <w:pPr>
        <w:pStyle w:val="4"/>
        <w:numPr>
          <w:ilvl w:val="2"/>
          <w:numId w:val="1"/>
        </w:numPr>
        <w:rPr>
          <w:color w:val="auto"/>
        </w:rPr>
      </w:pPr>
      <w:bookmarkStart w:id="194" w:name="_Toc229086900"/>
      <w:bookmarkStart w:id="195" w:name="_Toc850"/>
      <w:r>
        <w:rPr>
          <w:rFonts w:hint="eastAsia"/>
          <w:color w:val="auto"/>
        </w:rPr>
        <w:t>消融实验</w:t>
      </w:r>
      <w:bookmarkEnd w:id="193"/>
      <w:bookmarkEnd w:id="194"/>
      <w:bookmarkEnd w:id="195"/>
    </w:p>
    <w:p w14:paraId="76CF5FC6">
      <w:pPr>
        <w:ind w:firstLine="480"/>
        <w:rPr>
          <w:color w:val="auto"/>
        </w:rPr>
      </w:pPr>
      <w:r>
        <w:rPr>
          <w:rFonts w:hint="eastAsia"/>
          <w:color w:val="auto"/>
        </w:rPr>
        <w:t>为了判断模型性能来自何处，本节在相同实验设置下设计两组消融实验：一组考察定向数据增强对分类结果的影响，另一组考察微调策略与TextCNN结构对模型结果的影响。这样处理可以避免只给出最终模型分数，而无法解释分数来源的问题。</w:t>
      </w:r>
    </w:p>
    <w:p w14:paraId="104E9147">
      <w:pPr>
        <w:ind w:firstLine="480"/>
        <w:rPr>
          <w:color w:val="auto"/>
        </w:rPr>
      </w:pPr>
      <w:r>
        <w:rPr>
          <w:rFonts w:hint="eastAsia"/>
          <w:color w:val="auto"/>
        </w:rPr>
        <w:t>数据层面的消融实验旨在验证生成式数据增强对模型性能的具体影响，实验结果如表4-5所示。</w:t>
      </w:r>
    </w:p>
    <w:p w14:paraId="3128017F">
      <w:pPr>
        <w:pStyle w:val="25"/>
        <w:rPr>
          <w:rFonts w:hint="default"/>
          <w:color w:val="auto"/>
        </w:rPr>
      </w:pPr>
      <w:r>
        <w:rPr>
          <w:color w:val="auto"/>
        </w:rPr>
        <w:t>表4-5  数据增强结果</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8"/>
        <w:gridCol w:w="1188"/>
        <w:gridCol w:w="1805"/>
        <w:gridCol w:w="2098"/>
      </w:tblGrid>
      <w:tr w14:paraId="37A8E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single" w:color="auto" w:sz="8" w:space="0"/>
              <w:left w:val="nil"/>
              <w:bottom w:val="single" w:color="auto" w:sz="6" w:space="0"/>
              <w:right w:val="nil"/>
            </w:tcBorders>
            <w:vAlign w:val="center"/>
          </w:tcPr>
          <w:p w14:paraId="66CE4185">
            <w:pPr>
              <w:pStyle w:val="26"/>
              <w:rPr>
                <w:rFonts w:hint="default"/>
                <w:color w:val="auto"/>
              </w:rPr>
            </w:pPr>
            <w:r>
              <w:rPr>
                <w:rFonts w:hint="default"/>
                <w:color w:val="auto"/>
              </w:rPr>
              <w:t>实验设置</w:t>
            </w:r>
          </w:p>
        </w:tc>
        <w:tc>
          <w:tcPr>
            <w:tcW w:w="697" w:type="pct"/>
            <w:tcBorders>
              <w:top w:val="single" w:color="auto" w:sz="8" w:space="0"/>
              <w:left w:val="nil"/>
              <w:bottom w:val="single" w:color="auto" w:sz="6" w:space="0"/>
              <w:right w:val="nil"/>
            </w:tcBorders>
            <w:vAlign w:val="center"/>
          </w:tcPr>
          <w:p w14:paraId="11B48A19">
            <w:pPr>
              <w:pStyle w:val="26"/>
              <w:rPr>
                <w:rFonts w:hint="default"/>
                <w:color w:val="auto"/>
              </w:rPr>
            </w:pPr>
            <w:r>
              <w:rPr>
                <w:rFonts w:hint="default"/>
                <w:color w:val="auto"/>
              </w:rPr>
              <w:t>Accuracy</w:t>
            </w:r>
          </w:p>
        </w:tc>
        <w:tc>
          <w:tcPr>
            <w:tcW w:w="1059" w:type="pct"/>
            <w:tcBorders>
              <w:top w:val="single" w:color="auto" w:sz="8" w:space="0"/>
              <w:left w:val="nil"/>
              <w:bottom w:val="single" w:color="auto" w:sz="6" w:space="0"/>
              <w:right w:val="nil"/>
            </w:tcBorders>
            <w:vAlign w:val="center"/>
          </w:tcPr>
          <w:p w14:paraId="5622A172">
            <w:pPr>
              <w:pStyle w:val="26"/>
              <w:rPr>
                <w:rFonts w:hint="default"/>
                <w:color w:val="auto"/>
              </w:rPr>
            </w:pPr>
            <w:r>
              <w:rPr>
                <w:rFonts w:hint="default"/>
                <w:color w:val="auto"/>
              </w:rPr>
              <w:t>Macro F1-score</w:t>
            </w:r>
          </w:p>
        </w:tc>
        <w:tc>
          <w:tcPr>
            <w:tcW w:w="1231" w:type="pct"/>
            <w:tcBorders>
              <w:top w:val="single" w:color="auto" w:sz="8" w:space="0"/>
              <w:left w:val="nil"/>
              <w:bottom w:val="single" w:color="auto" w:sz="6" w:space="0"/>
              <w:right w:val="nil"/>
            </w:tcBorders>
            <w:vAlign w:val="center"/>
          </w:tcPr>
          <w:p w14:paraId="09986D61">
            <w:pPr>
              <w:pStyle w:val="26"/>
              <w:rPr>
                <w:rFonts w:hint="default"/>
                <w:color w:val="auto"/>
              </w:rPr>
            </w:pPr>
            <w:r>
              <w:rPr>
                <w:rFonts w:hint="default"/>
                <w:color w:val="auto"/>
              </w:rPr>
              <w:t>Weighted F1-score</w:t>
            </w:r>
          </w:p>
        </w:tc>
      </w:tr>
      <w:tr w14:paraId="33A6A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nil"/>
              <w:right w:val="nil"/>
            </w:tcBorders>
          </w:tcPr>
          <w:p w14:paraId="660CBD44">
            <w:pPr>
              <w:pStyle w:val="26"/>
              <w:rPr>
                <w:rFonts w:hint="default"/>
                <w:color w:val="auto"/>
              </w:rPr>
            </w:pPr>
            <w:r>
              <w:rPr>
                <w:rFonts w:hint="default"/>
                <w:color w:val="auto"/>
              </w:rPr>
              <w:t>未使用数据增强</w:t>
            </w:r>
          </w:p>
        </w:tc>
        <w:tc>
          <w:tcPr>
            <w:tcW w:w="697" w:type="pct"/>
            <w:tcBorders>
              <w:top w:val="nil"/>
              <w:left w:val="nil"/>
              <w:bottom w:val="nil"/>
              <w:right w:val="nil"/>
            </w:tcBorders>
          </w:tcPr>
          <w:p w14:paraId="11C5D3EA">
            <w:pPr>
              <w:pStyle w:val="26"/>
              <w:rPr>
                <w:rFonts w:hint="default"/>
                <w:color w:val="auto"/>
              </w:rPr>
            </w:pPr>
            <w:r>
              <w:rPr>
                <w:rFonts w:hint="default"/>
                <w:color w:val="auto"/>
              </w:rPr>
              <w:t>0.9245</w:t>
            </w:r>
          </w:p>
        </w:tc>
        <w:tc>
          <w:tcPr>
            <w:tcW w:w="1059" w:type="pct"/>
            <w:tcBorders>
              <w:top w:val="nil"/>
              <w:left w:val="nil"/>
              <w:bottom w:val="nil"/>
              <w:right w:val="nil"/>
            </w:tcBorders>
          </w:tcPr>
          <w:p w14:paraId="6D5F754C">
            <w:pPr>
              <w:pStyle w:val="26"/>
              <w:rPr>
                <w:rFonts w:hint="default"/>
                <w:color w:val="auto"/>
              </w:rPr>
            </w:pPr>
            <w:r>
              <w:rPr>
                <w:rFonts w:hint="default"/>
                <w:color w:val="auto"/>
              </w:rPr>
              <w:t>0.8408</w:t>
            </w:r>
          </w:p>
        </w:tc>
        <w:tc>
          <w:tcPr>
            <w:tcW w:w="1231" w:type="pct"/>
            <w:tcBorders>
              <w:top w:val="nil"/>
              <w:left w:val="nil"/>
              <w:bottom w:val="nil"/>
              <w:right w:val="nil"/>
            </w:tcBorders>
          </w:tcPr>
          <w:p w14:paraId="0223D4C8">
            <w:pPr>
              <w:pStyle w:val="26"/>
              <w:rPr>
                <w:rFonts w:hint="default"/>
                <w:color w:val="auto"/>
              </w:rPr>
            </w:pPr>
            <w:r>
              <w:rPr>
                <w:rFonts w:hint="default"/>
                <w:color w:val="auto"/>
              </w:rPr>
              <w:t>0.9235</w:t>
            </w:r>
          </w:p>
        </w:tc>
      </w:tr>
      <w:tr w14:paraId="04E21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single" w:color="auto" w:sz="8" w:space="0"/>
              <w:right w:val="nil"/>
            </w:tcBorders>
          </w:tcPr>
          <w:p w14:paraId="1C471F76">
            <w:pPr>
              <w:pStyle w:val="26"/>
              <w:rPr>
                <w:rFonts w:hint="default"/>
                <w:color w:val="auto"/>
              </w:rPr>
            </w:pPr>
            <w:r>
              <w:rPr>
                <w:rFonts w:hint="default"/>
                <w:color w:val="auto"/>
              </w:rPr>
              <w:t>使用数据增强</w:t>
            </w:r>
          </w:p>
        </w:tc>
        <w:tc>
          <w:tcPr>
            <w:tcW w:w="697" w:type="pct"/>
            <w:tcBorders>
              <w:top w:val="nil"/>
              <w:left w:val="nil"/>
              <w:bottom w:val="single" w:color="auto" w:sz="8" w:space="0"/>
              <w:right w:val="nil"/>
            </w:tcBorders>
          </w:tcPr>
          <w:p w14:paraId="6F8EA929">
            <w:pPr>
              <w:pStyle w:val="26"/>
              <w:rPr>
                <w:rFonts w:hint="default"/>
                <w:b/>
                <w:bCs/>
                <w:color w:val="auto"/>
              </w:rPr>
            </w:pPr>
            <w:r>
              <w:rPr>
                <w:rFonts w:hint="default"/>
                <w:color w:val="auto"/>
              </w:rPr>
              <w:t>0.9261</w:t>
            </w:r>
          </w:p>
        </w:tc>
        <w:tc>
          <w:tcPr>
            <w:tcW w:w="1059" w:type="pct"/>
            <w:tcBorders>
              <w:top w:val="nil"/>
              <w:left w:val="nil"/>
              <w:bottom w:val="single" w:color="auto" w:sz="8" w:space="0"/>
              <w:right w:val="nil"/>
            </w:tcBorders>
          </w:tcPr>
          <w:p w14:paraId="4EFC8C0B">
            <w:pPr>
              <w:pStyle w:val="26"/>
              <w:rPr>
                <w:rFonts w:hint="default"/>
                <w:b/>
                <w:bCs/>
                <w:color w:val="auto"/>
              </w:rPr>
            </w:pPr>
            <w:r>
              <w:rPr>
                <w:rFonts w:hint="default"/>
                <w:color w:val="auto"/>
              </w:rPr>
              <w:t>0.8792</w:t>
            </w:r>
          </w:p>
        </w:tc>
        <w:tc>
          <w:tcPr>
            <w:tcW w:w="1231" w:type="pct"/>
            <w:tcBorders>
              <w:top w:val="nil"/>
              <w:left w:val="nil"/>
              <w:bottom w:val="single" w:color="auto" w:sz="8" w:space="0"/>
              <w:right w:val="nil"/>
            </w:tcBorders>
          </w:tcPr>
          <w:p w14:paraId="49956F77">
            <w:pPr>
              <w:pStyle w:val="26"/>
              <w:rPr>
                <w:rFonts w:hint="default"/>
                <w:b/>
                <w:bCs/>
                <w:color w:val="auto"/>
              </w:rPr>
            </w:pPr>
            <w:r>
              <w:rPr>
                <w:rFonts w:hint="default"/>
                <w:color w:val="auto"/>
              </w:rPr>
              <w:t>0.9249</w:t>
            </w:r>
          </w:p>
        </w:tc>
      </w:tr>
    </w:tbl>
    <w:p w14:paraId="6FA10540">
      <w:pPr>
        <w:ind w:firstLine="480"/>
        <w:rPr>
          <w:color w:val="auto"/>
        </w:rPr>
      </w:pPr>
      <w:r>
        <w:rPr>
          <w:rFonts w:hint="eastAsia"/>
          <w:color w:val="auto"/>
        </w:rPr>
        <w:t>表4-5结果显示，使用定向数据增强后，Accuracy由0.9245提升至0.9261，Weighted F1-score由0.9235提升至0.9249，变化幅度较小，这与增强策略有关。本文只对一个最小类别进行增强，并未改变多数类别的样本分布，因此总体正确率不会出现大幅变化。更值得关注的是Macro F1-score由0.8408提升至0.8792，提升3.84个百分点。由于Macro F1-score不受大类样本数量主导，该结果说明定向增强主要改善了极少数类别的学习效果。</w:t>
      </w:r>
    </w:p>
    <w:p w14:paraId="0F534BE8">
      <w:pPr>
        <w:ind w:firstLine="480"/>
        <w:rPr>
          <w:color w:val="auto"/>
        </w:rPr>
      </w:pPr>
      <w:r>
        <w:rPr>
          <w:rFonts w:hint="eastAsia"/>
          <w:color w:val="auto"/>
        </w:rPr>
        <w:t>进一步观察训练过程可知，“输血、透析和体外循环器械”在未增强时多轮训练中召回率为0，模型难以形成稳定分类边界；加入增强样本后，该类别在后续训练中逐步被识别。该结果表明，数据增强在本文中的作用并不是全面提高所有类别的分类结果，而是缓解极少数类别因样本不足导致的不可学习问题。</w:t>
      </w:r>
    </w:p>
    <w:p w14:paraId="0993CD3D">
      <w:pPr>
        <w:ind w:firstLine="480"/>
        <w:rPr>
          <w:color w:val="auto"/>
        </w:rPr>
      </w:pPr>
      <w:r>
        <w:rPr>
          <w:rFonts w:hint="eastAsia"/>
          <w:color w:val="auto"/>
        </w:rPr>
        <w:t>为考察预训练微调与混合特征提取相结合的有效性，在此基础上本文又设计四种不同组合方式的模型进行比较分析如表4-6所示。</w:t>
      </w:r>
    </w:p>
    <w:p w14:paraId="06355B5B">
      <w:pPr>
        <w:pStyle w:val="25"/>
        <w:rPr>
          <w:rFonts w:hint="default"/>
          <w:color w:val="auto"/>
        </w:rPr>
      </w:pPr>
      <w:r>
        <w:rPr>
          <w:color w:val="auto"/>
        </w:rPr>
        <w:t>表4-6  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66D8A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vAlign w:val="center"/>
          </w:tcPr>
          <w:p w14:paraId="47FE5C65">
            <w:pPr>
              <w:pStyle w:val="26"/>
              <w:rPr>
                <w:rFonts w:hint="default"/>
                <w:color w:val="auto"/>
              </w:rPr>
            </w:pPr>
            <w:r>
              <w:rPr>
                <w:rFonts w:hint="default"/>
                <w:color w:val="auto"/>
              </w:rPr>
              <w:t>实验设置</w:t>
            </w:r>
          </w:p>
        </w:tc>
        <w:tc>
          <w:tcPr>
            <w:tcW w:w="1436" w:type="dxa"/>
            <w:tcBorders>
              <w:top w:val="single" w:color="auto" w:sz="8" w:space="0"/>
              <w:left w:val="nil"/>
              <w:bottom w:val="single" w:color="auto" w:sz="6" w:space="0"/>
              <w:right w:val="nil"/>
            </w:tcBorders>
            <w:vAlign w:val="center"/>
          </w:tcPr>
          <w:p w14:paraId="042B5A39">
            <w:pPr>
              <w:pStyle w:val="26"/>
              <w:rPr>
                <w:rFonts w:hint="default"/>
                <w:color w:val="auto"/>
              </w:rPr>
            </w:pPr>
            <w:r>
              <w:rPr>
                <w:rFonts w:hint="default"/>
                <w:color w:val="auto"/>
              </w:rPr>
              <w:t>Accuracy</w:t>
            </w:r>
          </w:p>
        </w:tc>
        <w:tc>
          <w:tcPr>
            <w:tcW w:w="1933" w:type="dxa"/>
            <w:tcBorders>
              <w:top w:val="single" w:color="auto" w:sz="8" w:space="0"/>
              <w:left w:val="nil"/>
              <w:bottom w:val="single" w:color="auto" w:sz="6" w:space="0"/>
              <w:right w:val="nil"/>
            </w:tcBorders>
            <w:vAlign w:val="center"/>
          </w:tcPr>
          <w:p w14:paraId="0E30F3C8">
            <w:pPr>
              <w:pStyle w:val="26"/>
              <w:rPr>
                <w:rFonts w:hint="default"/>
                <w:color w:val="auto"/>
              </w:rPr>
            </w:pPr>
            <w:r>
              <w:rPr>
                <w:rFonts w:hint="default"/>
                <w:color w:val="auto"/>
              </w:rPr>
              <w:t>Macro F1-score</w:t>
            </w:r>
          </w:p>
        </w:tc>
        <w:tc>
          <w:tcPr>
            <w:tcW w:w="1933" w:type="dxa"/>
            <w:tcBorders>
              <w:top w:val="single" w:color="auto" w:sz="8" w:space="0"/>
              <w:left w:val="nil"/>
              <w:bottom w:val="single" w:color="auto" w:sz="6" w:space="0"/>
              <w:right w:val="nil"/>
            </w:tcBorders>
            <w:vAlign w:val="center"/>
          </w:tcPr>
          <w:p w14:paraId="0705068B">
            <w:pPr>
              <w:pStyle w:val="26"/>
              <w:rPr>
                <w:rFonts w:hint="default"/>
                <w:color w:val="auto"/>
              </w:rPr>
            </w:pPr>
            <w:r>
              <w:rPr>
                <w:rFonts w:hint="default"/>
                <w:color w:val="auto"/>
              </w:rPr>
              <w:t>Weighted F1-score</w:t>
            </w:r>
          </w:p>
        </w:tc>
      </w:tr>
      <w:tr w14:paraId="4F82C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tcPr>
          <w:p w14:paraId="21D2AE41">
            <w:pPr>
              <w:pStyle w:val="26"/>
              <w:rPr>
                <w:rFonts w:hint="default"/>
                <w:color w:val="auto"/>
              </w:rPr>
            </w:pPr>
            <w:r>
              <w:rPr>
                <w:rFonts w:hint="default"/>
                <w:color w:val="auto"/>
              </w:rPr>
              <w:t>BERT+Linear（无微调）</w:t>
            </w:r>
          </w:p>
        </w:tc>
        <w:tc>
          <w:tcPr>
            <w:tcW w:w="1436" w:type="dxa"/>
            <w:tcBorders>
              <w:top w:val="single" w:color="auto" w:sz="6" w:space="0"/>
              <w:left w:val="nil"/>
              <w:bottom w:val="nil"/>
              <w:right w:val="nil"/>
            </w:tcBorders>
          </w:tcPr>
          <w:p w14:paraId="2A73AFC8">
            <w:pPr>
              <w:pStyle w:val="26"/>
              <w:rPr>
                <w:rFonts w:hint="default"/>
                <w:color w:val="auto"/>
              </w:rPr>
            </w:pPr>
            <w:r>
              <w:rPr>
                <w:rFonts w:hint="default"/>
                <w:color w:val="auto"/>
              </w:rPr>
              <w:t>0.8275</w:t>
            </w:r>
          </w:p>
        </w:tc>
        <w:tc>
          <w:tcPr>
            <w:tcW w:w="1933" w:type="dxa"/>
            <w:tcBorders>
              <w:top w:val="single" w:color="auto" w:sz="6" w:space="0"/>
              <w:left w:val="nil"/>
              <w:bottom w:val="nil"/>
              <w:right w:val="nil"/>
            </w:tcBorders>
          </w:tcPr>
          <w:p w14:paraId="332B6007">
            <w:pPr>
              <w:pStyle w:val="26"/>
              <w:rPr>
                <w:rFonts w:hint="default"/>
                <w:color w:val="auto"/>
              </w:rPr>
            </w:pPr>
            <w:r>
              <w:rPr>
                <w:rFonts w:hint="default"/>
                <w:color w:val="auto"/>
              </w:rPr>
              <w:t>0.6775</w:t>
            </w:r>
          </w:p>
        </w:tc>
        <w:tc>
          <w:tcPr>
            <w:tcW w:w="1933" w:type="dxa"/>
            <w:tcBorders>
              <w:top w:val="single" w:color="auto" w:sz="6" w:space="0"/>
              <w:left w:val="nil"/>
              <w:bottom w:val="nil"/>
              <w:right w:val="nil"/>
            </w:tcBorders>
          </w:tcPr>
          <w:p w14:paraId="220FB440">
            <w:pPr>
              <w:pStyle w:val="26"/>
              <w:rPr>
                <w:rFonts w:hint="default"/>
                <w:color w:val="auto"/>
              </w:rPr>
            </w:pPr>
            <w:r>
              <w:rPr>
                <w:rFonts w:hint="default"/>
                <w:color w:val="auto"/>
              </w:rPr>
              <w:t>0.8194</w:t>
            </w:r>
          </w:p>
        </w:tc>
      </w:tr>
      <w:tr w14:paraId="1FD96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tcPr>
          <w:p w14:paraId="683B9047">
            <w:pPr>
              <w:pStyle w:val="26"/>
              <w:rPr>
                <w:rFonts w:hint="default"/>
                <w:color w:val="auto"/>
              </w:rPr>
            </w:pPr>
            <w:r>
              <w:rPr>
                <w:rFonts w:hint="default"/>
                <w:color w:val="auto"/>
              </w:rPr>
              <w:t>BERT+Linear（微调）</w:t>
            </w:r>
          </w:p>
        </w:tc>
        <w:tc>
          <w:tcPr>
            <w:tcW w:w="1436" w:type="dxa"/>
            <w:tcBorders>
              <w:top w:val="nil"/>
              <w:left w:val="nil"/>
              <w:bottom w:val="nil"/>
              <w:right w:val="nil"/>
            </w:tcBorders>
          </w:tcPr>
          <w:p w14:paraId="501ADA72">
            <w:pPr>
              <w:pStyle w:val="26"/>
              <w:rPr>
                <w:rFonts w:hint="default"/>
                <w:color w:val="auto"/>
              </w:rPr>
            </w:pPr>
            <w:r>
              <w:rPr>
                <w:rFonts w:hint="default"/>
                <w:color w:val="auto"/>
              </w:rPr>
              <w:t>0.9154</w:t>
            </w:r>
          </w:p>
        </w:tc>
        <w:tc>
          <w:tcPr>
            <w:tcW w:w="1933" w:type="dxa"/>
            <w:tcBorders>
              <w:top w:val="nil"/>
              <w:left w:val="nil"/>
              <w:bottom w:val="nil"/>
              <w:right w:val="nil"/>
            </w:tcBorders>
          </w:tcPr>
          <w:p w14:paraId="313B1B69">
            <w:pPr>
              <w:pStyle w:val="26"/>
              <w:rPr>
                <w:rFonts w:hint="default"/>
                <w:color w:val="auto"/>
              </w:rPr>
            </w:pPr>
            <w:r>
              <w:rPr>
                <w:rFonts w:hint="default"/>
                <w:color w:val="auto"/>
              </w:rPr>
              <w:t>0.852</w:t>
            </w:r>
            <w:r>
              <w:rPr>
                <w:color w:val="auto"/>
              </w:rPr>
              <w:t>0</w:t>
            </w:r>
          </w:p>
        </w:tc>
        <w:tc>
          <w:tcPr>
            <w:tcW w:w="1933" w:type="dxa"/>
            <w:tcBorders>
              <w:top w:val="nil"/>
              <w:left w:val="nil"/>
              <w:bottom w:val="nil"/>
              <w:right w:val="nil"/>
            </w:tcBorders>
          </w:tcPr>
          <w:p w14:paraId="4397565F">
            <w:pPr>
              <w:pStyle w:val="26"/>
              <w:rPr>
                <w:rFonts w:hint="default"/>
                <w:color w:val="auto"/>
              </w:rPr>
            </w:pPr>
            <w:r>
              <w:rPr>
                <w:rFonts w:hint="default"/>
                <w:color w:val="auto"/>
              </w:rPr>
              <w:t>0.9132</w:t>
            </w:r>
          </w:p>
        </w:tc>
      </w:tr>
      <w:tr w14:paraId="3C0F9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tcPr>
          <w:p w14:paraId="71A23A0D">
            <w:pPr>
              <w:pStyle w:val="26"/>
              <w:rPr>
                <w:rFonts w:hint="default"/>
                <w:color w:val="auto"/>
              </w:rPr>
            </w:pPr>
            <w:r>
              <w:rPr>
                <w:rFonts w:hint="default"/>
                <w:color w:val="auto"/>
              </w:rPr>
              <w:t>完整结构（不微调）</w:t>
            </w:r>
          </w:p>
        </w:tc>
        <w:tc>
          <w:tcPr>
            <w:tcW w:w="1436" w:type="dxa"/>
            <w:tcBorders>
              <w:top w:val="nil"/>
              <w:left w:val="nil"/>
              <w:bottom w:val="nil"/>
              <w:right w:val="nil"/>
            </w:tcBorders>
          </w:tcPr>
          <w:p w14:paraId="7799FCFB">
            <w:pPr>
              <w:pStyle w:val="26"/>
              <w:rPr>
                <w:rFonts w:hint="default"/>
                <w:color w:val="auto"/>
              </w:rPr>
            </w:pPr>
            <w:r>
              <w:rPr>
                <w:rFonts w:hint="default"/>
                <w:color w:val="auto"/>
              </w:rPr>
              <w:t>0.9125</w:t>
            </w:r>
          </w:p>
        </w:tc>
        <w:tc>
          <w:tcPr>
            <w:tcW w:w="1933" w:type="dxa"/>
            <w:tcBorders>
              <w:top w:val="nil"/>
              <w:left w:val="nil"/>
              <w:bottom w:val="nil"/>
              <w:right w:val="nil"/>
            </w:tcBorders>
          </w:tcPr>
          <w:p w14:paraId="698B178D">
            <w:pPr>
              <w:pStyle w:val="26"/>
              <w:rPr>
                <w:rFonts w:hint="default"/>
                <w:color w:val="auto"/>
              </w:rPr>
            </w:pPr>
            <w:r>
              <w:rPr>
                <w:rFonts w:hint="default"/>
                <w:color w:val="auto"/>
              </w:rPr>
              <w:t>0.8377</w:t>
            </w:r>
          </w:p>
        </w:tc>
        <w:tc>
          <w:tcPr>
            <w:tcW w:w="1933" w:type="dxa"/>
            <w:tcBorders>
              <w:top w:val="nil"/>
              <w:left w:val="nil"/>
              <w:bottom w:val="nil"/>
              <w:right w:val="nil"/>
            </w:tcBorders>
          </w:tcPr>
          <w:p w14:paraId="18136B7E">
            <w:pPr>
              <w:pStyle w:val="26"/>
              <w:rPr>
                <w:rFonts w:hint="default"/>
                <w:color w:val="auto"/>
              </w:rPr>
            </w:pPr>
            <w:r>
              <w:rPr>
                <w:rFonts w:hint="default"/>
                <w:color w:val="auto"/>
              </w:rPr>
              <w:t>0.9094</w:t>
            </w:r>
          </w:p>
        </w:tc>
      </w:tr>
      <w:tr w14:paraId="33221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tcPr>
          <w:p w14:paraId="3C273C2B">
            <w:pPr>
              <w:pStyle w:val="26"/>
              <w:rPr>
                <w:rFonts w:hint="default"/>
                <w:color w:val="auto"/>
              </w:rPr>
            </w:pPr>
            <w:r>
              <w:rPr>
                <w:rFonts w:hint="default"/>
                <w:color w:val="auto"/>
              </w:rPr>
              <w:t>完整结构（微调）</w:t>
            </w:r>
          </w:p>
        </w:tc>
        <w:tc>
          <w:tcPr>
            <w:tcW w:w="1436" w:type="dxa"/>
            <w:tcBorders>
              <w:top w:val="nil"/>
              <w:left w:val="nil"/>
              <w:bottom w:val="single" w:color="auto" w:sz="8" w:space="0"/>
              <w:right w:val="nil"/>
            </w:tcBorders>
          </w:tcPr>
          <w:p w14:paraId="483C03E7">
            <w:pPr>
              <w:pStyle w:val="26"/>
              <w:rPr>
                <w:rFonts w:hint="default"/>
                <w:color w:val="auto"/>
              </w:rPr>
            </w:pPr>
            <w:r>
              <w:rPr>
                <w:rFonts w:hint="default"/>
                <w:color w:val="auto"/>
              </w:rPr>
              <w:t>0.9261</w:t>
            </w:r>
          </w:p>
        </w:tc>
        <w:tc>
          <w:tcPr>
            <w:tcW w:w="1933" w:type="dxa"/>
            <w:tcBorders>
              <w:top w:val="nil"/>
              <w:left w:val="nil"/>
              <w:bottom w:val="single" w:color="auto" w:sz="8" w:space="0"/>
              <w:right w:val="nil"/>
            </w:tcBorders>
          </w:tcPr>
          <w:p w14:paraId="416E9D4B">
            <w:pPr>
              <w:pStyle w:val="26"/>
              <w:rPr>
                <w:rFonts w:hint="default"/>
                <w:color w:val="auto"/>
              </w:rPr>
            </w:pPr>
            <w:r>
              <w:rPr>
                <w:rFonts w:hint="default"/>
                <w:color w:val="auto"/>
              </w:rPr>
              <w:t>0.8792</w:t>
            </w:r>
          </w:p>
        </w:tc>
        <w:tc>
          <w:tcPr>
            <w:tcW w:w="1933" w:type="dxa"/>
            <w:tcBorders>
              <w:top w:val="nil"/>
              <w:left w:val="nil"/>
              <w:bottom w:val="single" w:color="auto" w:sz="8" w:space="0"/>
              <w:right w:val="nil"/>
            </w:tcBorders>
          </w:tcPr>
          <w:p w14:paraId="4B95210F">
            <w:pPr>
              <w:pStyle w:val="26"/>
              <w:rPr>
                <w:rFonts w:hint="default"/>
                <w:color w:val="auto"/>
              </w:rPr>
            </w:pPr>
            <w:r>
              <w:rPr>
                <w:rFonts w:hint="default"/>
                <w:color w:val="auto"/>
              </w:rPr>
              <w:t>0.9249</w:t>
            </w:r>
          </w:p>
        </w:tc>
      </w:tr>
    </w:tbl>
    <w:p w14:paraId="3E985CBA">
      <w:pPr>
        <w:ind w:firstLine="420" w:firstLineChars="0"/>
        <w:rPr>
          <w:color w:val="auto"/>
        </w:rPr>
      </w:pPr>
      <w:r>
        <w:rPr>
          <w:rFonts w:hint="eastAsia"/>
          <w:color w:val="auto"/>
        </w:rPr>
        <w:t>模型架构消融实验结果显示，微调对模型效果影响较大。BERT+Linear在不微调时Macro F1-score为0.6775，微调后提升到0.8520，说明通用预训练表示不能直接覆盖医疗器械专利中的类别差异。经过微调后，模型更容易关注与分类目录相关的词语和上下文关系。</w:t>
      </w:r>
    </w:p>
    <w:p w14:paraId="762A1EAA">
      <w:pPr>
        <w:ind w:firstLine="420" w:firstLineChars="0"/>
        <w:rPr>
          <w:color w:val="auto"/>
        </w:rPr>
      </w:pPr>
      <w:r>
        <w:rPr>
          <w:rFonts w:hint="eastAsia"/>
          <w:color w:val="auto"/>
        </w:rPr>
        <w:t>TextCNN结构也带来了稳定收益。在不微调BERT的情况下，完整结构的Macro F1-score为0.8377，高于BERT+Linear无微调实验的0.6775；在微调条件下，完整结构的Macro F1-score为0.8792，也高于BERT+Linear微调实验的0.8520。这说明卷积通路对局部短语具有补充作用。对专利文本而言，类别判别常常落在少数结构词和用途词上，单个[CLS]向量不一定能稳定保留这些细节。</w:t>
      </w:r>
    </w:p>
    <w:p w14:paraId="48E74A75">
      <w:pPr>
        <w:ind w:firstLine="420" w:firstLineChars="0"/>
        <w:rPr>
          <w:color w:val="auto"/>
        </w:rPr>
      </w:pPr>
      <w:r>
        <w:rPr>
          <w:rFonts w:hint="eastAsia"/>
          <w:color w:val="auto"/>
          <w:highlight w:val="yellow"/>
        </w:rPr>
        <w:t>从模型训练角度看，完整结构（不微调）也可以在一定程度上视为模型侧领域知识消融。由于本文采用的基础编码器Chinese-RoBERTa-WWM-Ext并非基于专利语料或医疗器械语料继续预训练得到，不微调时模型主要提供通用中文语义表示，微调后模型才进一步学习医疗器械专利文本中的术语分布和类别边界</w:t>
      </w:r>
      <w:r>
        <w:rPr>
          <w:rFonts w:hint="eastAsia"/>
          <w:color w:val="auto"/>
        </w:rPr>
        <w:t>。</w:t>
      </w:r>
    </w:p>
    <w:p w14:paraId="6C203727">
      <w:pPr>
        <w:ind w:firstLine="420" w:firstLineChars="0"/>
        <w:rPr>
          <w:color w:val="auto"/>
        </w:rPr>
      </w:pPr>
      <w:r>
        <w:rPr>
          <w:rFonts w:hint="eastAsia"/>
          <w:color w:val="auto"/>
        </w:rPr>
        <w:t>从结构消融看，本文模型的收益来自微调和TextCNN两个方面。微调使预训练模型向医疗器械专利语义分布靠近，而TextCNN补足局部术语组合的提取能力。本文的模型不是简单追求结构复杂度，而是在一级分类任务中把全局语义和局部判别词组放在同一分类框架下进行学习，这一点与表4-1中的近年模型对比结果能够相互对应。</w:t>
      </w:r>
    </w:p>
    <w:p w14:paraId="2AF0CC67">
      <w:pPr>
        <w:pStyle w:val="4"/>
        <w:numPr>
          <w:ilvl w:val="2"/>
          <w:numId w:val="1"/>
        </w:numPr>
        <w:rPr>
          <w:color w:val="auto"/>
        </w:rPr>
      </w:pPr>
      <w:bookmarkStart w:id="196" w:name="_Toc11014"/>
      <w:bookmarkStart w:id="197" w:name="_Toc229086901"/>
      <w:r>
        <w:rPr>
          <w:rFonts w:hint="eastAsia"/>
          <w:color w:val="auto"/>
        </w:rPr>
        <w:t>外部验证</w:t>
      </w:r>
      <w:bookmarkEnd w:id="196"/>
      <w:bookmarkEnd w:id="197"/>
    </w:p>
    <w:p w14:paraId="72DE615C">
      <w:pPr>
        <w:ind w:firstLine="480"/>
        <w:rPr>
          <w:color w:val="auto"/>
          <w:highlight w:val="yellow"/>
        </w:rPr>
      </w:pPr>
      <w:r>
        <w:rPr>
          <w:rFonts w:hint="eastAsia"/>
          <w:color w:val="auto"/>
          <w:highlight w:val="yellow"/>
        </w:rPr>
        <w:t>为考察模型在新专利数据上的适应性和时效性，在此基础上建立了一个330条的外部测试集，它们来源于医知桥</w:t>
      </w:r>
      <w:r>
        <w:rPr>
          <w:rStyle w:val="33"/>
          <w:rFonts w:hint="eastAsia"/>
          <w:color w:val="auto"/>
          <w:highlight w:val="yellow"/>
        </w:rPr>
        <w:t>[36]</w:t>
      </w:r>
      <w:r>
        <w:rPr>
          <w:rFonts w:hint="eastAsia"/>
          <w:color w:val="auto"/>
          <w:highlight w:val="yellow"/>
        </w:rPr>
        <w:t>平台2025年最新的发明专利。该平台存在将非医疗器械发明专利误归类的情况，因此，本文选择的数据是实际为医疗器械发明专利，且医知桥平台也将其归为医疗器械发明专利的数据，并由专家对这些样本进行人工复核和标注。</w:t>
      </w:r>
    </w:p>
    <w:p w14:paraId="5849ED5F">
      <w:pPr>
        <w:ind w:firstLine="480"/>
        <w:rPr>
          <w:color w:val="auto"/>
          <w:highlight w:val="yellow"/>
        </w:rPr>
      </w:pPr>
      <w:r>
        <w:rPr>
          <w:rFonts w:hint="eastAsia"/>
          <w:color w:val="auto"/>
          <w:highlight w:val="yellow"/>
        </w:rPr>
        <w:t>需要指出的是，外部验证集仍有边界。数据来自同一类专利文本，且医知桥是目前较少提供医疗器械分类目录标签的平台，外部来源并不丰富。因此，该实验更适合作为时效性和应用可行性的初步检验，而不能直接等同于对全部产业场景的充分证明。</w:t>
      </w:r>
    </w:p>
    <w:p w14:paraId="27244588">
      <w:pPr>
        <w:ind w:firstLine="480"/>
        <w:rPr>
          <w:color w:val="auto"/>
          <w:highlight w:val="yellow"/>
        </w:rPr>
      </w:pPr>
      <w:r>
        <w:rPr>
          <w:rFonts w:hint="eastAsia"/>
          <w:color w:val="auto"/>
          <w:highlight w:val="yellow"/>
        </w:rPr>
        <w:t>基于该数据集，本文将训练完成的BERT-TextCNN模型与医知桥平台已有分类结果进行比较实验，见表4-7。</w:t>
      </w:r>
    </w:p>
    <w:p w14:paraId="358C3B16">
      <w:pPr>
        <w:pStyle w:val="25"/>
        <w:rPr>
          <w:rFonts w:hint="default"/>
          <w:color w:val="auto"/>
          <w:highlight w:val="yellow"/>
        </w:rPr>
      </w:pPr>
      <w:r>
        <w:rPr>
          <w:color w:val="auto"/>
          <w:highlight w:val="yellow"/>
        </w:rPr>
        <w:t>表4-7  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0697D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8" w:space="0"/>
              <w:left w:val="nil"/>
              <w:bottom w:val="single" w:color="auto" w:sz="6" w:space="0"/>
              <w:right w:val="nil"/>
            </w:tcBorders>
            <w:vAlign w:val="center"/>
          </w:tcPr>
          <w:p w14:paraId="5FC39C2C">
            <w:pPr>
              <w:pStyle w:val="26"/>
              <w:rPr>
                <w:rFonts w:hint="default"/>
                <w:color w:val="auto"/>
                <w:highlight w:val="yellow"/>
              </w:rPr>
            </w:pPr>
            <w:r>
              <w:rPr>
                <w:rFonts w:hint="default"/>
                <w:color w:val="auto"/>
                <w:highlight w:val="yellow"/>
              </w:rPr>
              <w:t>评估对象</w:t>
            </w:r>
          </w:p>
        </w:tc>
        <w:tc>
          <w:tcPr>
            <w:tcW w:w="1545" w:type="dxa"/>
            <w:tcBorders>
              <w:top w:val="single" w:color="auto" w:sz="8" w:space="0"/>
              <w:left w:val="nil"/>
              <w:bottom w:val="single" w:color="auto" w:sz="6" w:space="0"/>
              <w:right w:val="nil"/>
            </w:tcBorders>
            <w:vAlign w:val="center"/>
          </w:tcPr>
          <w:p w14:paraId="6E4B3460">
            <w:pPr>
              <w:pStyle w:val="26"/>
              <w:rPr>
                <w:rFonts w:hint="default"/>
                <w:color w:val="auto"/>
                <w:highlight w:val="yellow"/>
              </w:rPr>
            </w:pPr>
            <w:r>
              <w:rPr>
                <w:rFonts w:hint="default"/>
                <w:color w:val="auto"/>
                <w:highlight w:val="yellow"/>
              </w:rPr>
              <w:t>Accuracy</w:t>
            </w:r>
          </w:p>
        </w:tc>
        <w:tc>
          <w:tcPr>
            <w:tcW w:w="1933" w:type="dxa"/>
            <w:tcBorders>
              <w:top w:val="single" w:color="auto" w:sz="8" w:space="0"/>
              <w:left w:val="nil"/>
              <w:bottom w:val="single" w:color="auto" w:sz="6" w:space="0"/>
              <w:right w:val="nil"/>
            </w:tcBorders>
            <w:vAlign w:val="center"/>
          </w:tcPr>
          <w:p w14:paraId="56253265">
            <w:pPr>
              <w:pStyle w:val="26"/>
              <w:rPr>
                <w:rFonts w:hint="default"/>
                <w:color w:val="auto"/>
                <w:highlight w:val="yellow"/>
              </w:rPr>
            </w:pPr>
            <w:r>
              <w:rPr>
                <w:rFonts w:hint="default"/>
                <w:color w:val="auto"/>
                <w:highlight w:val="yellow"/>
              </w:rPr>
              <w:t>Macro F1-score</w:t>
            </w:r>
          </w:p>
        </w:tc>
        <w:tc>
          <w:tcPr>
            <w:tcW w:w="1933" w:type="dxa"/>
            <w:tcBorders>
              <w:top w:val="single" w:color="auto" w:sz="8" w:space="0"/>
              <w:left w:val="nil"/>
              <w:bottom w:val="single" w:color="auto" w:sz="6" w:space="0"/>
              <w:right w:val="nil"/>
            </w:tcBorders>
            <w:vAlign w:val="center"/>
          </w:tcPr>
          <w:p w14:paraId="6C0B3FB4">
            <w:pPr>
              <w:pStyle w:val="26"/>
              <w:rPr>
                <w:rFonts w:hint="default"/>
                <w:color w:val="auto"/>
                <w:highlight w:val="yellow"/>
              </w:rPr>
            </w:pPr>
            <w:r>
              <w:rPr>
                <w:rFonts w:hint="default"/>
                <w:color w:val="auto"/>
                <w:highlight w:val="yellow"/>
              </w:rPr>
              <w:t>Weighted F1-score</w:t>
            </w:r>
          </w:p>
        </w:tc>
      </w:tr>
      <w:tr w14:paraId="455E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tcPr>
          <w:p w14:paraId="09EB3112">
            <w:pPr>
              <w:pStyle w:val="26"/>
              <w:rPr>
                <w:rFonts w:hint="default"/>
                <w:color w:val="auto"/>
                <w:highlight w:val="yellow"/>
              </w:rPr>
            </w:pPr>
            <w:r>
              <w:rPr>
                <w:rFonts w:hint="default"/>
                <w:color w:val="auto"/>
                <w:highlight w:val="yellow"/>
              </w:rPr>
              <w:t>医知桥</w:t>
            </w:r>
          </w:p>
        </w:tc>
        <w:tc>
          <w:tcPr>
            <w:tcW w:w="1545" w:type="dxa"/>
            <w:tcBorders>
              <w:top w:val="single" w:color="auto" w:sz="6" w:space="0"/>
              <w:left w:val="nil"/>
              <w:bottom w:val="nil"/>
              <w:right w:val="nil"/>
            </w:tcBorders>
          </w:tcPr>
          <w:p w14:paraId="1EC64021">
            <w:pPr>
              <w:pStyle w:val="26"/>
              <w:rPr>
                <w:rFonts w:hint="default"/>
                <w:color w:val="auto"/>
                <w:highlight w:val="yellow"/>
              </w:rPr>
            </w:pPr>
            <w:r>
              <w:rPr>
                <w:rFonts w:hint="default"/>
                <w:color w:val="auto"/>
                <w:highlight w:val="yellow"/>
              </w:rPr>
              <w:t>0.7515</w:t>
            </w:r>
          </w:p>
        </w:tc>
        <w:tc>
          <w:tcPr>
            <w:tcW w:w="1933" w:type="dxa"/>
            <w:tcBorders>
              <w:top w:val="single" w:color="auto" w:sz="6" w:space="0"/>
              <w:left w:val="nil"/>
              <w:bottom w:val="nil"/>
              <w:right w:val="nil"/>
            </w:tcBorders>
          </w:tcPr>
          <w:p w14:paraId="3696FB7E">
            <w:pPr>
              <w:pStyle w:val="26"/>
              <w:rPr>
                <w:rFonts w:hint="default"/>
                <w:color w:val="auto"/>
                <w:highlight w:val="yellow"/>
              </w:rPr>
            </w:pPr>
            <w:r>
              <w:rPr>
                <w:rFonts w:hint="default"/>
                <w:color w:val="auto"/>
                <w:highlight w:val="yellow"/>
              </w:rPr>
              <w:t>0.7538</w:t>
            </w:r>
          </w:p>
        </w:tc>
        <w:tc>
          <w:tcPr>
            <w:tcW w:w="1933" w:type="dxa"/>
            <w:tcBorders>
              <w:top w:val="single" w:color="auto" w:sz="6" w:space="0"/>
              <w:left w:val="nil"/>
              <w:bottom w:val="nil"/>
              <w:right w:val="nil"/>
            </w:tcBorders>
          </w:tcPr>
          <w:p w14:paraId="593AF1E1">
            <w:pPr>
              <w:pStyle w:val="26"/>
              <w:rPr>
                <w:rFonts w:hint="default"/>
                <w:color w:val="auto"/>
                <w:highlight w:val="yellow"/>
              </w:rPr>
            </w:pPr>
            <w:r>
              <w:rPr>
                <w:rFonts w:hint="default"/>
                <w:color w:val="auto"/>
                <w:highlight w:val="yellow"/>
              </w:rPr>
              <w:t>0.7352</w:t>
            </w:r>
          </w:p>
        </w:tc>
      </w:tr>
      <w:tr w14:paraId="63A15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tcPr>
          <w:p w14:paraId="491DCA8A">
            <w:pPr>
              <w:pStyle w:val="26"/>
              <w:rPr>
                <w:rFonts w:hint="default"/>
                <w:color w:val="auto"/>
                <w:highlight w:val="yellow"/>
              </w:rPr>
            </w:pPr>
            <w:r>
              <w:rPr>
                <w:rFonts w:hint="default"/>
                <w:color w:val="auto"/>
                <w:highlight w:val="yellow"/>
              </w:rPr>
              <w:t>BERT-TextCNN</w:t>
            </w:r>
          </w:p>
        </w:tc>
        <w:tc>
          <w:tcPr>
            <w:tcW w:w="1545" w:type="dxa"/>
            <w:tcBorders>
              <w:top w:val="nil"/>
              <w:left w:val="nil"/>
              <w:bottom w:val="single" w:color="auto" w:sz="8" w:space="0"/>
              <w:right w:val="nil"/>
            </w:tcBorders>
          </w:tcPr>
          <w:p w14:paraId="16EFDC56">
            <w:pPr>
              <w:pStyle w:val="26"/>
              <w:rPr>
                <w:rFonts w:hint="default"/>
                <w:color w:val="auto"/>
                <w:highlight w:val="yellow"/>
              </w:rPr>
            </w:pPr>
            <w:r>
              <w:rPr>
                <w:rFonts w:hint="default"/>
                <w:color w:val="auto"/>
                <w:highlight w:val="yellow"/>
              </w:rPr>
              <w:t>0.8424</w:t>
            </w:r>
          </w:p>
        </w:tc>
        <w:tc>
          <w:tcPr>
            <w:tcW w:w="1933" w:type="dxa"/>
            <w:tcBorders>
              <w:top w:val="nil"/>
              <w:left w:val="nil"/>
              <w:bottom w:val="single" w:color="auto" w:sz="8" w:space="0"/>
              <w:right w:val="nil"/>
            </w:tcBorders>
          </w:tcPr>
          <w:p w14:paraId="0AE49EAB">
            <w:pPr>
              <w:pStyle w:val="26"/>
              <w:rPr>
                <w:rFonts w:hint="default"/>
                <w:color w:val="auto"/>
                <w:highlight w:val="yellow"/>
              </w:rPr>
            </w:pPr>
            <w:r>
              <w:rPr>
                <w:rFonts w:hint="default"/>
                <w:color w:val="auto"/>
                <w:highlight w:val="yellow"/>
              </w:rPr>
              <w:t>0.8546</w:t>
            </w:r>
          </w:p>
        </w:tc>
        <w:tc>
          <w:tcPr>
            <w:tcW w:w="1933" w:type="dxa"/>
            <w:tcBorders>
              <w:top w:val="nil"/>
              <w:left w:val="nil"/>
              <w:bottom w:val="single" w:color="auto" w:sz="8" w:space="0"/>
              <w:right w:val="nil"/>
            </w:tcBorders>
          </w:tcPr>
          <w:p w14:paraId="7FA7CE46">
            <w:pPr>
              <w:pStyle w:val="26"/>
              <w:rPr>
                <w:rFonts w:hint="default"/>
                <w:color w:val="auto"/>
                <w:highlight w:val="yellow"/>
              </w:rPr>
            </w:pPr>
            <w:r>
              <w:rPr>
                <w:rFonts w:hint="default"/>
                <w:color w:val="auto"/>
                <w:highlight w:val="yellow"/>
              </w:rPr>
              <w:t>0.8428</w:t>
            </w:r>
          </w:p>
        </w:tc>
      </w:tr>
    </w:tbl>
    <w:p w14:paraId="3E9C64FA">
      <w:pPr>
        <w:ind w:firstLine="480"/>
        <w:rPr>
          <w:color w:val="auto"/>
          <w:highlight w:val="yellow"/>
        </w:rPr>
      </w:pPr>
      <w:r>
        <w:rPr>
          <w:rFonts w:hint="eastAsia"/>
          <w:color w:val="auto"/>
          <w:highlight w:val="yellow"/>
        </w:rPr>
        <w:t>由表4-7可见，BERT-TextCNN在外部验证集上的Accuracy为0.8424，Macro F1-score为0.8546，Weighted F1-score为0.8428；医知桥对应指标分别为0.7515、0.7538和0.7352。本文模型在Accuracy上提高9.09个百分点，在Macro F1-score上提高10.08个百分点。由于Macro F1-score对小样本类别更敏感，这一结果说明本文模型在外部数据上不仅提高了总体正确率，也改善了类别间表现不均衡的问题。</w:t>
      </w:r>
    </w:p>
    <w:p w14:paraId="10DA9B4C">
      <w:pPr>
        <w:ind w:firstLine="480"/>
        <w:rPr>
          <w:color w:val="auto"/>
        </w:rPr>
      </w:pPr>
      <w:r>
        <w:rPr>
          <w:rFonts w:hint="eastAsia"/>
          <w:color w:val="auto"/>
          <w:highlight w:val="yellow"/>
        </w:rPr>
        <w:t>330条样本能够反映2025年部分新增专利的分类情况，但样本规模和来源范围有限，尚不能覆盖所有医疗器械专利申请场景。就本文研究目标而言，该实验说明模型具备一定的跨时间数据适应能力，更大规模、多来源的外部验证仍需在后续工作中继续完成</w:t>
      </w:r>
      <w:r>
        <w:rPr>
          <w:color w:val="auto"/>
        </w:rPr>
        <w:t>。</w:t>
      </w:r>
    </w:p>
    <w:p w14:paraId="2D84693C">
      <w:pPr>
        <w:ind w:firstLine="480"/>
        <w:rPr>
          <w:color w:val="auto"/>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BC5E63B">
      <w:pPr>
        <w:pStyle w:val="2"/>
        <w:numPr>
          <w:ilvl w:val="0"/>
          <w:numId w:val="1"/>
        </w:numPr>
        <w:tabs>
          <w:tab w:val="clear" w:pos="0"/>
        </w:tabs>
        <w:rPr>
          <w:color w:val="auto"/>
        </w:rPr>
      </w:pPr>
      <w:bookmarkStart w:id="198" w:name="_Toc216114520"/>
      <w:bookmarkStart w:id="199" w:name="_Toc31666"/>
      <w:bookmarkStart w:id="200" w:name="_Toc229086902"/>
      <w:r>
        <w:rPr>
          <w:rFonts w:hint="eastAsia"/>
          <w:color w:val="auto"/>
        </w:rPr>
        <w:t>系统设计与实现</w:t>
      </w:r>
      <w:bookmarkEnd w:id="198"/>
      <w:bookmarkEnd w:id="199"/>
      <w:bookmarkEnd w:id="200"/>
      <w:bookmarkStart w:id="201" w:name="_Toc216114379"/>
      <w:bookmarkEnd w:id="201"/>
      <w:bookmarkStart w:id="202" w:name="_Toc216114681"/>
      <w:bookmarkEnd w:id="202"/>
      <w:bookmarkStart w:id="203" w:name="_Toc216114380"/>
      <w:bookmarkEnd w:id="203"/>
      <w:bookmarkStart w:id="204" w:name="_Toc216116727"/>
      <w:bookmarkEnd w:id="204"/>
      <w:bookmarkStart w:id="205" w:name="_Toc216117086"/>
      <w:bookmarkEnd w:id="205"/>
      <w:bookmarkStart w:id="206" w:name="_Toc216114521"/>
      <w:bookmarkEnd w:id="206"/>
      <w:bookmarkStart w:id="207" w:name="_Toc216114451"/>
      <w:bookmarkEnd w:id="207"/>
      <w:bookmarkStart w:id="208" w:name="_Toc216115388"/>
      <w:bookmarkEnd w:id="208"/>
      <w:bookmarkStart w:id="209" w:name="_Toc216114682"/>
      <w:bookmarkEnd w:id="209"/>
      <w:bookmarkStart w:id="210" w:name="_Toc216115319"/>
      <w:bookmarkEnd w:id="210"/>
      <w:bookmarkStart w:id="211" w:name="_Toc216116656"/>
      <w:bookmarkEnd w:id="211"/>
      <w:bookmarkStart w:id="212" w:name="_Toc216114522"/>
      <w:bookmarkEnd w:id="212"/>
      <w:bookmarkStart w:id="213" w:name="_Toc216117085"/>
      <w:bookmarkEnd w:id="213"/>
      <w:bookmarkStart w:id="214" w:name="_Toc216115389"/>
      <w:bookmarkEnd w:id="214"/>
      <w:bookmarkStart w:id="215" w:name="_Toc216116728"/>
      <w:bookmarkEnd w:id="215"/>
      <w:bookmarkStart w:id="216" w:name="_Toc216114450"/>
      <w:bookmarkEnd w:id="216"/>
      <w:bookmarkStart w:id="217" w:name="_Toc216116655"/>
      <w:bookmarkEnd w:id="217"/>
      <w:bookmarkStart w:id="218" w:name="_Toc216115320"/>
      <w:bookmarkEnd w:id="218"/>
    </w:p>
    <w:p w14:paraId="021E518F">
      <w:pPr>
        <w:ind w:firstLine="480"/>
        <w:rPr>
          <w:color w:val="auto"/>
        </w:rPr>
      </w:pPr>
      <w:r>
        <w:rPr>
          <w:rFonts w:hint="eastAsia"/>
          <w:color w:val="auto"/>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r>
        <w:rPr>
          <w:rStyle w:val="33"/>
          <w:rFonts w:hint="eastAsia"/>
          <w:color w:val="auto"/>
        </w:rPr>
        <w:t>[55-62]</w:t>
      </w:r>
      <w:r>
        <w:rPr>
          <w:rFonts w:hint="eastAsia"/>
          <w:color w:val="auto"/>
        </w:rPr>
        <w:t>。</w:t>
      </w:r>
    </w:p>
    <w:p w14:paraId="602B928B">
      <w:pPr>
        <w:ind w:firstLine="480"/>
        <w:rPr>
          <w:color w:val="auto"/>
        </w:rPr>
      </w:pPr>
      <w:r>
        <w:rPr>
          <w:rFonts w:hint="eastAsia"/>
          <w:color w:val="auto"/>
        </w:rPr>
        <w:t>本章主要介绍系统需求分析、系统架构设计、数据库设计、核心功能实现和系统测试验证。</w:t>
      </w:r>
    </w:p>
    <w:p w14:paraId="02A1D62A">
      <w:pPr>
        <w:pStyle w:val="3"/>
        <w:numPr>
          <w:ilvl w:val="1"/>
          <w:numId w:val="1"/>
        </w:numPr>
        <w:tabs>
          <w:tab w:val="clear" w:pos="420"/>
        </w:tabs>
        <w:rPr>
          <w:color w:val="auto"/>
        </w:rPr>
      </w:pPr>
      <w:bookmarkStart w:id="219" w:name="_Toc229086903"/>
      <w:bookmarkStart w:id="220" w:name="_Toc216114524"/>
      <w:bookmarkStart w:id="221" w:name="_Toc27080"/>
      <w:r>
        <w:rPr>
          <w:rFonts w:hint="eastAsia"/>
          <w:color w:val="auto"/>
        </w:rPr>
        <w:t>需求分析</w:t>
      </w:r>
      <w:bookmarkEnd w:id="219"/>
      <w:bookmarkEnd w:id="220"/>
      <w:bookmarkEnd w:id="221"/>
    </w:p>
    <w:p w14:paraId="15A1B073">
      <w:pPr>
        <w:ind w:firstLine="480"/>
        <w:rPr>
          <w:color w:val="auto"/>
        </w:rPr>
      </w:pPr>
      <w:r>
        <w:rPr>
          <w:rFonts w:hint="eastAsia"/>
          <w:color w:val="auto"/>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需要包括围绕分类结果展开的数据管理功能。</w:t>
      </w:r>
    </w:p>
    <w:p w14:paraId="76FADF2D">
      <w:pPr>
        <w:ind w:firstLine="480"/>
        <w:rPr>
          <w:color w:val="auto"/>
        </w:rPr>
      </w:pPr>
      <w:r>
        <w:rPr>
          <w:rFonts w:hint="eastAsia"/>
          <w:color w:val="auto"/>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1150C96C">
      <w:pPr>
        <w:pStyle w:val="4"/>
        <w:numPr>
          <w:ilvl w:val="2"/>
          <w:numId w:val="1"/>
        </w:numPr>
        <w:rPr>
          <w:color w:val="auto"/>
        </w:rPr>
      </w:pPr>
      <w:bookmarkStart w:id="222" w:name="_Toc229086904"/>
      <w:bookmarkStart w:id="223" w:name="_Toc6373"/>
      <w:r>
        <w:rPr>
          <w:rFonts w:hint="eastAsia"/>
          <w:color w:val="auto"/>
        </w:rPr>
        <w:t>功能需求分析</w:t>
      </w:r>
      <w:bookmarkEnd w:id="222"/>
      <w:bookmarkEnd w:id="223"/>
    </w:p>
    <w:p w14:paraId="634BE250">
      <w:pPr>
        <w:numPr>
          <w:ilvl w:val="0"/>
          <w:numId w:val="15"/>
        </w:numPr>
        <w:ind w:firstLine="480"/>
        <w:rPr>
          <w:color w:val="auto"/>
        </w:rPr>
      </w:pPr>
      <w:r>
        <w:rPr>
          <w:rFonts w:hint="eastAsia"/>
          <w:color w:val="auto"/>
        </w:rPr>
        <w:t>用户模块</w:t>
      </w:r>
    </w:p>
    <w:p w14:paraId="71360C19">
      <w:pPr>
        <w:ind w:firstLine="480"/>
        <w:rPr>
          <w:color w:val="auto"/>
        </w:rPr>
      </w:pPr>
      <w:r>
        <w:rPr>
          <w:rFonts w:hint="eastAsia"/>
          <w:color w:val="auto"/>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w:t>
      </w:r>
      <w:r>
        <w:rPr>
          <w:rStyle w:val="33"/>
          <w:rFonts w:hint="eastAsia"/>
          <w:color w:val="auto"/>
        </w:rPr>
        <w:t>[63]</w:t>
      </w:r>
      <w:r>
        <w:rPr>
          <w:rFonts w:hint="eastAsia"/>
          <w:color w:val="auto"/>
        </w:rPr>
        <w:t>。后端根据Token解析用户身份，并将分类记录与用户账号关联，从而支持历史记录的用户级隔离。</w:t>
      </w:r>
    </w:p>
    <w:p w14:paraId="417B10A5">
      <w:pPr>
        <w:numPr>
          <w:ilvl w:val="0"/>
          <w:numId w:val="15"/>
        </w:numPr>
        <w:ind w:firstLine="480"/>
        <w:rPr>
          <w:color w:val="auto"/>
        </w:rPr>
      </w:pPr>
      <w:r>
        <w:rPr>
          <w:rFonts w:hint="eastAsia"/>
          <w:color w:val="auto"/>
        </w:rPr>
        <w:t>单条分类模块</w:t>
      </w:r>
    </w:p>
    <w:p w14:paraId="293A63A2">
      <w:pPr>
        <w:ind w:firstLine="480"/>
        <w:rPr>
          <w:color w:val="auto"/>
        </w:rPr>
      </w:pPr>
      <w:r>
        <w:rPr>
          <w:rFonts w:hint="eastAsia"/>
          <w:color w:val="auto"/>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400D0196">
      <w:pPr>
        <w:numPr>
          <w:ilvl w:val="0"/>
          <w:numId w:val="15"/>
        </w:numPr>
        <w:ind w:firstLine="480"/>
        <w:rPr>
          <w:color w:val="auto"/>
          <w:highlight w:val="yellow"/>
        </w:rPr>
      </w:pPr>
      <w:r>
        <w:rPr>
          <w:rFonts w:hint="eastAsia"/>
          <w:color w:val="auto"/>
          <w:highlight w:val="yellow"/>
        </w:rPr>
        <w:t>批量分类模块</w:t>
      </w:r>
    </w:p>
    <w:p w14:paraId="4E02B920">
      <w:pPr>
        <w:ind w:firstLine="480"/>
        <w:rPr>
          <w:color w:val="auto"/>
          <w:highlight w:val="yellow"/>
        </w:rPr>
      </w:pPr>
      <w:r>
        <w:rPr>
          <w:rFonts w:hint="eastAsia"/>
          <w:color w:val="auto"/>
          <w:highlight w:val="yellow"/>
        </w:rPr>
        <w:t>实际专利分类工作中，用户往往需要一次处理多条专利摘要。为减少重复输入操作，系统增加批量分类功能，支持用户上传Excel文件。文件上传后，系统先解析列名和前若干行数据供用户确认摘要所在列。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5984CE1A">
      <w:pPr>
        <w:numPr>
          <w:ilvl w:val="0"/>
          <w:numId w:val="15"/>
        </w:numPr>
        <w:ind w:firstLine="480"/>
        <w:rPr>
          <w:color w:val="auto"/>
          <w:highlight w:val="yellow"/>
        </w:rPr>
      </w:pPr>
      <w:r>
        <w:rPr>
          <w:rFonts w:hint="eastAsia"/>
          <w:color w:val="auto"/>
          <w:highlight w:val="yellow"/>
        </w:rPr>
        <w:t>分类历史记录模块</w:t>
      </w:r>
    </w:p>
    <w:p w14:paraId="56E38E3D">
      <w:pPr>
        <w:ind w:firstLine="480"/>
        <w:rPr>
          <w:color w:val="auto"/>
          <w:highlight w:val="yellow"/>
        </w:rPr>
      </w:pPr>
      <w:r>
        <w:rPr>
          <w:rFonts w:hint="eastAsia"/>
          <w:color w:val="auto"/>
          <w:highlight w:val="yellow"/>
        </w:rPr>
        <w:t>分类历史记录模块用于保存和查询用户历次分类结果，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p>
    <w:p w14:paraId="72D4AF58">
      <w:pPr>
        <w:numPr>
          <w:ilvl w:val="0"/>
          <w:numId w:val="15"/>
        </w:numPr>
        <w:ind w:firstLine="480"/>
        <w:rPr>
          <w:color w:val="auto"/>
          <w:highlight w:val="yellow"/>
        </w:rPr>
      </w:pPr>
      <w:r>
        <w:rPr>
          <w:rFonts w:hint="eastAsia"/>
          <w:color w:val="auto"/>
          <w:highlight w:val="yellow"/>
        </w:rPr>
        <w:t>结果导出模块</w:t>
      </w:r>
    </w:p>
    <w:p w14:paraId="6457C677">
      <w:pPr>
        <w:ind w:firstLine="480"/>
        <w:rPr>
          <w:color w:val="auto"/>
          <w:highlight w:val="yellow"/>
        </w:rPr>
      </w:pPr>
      <w:r>
        <w:rPr>
          <w:rFonts w:hint="eastAsia"/>
          <w:color w:val="auto"/>
          <w:highlight w:val="yellow"/>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1665BB0B">
      <w:pPr>
        <w:numPr>
          <w:ilvl w:val="0"/>
          <w:numId w:val="15"/>
        </w:numPr>
        <w:ind w:firstLine="480"/>
        <w:rPr>
          <w:color w:val="auto"/>
          <w:highlight w:val="yellow"/>
        </w:rPr>
      </w:pPr>
      <w:r>
        <w:rPr>
          <w:rFonts w:hint="eastAsia"/>
          <w:color w:val="auto"/>
          <w:highlight w:val="yellow"/>
        </w:rPr>
        <w:t>分类结果可视化模块</w:t>
      </w:r>
    </w:p>
    <w:p w14:paraId="57C5597B">
      <w:pPr>
        <w:ind w:firstLine="480"/>
        <w:rPr>
          <w:color w:val="auto"/>
        </w:rPr>
      </w:pPr>
      <w:r>
        <w:rPr>
          <w:rFonts w:hint="eastAsia"/>
          <w:color w:val="auto"/>
          <w:highlight w:val="yellow"/>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r>
        <w:rPr>
          <w:rFonts w:hint="eastAsia"/>
          <w:color w:val="auto"/>
        </w:rPr>
        <w:t>。</w:t>
      </w:r>
    </w:p>
    <w:p w14:paraId="49069E46">
      <w:pPr>
        <w:pStyle w:val="4"/>
        <w:numPr>
          <w:ilvl w:val="2"/>
          <w:numId w:val="1"/>
        </w:numPr>
        <w:rPr>
          <w:color w:val="auto"/>
          <w:highlight w:val="yellow"/>
        </w:rPr>
      </w:pPr>
      <w:bookmarkStart w:id="224" w:name="_Toc229086905"/>
      <w:bookmarkStart w:id="225" w:name="_Toc4703"/>
      <w:r>
        <w:rPr>
          <w:rFonts w:hint="eastAsia"/>
          <w:color w:val="auto"/>
          <w:highlight w:val="yellow"/>
        </w:rPr>
        <w:t>非功能性需求分析</w:t>
      </w:r>
      <w:bookmarkEnd w:id="224"/>
      <w:bookmarkEnd w:id="225"/>
    </w:p>
    <w:p w14:paraId="1DF2AE10">
      <w:pPr>
        <w:ind w:firstLine="420" w:firstLineChars="0"/>
        <w:rPr>
          <w:color w:val="auto"/>
          <w:highlight w:val="yellow"/>
        </w:rPr>
      </w:pPr>
      <w:r>
        <w:rPr>
          <w:rFonts w:hint="eastAsia"/>
          <w:color w:val="auto"/>
          <w:highlight w:val="yellow"/>
        </w:rPr>
        <w:t>非功能性需求用于约束系统运行质量，本文选取直接影响用户体验和结果可用性的核心指标进行说明，包括在线分类响应、批量处理、历史查询、结果导出、权限隔离和异常处理等内容，如表5-1所示。上述指标面向本课题原型系统和小规模业务验证场景，不作为高并发Web平台的吞吐能力要求。</w:t>
      </w:r>
    </w:p>
    <w:p w14:paraId="020C4BFF">
      <w:pPr>
        <w:pStyle w:val="25"/>
        <w:rPr>
          <w:rFonts w:hint="default"/>
          <w:color w:val="auto"/>
          <w:highlight w:val="yellow"/>
        </w:rPr>
      </w:pPr>
      <w:r>
        <w:rPr>
          <w:color w:val="auto"/>
          <w:highlight w:val="yellow"/>
        </w:rPr>
        <w:t>表5-1  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8"/>
        <w:gridCol w:w="6645"/>
      </w:tblGrid>
      <w:tr w14:paraId="3F3CE62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2CCC213F">
            <w:pPr>
              <w:pStyle w:val="26"/>
              <w:rPr>
                <w:rFonts w:hint="default"/>
                <w:color w:val="auto"/>
                <w:highlight w:val="yellow"/>
              </w:rPr>
            </w:pPr>
            <w:r>
              <w:rPr>
                <w:rFonts w:hint="default"/>
                <w:color w:val="auto"/>
                <w:highlight w:val="yellow"/>
              </w:rPr>
              <w:t>指标项</w:t>
            </w:r>
          </w:p>
        </w:tc>
        <w:tc>
          <w:tcPr>
            <w:tcW w:w="6645" w:type="dxa"/>
            <w:tcBorders>
              <w:bottom w:val="single" w:color="auto" w:sz="6" w:space="0"/>
              <w:tl2br w:val="nil"/>
              <w:tr2bl w:val="nil"/>
            </w:tcBorders>
            <w:shd w:val="clear" w:color="auto" w:fill="FFFFFF"/>
            <w:vAlign w:val="center"/>
          </w:tcPr>
          <w:p w14:paraId="2E243CCA">
            <w:pPr>
              <w:pStyle w:val="26"/>
              <w:rPr>
                <w:rFonts w:hint="default"/>
                <w:color w:val="auto"/>
                <w:highlight w:val="yellow"/>
              </w:rPr>
            </w:pPr>
            <w:r>
              <w:rPr>
                <w:rFonts w:hint="default"/>
                <w:color w:val="auto"/>
                <w:highlight w:val="yellow"/>
              </w:rPr>
              <w:t>具体要求</w:t>
            </w:r>
          </w:p>
        </w:tc>
      </w:tr>
      <w:tr w14:paraId="55D80D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tcPr>
          <w:p w14:paraId="1E55442D">
            <w:pPr>
              <w:pStyle w:val="26"/>
              <w:rPr>
                <w:rFonts w:hint="default"/>
                <w:color w:val="auto"/>
                <w:highlight w:val="yellow"/>
              </w:rPr>
            </w:pPr>
            <w:r>
              <w:rPr>
                <w:rFonts w:hint="default"/>
                <w:color w:val="auto"/>
                <w:highlight w:val="yellow"/>
              </w:rPr>
              <w:t>单条分类响应</w:t>
            </w:r>
          </w:p>
        </w:tc>
        <w:tc>
          <w:tcPr>
            <w:tcW w:w="6645" w:type="dxa"/>
            <w:tcBorders>
              <w:top w:val="single" w:color="auto" w:sz="6" w:space="0"/>
            </w:tcBorders>
            <w:shd w:val="clear" w:color="auto" w:fill="FFFFFF"/>
          </w:tcPr>
          <w:p w14:paraId="48253110">
            <w:pPr>
              <w:pStyle w:val="26"/>
              <w:rPr>
                <w:rFonts w:hint="default"/>
                <w:color w:val="auto"/>
                <w:highlight w:val="yellow"/>
              </w:rPr>
            </w:pPr>
            <w:r>
              <w:rPr>
                <w:rFonts w:hint="default"/>
                <w:color w:val="auto"/>
                <w:highlight w:val="yellow"/>
              </w:rPr>
              <w:t>模型预加载后，单条分类接口t95响应时间不超过3s</w:t>
            </w:r>
          </w:p>
        </w:tc>
      </w:tr>
      <w:tr w14:paraId="46FE464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tcPr>
          <w:p w14:paraId="5C9B1224">
            <w:pPr>
              <w:pStyle w:val="26"/>
              <w:rPr>
                <w:rFonts w:hint="default"/>
                <w:color w:val="auto"/>
                <w:highlight w:val="yellow"/>
              </w:rPr>
            </w:pPr>
            <w:r>
              <w:rPr>
                <w:rFonts w:hint="default"/>
                <w:color w:val="auto"/>
                <w:highlight w:val="yellow"/>
              </w:rPr>
              <w:t>批量分类能力</w:t>
            </w:r>
          </w:p>
        </w:tc>
        <w:tc>
          <w:tcPr>
            <w:tcW w:w="6645" w:type="dxa"/>
            <w:shd w:val="clear" w:color="auto" w:fill="FFFFFF"/>
          </w:tcPr>
          <w:p w14:paraId="4413CF23">
            <w:pPr>
              <w:pStyle w:val="26"/>
              <w:rPr>
                <w:rFonts w:hint="default"/>
                <w:color w:val="auto"/>
                <w:highlight w:val="yellow"/>
              </w:rPr>
            </w:pPr>
            <w:r>
              <w:rPr>
                <w:rFonts w:hint="default"/>
                <w:color w:val="auto"/>
                <w:highlight w:val="yellow"/>
              </w:rPr>
              <w:t>单次批量分类不超过50条，任务应在5min内完成</w:t>
            </w:r>
          </w:p>
        </w:tc>
      </w:tr>
      <w:tr w14:paraId="6B57B72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tcPr>
          <w:p w14:paraId="23DC2150">
            <w:pPr>
              <w:pStyle w:val="26"/>
              <w:rPr>
                <w:rFonts w:hint="default"/>
                <w:color w:val="auto"/>
                <w:highlight w:val="yellow"/>
              </w:rPr>
            </w:pPr>
            <w:r>
              <w:rPr>
                <w:rFonts w:hint="default"/>
                <w:color w:val="auto"/>
                <w:highlight w:val="yellow"/>
              </w:rPr>
              <w:t>历史查询与导出</w:t>
            </w:r>
          </w:p>
        </w:tc>
        <w:tc>
          <w:tcPr>
            <w:tcW w:w="6645" w:type="dxa"/>
            <w:shd w:val="clear" w:color="auto" w:fill="FFFFFF"/>
          </w:tcPr>
          <w:p w14:paraId="4EF6C105">
            <w:pPr>
              <w:pStyle w:val="26"/>
              <w:rPr>
                <w:rFonts w:hint="default"/>
                <w:color w:val="auto"/>
                <w:highlight w:val="yellow"/>
              </w:rPr>
            </w:pPr>
            <w:r>
              <w:rPr>
                <w:rFonts w:hint="default"/>
                <w:color w:val="auto"/>
                <w:highlight w:val="yellow"/>
              </w:rPr>
              <w:t>常规筛选查询t95响应时间不超过2s；单次导出不超过200条</w:t>
            </w:r>
          </w:p>
        </w:tc>
      </w:tr>
      <w:tr w14:paraId="79281E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tcPr>
          <w:p w14:paraId="1F1B3BCD">
            <w:pPr>
              <w:pStyle w:val="26"/>
              <w:rPr>
                <w:rFonts w:hint="default"/>
                <w:color w:val="auto"/>
                <w:highlight w:val="yellow"/>
              </w:rPr>
            </w:pPr>
            <w:r>
              <w:rPr>
                <w:rFonts w:hint="default"/>
                <w:color w:val="auto"/>
                <w:highlight w:val="yellow"/>
              </w:rPr>
              <w:t>用户数据隔离</w:t>
            </w:r>
          </w:p>
        </w:tc>
        <w:tc>
          <w:tcPr>
            <w:tcW w:w="6645" w:type="dxa"/>
            <w:shd w:val="clear" w:color="auto" w:fill="FFFFFF"/>
          </w:tcPr>
          <w:p w14:paraId="72D1E416">
            <w:pPr>
              <w:pStyle w:val="26"/>
              <w:rPr>
                <w:rFonts w:hint="default"/>
                <w:color w:val="auto"/>
                <w:highlight w:val="yellow"/>
              </w:rPr>
            </w:pPr>
            <w:r>
              <w:rPr>
                <w:rFonts w:hint="default"/>
                <w:color w:val="auto"/>
                <w:highlight w:val="yellow"/>
              </w:rPr>
              <w:t>历史记录、详情和导出接口均需校验Token，用户只能访问本人记录</w:t>
            </w:r>
          </w:p>
        </w:tc>
      </w:tr>
      <w:tr w14:paraId="154956F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tcPr>
          <w:p w14:paraId="131A5355">
            <w:pPr>
              <w:pStyle w:val="26"/>
              <w:rPr>
                <w:rFonts w:hint="default"/>
                <w:color w:val="auto"/>
                <w:highlight w:val="yellow"/>
              </w:rPr>
            </w:pPr>
            <w:r>
              <w:rPr>
                <w:rFonts w:hint="default"/>
                <w:color w:val="auto"/>
                <w:highlight w:val="yellow"/>
              </w:rPr>
              <w:t>异常处理</w:t>
            </w:r>
          </w:p>
        </w:tc>
        <w:tc>
          <w:tcPr>
            <w:tcW w:w="6645" w:type="dxa"/>
            <w:shd w:val="clear" w:color="auto" w:fill="FFFFFF"/>
          </w:tcPr>
          <w:p w14:paraId="73FB9328">
            <w:pPr>
              <w:pStyle w:val="26"/>
              <w:rPr>
                <w:rFonts w:hint="default"/>
                <w:color w:val="auto"/>
                <w:highlight w:val="yellow"/>
              </w:rPr>
            </w:pPr>
            <w:r>
              <w:rPr>
                <w:rFonts w:hint="default"/>
                <w:color w:val="auto"/>
                <w:highlight w:val="yellow"/>
              </w:rPr>
              <w:t>Python服务异常或任务失败时，系统应返回错误提示，批量任务不中断</w:t>
            </w:r>
          </w:p>
        </w:tc>
      </w:tr>
    </w:tbl>
    <w:p w14:paraId="399A6899">
      <w:pPr>
        <w:ind w:firstLine="480"/>
        <w:rPr>
          <w:color w:val="auto"/>
          <w:highlight w:val="yellow"/>
        </w:rPr>
      </w:pPr>
      <w:r>
        <w:rPr>
          <w:color w:val="auto"/>
          <w:highlight w:val="yellow"/>
        </w:rPr>
        <w:t>表5-1列出了系统非功能性需求。本文未单独设置高并发吞吐指标，而是围绕用户完成分类任务时直接感知到的环节进行约束；其中，t95表示95%请求的响应时间不超过给定阈值。</w:t>
      </w:r>
    </w:p>
    <w:p w14:paraId="73AB7CC3">
      <w:pPr>
        <w:pStyle w:val="3"/>
        <w:numPr>
          <w:ilvl w:val="1"/>
          <w:numId w:val="1"/>
        </w:numPr>
        <w:tabs>
          <w:tab w:val="clear" w:pos="420"/>
        </w:tabs>
        <w:rPr>
          <w:color w:val="auto"/>
        </w:rPr>
      </w:pPr>
      <w:bookmarkStart w:id="226" w:name="_Toc229086906"/>
      <w:bookmarkStart w:id="227" w:name="_Toc30896"/>
      <w:bookmarkStart w:id="228" w:name="_Toc216114525"/>
      <w:r>
        <w:rPr>
          <w:rFonts w:hint="eastAsia"/>
          <w:color w:val="auto"/>
        </w:rPr>
        <w:t>系统设计</w:t>
      </w:r>
      <w:bookmarkEnd w:id="226"/>
      <w:bookmarkEnd w:id="227"/>
      <w:bookmarkEnd w:id="228"/>
    </w:p>
    <w:p w14:paraId="14DE341C">
      <w:pPr>
        <w:pStyle w:val="4"/>
        <w:numPr>
          <w:ilvl w:val="2"/>
          <w:numId w:val="1"/>
        </w:numPr>
        <w:rPr>
          <w:color w:val="auto"/>
        </w:rPr>
      </w:pPr>
      <w:bookmarkStart w:id="229" w:name="_Toc22512"/>
      <w:bookmarkStart w:id="230" w:name="_Toc229086907"/>
      <w:r>
        <w:rPr>
          <w:rFonts w:hint="eastAsia"/>
          <w:color w:val="auto"/>
        </w:rPr>
        <w:t>系统架构设计</w:t>
      </w:r>
      <w:bookmarkEnd w:id="229"/>
      <w:bookmarkEnd w:id="230"/>
    </w:p>
    <w:p w14:paraId="2B81E5F9">
      <w:pPr>
        <w:ind w:firstLine="480"/>
        <w:rPr>
          <w:color w:val="auto"/>
        </w:rPr>
      </w:pPr>
      <w:r>
        <w:rPr>
          <w:rFonts w:hint="eastAsia"/>
          <w:color w:val="auto"/>
        </w:rPr>
        <w:t>本系统采用前后端分离B/S框架，以便表现层与逻辑层分离，有利于系统开发、维护及发布等。由于深度学习推理任务对计算能力以及运行平台有较高要求</w:t>
      </w:r>
      <w:r>
        <w:rPr>
          <w:rStyle w:val="33"/>
          <w:color w:val="auto"/>
        </w:rPr>
        <w:fldChar w:fldCharType="begin"/>
      </w:r>
      <w:r>
        <w:rPr>
          <w:rStyle w:val="33"/>
          <w:color w:val="auto"/>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3"/>
          <w:color w:val="auto"/>
        </w:rPr>
        <w:fldChar w:fldCharType="separate"/>
      </w:r>
      <w:r>
        <w:rPr>
          <w:rStyle w:val="33"/>
          <w:color w:val="auto"/>
        </w:rPr>
        <w:t>[67]</w:t>
      </w:r>
      <w:r>
        <w:rPr>
          <w:rStyle w:val="33"/>
          <w:color w:val="auto"/>
        </w:rPr>
        <w:fldChar w:fldCharType="end"/>
      </w:r>
      <w:r>
        <w:rPr>
          <w:rFonts w:hint="eastAsia"/>
          <w:color w:val="auto"/>
        </w:rPr>
        <w:t>，若直接嵌入Java后端，会增加依赖管理和部署维护的复杂度。</w:t>
      </w:r>
    </w:p>
    <w:p w14:paraId="31604618">
      <w:pPr>
        <w:ind w:firstLine="480"/>
        <w:rPr>
          <w:color w:val="auto"/>
        </w:rPr>
      </w:pPr>
      <w:r>
        <w:rPr>
          <w:rFonts w:hint="eastAsia"/>
          <w:color w:val="auto"/>
        </w:rPr>
        <w:t>本文据此将系统划分为表现层、服务层、模型层和数据层四个部分，其中模型层与数据层位于后端支撑侧，共同服务于上层业务流程。系统整体结构如图5-1所示。</w:t>
      </w:r>
    </w:p>
    <w:p w14:paraId="3D9E1F0D">
      <w:pPr>
        <w:numPr>
          <w:ilvl w:val="0"/>
          <w:numId w:val="16"/>
        </w:numPr>
        <w:ind w:firstLine="480"/>
        <w:rPr>
          <w:color w:val="auto"/>
        </w:rPr>
      </w:pPr>
      <w:r>
        <w:rPr>
          <w:rFonts w:hint="eastAsia"/>
          <w:color w:val="auto"/>
        </w:rPr>
        <w:t>表现层</w:t>
      </w:r>
    </w:p>
    <w:p w14:paraId="7619FDCD">
      <w:pPr>
        <w:ind w:firstLine="420" w:firstLineChars="0"/>
        <w:rPr>
          <w:color w:val="auto"/>
        </w:rPr>
      </w:pPr>
      <w:r>
        <w:rPr>
          <w:rFonts w:hint="eastAsia"/>
          <w:color w:val="auto"/>
        </w:rPr>
        <w:t>以Vue.js为基础开发单页应用</w:t>
      </w:r>
      <w:r>
        <w:rPr>
          <w:rStyle w:val="33"/>
          <w:rFonts w:hint="eastAsia"/>
          <w:color w:val="auto"/>
        </w:rPr>
        <w:t>[55]</w:t>
      </w:r>
      <w:r>
        <w:rPr>
          <w:rFonts w:hint="eastAsia"/>
          <w:color w:val="auto"/>
        </w:rPr>
        <w:t>，主要用于系统的页面显示以及用户的交互操作，在此部分使用Axios与后端服务器进行异步的数据请求，完成专利文本上传以及分类的结果获取，同时也利用ElementUI对页面的展示方式以及样式进行了统一</w:t>
      </w:r>
      <w:r>
        <w:rPr>
          <w:rStyle w:val="33"/>
          <w:rFonts w:hint="eastAsia"/>
          <w:color w:val="auto"/>
        </w:rPr>
        <w:t>[56]</w:t>
      </w:r>
      <w:r>
        <w:rPr>
          <w:rFonts w:hint="eastAsia"/>
          <w:color w:val="auto"/>
        </w:rPr>
        <w:t>。</w:t>
      </w:r>
    </w:p>
    <w:p w14:paraId="273B33B7">
      <w:pPr>
        <w:ind w:firstLine="0" w:firstLineChars="0"/>
        <w:rPr>
          <w:color w:val="auto"/>
        </w:rPr>
      </w:pPr>
    </w:p>
    <w:p w14:paraId="253BB0D9">
      <w:pPr>
        <w:ind w:firstLine="0" w:firstLineChars="0"/>
        <w:jc w:val="center"/>
        <w:rPr>
          <w:color w:val="auto"/>
        </w:rPr>
      </w:pPr>
      <w:r>
        <w:rPr>
          <w:rFonts w:hint="eastAsia"/>
          <w:color w:val="auto"/>
        </w:rPr>
        <w:drawing>
          <wp:inline distT="0" distB="0" distL="114300" distR="114300">
            <wp:extent cx="3792220" cy="3213735"/>
            <wp:effectExtent l="0" t="0" r="7620" b="3175"/>
            <wp:docPr id="13" name="图片 13"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h5-system-architecture"/>
                    <pic:cNvPicPr>
                      <a:picLocks noChangeAspect="1"/>
                    </pic:cNvPicPr>
                  </pic:nvPicPr>
                  <pic:blipFill>
                    <a:blip r:embed="rId48"/>
                    <a:stretch>
                      <a:fillRect/>
                    </a:stretch>
                  </pic:blipFill>
                  <pic:spPr>
                    <a:xfrm>
                      <a:off x="0" y="0"/>
                      <a:ext cx="3792220" cy="3213735"/>
                    </a:xfrm>
                    <a:prstGeom prst="rect">
                      <a:avLst/>
                    </a:prstGeom>
                  </pic:spPr>
                </pic:pic>
              </a:graphicData>
            </a:graphic>
          </wp:inline>
        </w:drawing>
      </w:r>
    </w:p>
    <w:p w14:paraId="7DFC459A">
      <w:pPr>
        <w:pStyle w:val="25"/>
        <w:rPr>
          <w:rFonts w:hint="default"/>
          <w:color w:val="auto"/>
        </w:rPr>
      </w:pPr>
      <w:r>
        <w:rPr>
          <w:color w:val="auto"/>
        </w:rPr>
        <w:t>图5-1  系统架构图</w:t>
      </w:r>
    </w:p>
    <w:p w14:paraId="42461C4C">
      <w:pPr>
        <w:numPr>
          <w:ilvl w:val="0"/>
          <w:numId w:val="16"/>
        </w:numPr>
        <w:ind w:firstLine="480"/>
        <w:rPr>
          <w:color w:val="auto"/>
        </w:rPr>
      </w:pPr>
      <w:r>
        <w:rPr>
          <w:rFonts w:hint="eastAsia"/>
          <w:color w:val="auto"/>
        </w:rPr>
        <w:t>业务逻辑层</w:t>
      </w:r>
    </w:p>
    <w:p w14:paraId="16B85B5D">
      <w:pPr>
        <w:ind w:firstLine="480"/>
        <w:rPr>
          <w:color w:val="auto"/>
        </w:rPr>
      </w:pPr>
      <w:r>
        <w:rPr>
          <w:rFonts w:hint="eastAsia"/>
          <w:color w:val="auto"/>
        </w:rPr>
        <w:t>业务逻辑层包括Java服务以及Python推理服务，采用异构方式实现业务控制与算法计算分离。基于Java Spring Boot开发的服务是整个系统的中枢</w:t>
      </w:r>
      <w:r>
        <w:rPr>
          <w:rStyle w:val="33"/>
          <w:rFonts w:hint="eastAsia"/>
          <w:color w:val="auto"/>
        </w:rPr>
        <w:t>[58]</w:t>
      </w:r>
      <w:r>
        <w:rPr>
          <w:rFonts w:hint="eastAsia"/>
          <w:color w:val="auto"/>
        </w:rPr>
        <w:t>，连接展示层和数据持久化层。而基于Python Flask开发的小型推理服务只进行与模型相关的运算操作</w:t>
      </w:r>
      <w:r>
        <w:rPr>
          <w:rStyle w:val="33"/>
          <w:rFonts w:hint="eastAsia"/>
          <w:color w:val="auto"/>
        </w:rPr>
        <w:t>[59]</w:t>
      </w:r>
      <w:r>
        <w:rPr>
          <w:rFonts w:hint="eastAsia"/>
          <w:color w:val="auto"/>
        </w:rPr>
        <w:t>，该服务集成PyTorch深度学习库，用于加载已经训练好的BERT-TextCNN模型并对外暴露稳定高效在线推理API供外部使用来对专利文本进行分类预测。</w:t>
      </w:r>
    </w:p>
    <w:p w14:paraId="3995CAC3">
      <w:pPr>
        <w:numPr>
          <w:ilvl w:val="0"/>
          <w:numId w:val="16"/>
        </w:numPr>
        <w:ind w:firstLine="480"/>
        <w:rPr>
          <w:color w:val="auto"/>
        </w:rPr>
      </w:pPr>
      <w:r>
        <w:rPr>
          <w:rFonts w:hint="eastAsia"/>
          <w:color w:val="auto"/>
        </w:rPr>
        <w:t>数据与模型层</w:t>
      </w:r>
    </w:p>
    <w:p w14:paraId="42907BB9">
      <w:pPr>
        <w:ind w:firstLine="480"/>
        <w:rPr>
          <w:color w:val="auto"/>
        </w:rPr>
      </w:pPr>
      <w:r>
        <w:rPr>
          <w:rFonts w:hint="eastAsia"/>
          <w:color w:val="auto"/>
        </w:rPr>
        <w:t>数据与模型层包括MySQL数据库和本地模型文件</w:t>
      </w:r>
      <w:r>
        <w:rPr>
          <w:rStyle w:val="33"/>
          <w:rFonts w:hint="eastAsia"/>
          <w:color w:val="auto"/>
        </w:rPr>
        <w:t>[60]</w:t>
      </w:r>
      <w:r>
        <w:rPr>
          <w:rFonts w:hint="eastAsia"/>
          <w:color w:val="auto"/>
        </w:rPr>
        <w:t>。MySQL保存用户信息和分类记录；模型文件包括训练完成的BERT-TextCNN权重、配置文件和预训练语言模型相关资源。Python服务启动后加载模型文件，并在后续请求中复用已加载模型。</w:t>
      </w:r>
    </w:p>
    <w:p w14:paraId="3BE73CBA">
      <w:pPr>
        <w:pStyle w:val="4"/>
        <w:numPr>
          <w:ilvl w:val="2"/>
          <w:numId w:val="1"/>
        </w:numPr>
        <w:rPr>
          <w:color w:val="auto"/>
        </w:rPr>
      </w:pPr>
      <w:bookmarkStart w:id="231" w:name="_Toc9294"/>
      <w:bookmarkStart w:id="232" w:name="_Toc229086908"/>
      <w:r>
        <w:rPr>
          <w:rFonts w:hint="eastAsia"/>
          <w:color w:val="auto"/>
        </w:rPr>
        <w:t>数据库设计</w:t>
      </w:r>
      <w:bookmarkEnd w:id="231"/>
      <w:bookmarkEnd w:id="232"/>
    </w:p>
    <w:p w14:paraId="31118137">
      <w:pPr>
        <w:ind w:firstLine="480"/>
        <w:rPr>
          <w:color w:val="auto"/>
          <w:highlight w:val="yellow"/>
        </w:rPr>
      </w:pPr>
      <w:r>
        <w:rPr>
          <w:rFonts w:hint="eastAsia"/>
          <w:color w:val="auto"/>
          <w:highlight w:val="yellow"/>
        </w:rPr>
        <w:t>系统数据库设计符合第三范式3NF，系统数据库用于保存用户认证信息和分类记录信息，主要包含user用户表和classification_record分类记录表。一个用户可以对应多条分类记录，两张表之间通过用户ID建立关联。数据库ER图如图5-2所示</w:t>
      </w:r>
      <w:r>
        <w:rPr>
          <w:color w:val="auto"/>
          <w:highlight w:val="yellow"/>
        </w:rPr>
        <w:t>。</w:t>
      </w:r>
    </w:p>
    <w:p w14:paraId="0796E610">
      <w:pPr>
        <w:ind w:firstLine="0" w:firstLineChars="0"/>
        <w:rPr>
          <w:color w:val="auto"/>
          <w:highlight w:val="yellow"/>
        </w:rPr>
      </w:pPr>
      <w:r>
        <w:rPr>
          <w:rFonts w:hint="eastAsia"/>
          <w:color w:val="auto"/>
          <w:highlight w:val="yellow"/>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4304A770">
      <w:pPr>
        <w:pStyle w:val="25"/>
        <w:rPr>
          <w:rFonts w:hint="default"/>
          <w:color w:val="auto"/>
          <w:highlight w:val="yellow"/>
        </w:rPr>
      </w:pPr>
      <w:r>
        <w:rPr>
          <w:color w:val="auto"/>
          <w:highlight w:val="yellow"/>
        </w:rPr>
        <w:t>图5-2  数据库ER图</w:t>
      </w:r>
    </w:p>
    <w:p w14:paraId="2498534C">
      <w:pPr>
        <w:ind w:firstLine="480"/>
        <w:rPr>
          <w:color w:val="auto"/>
          <w:highlight w:val="yellow"/>
        </w:rPr>
      </w:pPr>
      <w:r>
        <w:rPr>
          <w:rFonts w:hint="eastAsia"/>
          <w:color w:val="auto"/>
          <w:highlight w:val="yellow"/>
        </w:rPr>
        <w:t>user表用于保存用户账号、密码、密保问题和密保答案等信息，其字段设计如表5-2所示。</w:t>
      </w:r>
    </w:p>
    <w:p w14:paraId="02C05BC3">
      <w:pPr>
        <w:pStyle w:val="25"/>
        <w:rPr>
          <w:rFonts w:hint="default"/>
          <w:color w:val="auto"/>
          <w:highlight w:val="yellow"/>
        </w:rPr>
      </w:pPr>
      <w:r>
        <w:rPr>
          <w:color w:val="auto"/>
          <w:highlight w:val="yellow"/>
        </w:rPr>
        <w:t>表5-2  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1C821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8" w:space="0"/>
              <w:left w:val="nil"/>
              <w:bottom w:val="single" w:color="auto" w:sz="6" w:space="0"/>
              <w:right w:val="nil"/>
            </w:tcBorders>
            <w:vAlign w:val="bottom"/>
          </w:tcPr>
          <w:p w14:paraId="288CF074">
            <w:pPr>
              <w:pStyle w:val="26"/>
              <w:rPr>
                <w:rFonts w:hint="default"/>
                <w:color w:val="auto"/>
                <w:highlight w:val="yellow"/>
              </w:rPr>
            </w:pPr>
            <w:r>
              <w:rPr>
                <w:rFonts w:hint="default"/>
                <w:color w:val="auto"/>
                <w:highlight w:val="yellow"/>
              </w:rPr>
              <w:t>字段名称</w:t>
            </w:r>
          </w:p>
        </w:tc>
        <w:tc>
          <w:tcPr>
            <w:tcW w:w="780" w:type="pct"/>
            <w:tcBorders>
              <w:top w:val="single" w:color="auto" w:sz="8" w:space="0"/>
              <w:left w:val="nil"/>
              <w:bottom w:val="single" w:color="auto" w:sz="6" w:space="0"/>
              <w:right w:val="nil"/>
            </w:tcBorders>
            <w:vAlign w:val="bottom"/>
          </w:tcPr>
          <w:p w14:paraId="41F156DA">
            <w:pPr>
              <w:pStyle w:val="26"/>
              <w:rPr>
                <w:rFonts w:hint="default"/>
                <w:color w:val="auto"/>
                <w:highlight w:val="yellow"/>
              </w:rPr>
            </w:pPr>
            <w:r>
              <w:rPr>
                <w:rFonts w:hint="default"/>
                <w:color w:val="auto"/>
                <w:highlight w:val="yellow"/>
              </w:rPr>
              <w:t>数据类型</w:t>
            </w:r>
          </w:p>
        </w:tc>
        <w:tc>
          <w:tcPr>
            <w:tcW w:w="2012" w:type="pct"/>
            <w:tcBorders>
              <w:top w:val="single" w:color="auto" w:sz="8" w:space="0"/>
              <w:left w:val="nil"/>
              <w:bottom w:val="single" w:color="auto" w:sz="6" w:space="0"/>
              <w:right w:val="nil"/>
            </w:tcBorders>
            <w:vAlign w:val="bottom"/>
          </w:tcPr>
          <w:p w14:paraId="629DC954">
            <w:pPr>
              <w:pStyle w:val="26"/>
              <w:rPr>
                <w:rFonts w:hint="default"/>
                <w:color w:val="auto"/>
                <w:highlight w:val="yellow"/>
              </w:rPr>
            </w:pPr>
            <w:r>
              <w:rPr>
                <w:rFonts w:hint="default"/>
                <w:color w:val="auto"/>
                <w:highlight w:val="yellow"/>
              </w:rPr>
              <w:t>约束条件</w:t>
            </w:r>
          </w:p>
        </w:tc>
        <w:tc>
          <w:tcPr>
            <w:tcW w:w="1422" w:type="pct"/>
            <w:tcBorders>
              <w:top w:val="single" w:color="auto" w:sz="8" w:space="0"/>
              <w:left w:val="nil"/>
              <w:bottom w:val="single" w:color="auto" w:sz="6" w:space="0"/>
              <w:right w:val="nil"/>
            </w:tcBorders>
            <w:vAlign w:val="bottom"/>
          </w:tcPr>
          <w:p w14:paraId="5A417714">
            <w:pPr>
              <w:pStyle w:val="26"/>
              <w:rPr>
                <w:rFonts w:hint="default"/>
                <w:color w:val="auto"/>
                <w:highlight w:val="yellow"/>
              </w:rPr>
            </w:pPr>
            <w:r>
              <w:rPr>
                <w:rFonts w:hint="default"/>
                <w:color w:val="auto"/>
                <w:highlight w:val="yellow"/>
              </w:rPr>
              <w:t>字段说明</w:t>
            </w:r>
          </w:p>
        </w:tc>
      </w:tr>
      <w:tr w14:paraId="36B5B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451663CF">
            <w:pPr>
              <w:pStyle w:val="26"/>
              <w:rPr>
                <w:rFonts w:hint="default"/>
                <w:color w:val="auto"/>
                <w:highlight w:val="yellow"/>
              </w:rPr>
            </w:pPr>
            <w:r>
              <w:rPr>
                <w:rFonts w:hint="default"/>
                <w:color w:val="auto"/>
                <w:highlight w:val="yellow"/>
              </w:rPr>
              <w:t>id</w:t>
            </w:r>
          </w:p>
        </w:tc>
        <w:tc>
          <w:tcPr>
            <w:tcW w:w="780" w:type="pct"/>
            <w:tcBorders>
              <w:top w:val="single" w:color="auto" w:sz="6" w:space="0"/>
              <w:left w:val="nil"/>
              <w:bottom w:val="nil"/>
              <w:right w:val="nil"/>
            </w:tcBorders>
            <w:vAlign w:val="bottom"/>
          </w:tcPr>
          <w:p w14:paraId="06FFD30B">
            <w:pPr>
              <w:pStyle w:val="26"/>
              <w:rPr>
                <w:rFonts w:hint="default"/>
                <w:color w:val="auto"/>
                <w:highlight w:val="yellow"/>
              </w:rPr>
            </w:pPr>
            <w:r>
              <w:rPr>
                <w:color w:val="auto"/>
                <w:highlight w:val="yellow"/>
              </w:rPr>
              <w:t>INT</w:t>
            </w:r>
          </w:p>
        </w:tc>
        <w:tc>
          <w:tcPr>
            <w:tcW w:w="2012" w:type="pct"/>
            <w:tcBorders>
              <w:top w:val="single" w:color="auto" w:sz="6" w:space="0"/>
              <w:left w:val="nil"/>
              <w:bottom w:val="nil"/>
              <w:right w:val="nil"/>
            </w:tcBorders>
            <w:vAlign w:val="bottom"/>
          </w:tcPr>
          <w:p w14:paraId="1F50147B">
            <w:pPr>
              <w:pStyle w:val="26"/>
              <w:rPr>
                <w:rFonts w:hint="default"/>
                <w:color w:val="auto"/>
                <w:highlight w:val="yellow"/>
              </w:rPr>
            </w:pPr>
            <w:r>
              <w:rPr>
                <w:rFonts w:hint="default"/>
                <w:color w:val="auto"/>
                <w:highlight w:val="yellow"/>
              </w:rPr>
              <w:t>PrimaryKey,AutoIncrement</w:t>
            </w:r>
          </w:p>
        </w:tc>
        <w:tc>
          <w:tcPr>
            <w:tcW w:w="1422" w:type="pct"/>
            <w:tcBorders>
              <w:top w:val="single" w:color="auto" w:sz="6" w:space="0"/>
              <w:left w:val="nil"/>
              <w:bottom w:val="nil"/>
              <w:right w:val="nil"/>
            </w:tcBorders>
            <w:vAlign w:val="bottom"/>
          </w:tcPr>
          <w:p w14:paraId="5E2E7119">
            <w:pPr>
              <w:pStyle w:val="26"/>
              <w:rPr>
                <w:rFonts w:hint="default"/>
                <w:color w:val="auto"/>
                <w:highlight w:val="yellow"/>
              </w:rPr>
            </w:pPr>
            <w:r>
              <w:rPr>
                <w:rFonts w:hint="default"/>
                <w:color w:val="auto"/>
                <w:highlight w:val="yellow"/>
              </w:rPr>
              <w:t>用户唯一标识ID</w:t>
            </w:r>
          </w:p>
        </w:tc>
      </w:tr>
      <w:tr w14:paraId="5F0E9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736E6C19">
            <w:pPr>
              <w:pStyle w:val="26"/>
              <w:rPr>
                <w:rFonts w:hint="default"/>
                <w:color w:val="auto"/>
                <w:highlight w:val="yellow"/>
              </w:rPr>
            </w:pPr>
            <w:r>
              <w:rPr>
                <w:rFonts w:hint="default"/>
                <w:color w:val="auto"/>
                <w:highlight w:val="yellow"/>
              </w:rPr>
              <w:t>username</w:t>
            </w:r>
          </w:p>
        </w:tc>
        <w:tc>
          <w:tcPr>
            <w:tcW w:w="780" w:type="pct"/>
            <w:tcBorders>
              <w:top w:val="nil"/>
              <w:left w:val="nil"/>
              <w:bottom w:val="nil"/>
              <w:right w:val="nil"/>
            </w:tcBorders>
            <w:vAlign w:val="bottom"/>
          </w:tcPr>
          <w:p w14:paraId="6E360001">
            <w:pPr>
              <w:pStyle w:val="26"/>
              <w:rPr>
                <w:rFonts w:hint="default"/>
                <w:color w:val="auto"/>
                <w:highlight w:val="yellow"/>
              </w:rPr>
            </w:pPr>
            <w:r>
              <w:rPr>
                <w:rFonts w:hint="default"/>
                <w:color w:val="auto"/>
                <w:highlight w:val="yellow"/>
              </w:rPr>
              <w:t>VARCHAR(50)</w:t>
            </w:r>
          </w:p>
        </w:tc>
        <w:tc>
          <w:tcPr>
            <w:tcW w:w="2012" w:type="pct"/>
            <w:tcBorders>
              <w:top w:val="nil"/>
              <w:left w:val="nil"/>
              <w:bottom w:val="nil"/>
              <w:right w:val="nil"/>
            </w:tcBorders>
            <w:vAlign w:val="bottom"/>
          </w:tcPr>
          <w:p w14:paraId="28AB0932">
            <w:pPr>
              <w:pStyle w:val="26"/>
              <w:rPr>
                <w:rFonts w:hint="default"/>
                <w:color w:val="auto"/>
                <w:highlight w:val="yellow"/>
              </w:rPr>
            </w:pPr>
            <w:r>
              <w:rPr>
                <w:rFonts w:hint="default"/>
                <w:color w:val="auto"/>
                <w:highlight w:val="yellow"/>
              </w:rPr>
              <w:t>Unique,NotNull</w:t>
            </w:r>
          </w:p>
        </w:tc>
        <w:tc>
          <w:tcPr>
            <w:tcW w:w="1422" w:type="pct"/>
            <w:tcBorders>
              <w:top w:val="nil"/>
              <w:left w:val="nil"/>
              <w:bottom w:val="nil"/>
              <w:right w:val="nil"/>
            </w:tcBorders>
            <w:vAlign w:val="bottom"/>
          </w:tcPr>
          <w:p w14:paraId="448C8D1E">
            <w:pPr>
              <w:pStyle w:val="26"/>
              <w:rPr>
                <w:rFonts w:hint="default"/>
                <w:color w:val="auto"/>
                <w:highlight w:val="yellow"/>
              </w:rPr>
            </w:pPr>
            <w:r>
              <w:rPr>
                <w:rFonts w:hint="default"/>
                <w:color w:val="auto"/>
                <w:highlight w:val="yellow"/>
              </w:rPr>
              <w:t>登录用户名</w:t>
            </w:r>
          </w:p>
        </w:tc>
      </w:tr>
      <w:tr w14:paraId="0D750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4E94DED6">
            <w:pPr>
              <w:pStyle w:val="26"/>
              <w:rPr>
                <w:rFonts w:hint="default"/>
                <w:color w:val="auto"/>
                <w:highlight w:val="yellow"/>
              </w:rPr>
            </w:pPr>
            <w:r>
              <w:rPr>
                <w:rFonts w:hint="default"/>
                <w:color w:val="auto"/>
                <w:highlight w:val="yellow"/>
              </w:rPr>
              <w:t>password</w:t>
            </w:r>
          </w:p>
        </w:tc>
        <w:tc>
          <w:tcPr>
            <w:tcW w:w="780" w:type="pct"/>
            <w:tcBorders>
              <w:top w:val="nil"/>
              <w:left w:val="nil"/>
              <w:bottom w:val="nil"/>
              <w:right w:val="nil"/>
            </w:tcBorders>
            <w:vAlign w:val="bottom"/>
          </w:tcPr>
          <w:p w14:paraId="4035A9A2">
            <w:pPr>
              <w:pStyle w:val="26"/>
              <w:rPr>
                <w:rFonts w:hint="default"/>
                <w:color w:val="auto"/>
                <w:highlight w:val="yellow"/>
              </w:rPr>
            </w:pPr>
            <w:r>
              <w:rPr>
                <w:rFonts w:hint="default"/>
                <w:color w:val="auto"/>
                <w:highlight w:val="yellow"/>
              </w:rPr>
              <w:t>VARCHAR(</w:t>
            </w:r>
            <w:r>
              <w:rPr>
                <w:color w:val="auto"/>
                <w:highlight w:val="yellow"/>
              </w:rPr>
              <w:t>100</w:t>
            </w:r>
            <w:r>
              <w:rPr>
                <w:rFonts w:hint="default"/>
                <w:color w:val="auto"/>
                <w:highlight w:val="yellow"/>
              </w:rPr>
              <w:t>)</w:t>
            </w:r>
          </w:p>
        </w:tc>
        <w:tc>
          <w:tcPr>
            <w:tcW w:w="2012" w:type="pct"/>
            <w:tcBorders>
              <w:top w:val="nil"/>
              <w:left w:val="nil"/>
              <w:bottom w:val="nil"/>
              <w:right w:val="nil"/>
            </w:tcBorders>
            <w:vAlign w:val="bottom"/>
          </w:tcPr>
          <w:p w14:paraId="65B98949">
            <w:pPr>
              <w:pStyle w:val="26"/>
              <w:rPr>
                <w:rFonts w:hint="default"/>
                <w:color w:val="auto"/>
                <w:highlight w:val="yellow"/>
              </w:rPr>
            </w:pPr>
            <w:r>
              <w:rPr>
                <w:rFonts w:hint="default"/>
                <w:color w:val="auto"/>
                <w:highlight w:val="yellow"/>
              </w:rPr>
              <w:t>NotNull</w:t>
            </w:r>
          </w:p>
        </w:tc>
        <w:tc>
          <w:tcPr>
            <w:tcW w:w="1422" w:type="pct"/>
            <w:tcBorders>
              <w:top w:val="nil"/>
              <w:left w:val="nil"/>
              <w:bottom w:val="nil"/>
              <w:right w:val="nil"/>
            </w:tcBorders>
            <w:vAlign w:val="bottom"/>
          </w:tcPr>
          <w:p w14:paraId="19D4A2C5">
            <w:pPr>
              <w:pStyle w:val="26"/>
              <w:rPr>
                <w:rFonts w:hint="default"/>
                <w:color w:val="auto"/>
                <w:highlight w:val="yellow"/>
              </w:rPr>
            </w:pPr>
            <w:r>
              <w:rPr>
                <w:rFonts w:hint="default"/>
                <w:color w:val="auto"/>
                <w:highlight w:val="yellow"/>
              </w:rPr>
              <w:t>加密存储的登录密码</w:t>
            </w:r>
          </w:p>
        </w:tc>
      </w:tr>
      <w:tr w14:paraId="36DA3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E7129CA">
            <w:pPr>
              <w:pStyle w:val="26"/>
              <w:rPr>
                <w:rFonts w:hint="default"/>
                <w:color w:val="auto"/>
                <w:highlight w:val="yellow"/>
              </w:rPr>
            </w:pPr>
            <w:r>
              <w:rPr>
                <w:rFonts w:hint="default"/>
                <w:color w:val="auto"/>
                <w:highlight w:val="yellow"/>
              </w:rPr>
              <w:t>question</w:t>
            </w:r>
          </w:p>
        </w:tc>
        <w:tc>
          <w:tcPr>
            <w:tcW w:w="780" w:type="pct"/>
            <w:tcBorders>
              <w:top w:val="nil"/>
              <w:left w:val="nil"/>
              <w:bottom w:val="nil"/>
              <w:right w:val="nil"/>
            </w:tcBorders>
            <w:vAlign w:val="bottom"/>
          </w:tcPr>
          <w:p w14:paraId="365D0CEA">
            <w:pPr>
              <w:pStyle w:val="26"/>
              <w:rPr>
                <w:rFonts w:hint="default"/>
                <w:color w:val="auto"/>
                <w:highlight w:val="yellow"/>
              </w:rPr>
            </w:pPr>
            <w:r>
              <w:rPr>
                <w:rFonts w:hint="default"/>
                <w:color w:val="auto"/>
                <w:highlight w:val="yellow"/>
              </w:rPr>
              <w:t>VARCHAR(</w:t>
            </w:r>
            <w:r>
              <w:rPr>
                <w:color w:val="auto"/>
                <w:highlight w:val="yellow"/>
              </w:rPr>
              <w:t>20</w:t>
            </w:r>
            <w:r>
              <w:rPr>
                <w:rFonts w:hint="default"/>
                <w:color w:val="auto"/>
                <w:highlight w:val="yellow"/>
              </w:rPr>
              <w:t>0)</w:t>
            </w:r>
          </w:p>
        </w:tc>
        <w:tc>
          <w:tcPr>
            <w:tcW w:w="2012" w:type="pct"/>
            <w:tcBorders>
              <w:top w:val="nil"/>
              <w:left w:val="nil"/>
              <w:bottom w:val="nil"/>
              <w:right w:val="nil"/>
            </w:tcBorders>
            <w:vAlign w:val="bottom"/>
          </w:tcPr>
          <w:p w14:paraId="2AC54161">
            <w:pPr>
              <w:pStyle w:val="26"/>
              <w:rPr>
                <w:rFonts w:hint="default"/>
                <w:color w:val="auto"/>
                <w:highlight w:val="yellow"/>
              </w:rPr>
            </w:pPr>
            <w:r>
              <w:rPr>
                <w:rFonts w:hint="default"/>
                <w:color w:val="auto"/>
                <w:highlight w:val="yellow"/>
              </w:rPr>
              <w:t>NotNull</w:t>
            </w:r>
          </w:p>
        </w:tc>
        <w:tc>
          <w:tcPr>
            <w:tcW w:w="1422" w:type="pct"/>
            <w:tcBorders>
              <w:top w:val="nil"/>
              <w:left w:val="nil"/>
              <w:bottom w:val="nil"/>
              <w:right w:val="nil"/>
            </w:tcBorders>
            <w:vAlign w:val="bottom"/>
          </w:tcPr>
          <w:p w14:paraId="6C69EDF1">
            <w:pPr>
              <w:pStyle w:val="26"/>
              <w:rPr>
                <w:rFonts w:hint="default"/>
                <w:color w:val="auto"/>
                <w:highlight w:val="yellow"/>
              </w:rPr>
            </w:pPr>
            <w:r>
              <w:rPr>
                <w:rFonts w:hint="default"/>
                <w:color w:val="auto"/>
                <w:highlight w:val="yellow"/>
              </w:rPr>
              <w:t>密码找回安全问题</w:t>
            </w:r>
          </w:p>
        </w:tc>
      </w:tr>
      <w:tr w14:paraId="5F907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6B794709">
            <w:pPr>
              <w:pStyle w:val="26"/>
              <w:rPr>
                <w:rFonts w:hint="default"/>
                <w:color w:val="auto"/>
                <w:highlight w:val="yellow"/>
              </w:rPr>
            </w:pPr>
            <w:r>
              <w:rPr>
                <w:rFonts w:hint="default"/>
                <w:color w:val="auto"/>
                <w:highlight w:val="yellow"/>
              </w:rPr>
              <w:t>answer</w:t>
            </w:r>
          </w:p>
        </w:tc>
        <w:tc>
          <w:tcPr>
            <w:tcW w:w="780" w:type="pct"/>
            <w:tcBorders>
              <w:top w:val="nil"/>
              <w:left w:val="nil"/>
              <w:bottom w:val="single" w:color="auto" w:sz="8" w:space="0"/>
              <w:right w:val="nil"/>
            </w:tcBorders>
            <w:vAlign w:val="bottom"/>
          </w:tcPr>
          <w:p w14:paraId="26A70AEC">
            <w:pPr>
              <w:pStyle w:val="26"/>
              <w:rPr>
                <w:rFonts w:hint="default"/>
                <w:color w:val="auto"/>
                <w:highlight w:val="yellow"/>
              </w:rPr>
            </w:pPr>
            <w:r>
              <w:rPr>
                <w:rFonts w:hint="default"/>
                <w:color w:val="auto"/>
                <w:highlight w:val="yellow"/>
              </w:rPr>
              <w:t>VARCHAR(</w:t>
            </w:r>
            <w:r>
              <w:rPr>
                <w:color w:val="auto"/>
                <w:highlight w:val="yellow"/>
              </w:rPr>
              <w:t>20</w:t>
            </w:r>
            <w:r>
              <w:rPr>
                <w:rFonts w:hint="default"/>
                <w:color w:val="auto"/>
                <w:highlight w:val="yellow"/>
              </w:rPr>
              <w:t>0)</w:t>
            </w:r>
          </w:p>
        </w:tc>
        <w:tc>
          <w:tcPr>
            <w:tcW w:w="2012" w:type="pct"/>
            <w:tcBorders>
              <w:top w:val="nil"/>
              <w:left w:val="nil"/>
              <w:bottom w:val="single" w:color="auto" w:sz="8" w:space="0"/>
              <w:right w:val="nil"/>
            </w:tcBorders>
            <w:vAlign w:val="bottom"/>
          </w:tcPr>
          <w:p w14:paraId="715AD3E0">
            <w:pPr>
              <w:pStyle w:val="26"/>
              <w:rPr>
                <w:rFonts w:hint="default"/>
                <w:color w:val="auto"/>
                <w:highlight w:val="yellow"/>
              </w:rPr>
            </w:pPr>
            <w:r>
              <w:rPr>
                <w:rFonts w:hint="default"/>
                <w:color w:val="auto"/>
                <w:highlight w:val="yellow"/>
              </w:rPr>
              <w:t>NotNull</w:t>
            </w:r>
          </w:p>
        </w:tc>
        <w:tc>
          <w:tcPr>
            <w:tcW w:w="1422" w:type="pct"/>
            <w:tcBorders>
              <w:top w:val="nil"/>
              <w:left w:val="nil"/>
              <w:bottom w:val="single" w:color="auto" w:sz="8" w:space="0"/>
              <w:right w:val="nil"/>
            </w:tcBorders>
            <w:vAlign w:val="bottom"/>
          </w:tcPr>
          <w:p w14:paraId="447F37E7">
            <w:pPr>
              <w:pStyle w:val="26"/>
              <w:rPr>
                <w:rFonts w:hint="default"/>
                <w:color w:val="auto"/>
                <w:highlight w:val="yellow"/>
              </w:rPr>
            </w:pPr>
            <w:r>
              <w:rPr>
                <w:rFonts w:hint="default"/>
                <w:color w:val="auto"/>
                <w:highlight w:val="yellow"/>
              </w:rPr>
              <w:t>密码找回安全答案</w:t>
            </w:r>
          </w:p>
        </w:tc>
      </w:tr>
    </w:tbl>
    <w:p w14:paraId="447543CD">
      <w:pPr>
        <w:ind w:firstLine="480"/>
        <w:rPr>
          <w:color w:val="auto"/>
          <w:highlight w:val="yellow"/>
        </w:rPr>
      </w:pPr>
      <w:r>
        <w:rPr>
          <w:rFonts w:hint="eastAsia"/>
          <w:color w:val="auto"/>
          <w:highlight w:val="yellow"/>
        </w:rPr>
        <w:t>classification_record表用于保存分类输出结果，其字段设计如表5-3所示。该表通过source字段区分单条分类和批量分类，通过batch_id字段标识同一次批量任务，从而支持按来源和按批次查询。</w:t>
      </w:r>
    </w:p>
    <w:p w14:paraId="61B6F872">
      <w:pPr>
        <w:ind w:firstLine="0" w:firstLineChars="0"/>
        <w:rPr>
          <w:color w:val="auto"/>
          <w:highlight w:val="yellow"/>
        </w:rPr>
      </w:pPr>
    </w:p>
    <w:p w14:paraId="4316C689">
      <w:pPr>
        <w:ind w:firstLine="0" w:firstLineChars="0"/>
        <w:rPr>
          <w:color w:val="auto"/>
          <w:highlight w:val="yellow"/>
        </w:rPr>
      </w:pPr>
    </w:p>
    <w:p w14:paraId="58EAD960">
      <w:pPr>
        <w:ind w:firstLine="0" w:firstLineChars="0"/>
        <w:rPr>
          <w:color w:val="auto"/>
          <w:highlight w:val="yellow"/>
        </w:rPr>
      </w:pPr>
    </w:p>
    <w:p w14:paraId="4366199C">
      <w:pPr>
        <w:pStyle w:val="25"/>
        <w:rPr>
          <w:rFonts w:hint="default"/>
          <w:color w:val="auto"/>
          <w:highlight w:val="yellow"/>
        </w:rPr>
      </w:pPr>
      <w:r>
        <w:rPr>
          <w:color w:val="auto"/>
          <w:highlight w:val="yellow"/>
        </w:rPr>
        <w:t>表5-3  分类记录表</w:t>
      </w:r>
      <w:bookmarkStart w:id="233"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69307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3EF15A9A">
            <w:pPr>
              <w:pStyle w:val="26"/>
              <w:rPr>
                <w:rFonts w:hint="default"/>
                <w:color w:val="auto"/>
                <w:highlight w:val="yellow"/>
              </w:rPr>
            </w:pPr>
            <w:r>
              <w:rPr>
                <w:rFonts w:hint="default"/>
                <w:color w:val="auto"/>
                <w:highlight w:val="yellow"/>
              </w:rPr>
              <w:t>字段名称</w:t>
            </w:r>
          </w:p>
        </w:tc>
        <w:tc>
          <w:tcPr>
            <w:tcW w:w="1800" w:type="dxa"/>
            <w:tcBorders>
              <w:top w:val="single" w:color="000000" w:sz="8" w:space="0"/>
              <w:left w:val="nil"/>
              <w:bottom w:val="single" w:color="auto" w:sz="6" w:space="0"/>
              <w:right w:val="nil"/>
            </w:tcBorders>
            <w:shd w:val="clear" w:color="auto" w:fill="FFFFFF"/>
            <w:vAlign w:val="center"/>
          </w:tcPr>
          <w:p w14:paraId="4C2D931F">
            <w:pPr>
              <w:pStyle w:val="26"/>
              <w:rPr>
                <w:rFonts w:hint="default"/>
                <w:color w:val="auto"/>
                <w:highlight w:val="yellow"/>
              </w:rPr>
            </w:pPr>
            <w:r>
              <w:rPr>
                <w:rFonts w:hint="default"/>
                <w:color w:val="auto"/>
                <w:highlight w:val="yellow"/>
              </w:rPr>
              <w:t>数据类型</w:t>
            </w:r>
          </w:p>
        </w:tc>
        <w:tc>
          <w:tcPr>
            <w:tcW w:w="2286" w:type="dxa"/>
            <w:tcBorders>
              <w:top w:val="single" w:color="000000" w:sz="8" w:space="0"/>
              <w:left w:val="nil"/>
              <w:bottom w:val="single" w:color="auto" w:sz="6" w:space="0"/>
              <w:right w:val="nil"/>
            </w:tcBorders>
            <w:shd w:val="clear" w:color="auto" w:fill="FFFFFF"/>
            <w:vAlign w:val="center"/>
          </w:tcPr>
          <w:p w14:paraId="0B71E98D">
            <w:pPr>
              <w:pStyle w:val="26"/>
              <w:rPr>
                <w:rFonts w:hint="default"/>
                <w:color w:val="auto"/>
                <w:highlight w:val="yellow"/>
              </w:rPr>
            </w:pPr>
            <w:r>
              <w:rPr>
                <w:rFonts w:hint="default"/>
                <w:color w:val="auto"/>
                <w:highlight w:val="yellow"/>
              </w:rPr>
              <w:t>约束条件</w:t>
            </w:r>
          </w:p>
        </w:tc>
        <w:tc>
          <w:tcPr>
            <w:tcW w:w="2720" w:type="dxa"/>
            <w:tcBorders>
              <w:top w:val="single" w:color="000000" w:sz="8" w:space="0"/>
              <w:left w:val="nil"/>
              <w:bottom w:val="single" w:color="auto" w:sz="6" w:space="0"/>
              <w:right w:val="nil"/>
            </w:tcBorders>
            <w:shd w:val="clear" w:color="auto" w:fill="FFFFFF"/>
            <w:vAlign w:val="center"/>
          </w:tcPr>
          <w:p w14:paraId="2C197F2B">
            <w:pPr>
              <w:pStyle w:val="26"/>
              <w:rPr>
                <w:rFonts w:hint="default"/>
                <w:color w:val="auto"/>
                <w:highlight w:val="yellow"/>
              </w:rPr>
            </w:pPr>
            <w:r>
              <w:rPr>
                <w:rFonts w:hint="default"/>
                <w:color w:val="auto"/>
                <w:highlight w:val="yellow"/>
              </w:rPr>
              <w:t>字段说明</w:t>
            </w:r>
          </w:p>
        </w:tc>
      </w:tr>
      <w:tr w14:paraId="278D9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tcPr>
          <w:p w14:paraId="024F7370">
            <w:pPr>
              <w:pStyle w:val="26"/>
              <w:rPr>
                <w:rFonts w:hint="default"/>
                <w:color w:val="auto"/>
                <w:highlight w:val="yellow"/>
              </w:rPr>
            </w:pPr>
            <w:r>
              <w:rPr>
                <w:rFonts w:hint="default"/>
                <w:color w:val="auto"/>
                <w:highlight w:val="yellow"/>
              </w:rPr>
              <w:t>id</w:t>
            </w:r>
          </w:p>
        </w:tc>
        <w:tc>
          <w:tcPr>
            <w:tcW w:w="1800" w:type="dxa"/>
            <w:tcBorders>
              <w:top w:val="single" w:color="auto" w:sz="6" w:space="0"/>
              <w:left w:val="nil"/>
              <w:bottom w:val="nil"/>
              <w:right w:val="nil"/>
            </w:tcBorders>
            <w:shd w:val="clear" w:color="auto" w:fill="FFFFFF"/>
          </w:tcPr>
          <w:p w14:paraId="3D0C52E6">
            <w:pPr>
              <w:pStyle w:val="26"/>
              <w:rPr>
                <w:rFonts w:hint="default"/>
                <w:color w:val="auto"/>
                <w:highlight w:val="yellow"/>
              </w:rPr>
            </w:pPr>
            <w:r>
              <w:rPr>
                <w:rFonts w:hint="default"/>
                <w:color w:val="auto"/>
                <w:highlight w:val="yellow"/>
              </w:rPr>
              <w:t>BIGINT</w:t>
            </w:r>
          </w:p>
        </w:tc>
        <w:tc>
          <w:tcPr>
            <w:tcW w:w="2286" w:type="dxa"/>
            <w:tcBorders>
              <w:top w:val="single" w:color="auto" w:sz="6" w:space="0"/>
              <w:left w:val="nil"/>
              <w:bottom w:val="nil"/>
              <w:right w:val="nil"/>
            </w:tcBorders>
            <w:shd w:val="clear" w:color="auto" w:fill="FFFFFF"/>
          </w:tcPr>
          <w:p w14:paraId="1CD518C7">
            <w:pPr>
              <w:pStyle w:val="26"/>
              <w:rPr>
                <w:rFonts w:hint="default"/>
                <w:color w:val="auto"/>
                <w:highlight w:val="yellow"/>
              </w:rPr>
            </w:pPr>
            <w:r>
              <w:rPr>
                <w:rFonts w:hint="default"/>
                <w:color w:val="auto"/>
                <w:highlight w:val="yellow"/>
              </w:rPr>
              <w:t>PrimaryKey,AutoIncrement</w:t>
            </w:r>
          </w:p>
        </w:tc>
        <w:tc>
          <w:tcPr>
            <w:tcW w:w="2720" w:type="dxa"/>
            <w:tcBorders>
              <w:top w:val="single" w:color="auto" w:sz="6" w:space="0"/>
              <w:left w:val="nil"/>
              <w:bottom w:val="nil"/>
              <w:right w:val="nil"/>
            </w:tcBorders>
            <w:shd w:val="clear" w:color="auto" w:fill="FFFFFF"/>
          </w:tcPr>
          <w:p w14:paraId="36243EE5">
            <w:pPr>
              <w:pStyle w:val="26"/>
              <w:rPr>
                <w:rFonts w:hint="default"/>
                <w:color w:val="auto"/>
                <w:highlight w:val="yellow"/>
              </w:rPr>
            </w:pPr>
            <w:r>
              <w:rPr>
                <w:rFonts w:hint="default"/>
                <w:color w:val="auto"/>
                <w:highlight w:val="yellow"/>
              </w:rPr>
              <w:t>记录唯一标识</w:t>
            </w:r>
          </w:p>
        </w:tc>
      </w:tr>
      <w:tr w14:paraId="1F63C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tcPr>
          <w:p w14:paraId="7EFEB1E8">
            <w:pPr>
              <w:pStyle w:val="26"/>
              <w:rPr>
                <w:rFonts w:hint="default"/>
                <w:color w:val="auto"/>
                <w:highlight w:val="yellow"/>
              </w:rPr>
            </w:pPr>
            <w:r>
              <w:rPr>
                <w:rFonts w:hint="default"/>
                <w:color w:val="auto"/>
                <w:highlight w:val="yellow"/>
              </w:rPr>
              <w:t>user_id</w:t>
            </w:r>
          </w:p>
        </w:tc>
        <w:tc>
          <w:tcPr>
            <w:tcW w:w="1800" w:type="dxa"/>
            <w:tcBorders>
              <w:top w:val="nil"/>
              <w:left w:val="nil"/>
              <w:bottom w:val="nil"/>
              <w:right w:val="nil"/>
            </w:tcBorders>
            <w:shd w:val="clear" w:color="auto" w:fill="FFFFFF"/>
          </w:tcPr>
          <w:p w14:paraId="0BFC0B7E">
            <w:pPr>
              <w:pStyle w:val="26"/>
              <w:rPr>
                <w:rFonts w:hint="default"/>
                <w:color w:val="auto"/>
                <w:highlight w:val="yellow"/>
              </w:rPr>
            </w:pPr>
            <w:r>
              <w:rPr>
                <w:rFonts w:hint="default"/>
                <w:color w:val="auto"/>
                <w:highlight w:val="yellow"/>
              </w:rPr>
              <w:t>INT</w:t>
            </w:r>
          </w:p>
        </w:tc>
        <w:tc>
          <w:tcPr>
            <w:tcW w:w="2286" w:type="dxa"/>
            <w:tcBorders>
              <w:top w:val="nil"/>
              <w:left w:val="nil"/>
              <w:bottom w:val="nil"/>
              <w:right w:val="nil"/>
            </w:tcBorders>
            <w:shd w:val="clear" w:color="auto" w:fill="FFFFFF"/>
          </w:tcPr>
          <w:p w14:paraId="5F519E23">
            <w:pPr>
              <w:pStyle w:val="26"/>
              <w:rPr>
                <w:rFonts w:hint="default"/>
                <w:color w:val="auto"/>
                <w:highlight w:val="yellow"/>
              </w:rPr>
            </w:pPr>
            <w:r>
              <w:rPr>
                <w:rFonts w:hint="default"/>
                <w:color w:val="auto"/>
                <w:highlight w:val="yellow"/>
              </w:rPr>
              <w:t>Index,NotNull</w:t>
            </w:r>
          </w:p>
        </w:tc>
        <w:tc>
          <w:tcPr>
            <w:tcW w:w="2720" w:type="dxa"/>
            <w:tcBorders>
              <w:top w:val="nil"/>
              <w:left w:val="nil"/>
              <w:bottom w:val="nil"/>
              <w:right w:val="nil"/>
            </w:tcBorders>
            <w:shd w:val="clear" w:color="auto" w:fill="FFFFFF"/>
          </w:tcPr>
          <w:p w14:paraId="592C9BDA">
            <w:pPr>
              <w:pStyle w:val="26"/>
              <w:rPr>
                <w:rFonts w:hint="default"/>
                <w:color w:val="auto"/>
                <w:highlight w:val="yellow"/>
              </w:rPr>
            </w:pPr>
            <w:r>
              <w:rPr>
                <w:rFonts w:hint="default"/>
                <w:color w:val="auto"/>
                <w:highlight w:val="yellow"/>
              </w:rPr>
              <w:t>用户ID，0表示匿名用户</w:t>
            </w:r>
          </w:p>
        </w:tc>
      </w:tr>
      <w:tr w14:paraId="6C764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tcPr>
          <w:p w14:paraId="52B07B9D">
            <w:pPr>
              <w:pStyle w:val="26"/>
              <w:rPr>
                <w:rFonts w:hint="default"/>
                <w:color w:val="auto"/>
                <w:highlight w:val="yellow"/>
              </w:rPr>
            </w:pPr>
            <w:r>
              <w:rPr>
                <w:rFonts w:hint="default"/>
                <w:color w:val="auto"/>
                <w:highlight w:val="yellow"/>
              </w:rPr>
              <w:t>summary</w:t>
            </w:r>
          </w:p>
        </w:tc>
        <w:tc>
          <w:tcPr>
            <w:tcW w:w="1800" w:type="dxa"/>
            <w:tcBorders>
              <w:top w:val="nil"/>
              <w:left w:val="nil"/>
              <w:bottom w:val="nil"/>
              <w:right w:val="nil"/>
            </w:tcBorders>
            <w:shd w:val="clear" w:color="auto" w:fill="FFFFFF"/>
          </w:tcPr>
          <w:p w14:paraId="578323A7">
            <w:pPr>
              <w:pStyle w:val="26"/>
              <w:rPr>
                <w:rFonts w:hint="default"/>
                <w:color w:val="auto"/>
                <w:highlight w:val="yellow"/>
              </w:rPr>
            </w:pPr>
            <w:r>
              <w:rPr>
                <w:rFonts w:hint="default"/>
                <w:color w:val="auto"/>
                <w:highlight w:val="yellow"/>
              </w:rPr>
              <w:t>TEXT</w:t>
            </w:r>
          </w:p>
        </w:tc>
        <w:tc>
          <w:tcPr>
            <w:tcW w:w="2286" w:type="dxa"/>
            <w:tcBorders>
              <w:top w:val="nil"/>
              <w:left w:val="nil"/>
              <w:bottom w:val="nil"/>
              <w:right w:val="nil"/>
            </w:tcBorders>
            <w:shd w:val="clear" w:color="auto" w:fill="FFFFFF"/>
          </w:tcPr>
          <w:p w14:paraId="5CFBB3E7">
            <w:pPr>
              <w:pStyle w:val="26"/>
              <w:rPr>
                <w:rFonts w:hint="default"/>
                <w:color w:val="auto"/>
                <w:highlight w:val="yellow"/>
              </w:rPr>
            </w:pPr>
            <w:r>
              <w:rPr>
                <w:rFonts w:hint="default"/>
                <w:color w:val="auto"/>
                <w:highlight w:val="yellow"/>
              </w:rPr>
              <w:t>NotNull</w:t>
            </w:r>
          </w:p>
        </w:tc>
        <w:tc>
          <w:tcPr>
            <w:tcW w:w="2720" w:type="dxa"/>
            <w:tcBorders>
              <w:top w:val="nil"/>
              <w:left w:val="nil"/>
              <w:bottom w:val="nil"/>
              <w:right w:val="nil"/>
            </w:tcBorders>
            <w:shd w:val="clear" w:color="auto" w:fill="FFFFFF"/>
          </w:tcPr>
          <w:p w14:paraId="3F3196E2">
            <w:pPr>
              <w:pStyle w:val="26"/>
              <w:rPr>
                <w:rFonts w:hint="default"/>
                <w:color w:val="auto"/>
                <w:highlight w:val="yellow"/>
              </w:rPr>
            </w:pPr>
            <w:r>
              <w:rPr>
                <w:rFonts w:hint="default"/>
                <w:color w:val="auto"/>
                <w:highlight w:val="yellow"/>
              </w:rPr>
              <w:t>输入的专利摘要文本</w:t>
            </w:r>
          </w:p>
        </w:tc>
      </w:tr>
      <w:tr w14:paraId="54DBC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tcPr>
          <w:p w14:paraId="0F957DFE">
            <w:pPr>
              <w:pStyle w:val="26"/>
              <w:rPr>
                <w:rFonts w:hint="default"/>
                <w:color w:val="auto"/>
                <w:highlight w:val="yellow"/>
              </w:rPr>
            </w:pPr>
            <w:r>
              <w:rPr>
                <w:rFonts w:hint="default"/>
                <w:color w:val="auto"/>
                <w:highlight w:val="yellow"/>
              </w:rPr>
              <w:t>pred_label</w:t>
            </w:r>
          </w:p>
        </w:tc>
        <w:tc>
          <w:tcPr>
            <w:tcW w:w="1800" w:type="dxa"/>
            <w:tcBorders>
              <w:top w:val="nil"/>
              <w:left w:val="nil"/>
              <w:bottom w:val="nil"/>
              <w:right w:val="nil"/>
            </w:tcBorders>
            <w:shd w:val="clear" w:color="auto" w:fill="FFFFFF"/>
          </w:tcPr>
          <w:p w14:paraId="750F26C1">
            <w:pPr>
              <w:pStyle w:val="26"/>
              <w:rPr>
                <w:rFonts w:hint="default"/>
                <w:color w:val="auto"/>
                <w:highlight w:val="yellow"/>
              </w:rPr>
            </w:pPr>
            <w:r>
              <w:rPr>
                <w:rFonts w:hint="default"/>
                <w:color w:val="auto"/>
                <w:highlight w:val="yellow"/>
              </w:rPr>
              <w:t>VARCHAR(100)</w:t>
            </w:r>
          </w:p>
        </w:tc>
        <w:tc>
          <w:tcPr>
            <w:tcW w:w="2286" w:type="dxa"/>
            <w:tcBorders>
              <w:top w:val="nil"/>
              <w:left w:val="nil"/>
              <w:bottom w:val="nil"/>
              <w:right w:val="nil"/>
            </w:tcBorders>
            <w:shd w:val="clear" w:color="auto" w:fill="FFFFFF"/>
          </w:tcPr>
          <w:p w14:paraId="614E9DC4">
            <w:pPr>
              <w:pStyle w:val="26"/>
              <w:rPr>
                <w:rFonts w:hint="default"/>
                <w:color w:val="auto"/>
                <w:highlight w:val="yellow"/>
              </w:rPr>
            </w:pPr>
            <w:r>
              <w:rPr>
                <w:rFonts w:hint="default"/>
                <w:color w:val="auto"/>
                <w:highlight w:val="yellow"/>
              </w:rPr>
              <w:t>NotNull</w:t>
            </w:r>
          </w:p>
        </w:tc>
        <w:tc>
          <w:tcPr>
            <w:tcW w:w="2720" w:type="dxa"/>
            <w:tcBorders>
              <w:top w:val="nil"/>
              <w:left w:val="nil"/>
              <w:bottom w:val="nil"/>
              <w:right w:val="nil"/>
            </w:tcBorders>
            <w:shd w:val="clear" w:color="auto" w:fill="FFFFFF"/>
          </w:tcPr>
          <w:p w14:paraId="20075886">
            <w:pPr>
              <w:pStyle w:val="26"/>
              <w:rPr>
                <w:rFonts w:hint="default"/>
                <w:color w:val="auto"/>
                <w:highlight w:val="yellow"/>
              </w:rPr>
            </w:pPr>
            <w:r>
              <w:rPr>
                <w:rFonts w:hint="default"/>
                <w:color w:val="auto"/>
                <w:highlight w:val="yellow"/>
              </w:rPr>
              <w:t>模型预测类别名称</w:t>
            </w:r>
          </w:p>
        </w:tc>
      </w:tr>
      <w:tr w14:paraId="023C7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tcPr>
          <w:p w14:paraId="0F029DB6">
            <w:pPr>
              <w:pStyle w:val="26"/>
              <w:rPr>
                <w:rFonts w:hint="default"/>
                <w:color w:val="auto"/>
                <w:highlight w:val="yellow"/>
              </w:rPr>
            </w:pPr>
            <w:r>
              <w:rPr>
                <w:rFonts w:hint="default"/>
                <w:color w:val="auto"/>
                <w:highlight w:val="yellow"/>
              </w:rPr>
              <w:t>pred_index</w:t>
            </w:r>
          </w:p>
        </w:tc>
        <w:tc>
          <w:tcPr>
            <w:tcW w:w="1800" w:type="dxa"/>
            <w:tcBorders>
              <w:top w:val="nil"/>
              <w:left w:val="nil"/>
              <w:bottom w:val="nil"/>
              <w:right w:val="nil"/>
            </w:tcBorders>
            <w:shd w:val="clear" w:color="auto" w:fill="FFFFFF"/>
          </w:tcPr>
          <w:p w14:paraId="72691AA4">
            <w:pPr>
              <w:pStyle w:val="26"/>
              <w:rPr>
                <w:rFonts w:hint="default"/>
                <w:color w:val="auto"/>
                <w:highlight w:val="yellow"/>
              </w:rPr>
            </w:pPr>
            <w:r>
              <w:rPr>
                <w:rFonts w:hint="default"/>
                <w:color w:val="auto"/>
                <w:highlight w:val="yellow"/>
              </w:rPr>
              <w:t>INT</w:t>
            </w:r>
          </w:p>
        </w:tc>
        <w:tc>
          <w:tcPr>
            <w:tcW w:w="2286" w:type="dxa"/>
            <w:tcBorders>
              <w:top w:val="nil"/>
              <w:left w:val="nil"/>
              <w:bottom w:val="nil"/>
              <w:right w:val="nil"/>
            </w:tcBorders>
            <w:shd w:val="clear" w:color="auto" w:fill="FFFFFF"/>
          </w:tcPr>
          <w:p w14:paraId="45300961">
            <w:pPr>
              <w:pStyle w:val="26"/>
              <w:rPr>
                <w:rFonts w:hint="default"/>
                <w:color w:val="auto"/>
                <w:highlight w:val="yellow"/>
              </w:rPr>
            </w:pPr>
            <w:r>
              <w:rPr>
                <w:rFonts w:hint="default"/>
                <w:color w:val="auto"/>
                <w:highlight w:val="yellow"/>
              </w:rPr>
              <w:t>NotNull</w:t>
            </w:r>
          </w:p>
        </w:tc>
        <w:tc>
          <w:tcPr>
            <w:tcW w:w="2720" w:type="dxa"/>
            <w:tcBorders>
              <w:top w:val="nil"/>
              <w:left w:val="nil"/>
              <w:bottom w:val="nil"/>
              <w:right w:val="nil"/>
            </w:tcBorders>
            <w:shd w:val="clear" w:color="auto" w:fill="FFFFFF"/>
          </w:tcPr>
          <w:p w14:paraId="5EE49532">
            <w:pPr>
              <w:pStyle w:val="26"/>
              <w:rPr>
                <w:rFonts w:hint="default"/>
                <w:color w:val="auto"/>
                <w:highlight w:val="yellow"/>
              </w:rPr>
            </w:pPr>
            <w:r>
              <w:rPr>
                <w:rFonts w:hint="default"/>
                <w:color w:val="auto"/>
                <w:highlight w:val="yellow"/>
              </w:rPr>
              <w:t>预测类别索引</w:t>
            </w:r>
          </w:p>
        </w:tc>
      </w:tr>
      <w:tr w14:paraId="111F8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tcPr>
          <w:p w14:paraId="650F0C21">
            <w:pPr>
              <w:pStyle w:val="26"/>
              <w:rPr>
                <w:rFonts w:hint="default"/>
                <w:color w:val="auto"/>
                <w:highlight w:val="yellow"/>
              </w:rPr>
            </w:pPr>
            <w:r>
              <w:rPr>
                <w:rFonts w:hint="default"/>
                <w:color w:val="auto"/>
                <w:highlight w:val="yellow"/>
              </w:rPr>
              <w:t>pred_probability</w:t>
            </w:r>
          </w:p>
        </w:tc>
        <w:tc>
          <w:tcPr>
            <w:tcW w:w="1800" w:type="dxa"/>
            <w:tcBorders>
              <w:top w:val="nil"/>
              <w:left w:val="nil"/>
              <w:bottom w:val="nil"/>
              <w:right w:val="nil"/>
            </w:tcBorders>
            <w:shd w:val="clear" w:color="auto" w:fill="FFFFFF"/>
          </w:tcPr>
          <w:p w14:paraId="0D5130E6">
            <w:pPr>
              <w:pStyle w:val="26"/>
              <w:rPr>
                <w:rFonts w:hint="default"/>
                <w:color w:val="auto"/>
                <w:highlight w:val="yellow"/>
              </w:rPr>
            </w:pPr>
            <w:r>
              <w:rPr>
                <w:rFonts w:hint="default"/>
                <w:color w:val="auto"/>
                <w:highlight w:val="yellow"/>
              </w:rPr>
              <w:t>DOUBLE</w:t>
            </w:r>
          </w:p>
        </w:tc>
        <w:tc>
          <w:tcPr>
            <w:tcW w:w="2286" w:type="dxa"/>
            <w:tcBorders>
              <w:top w:val="nil"/>
              <w:left w:val="nil"/>
              <w:bottom w:val="nil"/>
              <w:right w:val="nil"/>
            </w:tcBorders>
            <w:shd w:val="clear" w:color="auto" w:fill="FFFFFF"/>
          </w:tcPr>
          <w:p w14:paraId="7ECDA90A">
            <w:pPr>
              <w:pStyle w:val="26"/>
              <w:rPr>
                <w:rFonts w:hint="default"/>
                <w:color w:val="auto"/>
                <w:highlight w:val="yellow"/>
              </w:rPr>
            </w:pPr>
            <w:r>
              <w:rPr>
                <w:rFonts w:hint="default"/>
                <w:color w:val="auto"/>
                <w:highlight w:val="yellow"/>
              </w:rPr>
              <w:t>NotNull</w:t>
            </w:r>
          </w:p>
        </w:tc>
        <w:tc>
          <w:tcPr>
            <w:tcW w:w="2720" w:type="dxa"/>
            <w:tcBorders>
              <w:top w:val="nil"/>
              <w:left w:val="nil"/>
              <w:bottom w:val="nil"/>
              <w:right w:val="nil"/>
            </w:tcBorders>
            <w:shd w:val="clear" w:color="auto" w:fill="FFFFFF"/>
          </w:tcPr>
          <w:p w14:paraId="32DADB65">
            <w:pPr>
              <w:pStyle w:val="26"/>
              <w:rPr>
                <w:rFonts w:hint="default"/>
                <w:color w:val="auto"/>
                <w:highlight w:val="yellow"/>
              </w:rPr>
            </w:pPr>
            <w:r>
              <w:rPr>
                <w:rFonts w:hint="default"/>
                <w:color w:val="auto"/>
                <w:highlight w:val="yellow"/>
              </w:rPr>
              <w:t>预测置信度</w:t>
            </w:r>
          </w:p>
        </w:tc>
      </w:tr>
      <w:tr w14:paraId="1E36B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tcPr>
          <w:p w14:paraId="01A8F88C">
            <w:pPr>
              <w:pStyle w:val="26"/>
              <w:rPr>
                <w:rFonts w:hint="default"/>
                <w:color w:val="auto"/>
                <w:highlight w:val="yellow"/>
              </w:rPr>
            </w:pPr>
            <w:r>
              <w:rPr>
                <w:rFonts w:hint="default"/>
                <w:color w:val="auto"/>
                <w:highlight w:val="yellow"/>
              </w:rPr>
              <w:t>top_categories</w:t>
            </w:r>
          </w:p>
        </w:tc>
        <w:tc>
          <w:tcPr>
            <w:tcW w:w="1800" w:type="dxa"/>
            <w:tcBorders>
              <w:top w:val="nil"/>
              <w:left w:val="nil"/>
              <w:bottom w:val="nil"/>
              <w:right w:val="nil"/>
            </w:tcBorders>
            <w:shd w:val="clear" w:color="auto" w:fill="FFFFFF"/>
          </w:tcPr>
          <w:p w14:paraId="4A53D41F">
            <w:pPr>
              <w:pStyle w:val="26"/>
              <w:rPr>
                <w:rFonts w:hint="default"/>
                <w:color w:val="auto"/>
                <w:highlight w:val="yellow"/>
              </w:rPr>
            </w:pPr>
            <w:r>
              <w:rPr>
                <w:rFonts w:hint="default"/>
                <w:color w:val="auto"/>
                <w:highlight w:val="yellow"/>
              </w:rPr>
              <w:t>JSON</w:t>
            </w:r>
          </w:p>
        </w:tc>
        <w:tc>
          <w:tcPr>
            <w:tcW w:w="2286" w:type="dxa"/>
            <w:tcBorders>
              <w:top w:val="nil"/>
              <w:left w:val="nil"/>
              <w:bottom w:val="nil"/>
              <w:right w:val="nil"/>
            </w:tcBorders>
            <w:shd w:val="clear" w:color="auto" w:fill="FFFFFF"/>
          </w:tcPr>
          <w:p w14:paraId="0CFD8B1F">
            <w:pPr>
              <w:pStyle w:val="26"/>
              <w:rPr>
                <w:rFonts w:hint="default"/>
                <w:color w:val="auto"/>
                <w:highlight w:val="yellow"/>
              </w:rPr>
            </w:pPr>
            <w:r>
              <w:rPr>
                <w:rFonts w:hint="default"/>
                <w:color w:val="auto"/>
                <w:highlight w:val="yellow"/>
              </w:rPr>
              <w:t>Nullable</w:t>
            </w:r>
          </w:p>
        </w:tc>
        <w:tc>
          <w:tcPr>
            <w:tcW w:w="2720" w:type="dxa"/>
            <w:tcBorders>
              <w:top w:val="nil"/>
              <w:left w:val="nil"/>
              <w:bottom w:val="nil"/>
              <w:right w:val="nil"/>
            </w:tcBorders>
            <w:shd w:val="clear" w:color="auto" w:fill="FFFFFF"/>
          </w:tcPr>
          <w:p w14:paraId="75CEEBBE">
            <w:pPr>
              <w:pStyle w:val="26"/>
              <w:rPr>
                <w:rFonts w:hint="default"/>
                <w:color w:val="auto"/>
                <w:highlight w:val="yellow"/>
              </w:rPr>
            </w:pPr>
            <w:r>
              <w:rPr>
                <w:rFonts w:hint="default"/>
                <w:color w:val="auto"/>
                <w:highlight w:val="yellow"/>
              </w:rPr>
              <w:t>22类概率分布</w:t>
            </w:r>
          </w:p>
        </w:tc>
      </w:tr>
      <w:tr w14:paraId="52C5E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tcPr>
          <w:p w14:paraId="34F5EA27">
            <w:pPr>
              <w:pStyle w:val="26"/>
              <w:rPr>
                <w:rFonts w:hint="default"/>
                <w:color w:val="auto"/>
                <w:highlight w:val="yellow"/>
              </w:rPr>
            </w:pPr>
            <w:r>
              <w:rPr>
                <w:rFonts w:hint="default"/>
                <w:color w:val="auto"/>
                <w:highlight w:val="yellow"/>
              </w:rPr>
              <w:t>source</w:t>
            </w:r>
          </w:p>
        </w:tc>
        <w:tc>
          <w:tcPr>
            <w:tcW w:w="1800" w:type="dxa"/>
            <w:tcBorders>
              <w:top w:val="nil"/>
              <w:left w:val="nil"/>
              <w:bottom w:val="nil"/>
              <w:right w:val="nil"/>
            </w:tcBorders>
            <w:shd w:val="clear" w:color="auto" w:fill="FFFFFF"/>
          </w:tcPr>
          <w:p w14:paraId="5924A04D">
            <w:pPr>
              <w:pStyle w:val="26"/>
              <w:rPr>
                <w:rFonts w:hint="default"/>
                <w:color w:val="auto"/>
                <w:highlight w:val="yellow"/>
              </w:rPr>
            </w:pPr>
            <w:r>
              <w:rPr>
                <w:rFonts w:hint="default"/>
                <w:color w:val="auto"/>
                <w:highlight w:val="yellow"/>
              </w:rPr>
              <w:t>VARCHAR(20)</w:t>
            </w:r>
          </w:p>
        </w:tc>
        <w:tc>
          <w:tcPr>
            <w:tcW w:w="2286" w:type="dxa"/>
            <w:tcBorders>
              <w:top w:val="nil"/>
              <w:left w:val="nil"/>
              <w:bottom w:val="nil"/>
              <w:right w:val="nil"/>
            </w:tcBorders>
            <w:shd w:val="clear" w:color="auto" w:fill="FFFFFF"/>
          </w:tcPr>
          <w:p w14:paraId="6D268469">
            <w:pPr>
              <w:pStyle w:val="26"/>
              <w:rPr>
                <w:rFonts w:hint="default"/>
                <w:color w:val="auto"/>
                <w:highlight w:val="yellow"/>
              </w:rPr>
            </w:pPr>
            <w:r>
              <w:rPr>
                <w:rFonts w:hint="default"/>
                <w:color w:val="auto"/>
                <w:highlight w:val="yellow"/>
              </w:rPr>
              <w:t>NotNull</w:t>
            </w:r>
          </w:p>
        </w:tc>
        <w:tc>
          <w:tcPr>
            <w:tcW w:w="2720" w:type="dxa"/>
            <w:tcBorders>
              <w:top w:val="nil"/>
              <w:left w:val="nil"/>
              <w:bottom w:val="nil"/>
              <w:right w:val="nil"/>
            </w:tcBorders>
            <w:shd w:val="clear" w:color="auto" w:fill="FFFFFF"/>
          </w:tcPr>
          <w:p w14:paraId="79B29332">
            <w:pPr>
              <w:pStyle w:val="26"/>
              <w:rPr>
                <w:rFonts w:hint="default"/>
                <w:color w:val="auto"/>
                <w:highlight w:val="yellow"/>
              </w:rPr>
            </w:pPr>
            <w:r>
              <w:rPr>
                <w:rFonts w:hint="default"/>
                <w:color w:val="auto"/>
                <w:highlight w:val="yellow"/>
              </w:rPr>
              <w:t>来源类型，single或batch</w:t>
            </w:r>
          </w:p>
        </w:tc>
      </w:tr>
      <w:tr w14:paraId="58B0F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tcPr>
          <w:p w14:paraId="0DC0901B">
            <w:pPr>
              <w:pStyle w:val="26"/>
              <w:rPr>
                <w:rFonts w:hint="default"/>
                <w:color w:val="auto"/>
                <w:highlight w:val="yellow"/>
              </w:rPr>
            </w:pPr>
            <w:r>
              <w:rPr>
                <w:rFonts w:hint="default"/>
                <w:color w:val="auto"/>
                <w:highlight w:val="yellow"/>
              </w:rPr>
              <w:t>batch_id</w:t>
            </w:r>
          </w:p>
        </w:tc>
        <w:tc>
          <w:tcPr>
            <w:tcW w:w="1800" w:type="dxa"/>
            <w:tcBorders>
              <w:top w:val="nil"/>
              <w:left w:val="nil"/>
              <w:bottom w:val="nil"/>
              <w:right w:val="nil"/>
            </w:tcBorders>
            <w:shd w:val="clear" w:color="auto" w:fill="FFFFFF"/>
          </w:tcPr>
          <w:p w14:paraId="2F650A1E">
            <w:pPr>
              <w:pStyle w:val="26"/>
              <w:rPr>
                <w:rFonts w:hint="default"/>
                <w:color w:val="auto"/>
                <w:highlight w:val="yellow"/>
              </w:rPr>
            </w:pPr>
            <w:r>
              <w:rPr>
                <w:rFonts w:hint="default"/>
                <w:color w:val="auto"/>
                <w:highlight w:val="yellow"/>
              </w:rPr>
              <w:t>VARCHAR(50)</w:t>
            </w:r>
          </w:p>
        </w:tc>
        <w:tc>
          <w:tcPr>
            <w:tcW w:w="2286" w:type="dxa"/>
            <w:tcBorders>
              <w:top w:val="nil"/>
              <w:left w:val="nil"/>
              <w:bottom w:val="nil"/>
              <w:right w:val="nil"/>
            </w:tcBorders>
            <w:shd w:val="clear" w:color="auto" w:fill="FFFFFF"/>
          </w:tcPr>
          <w:p w14:paraId="5241DE1D">
            <w:pPr>
              <w:pStyle w:val="26"/>
              <w:rPr>
                <w:rFonts w:hint="default"/>
                <w:color w:val="auto"/>
                <w:highlight w:val="yellow"/>
              </w:rPr>
            </w:pPr>
            <w:r>
              <w:rPr>
                <w:rFonts w:hint="default"/>
                <w:color w:val="auto"/>
                <w:highlight w:val="yellow"/>
              </w:rPr>
              <w:t>Index,Nullable</w:t>
            </w:r>
          </w:p>
        </w:tc>
        <w:tc>
          <w:tcPr>
            <w:tcW w:w="2720" w:type="dxa"/>
            <w:tcBorders>
              <w:top w:val="nil"/>
              <w:left w:val="nil"/>
              <w:bottom w:val="nil"/>
              <w:right w:val="nil"/>
            </w:tcBorders>
            <w:shd w:val="clear" w:color="auto" w:fill="FFFFFF"/>
          </w:tcPr>
          <w:p w14:paraId="43F2E7BC">
            <w:pPr>
              <w:pStyle w:val="26"/>
              <w:rPr>
                <w:rFonts w:hint="default"/>
                <w:color w:val="auto"/>
                <w:highlight w:val="yellow"/>
              </w:rPr>
            </w:pPr>
            <w:r>
              <w:rPr>
                <w:rFonts w:hint="default"/>
                <w:color w:val="auto"/>
                <w:highlight w:val="yellow"/>
              </w:rPr>
              <w:t>批量分类批次ID</w:t>
            </w:r>
          </w:p>
        </w:tc>
      </w:tr>
      <w:tr w14:paraId="17D60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tcPr>
          <w:p w14:paraId="17421BD6">
            <w:pPr>
              <w:pStyle w:val="26"/>
              <w:rPr>
                <w:rFonts w:hint="default"/>
                <w:color w:val="auto"/>
                <w:highlight w:val="yellow"/>
              </w:rPr>
            </w:pPr>
            <w:r>
              <w:rPr>
                <w:rFonts w:hint="default"/>
                <w:color w:val="auto"/>
                <w:highlight w:val="yellow"/>
              </w:rPr>
              <w:t>create_time</w:t>
            </w:r>
          </w:p>
        </w:tc>
        <w:tc>
          <w:tcPr>
            <w:tcW w:w="1800" w:type="dxa"/>
            <w:tcBorders>
              <w:top w:val="nil"/>
              <w:left w:val="nil"/>
              <w:bottom w:val="single" w:color="000000" w:sz="8" w:space="0"/>
              <w:right w:val="nil"/>
            </w:tcBorders>
            <w:shd w:val="clear" w:color="auto" w:fill="FFFFFF"/>
          </w:tcPr>
          <w:p w14:paraId="5E32AF0A">
            <w:pPr>
              <w:pStyle w:val="26"/>
              <w:rPr>
                <w:rFonts w:hint="default"/>
                <w:color w:val="auto"/>
                <w:highlight w:val="yellow"/>
              </w:rPr>
            </w:pPr>
            <w:r>
              <w:rPr>
                <w:rFonts w:hint="default"/>
                <w:color w:val="auto"/>
                <w:highlight w:val="yellow"/>
              </w:rPr>
              <w:t>DATETIME</w:t>
            </w:r>
          </w:p>
        </w:tc>
        <w:tc>
          <w:tcPr>
            <w:tcW w:w="2286" w:type="dxa"/>
            <w:tcBorders>
              <w:top w:val="nil"/>
              <w:left w:val="nil"/>
              <w:bottom w:val="single" w:color="000000" w:sz="8" w:space="0"/>
              <w:right w:val="nil"/>
            </w:tcBorders>
            <w:shd w:val="clear" w:color="auto" w:fill="FFFFFF"/>
          </w:tcPr>
          <w:p w14:paraId="59720BB7">
            <w:pPr>
              <w:pStyle w:val="26"/>
              <w:rPr>
                <w:rFonts w:hint="default"/>
                <w:color w:val="auto"/>
                <w:highlight w:val="yellow"/>
              </w:rPr>
            </w:pPr>
            <w:r>
              <w:rPr>
                <w:rFonts w:hint="default"/>
                <w:color w:val="auto"/>
                <w:highlight w:val="yellow"/>
              </w:rPr>
              <w:t>Index,NotNull</w:t>
            </w:r>
          </w:p>
        </w:tc>
        <w:tc>
          <w:tcPr>
            <w:tcW w:w="2720" w:type="dxa"/>
            <w:tcBorders>
              <w:top w:val="nil"/>
              <w:left w:val="nil"/>
              <w:bottom w:val="single" w:color="000000" w:sz="8" w:space="0"/>
              <w:right w:val="nil"/>
            </w:tcBorders>
            <w:shd w:val="clear" w:color="auto" w:fill="FFFFFF"/>
          </w:tcPr>
          <w:p w14:paraId="073859B4">
            <w:pPr>
              <w:pStyle w:val="26"/>
              <w:rPr>
                <w:rFonts w:hint="default"/>
                <w:color w:val="auto"/>
                <w:highlight w:val="yellow"/>
              </w:rPr>
            </w:pPr>
            <w:r>
              <w:rPr>
                <w:rFonts w:hint="default"/>
                <w:color w:val="auto"/>
                <w:highlight w:val="yellow"/>
              </w:rPr>
              <w:t>分类时间</w:t>
            </w:r>
          </w:p>
        </w:tc>
      </w:tr>
    </w:tbl>
    <w:p w14:paraId="092F0685">
      <w:pPr>
        <w:pStyle w:val="3"/>
        <w:numPr>
          <w:ilvl w:val="1"/>
          <w:numId w:val="1"/>
        </w:numPr>
        <w:tabs>
          <w:tab w:val="clear" w:pos="420"/>
        </w:tabs>
        <w:rPr>
          <w:color w:val="auto"/>
        </w:rPr>
      </w:pPr>
      <w:bookmarkStart w:id="234" w:name="_Toc24263"/>
      <w:bookmarkStart w:id="235" w:name="_Toc229086909"/>
      <w:r>
        <w:rPr>
          <w:rFonts w:hint="eastAsia"/>
          <w:color w:val="auto"/>
        </w:rPr>
        <w:t>系统实现</w:t>
      </w:r>
      <w:bookmarkEnd w:id="233"/>
      <w:bookmarkEnd w:id="234"/>
      <w:bookmarkEnd w:id="235"/>
    </w:p>
    <w:p w14:paraId="6C19DD5A">
      <w:pPr>
        <w:pStyle w:val="4"/>
        <w:numPr>
          <w:ilvl w:val="2"/>
          <w:numId w:val="1"/>
        </w:numPr>
        <w:rPr>
          <w:color w:val="auto"/>
        </w:rPr>
      </w:pPr>
      <w:bookmarkStart w:id="236" w:name="_Toc229086910"/>
      <w:bookmarkStart w:id="237" w:name="_Toc30417"/>
      <w:r>
        <w:rPr>
          <w:rFonts w:hint="eastAsia"/>
          <w:color w:val="auto"/>
        </w:rPr>
        <w:t>开发环境及工具</w:t>
      </w:r>
      <w:bookmarkEnd w:id="236"/>
      <w:bookmarkEnd w:id="237"/>
    </w:p>
    <w:p w14:paraId="374DB903">
      <w:pPr>
        <w:ind w:firstLine="480"/>
        <w:rPr>
          <w:color w:val="auto"/>
        </w:rPr>
      </w:pPr>
      <w:r>
        <w:rPr>
          <w:rFonts w:hint="eastAsia"/>
          <w:color w:val="auto"/>
        </w:rPr>
        <w:t>系统的搭建与运行需要稳定且兼容的软硬件环境，为保证系统完整以及实验可复现性，本文使用较为成熟的开发工具和技术栈进行该项目开发。</w:t>
      </w:r>
    </w:p>
    <w:p w14:paraId="3BBF708C">
      <w:pPr>
        <w:pStyle w:val="25"/>
        <w:rPr>
          <w:rFonts w:hint="default"/>
          <w:color w:val="auto"/>
        </w:rPr>
      </w:pPr>
      <w:r>
        <w:rPr>
          <w:color w:val="auto"/>
        </w:rPr>
        <w:t>表5-4  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77F0F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3A4D7723">
            <w:pPr>
              <w:pStyle w:val="26"/>
              <w:rPr>
                <w:rFonts w:hint="default"/>
                <w:color w:val="auto"/>
              </w:rPr>
            </w:pPr>
            <w:r>
              <w:rPr>
                <w:rFonts w:hint="default"/>
                <w:color w:val="auto"/>
              </w:rPr>
              <w:t>类别</w:t>
            </w:r>
          </w:p>
        </w:tc>
        <w:tc>
          <w:tcPr>
            <w:tcW w:w="4171" w:type="dxa"/>
            <w:tcBorders>
              <w:top w:val="single" w:color="auto" w:sz="8" w:space="0"/>
              <w:left w:val="nil"/>
              <w:bottom w:val="single" w:color="auto" w:sz="6" w:space="0"/>
              <w:right w:val="nil"/>
            </w:tcBorders>
            <w:vAlign w:val="bottom"/>
          </w:tcPr>
          <w:p w14:paraId="48E0501B">
            <w:pPr>
              <w:pStyle w:val="26"/>
              <w:rPr>
                <w:rFonts w:hint="default"/>
                <w:color w:val="auto"/>
              </w:rPr>
            </w:pPr>
            <w:r>
              <w:rPr>
                <w:rFonts w:hint="default"/>
                <w:color w:val="auto"/>
              </w:rPr>
              <w:t>名称/版本</w:t>
            </w:r>
          </w:p>
        </w:tc>
        <w:tc>
          <w:tcPr>
            <w:tcW w:w="2437" w:type="dxa"/>
            <w:tcBorders>
              <w:top w:val="single" w:color="auto" w:sz="8" w:space="0"/>
              <w:left w:val="nil"/>
              <w:bottom w:val="single" w:color="auto" w:sz="6" w:space="0"/>
              <w:right w:val="nil"/>
            </w:tcBorders>
            <w:vAlign w:val="bottom"/>
          </w:tcPr>
          <w:p w14:paraId="606E0635">
            <w:pPr>
              <w:pStyle w:val="26"/>
              <w:rPr>
                <w:rFonts w:hint="default"/>
                <w:color w:val="auto"/>
              </w:rPr>
            </w:pPr>
            <w:r>
              <w:rPr>
                <w:rFonts w:hint="default"/>
                <w:color w:val="auto"/>
              </w:rPr>
              <w:t>说明</w:t>
            </w:r>
          </w:p>
        </w:tc>
      </w:tr>
      <w:tr w14:paraId="5D39B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7229640B">
            <w:pPr>
              <w:pStyle w:val="26"/>
              <w:rPr>
                <w:rFonts w:hint="default"/>
                <w:color w:val="auto"/>
              </w:rPr>
            </w:pPr>
            <w:r>
              <w:rPr>
                <w:rFonts w:hint="default"/>
                <w:color w:val="auto"/>
              </w:rPr>
              <w:t>操作系统</w:t>
            </w:r>
          </w:p>
        </w:tc>
        <w:tc>
          <w:tcPr>
            <w:tcW w:w="4171" w:type="dxa"/>
            <w:tcBorders>
              <w:top w:val="single" w:color="auto" w:sz="6" w:space="0"/>
              <w:left w:val="nil"/>
              <w:bottom w:val="nil"/>
              <w:right w:val="nil"/>
            </w:tcBorders>
            <w:vAlign w:val="bottom"/>
          </w:tcPr>
          <w:p w14:paraId="38EFF4CE">
            <w:pPr>
              <w:pStyle w:val="26"/>
              <w:rPr>
                <w:rFonts w:hint="default"/>
                <w:color w:val="auto"/>
              </w:rPr>
            </w:pPr>
            <w:r>
              <w:rPr>
                <w:rFonts w:hint="default"/>
                <w:color w:val="auto"/>
              </w:rPr>
              <w:t>Windows 11 (x64)</w:t>
            </w:r>
          </w:p>
        </w:tc>
        <w:tc>
          <w:tcPr>
            <w:tcW w:w="2437" w:type="dxa"/>
            <w:tcBorders>
              <w:top w:val="single" w:color="auto" w:sz="6" w:space="0"/>
              <w:left w:val="nil"/>
              <w:bottom w:val="nil"/>
              <w:right w:val="nil"/>
            </w:tcBorders>
            <w:vAlign w:val="bottom"/>
          </w:tcPr>
          <w:p w14:paraId="688F5195">
            <w:pPr>
              <w:pStyle w:val="26"/>
              <w:rPr>
                <w:rFonts w:hint="default"/>
                <w:color w:val="auto"/>
              </w:rPr>
            </w:pPr>
            <w:r>
              <w:rPr>
                <w:rFonts w:hint="default"/>
                <w:color w:val="auto"/>
              </w:rPr>
              <w:t>基础运行平台</w:t>
            </w:r>
          </w:p>
        </w:tc>
      </w:tr>
      <w:tr w14:paraId="019B1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0B2DD1E4">
            <w:pPr>
              <w:pStyle w:val="26"/>
              <w:rPr>
                <w:rFonts w:hint="default"/>
                <w:color w:val="auto"/>
              </w:rPr>
            </w:pPr>
            <w:r>
              <w:rPr>
                <w:rFonts w:hint="default"/>
                <w:color w:val="auto"/>
              </w:rPr>
              <w:t>编程语言</w:t>
            </w:r>
            <w:r>
              <w:rPr>
                <w:color w:val="auto"/>
              </w:rPr>
              <w:t>和</w:t>
            </w:r>
            <w:r>
              <w:rPr>
                <w:rFonts w:hint="default"/>
                <w:color w:val="auto"/>
              </w:rPr>
              <w:t>运行时</w:t>
            </w:r>
          </w:p>
        </w:tc>
        <w:tc>
          <w:tcPr>
            <w:tcW w:w="4171" w:type="dxa"/>
            <w:tcBorders>
              <w:top w:val="nil"/>
              <w:left w:val="nil"/>
              <w:bottom w:val="nil"/>
              <w:right w:val="nil"/>
            </w:tcBorders>
            <w:vAlign w:val="bottom"/>
          </w:tcPr>
          <w:p w14:paraId="77D9D4F7">
            <w:pPr>
              <w:pStyle w:val="26"/>
              <w:rPr>
                <w:rFonts w:hint="default"/>
                <w:color w:val="auto"/>
              </w:rPr>
            </w:pPr>
            <w:r>
              <w:rPr>
                <w:rFonts w:hint="default"/>
                <w:color w:val="auto"/>
              </w:rPr>
              <w:t>JDK 1.8, Python 3.11.4, Node.js 18.15.0</w:t>
            </w:r>
          </w:p>
        </w:tc>
        <w:tc>
          <w:tcPr>
            <w:tcW w:w="2437" w:type="dxa"/>
            <w:tcBorders>
              <w:top w:val="nil"/>
              <w:left w:val="nil"/>
              <w:bottom w:val="nil"/>
              <w:right w:val="nil"/>
            </w:tcBorders>
            <w:vAlign w:val="bottom"/>
          </w:tcPr>
          <w:p w14:paraId="7ACC1052">
            <w:pPr>
              <w:pStyle w:val="26"/>
              <w:rPr>
                <w:rFonts w:hint="default"/>
                <w:color w:val="auto"/>
              </w:rPr>
            </w:pPr>
            <w:r>
              <w:rPr>
                <w:rFonts w:hint="default"/>
                <w:color w:val="auto"/>
              </w:rPr>
              <w:t>多语言混合开发环境</w:t>
            </w:r>
          </w:p>
        </w:tc>
      </w:tr>
      <w:tr w14:paraId="2DE70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37046E3A">
            <w:pPr>
              <w:pStyle w:val="26"/>
              <w:rPr>
                <w:rFonts w:hint="default"/>
                <w:color w:val="auto"/>
              </w:rPr>
            </w:pPr>
            <w:r>
              <w:rPr>
                <w:rFonts w:hint="default"/>
                <w:color w:val="auto"/>
              </w:rPr>
              <w:t>深度学习环境</w:t>
            </w:r>
          </w:p>
        </w:tc>
        <w:tc>
          <w:tcPr>
            <w:tcW w:w="4171" w:type="dxa"/>
            <w:tcBorders>
              <w:top w:val="nil"/>
              <w:left w:val="nil"/>
              <w:bottom w:val="nil"/>
              <w:right w:val="nil"/>
            </w:tcBorders>
            <w:vAlign w:val="bottom"/>
          </w:tcPr>
          <w:p w14:paraId="40057BBE">
            <w:pPr>
              <w:pStyle w:val="26"/>
              <w:rPr>
                <w:rFonts w:hint="default"/>
                <w:color w:val="auto"/>
              </w:rPr>
            </w:pPr>
            <w:r>
              <w:rPr>
                <w:rFonts w:hint="default"/>
                <w:color w:val="auto"/>
              </w:rPr>
              <w:t>CUDA Toolkit 12.8.93, Torch 2.7.1</w:t>
            </w:r>
          </w:p>
        </w:tc>
        <w:tc>
          <w:tcPr>
            <w:tcW w:w="2437" w:type="dxa"/>
            <w:tcBorders>
              <w:top w:val="nil"/>
              <w:left w:val="nil"/>
              <w:bottom w:val="nil"/>
              <w:right w:val="nil"/>
            </w:tcBorders>
            <w:vAlign w:val="bottom"/>
          </w:tcPr>
          <w:p w14:paraId="2D68F0B5">
            <w:pPr>
              <w:pStyle w:val="26"/>
              <w:rPr>
                <w:rFonts w:hint="default"/>
                <w:color w:val="auto"/>
              </w:rPr>
            </w:pPr>
            <w:r>
              <w:rPr>
                <w:rFonts w:hint="default"/>
                <w:color w:val="auto"/>
              </w:rPr>
              <w:t>模型推理支持</w:t>
            </w:r>
          </w:p>
        </w:tc>
      </w:tr>
      <w:tr w14:paraId="22AD2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138D736F">
            <w:pPr>
              <w:pStyle w:val="26"/>
              <w:rPr>
                <w:rFonts w:hint="default"/>
                <w:color w:val="auto"/>
              </w:rPr>
            </w:pPr>
            <w:r>
              <w:rPr>
                <w:rFonts w:hint="default"/>
                <w:color w:val="auto"/>
              </w:rPr>
              <w:t>开发工具</w:t>
            </w:r>
          </w:p>
        </w:tc>
        <w:tc>
          <w:tcPr>
            <w:tcW w:w="4171" w:type="dxa"/>
            <w:tcBorders>
              <w:top w:val="nil"/>
              <w:left w:val="nil"/>
              <w:bottom w:val="nil"/>
              <w:right w:val="nil"/>
            </w:tcBorders>
            <w:vAlign w:val="bottom"/>
          </w:tcPr>
          <w:p w14:paraId="34922E7C">
            <w:pPr>
              <w:pStyle w:val="26"/>
              <w:rPr>
                <w:rFonts w:hint="default"/>
                <w:color w:val="auto"/>
              </w:rPr>
            </w:pPr>
            <w:r>
              <w:rPr>
                <w:rFonts w:hint="default"/>
                <w:color w:val="auto"/>
              </w:rPr>
              <w:t>IntelliJ IDEA</w:t>
            </w:r>
          </w:p>
        </w:tc>
        <w:tc>
          <w:tcPr>
            <w:tcW w:w="2437" w:type="dxa"/>
            <w:tcBorders>
              <w:top w:val="nil"/>
              <w:left w:val="nil"/>
              <w:bottom w:val="nil"/>
              <w:right w:val="nil"/>
            </w:tcBorders>
            <w:vAlign w:val="bottom"/>
          </w:tcPr>
          <w:p w14:paraId="670E179F">
            <w:pPr>
              <w:pStyle w:val="26"/>
              <w:rPr>
                <w:rFonts w:hint="default"/>
                <w:color w:val="auto"/>
              </w:rPr>
            </w:pPr>
            <w:r>
              <w:rPr>
                <w:rFonts w:hint="default"/>
                <w:color w:val="auto"/>
              </w:rPr>
              <w:t>集成开发环境</w:t>
            </w:r>
          </w:p>
        </w:tc>
      </w:tr>
      <w:tr w14:paraId="4F20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66D8E374">
            <w:pPr>
              <w:pStyle w:val="26"/>
              <w:rPr>
                <w:rFonts w:hint="default"/>
                <w:color w:val="auto"/>
              </w:rPr>
            </w:pPr>
            <w:r>
              <w:rPr>
                <w:rFonts w:hint="default"/>
                <w:color w:val="auto"/>
              </w:rPr>
              <w:t>数据库</w:t>
            </w:r>
          </w:p>
        </w:tc>
        <w:tc>
          <w:tcPr>
            <w:tcW w:w="4171" w:type="dxa"/>
            <w:tcBorders>
              <w:top w:val="nil"/>
              <w:left w:val="nil"/>
              <w:bottom w:val="nil"/>
              <w:right w:val="nil"/>
            </w:tcBorders>
            <w:vAlign w:val="bottom"/>
          </w:tcPr>
          <w:p w14:paraId="299AD825">
            <w:pPr>
              <w:pStyle w:val="26"/>
              <w:rPr>
                <w:rFonts w:hint="default"/>
                <w:color w:val="auto"/>
              </w:rPr>
            </w:pPr>
            <w:r>
              <w:rPr>
                <w:rFonts w:hint="default"/>
                <w:color w:val="auto"/>
              </w:rPr>
              <w:t>MySQL 5.7</w:t>
            </w:r>
          </w:p>
        </w:tc>
        <w:tc>
          <w:tcPr>
            <w:tcW w:w="2437" w:type="dxa"/>
            <w:tcBorders>
              <w:top w:val="nil"/>
              <w:left w:val="nil"/>
              <w:bottom w:val="nil"/>
              <w:right w:val="nil"/>
            </w:tcBorders>
            <w:vAlign w:val="bottom"/>
          </w:tcPr>
          <w:p w14:paraId="3462D8B6">
            <w:pPr>
              <w:pStyle w:val="26"/>
              <w:rPr>
                <w:rFonts w:hint="default"/>
                <w:color w:val="auto"/>
              </w:rPr>
            </w:pPr>
            <w:r>
              <w:rPr>
                <w:rFonts w:hint="default"/>
                <w:color w:val="auto"/>
              </w:rPr>
              <w:t>关系型数据持久化存储</w:t>
            </w:r>
          </w:p>
        </w:tc>
      </w:tr>
      <w:tr w14:paraId="65F5B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EC33713">
            <w:pPr>
              <w:pStyle w:val="26"/>
              <w:rPr>
                <w:rFonts w:hint="default"/>
                <w:color w:val="auto"/>
              </w:rPr>
            </w:pPr>
            <w:r>
              <w:rPr>
                <w:rFonts w:hint="default"/>
                <w:color w:val="auto"/>
              </w:rPr>
              <w:t>前端技术栈</w:t>
            </w:r>
          </w:p>
        </w:tc>
        <w:tc>
          <w:tcPr>
            <w:tcW w:w="4171" w:type="dxa"/>
            <w:tcBorders>
              <w:top w:val="nil"/>
              <w:left w:val="nil"/>
              <w:bottom w:val="nil"/>
              <w:right w:val="nil"/>
            </w:tcBorders>
            <w:vAlign w:val="bottom"/>
          </w:tcPr>
          <w:p w14:paraId="1224B1A4">
            <w:pPr>
              <w:pStyle w:val="26"/>
              <w:rPr>
                <w:rFonts w:hint="default"/>
                <w:color w:val="auto"/>
              </w:rPr>
            </w:pPr>
            <w:r>
              <w:rPr>
                <w:rFonts w:hint="default"/>
                <w:color w:val="auto"/>
              </w:rPr>
              <w:t>Vue 2.6.14, Element UI 2.15.14, ECharts 5.6.0</w:t>
            </w:r>
          </w:p>
        </w:tc>
        <w:tc>
          <w:tcPr>
            <w:tcW w:w="2437" w:type="dxa"/>
            <w:tcBorders>
              <w:top w:val="nil"/>
              <w:left w:val="nil"/>
              <w:bottom w:val="nil"/>
              <w:right w:val="nil"/>
            </w:tcBorders>
            <w:vAlign w:val="bottom"/>
          </w:tcPr>
          <w:p w14:paraId="24BF9CF9">
            <w:pPr>
              <w:pStyle w:val="26"/>
              <w:rPr>
                <w:rFonts w:hint="default"/>
                <w:color w:val="auto"/>
              </w:rPr>
            </w:pPr>
            <w:r>
              <w:rPr>
                <w:color w:val="auto"/>
              </w:rPr>
              <w:t>用户交互、数据展示等</w:t>
            </w:r>
          </w:p>
        </w:tc>
      </w:tr>
      <w:tr w14:paraId="6A7F6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1FBB5ADB">
            <w:pPr>
              <w:pStyle w:val="26"/>
              <w:rPr>
                <w:rFonts w:hint="default"/>
                <w:color w:val="auto"/>
              </w:rPr>
            </w:pPr>
            <w:r>
              <w:rPr>
                <w:rFonts w:hint="default"/>
                <w:color w:val="auto"/>
              </w:rPr>
              <w:t>后端框架</w:t>
            </w:r>
          </w:p>
        </w:tc>
        <w:tc>
          <w:tcPr>
            <w:tcW w:w="4171" w:type="dxa"/>
            <w:tcBorders>
              <w:top w:val="nil"/>
              <w:left w:val="nil"/>
              <w:bottom w:val="single" w:color="auto" w:sz="8" w:space="0"/>
              <w:right w:val="nil"/>
            </w:tcBorders>
            <w:vAlign w:val="bottom"/>
          </w:tcPr>
          <w:p w14:paraId="71995800">
            <w:pPr>
              <w:pStyle w:val="26"/>
              <w:rPr>
                <w:rFonts w:hint="default"/>
                <w:color w:val="auto"/>
              </w:rPr>
            </w:pPr>
            <w:r>
              <w:rPr>
                <w:rFonts w:hint="default"/>
                <w:color w:val="auto"/>
              </w:rPr>
              <w:t>Spring Boot 2.6.13, Flask 3.1.2</w:t>
            </w:r>
          </w:p>
        </w:tc>
        <w:tc>
          <w:tcPr>
            <w:tcW w:w="2437" w:type="dxa"/>
            <w:tcBorders>
              <w:top w:val="nil"/>
              <w:left w:val="nil"/>
              <w:bottom w:val="single" w:color="auto" w:sz="8" w:space="0"/>
              <w:right w:val="nil"/>
            </w:tcBorders>
            <w:vAlign w:val="bottom"/>
          </w:tcPr>
          <w:p w14:paraId="22D1ED0A">
            <w:pPr>
              <w:pStyle w:val="26"/>
              <w:rPr>
                <w:rFonts w:hint="default"/>
                <w:color w:val="auto"/>
              </w:rPr>
            </w:pPr>
            <w:r>
              <w:rPr>
                <w:color w:val="auto"/>
              </w:rPr>
              <w:t>业务逻辑及模型支持</w:t>
            </w:r>
          </w:p>
        </w:tc>
      </w:tr>
    </w:tbl>
    <w:p w14:paraId="34C4EFBC">
      <w:pPr>
        <w:ind w:firstLine="480"/>
        <w:rPr>
          <w:color w:val="auto"/>
        </w:rPr>
      </w:pPr>
      <w:r>
        <w:rPr>
          <w:rFonts w:hint="eastAsia"/>
          <w:color w:val="auto"/>
        </w:rPr>
        <w:t>具体软硬件环境以及相关软件版本如表5-4所示。操作系统使用Windows11作为底层操作系统，开发语言采用Java与Python结合方式编写程序，在JDK</w:t>
      </w:r>
      <w:r>
        <w:rPr>
          <w:rFonts w:hint="eastAsia"/>
          <w:color w:val="auto"/>
          <w:lang w:val="en-US" w:eastAsia="zh-CN"/>
        </w:rPr>
        <w:t xml:space="preserve"> </w:t>
      </w:r>
      <w:r>
        <w:rPr>
          <w:rFonts w:hint="eastAsia"/>
          <w:color w:val="auto"/>
        </w:rPr>
        <w:t>1.8和Python</w:t>
      </w:r>
      <w:r>
        <w:rPr>
          <w:rFonts w:hint="eastAsia"/>
          <w:color w:val="auto"/>
          <w:lang w:val="en-US" w:eastAsia="zh-CN"/>
        </w:rPr>
        <w:t xml:space="preserve"> </w:t>
      </w:r>
      <w:r>
        <w:rPr>
          <w:rFonts w:hint="eastAsia"/>
          <w:color w:val="auto"/>
        </w:rPr>
        <w:t>3.11.4上实现运行时环境，在深度学习部分使用CUDA</w:t>
      </w:r>
      <w:r>
        <w:rPr>
          <w:rFonts w:hint="eastAsia"/>
          <w:color w:val="auto"/>
          <w:lang w:val="en-US" w:eastAsia="zh-CN"/>
        </w:rPr>
        <w:t xml:space="preserve"> </w:t>
      </w:r>
      <w:r>
        <w:rPr>
          <w:rFonts w:hint="eastAsia"/>
          <w:color w:val="auto"/>
        </w:rPr>
        <w:t>Toolkit</w:t>
      </w:r>
      <w:r>
        <w:rPr>
          <w:rFonts w:hint="eastAsia"/>
          <w:color w:val="auto"/>
          <w:lang w:val="en-US" w:eastAsia="zh-CN"/>
        </w:rPr>
        <w:t xml:space="preserve"> </w:t>
      </w:r>
      <w:r>
        <w:rPr>
          <w:rFonts w:hint="eastAsia"/>
          <w:color w:val="auto"/>
        </w:rPr>
        <w:t>12.8和Torch</w:t>
      </w:r>
      <w:r>
        <w:rPr>
          <w:rFonts w:hint="eastAsia"/>
          <w:color w:val="auto"/>
          <w:lang w:val="en-US" w:eastAsia="zh-CN"/>
        </w:rPr>
        <w:t xml:space="preserve"> </w:t>
      </w:r>
      <w:r>
        <w:rPr>
          <w:rFonts w:hint="eastAsia"/>
          <w:color w:val="auto"/>
        </w:rPr>
        <w:t>2.7.1提供计算能力。前端和后端均基于Vue全家桶、Spring</w:t>
      </w:r>
      <w:r>
        <w:rPr>
          <w:rFonts w:hint="eastAsia"/>
          <w:color w:val="auto"/>
          <w:lang w:val="en-US" w:eastAsia="zh-CN"/>
        </w:rPr>
        <w:t xml:space="preserve"> </w:t>
      </w:r>
      <w:r>
        <w:rPr>
          <w:rFonts w:hint="eastAsia"/>
          <w:color w:val="auto"/>
        </w:rPr>
        <w:t>Boot以及Flask框架完成，而数据库使用成熟稳定的MySQL</w:t>
      </w:r>
      <w:r>
        <w:rPr>
          <w:rFonts w:hint="eastAsia"/>
          <w:color w:val="auto"/>
          <w:lang w:val="en-US" w:eastAsia="zh-CN"/>
        </w:rPr>
        <w:t xml:space="preserve"> </w:t>
      </w:r>
      <w:r>
        <w:rPr>
          <w:rFonts w:hint="eastAsia"/>
          <w:color w:val="auto"/>
        </w:rPr>
        <w:t>5.7。</w:t>
      </w:r>
    </w:p>
    <w:p w14:paraId="022DDA30">
      <w:pPr>
        <w:pStyle w:val="4"/>
        <w:numPr>
          <w:ilvl w:val="2"/>
          <w:numId w:val="1"/>
        </w:numPr>
        <w:rPr>
          <w:color w:val="auto"/>
        </w:rPr>
      </w:pPr>
      <w:bookmarkStart w:id="238" w:name="_Toc229086911"/>
      <w:bookmarkStart w:id="239" w:name="_Toc9668"/>
      <w:r>
        <w:rPr>
          <w:rFonts w:hint="eastAsia"/>
          <w:color w:val="auto"/>
        </w:rPr>
        <w:t>用户模块实现</w:t>
      </w:r>
      <w:bookmarkEnd w:id="238"/>
      <w:bookmarkEnd w:id="239"/>
    </w:p>
    <w:p w14:paraId="34182394">
      <w:pPr>
        <w:ind w:firstLine="420" w:firstLineChars="0"/>
        <w:rPr>
          <w:color w:val="auto"/>
        </w:rPr>
      </w:pPr>
      <w:r>
        <w:rPr>
          <w:rFonts w:hint="eastAsia"/>
          <w:color w:val="auto"/>
        </w:rPr>
        <w:t>用户模块用于承担系统访问控制和身份认证功能，在其中负责用户的认证以及授权工作。用户模块基于Spring</w:t>
      </w:r>
      <w:r>
        <w:rPr>
          <w:rFonts w:hint="eastAsia"/>
          <w:color w:val="auto"/>
          <w:lang w:val="en-US" w:eastAsia="zh-CN"/>
        </w:rPr>
        <w:t xml:space="preserve"> </w:t>
      </w:r>
      <w:r>
        <w:rPr>
          <w:rFonts w:hint="eastAsia"/>
          <w:color w:val="auto"/>
        </w:rPr>
        <w:t>Boot开发实现，采用RESTful风格与前端通信，如图5-3所示，包括用户注册、登录认证和忘记密码三个部分。</w:t>
      </w:r>
    </w:p>
    <w:p w14:paraId="1D19AAD4">
      <w:pPr>
        <w:numPr>
          <w:ilvl w:val="0"/>
          <w:numId w:val="17"/>
        </w:numPr>
        <w:ind w:firstLine="480"/>
        <w:rPr>
          <w:color w:val="auto"/>
        </w:rPr>
      </w:pPr>
      <w:r>
        <w:rPr>
          <w:rFonts w:hint="eastAsia"/>
          <w:color w:val="auto"/>
        </w:rPr>
        <w:t>用户注册</w:t>
      </w:r>
    </w:p>
    <w:p w14:paraId="7CBB4B1F">
      <w:pPr>
        <w:ind w:firstLine="480"/>
        <w:rPr>
          <w:color w:val="auto"/>
        </w:rPr>
      </w:pPr>
      <w:r>
        <w:rPr>
          <w:rFonts w:hint="eastAsia"/>
          <w:color w:val="auto"/>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同时也会生成一个</w:t>
      </w:r>
      <w:r>
        <w:rPr>
          <w:rFonts w:hint="eastAsia"/>
          <w:color w:val="auto"/>
          <w:lang w:val="en-US" w:eastAsia="zh-CN"/>
        </w:rPr>
        <w:t>T</w:t>
      </w:r>
      <w:r>
        <w:rPr>
          <w:rFonts w:hint="eastAsia"/>
          <w:color w:val="auto"/>
        </w:rPr>
        <w:t>oken返回给前端使得用户能够实现注册后自动登录。</w:t>
      </w:r>
    </w:p>
    <w:p w14:paraId="383DE8BC">
      <w:pPr>
        <w:ind w:firstLine="0" w:firstLineChars="0"/>
        <w:rPr>
          <w:color w:val="auto"/>
        </w:rPr>
      </w:pPr>
      <w:r>
        <w:rPr>
          <w:color w:val="auto"/>
        </w:rP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3A165388">
      <w:pPr>
        <w:pStyle w:val="25"/>
        <w:rPr>
          <w:rFonts w:hint="default"/>
          <w:color w:val="auto"/>
        </w:rPr>
      </w:pPr>
      <w:r>
        <w:rPr>
          <w:color w:val="auto"/>
        </w:rPr>
        <w:t>图5-3  用户模块功能界面</w:t>
      </w:r>
    </w:p>
    <w:p w14:paraId="058F5D14">
      <w:pPr>
        <w:numPr>
          <w:ilvl w:val="0"/>
          <w:numId w:val="17"/>
        </w:numPr>
        <w:ind w:firstLine="480"/>
        <w:rPr>
          <w:color w:val="auto"/>
        </w:rPr>
      </w:pPr>
      <w:r>
        <w:rPr>
          <w:rFonts w:hint="eastAsia"/>
          <w:color w:val="auto"/>
        </w:rPr>
        <w:t>登录认证</w:t>
      </w:r>
    </w:p>
    <w:p w14:paraId="67F2857B">
      <w:pPr>
        <w:ind w:firstLine="480"/>
        <w:rPr>
          <w:color w:val="auto"/>
        </w:rPr>
      </w:pPr>
      <w:r>
        <w:rPr>
          <w:rFonts w:hint="eastAsia"/>
          <w:color w:val="auto"/>
        </w:rPr>
        <w:t>登录操作利用/api/auth/login接口来完成，当用户向服务器发送用户名及密码时，服务器会在数据库里查找是否有此账户信息，如果找到，则说明这个用户存在，后端生成唯一Token并返回前端，这个Token是包含用户id以及当前时间戳的信息，然后放在响应体里面返回到前端，前端拿到这个Token之后就保存到本地并在所有API请求头里带上这个Token作为自己的标识符，从而达到无状态会话的目的。</w:t>
      </w:r>
    </w:p>
    <w:p w14:paraId="5DF7A8E2">
      <w:pPr>
        <w:numPr>
          <w:ilvl w:val="0"/>
          <w:numId w:val="17"/>
        </w:numPr>
        <w:ind w:firstLine="480"/>
        <w:rPr>
          <w:color w:val="auto"/>
        </w:rPr>
      </w:pPr>
      <w:r>
        <w:rPr>
          <w:rFonts w:hint="eastAsia"/>
          <w:color w:val="auto"/>
        </w:rPr>
        <w:t>密码找回</w:t>
      </w:r>
    </w:p>
    <w:p w14:paraId="0116C0D8">
      <w:pPr>
        <w:ind w:firstLine="480"/>
        <w:rPr>
          <w:color w:val="auto"/>
        </w:rPr>
      </w:pPr>
      <w:r>
        <w:rPr>
          <w:rFonts w:hint="eastAsia"/>
          <w:color w:val="auto"/>
        </w:rPr>
        <w:t>当用户忘记密码时，本文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该流程可降低非授权密码重置风险，并为用户提供账号恢复途径。</w:t>
      </w:r>
    </w:p>
    <w:p w14:paraId="60F0D0AB">
      <w:pPr>
        <w:pStyle w:val="4"/>
        <w:numPr>
          <w:ilvl w:val="2"/>
          <w:numId w:val="1"/>
        </w:numPr>
        <w:rPr>
          <w:color w:val="auto"/>
        </w:rPr>
      </w:pPr>
      <w:bookmarkStart w:id="240" w:name="_Toc2917"/>
      <w:bookmarkStart w:id="241" w:name="_Toc229086912"/>
      <w:r>
        <w:rPr>
          <w:rFonts w:hint="eastAsia"/>
          <w:color w:val="auto"/>
        </w:rPr>
        <w:t>单条分类模块实现</w:t>
      </w:r>
      <w:bookmarkEnd w:id="240"/>
      <w:bookmarkEnd w:id="241"/>
    </w:p>
    <w:p w14:paraId="118224CA">
      <w:pPr>
        <w:ind w:firstLine="420" w:firstLineChars="0"/>
        <w:rPr>
          <w:color w:val="auto"/>
        </w:rPr>
      </w:pPr>
      <w:r>
        <w:rPr>
          <w:rFonts w:hint="eastAsia"/>
          <w:color w:val="auto"/>
        </w:rPr>
        <w:t>单条分类模块通过/api/patent/classify接口实现。前端提交摘要后，Java后端先判断摘要是否为空，再从Token中解析用户ID，并将摘要封装为JSON请求发送至Python推理服务的/predict接口。</w:t>
      </w:r>
    </w:p>
    <w:p w14:paraId="48CA1134">
      <w:pPr>
        <w:ind w:firstLine="420" w:firstLineChars="0"/>
        <w:rPr>
          <w:color w:val="auto"/>
        </w:rPr>
      </w:pPr>
      <w:r>
        <w:rPr>
          <w:rFonts w:hint="eastAsia"/>
          <w:color w:val="auto"/>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0B02DE19">
      <w:pPr>
        <w:ind w:firstLine="0" w:firstLineChars="0"/>
        <w:rPr>
          <w:color w:val="auto"/>
        </w:rPr>
      </w:pPr>
      <w:r>
        <w:rPr>
          <w:color w:val="auto"/>
        </w:rP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080F0F45">
      <w:pPr>
        <w:pStyle w:val="25"/>
        <w:rPr>
          <w:rFonts w:hint="default"/>
          <w:color w:val="auto"/>
        </w:rPr>
      </w:pPr>
      <w:r>
        <w:rPr>
          <w:color w:val="auto"/>
        </w:rPr>
        <w:t>图5-4  单条分类界面</w:t>
      </w:r>
    </w:p>
    <w:p w14:paraId="44C987A8">
      <w:pPr>
        <w:ind w:firstLine="420" w:firstLineChars="0"/>
        <w:rPr>
          <w:color w:val="auto"/>
        </w:rPr>
      </w:pPr>
      <w:r>
        <w:rPr>
          <w:rFonts w:hint="eastAsia"/>
          <w:color w:val="auto"/>
        </w:rPr>
        <w:t>前端接收结果后展示预测类别、置信度和概率分布图，使用户既能获得最终分类标签，也能查看模型对其他类别的概率判断。</w:t>
      </w:r>
    </w:p>
    <w:p w14:paraId="02661DB7">
      <w:pPr>
        <w:pStyle w:val="4"/>
        <w:numPr>
          <w:ilvl w:val="2"/>
          <w:numId w:val="1"/>
        </w:numPr>
        <w:rPr>
          <w:color w:val="auto"/>
        </w:rPr>
      </w:pPr>
      <w:bookmarkStart w:id="242" w:name="_Toc15366"/>
      <w:bookmarkStart w:id="243" w:name="_Toc229086913"/>
      <w:r>
        <w:rPr>
          <w:rFonts w:hint="eastAsia"/>
          <w:color w:val="auto"/>
        </w:rPr>
        <w:t>批量分类模块实现</w:t>
      </w:r>
      <w:bookmarkEnd w:id="242"/>
      <w:bookmarkEnd w:id="243"/>
    </w:p>
    <w:p w14:paraId="228E9541">
      <w:pPr>
        <w:ind w:firstLine="480"/>
        <w:rPr>
          <w:color w:val="auto"/>
          <w:highlight w:val="yellow"/>
        </w:rPr>
      </w:pPr>
      <w:r>
        <w:rPr>
          <w:rFonts w:hint="eastAsia"/>
          <w:color w:val="auto"/>
          <w:highlight w:val="yellow"/>
        </w:rPr>
        <w:t>批量分类模块由/api/patent/upload-preview和/api/patent/batch-classify两个接口配合完成，前者负责文件预览，后者负责执行批量分类。</w:t>
      </w:r>
    </w:p>
    <w:p w14:paraId="530092B1">
      <w:pPr>
        <w:ind w:firstLine="480"/>
        <w:rPr>
          <w:color w:val="auto"/>
          <w:highlight w:val="yellow"/>
        </w:rPr>
      </w:pPr>
      <w:r>
        <w:rPr>
          <w:rFonts w:hint="eastAsia"/>
          <w:color w:val="auto"/>
          <w:highlight w:val="yellow"/>
        </w:rPr>
        <w:t>用户上传Excel文件后，前端将文件发送至/api/patent/upload-preview。后端检查文件是否为空，并判断文件格式是否符合批量导入要求，校验通过后，系统使用EasyExcel解析表头和数据行，返回列名列表、总行数以及前5行预览数据。用户据此选择摘要所在列。</w:t>
      </w:r>
    </w:p>
    <w:p w14:paraId="580863FF">
      <w:pPr>
        <w:ind w:firstLine="480"/>
        <w:rPr>
          <w:color w:val="auto"/>
          <w:highlight w:val="yellow"/>
        </w:rPr>
      </w:pPr>
      <w:r>
        <w:rPr>
          <w:rFonts w:hint="eastAsia"/>
          <w:color w:val="auto"/>
          <w:highlight w:val="yellow"/>
        </w:rPr>
        <w:t>用户确认摘要列后，前端将文件和列名提交至/api/patent/batch-classify，后端重新解析文件，检查摘要列是否存在，同时判断记录数是否超过50条，通过校验后，系统生成UUID作为本次任务的batch_id，再逐条读取摘要并调用Python推理服务。逐条调用策略能够降低模型服务瞬时压力，并便于记录单条失败原因。</w:t>
      </w:r>
    </w:p>
    <w:p w14:paraId="54F1035B">
      <w:pPr>
        <w:ind w:firstLine="480"/>
        <w:rPr>
          <w:color w:val="auto"/>
          <w:highlight w:val="yellow"/>
        </w:rPr>
      </w:pPr>
      <w:r>
        <w:rPr>
          <w:rFonts w:hint="eastAsia"/>
          <w:color w:val="auto"/>
          <w:highlight w:val="yellow"/>
        </w:rPr>
        <w:t>分类成功的记录被封装为ClassificationRecord对象，其中source设置为batch，batch_id设置为本次任务ID，批量任务结束后，系统将成功记录写入数据库，并向前端返回批次ID、总数、成功数、失败数、成功结果列表和失败列表。用户后续可在历史页面通过批次ID查询本次任务的全部结果。</w:t>
      </w:r>
    </w:p>
    <w:p w14:paraId="3D1A8C1B">
      <w:pPr>
        <w:ind w:firstLine="0" w:firstLineChars="0"/>
        <w:rPr>
          <w:color w:val="auto"/>
          <w:highlight w:val="yellow"/>
        </w:rPr>
      </w:pPr>
      <w:r>
        <w:rPr>
          <w:color w:val="auto"/>
          <w:highlight w:val="yellow"/>
        </w:rP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3E7DBDAD">
      <w:pPr>
        <w:pStyle w:val="25"/>
        <w:rPr>
          <w:rFonts w:hint="default"/>
          <w:color w:val="auto"/>
          <w:highlight w:val="yellow"/>
        </w:rPr>
      </w:pPr>
      <w:r>
        <w:rPr>
          <w:color w:val="auto"/>
          <w:highlight w:val="yellow"/>
        </w:rPr>
        <w:t>图5-5  批量分类功能界面</w:t>
      </w:r>
    </w:p>
    <w:p w14:paraId="78E275D4">
      <w:pPr>
        <w:pStyle w:val="4"/>
        <w:numPr>
          <w:ilvl w:val="2"/>
          <w:numId w:val="1"/>
        </w:numPr>
        <w:rPr>
          <w:color w:val="auto"/>
          <w:highlight w:val="yellow"/>
        </w:rPr>
      </w:pPr>
      <w:bookmarkStart w:id="244" w:name="_Toc229086914"/>
      <w:bookmarkStart w:id="245" w:name="_Toc6854"/>
      <w:r>
        <w:rPr>
          <w:rFonts w:hint="eastAsia"/>
          <w:color w:val="auto"/>
          <w:highlight w:val="yellow"/>
        </w:rPr>
        <w:t>分类历史与导出模块实现</w:t>
      </w:r>
      <w:bookmarkEnd w:id="244"/>
      <w:bookmarkEnd w:id="245"/>
    </w:p>
    <w:p w14:paraId="22CF3A02">
      <w:pPr>
        <w:ind w:firstLine="480"/>
        <w:rPr>
          <w:color w:val="auto"/>
          <w:highlight w:val="yellow"/>
        </w:rPr>
      </w:pPr>
      <w:r>
        <w:rPr>
          <w:rFonts w:hint="eastAsia"/>
          <w:color w:val="auto"/>
          <w:highlight w:val="yellow"/>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F1191A">
      <w:pPr>
        <w:ind w:firstLine="480"/>
        <w:rPr>
          <w:color w:val="auto"/>
          <w:highlight w:val="yellow"/>
        </w:rPr>
      </w:pPr>
      <w:r>
        <w:rPr>
          <w:rFonts w:hint="eastAsia"/>
          <w:color w:val="auto"/>
          <w:highlight w:val="yellow"/>
        </w:rPr>
        <w:t>详情接口返回单条记录的完整摘要和全部类别概率分布。前端在详情弹窗中复用概率图组件，使在线分类结果和历史记录详情保持一致的展示方式。</w:t>
      </w:r>
    </w:p>
    <w:p w14:paraId="765C9AA9">
      <w:pPr>
        <w:ind w:firstLine="480"/>
        <w:rPr>
          <w:color w:val="auto"/>
          <w:highlight w:val="yellow"/>
        </w:rPr>
      </w:pPr>
      <w:r>
        <w:rPr>
          <w:rFonts w:hint="eastAsia"/>
          <w:color w:val="auto"/>
          <w:highlight w:val="yellow"/>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w:t>
      </w:r>
      <w:r>
        <w:rPr>
          <w:rStyle w:val="33"/>
          <w:rFonts w:hint="eastAsia"/>
          <w:color w:val="auto"/>
          <w:highlight w:val="yellow"/>
        </w:rPr>
        <w:t>[64]</w:t>
      </w:r>
      <w:r>
        <w:rPr>
          <w:rFonts w:hint="eastAsia"/>
          <w:color w:val="auto"/>
          <w:highlight w:val="yellow"/>
        </w:rPr>
        <w:t>，以响应流形式返回前端。导出内容可用于离线复核和阶段性结果归档。</w:t>
      </w:r>
    </w:p>
    <w:p w14:paraId="59A649A5">
      <w:pPr>
        <w:ind w:firstLine="0" w:firstLineChars="0"/>
        <w:rPr>
          <w:color w:val="auto"/>
        </w:rPr>
      </w:pPr>
      <w:r>
        <w:rPr>
          <w:color w:val="auto"/>
        </w:rP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5B642046">
      <w:pPr>
        <w:pStyle w:val="25"/>
        <w:rPr>
          <w:rFonts w:hint="default"/>
          <w:color w:val="auto"/>
        </w:rPr>
      </w:pPr>
      <w:r>
        <w:rPr>
          <w:color w:val="auto"/>
        </w:rPr>
        <w:t>图5-6  分类历史与结果导出功能界面</w:t>
      </w:r>
    </w:p>
    <w:p w14:paraId="2B36F566">
      <w:pPr>
        <w:pStyle w:val="3"/>
        <w:numPr>
          <w:ilvl w:val="1"/>
          <w:numId w:val="1"/>
        </w:numPr>
        <w:tabs>
          <w:tab w:val="clear" w:pos="420"/>
        </w:tabs>
        <w:rPr>
          <w:color w:val="auto"/>
        </w:rPr>
      </w:pPr>
      <w:bookmarkStart w:id="246" w:name="_Toc11527"/>
      <w:bookmarkStart w:id="247" w:name="_Toc229086915"/>
      <w:r>
        <w:rPr>
          <w:color w:val="auto"/>
        </w:rPr>
        <w:t>系统测试与验证</w:t>
      </w:r>
      <w:bookmarkEnd w:id="246"/>
      <w:bookmarkEnd w:id="247"/>
    </w:p>
    <w:p w14:paraId="767106F8">
      <w:pPr>
        <w:ind w:firstLine="480"/>
        <w:rPr>
          <w:color w:val="auto"/>
        </w:rPr>
      </w:pPr>
      <w:r>
        <w:rPr>
          <w:color w:val="auto"/>
        </w:rP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color w:val="auto"/>
        </w:rPr>
        <w:t>。</w:t>
      </w:r>
    </w:p>
    <w:p w14:paraId="69254BC8">
      <w:pPr>
        <w:pStyle w:val="4"/>
        <w:numPr>
          <w:ilvl w:val="2"/>
          <w:numId w:val="1"/>
        </w:numPr>
        <w:rPr>
          <w:color w:val="auto"/>
        </w:rPr>
      </w:pPr>
      <w:bookmarkStart w:id="248" w:name="_Toc10614"/>
      <w:bookmarkStart w:id="249" w:name="_Toc229086916"/>
      <w:r>
        <w:rPr>
          <w:rFonts w:hint="eastAsia"/>
          <w:color w:val="auto"/>
        </w:rPr>
        <w:t>功能测试</w:t>
      </w:r>
      <w:bookmarkEnd w:id="248"/>
      <w:bookmarkEnd w:id="249"/>
    </w:p>
    <w:p w14:paraId="56D922E1">
      <w:pPr>
        <w:ind w:firstLine="480"/>
        <w:rPr>
          <w:color w:val="auto"/>
          <w:highlight w:val="yellow"/>
        </w:rPr>
      </w:pPr>
      <w:r>
        <w:rPr>
          <w:rFonts w:hint="eastAsia"/>
          <w:color w:val="auto"/>
          <w:highlight w:val="yellow"/>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631BE8CE">
      <w:pPr>
        <w:pStyle w:val="25"/>
        <w:rPr>
          <w:rFonts w:hint="default"/>
          <w:color w:val="auto"/>
          <w:highlight w:val="yellow"/>
        </w:rPr>
      </w:pPr>
      <w:r>
        <w:rPr>
          <w:color w:val="auto"/>
          <w:highlight w:val="yellow"/>
        </w:rPr>
        <w:t>表5-5  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96"/>
        <w:gridCol w:w="1104"/>
        <w:gridCol w:w="3009"/>
        <w:gridCol w:w="3313"/>
      </w:tblGrid>
      <w:tr w14:paraId="5B08F15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bottom w:val="single" w:color="auto" w:sz="6" w:space="0"/>
              <w:tl2br w:val="nil"/>
              <w:tr2bl w:val="nil"/>
            </w:tcBorders>
            <w:shd w:val="clear" w:color="auto" w:fill="FFFFFF"/>
            <w:vAlign w:val="center"/>
          </w:tcPr>
          <w:p w14:paraId="40BF0339">
            <w:pPr>
              <w:pStyle w:val="26"/>
              <w:rPr>
                <w:rFonts w:hint="default"/>
                <w:color w:val="auto"/>
                <w:highlight w:val="yellow"/>
              </w:rPr>
            </w:pPr>
            <w:r>
              <w:rPr>
                <w:rFonts w:hint="default"/>
                <w:color w:val="auto"/>
                <w:highlight w:val="yellow"/>
              </w:rPr>
              <w:t>用例编号</w:t>
            </w:r>
          </w:p>
        </w:tc>
        <w:tc>
          <w:tcPr>
            <w:tcW w:w="1104" w:type="dxa"/>
            <w:tcBorders>
              <w:bottom w:val="single" w:color="auto" w:sz="6" w:space="0"/>
              <w:tl2br w:val="nil"/>
              <w:tr2bl w:val="nil"/>
            </w:tcBorders>
            <w:shd w:val="clear" w:color="auto" w:fill="FFFFFF"/>
            <w:vAlign w:val="center"/>
          </w:tcPr>
          <w:p w14:paraId="7AEB7A1F">
            <w:pPr>
              <w:pStyle w:val="26"/>
              <w:rPr>
                <w:rFonts w:hint="default"/>
                <w:color w:val="auto"/>
                <w:highlight w:val="yellow"/>
              </w:rPr>
            </w:pPr>
            <w:r>
              <w:rPr>
                <w:rFonts w:hint="default"/>
                <w:color w:val="auto"/>
                <w:highlight w:val="yellow"/>
              </w:rPr>
              <w:t>测试功能</w:t>
            </w:r>
          </w:p>
        </w:tc>
        <w:tc>
          <w:tcPr>
            <w:tcW w:w="3009" w:type="dxa"/>
            <w:tcBorders>
              <w:bottom w:val="single" w:color="auto" w:sz="6" w:space="0"/>
              <w:tl2br w:val="nil"/>
              <w:tr2bl w:val="nil"/>
            </w:tcBorders>
            <w:shd w:val="clear" w:color="auto" w:fill="FFFFFF"/>
            <w:vAlign w:val="center"/>
          </w:tcPr>
          <w:p w14:paraId="36B8DDFD">
            <w:pPr>
              <w:pStyle w:val="26"/>
              <w:rPr>
                <w:rFonts w:hint="default"/>
                <w:color w:val="auto"/>
                <w:highlight w:val="yellow"/>
              </w:rPr>
            </w:pPr>
            <w:r>
              <w:rPr>
                <w:rFonts w:hint="default"/>
                <w:color w:val="auto"/>
                <w:highlight w:val="yellow"/>
              </w:rPr>
              <w:t>输入或操作</w:t>
            </w:r>
          </w:p>
        </w:tc>
        <w:tc>
          <w:tcPr>
            <w:tcW w:w="0" w:type="auto"/>
            <w:tcBorders>
              <w:bottom w:val="single" w:color="auto" w:sz="6" w:space="0"/>
              <w:tl2br w:val="nil"/>
              <w:tr2bl w:val="nil"/>
            </w:tcBorders>
            <w:shd w:val="clear" w:color="auto" w:fill="FFFFFF"/>
            <w:vAlign w:val="center"/>
          </w:tcPr>
          <w:p w14:paraId="6D290DF2">
            <w:pPr>
              <w:pStyle w:val="26"/>
              <w:rPr>
                <w:rFonts w:hint="default"/>
                <w:color w:val="auto"/>
                <w:highlight w:val="yellow"/>
              </w:rPr>
            </w:pPr>
            <w:r>
              <w:rPr>
                <w:rFonts w:hint="default"/>
                <w:color w:val="auto"/>
                <w:highlight w:val="yellow"/>
              </w:rPr>
              <w:t>预期结果</w:t>
            </w:r>
          </w:p>
        </w:tc>
      </w:tr>
      <w:tr w14:paraId="0F36C46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tcPr>
          <w:p w14:paraId="011FEE07">
            <w:pPr>
              <w:pStyle w:val="26"/>
              <w:rPr>
                <w:rFonts w:hint="default"/>
                <w:color w:val="auto"/>
                <w:highlight w:val="yellow"/>
              </w:rPr>
            </w:pPr>
            <w:r>
              <w:rPr>
                <w:rFonts w:hint="default"/>
                <w:color w:val="auto"/>
                <w:highlight w:val="yellow"/>
              </w:rPr>
              <w:t>TC-001</w:t>
            </w:r>
          </w:p>
        </w:tc>
        <w:tc>
          <w:tcPr>
            <w:tcW w:w="1104" w:type="dxa"/>
            <w:tcBorders>
              <w:top w:val="single" w:color="auto" w:sz="6" w:space="0"/>
            </w:tcBorders>
            <w:shd w:val="clear" w:color="auto" w:fill="FFFFFF"/>
          </w:tcPr>
          <w:p w14:paraId="40FB3E56">
            <w:pPr>
              <w:pStyle w:val="26"/>
              <w:rPr>
                <w:rFonts w:hint="default"/>
                <w:color w:val="auto"/>
                <w:highlight w:val="yellow"/>
              </w:rPr>
            </w:pPr>
            <w:r>
              <w:rPr>
                <w:rFonts w:hint="default"/>
                <w:color w:val="auto"/>
                <w:highlight w:val="yellow"/>
              </w:rPr>
              <w:t>用户认证</w:t>
            </w:r>
          </w:p>
        </w:tc>
        <w:tc>
          <w:tcPr>
            <w:tcW w:w="3009" w:type="dxa"/>
            <w:tcBorders>
              <w:top w:val="single" w:color="auto" w:sz="6" w:space="0"/>
            </w:tcBorders>
            <w:shd w:val="clear" w:color="auto" w:fill="FFFFFF"/>
          </w:tcPr>
          <w:p w14:paraId="01934123">
            <w:pPr>
              <w:pStyle w:val="26"/>
              <w:rPr>
                <w:rFonts w:hint="default"/>
                <w:color w:val="auto"/>
                <w:highlight w:val="yellow"/>
              </w:rPr>
            </w:pPr>
            <w:r>
              <w:rPr>
                <w:rFonts w:hint="default"/>
                <w:color w:val="auto"/>
                <w:highlight w:val="yellow"/>
              </w:rPr>
              <w:t>注册并使用正确账号登录</w:t>
            </w:r>
          </w:p>
        </w:tc>
        <w:tc>
          <w:tcPr>
            <w:tcW w:w="0" w:type="auto"/>
            <w:tcBorders>
              <w:top w:val="single" w:color="auto" w:sz="6" w:space="0"/>
            </w:tcBorders>
            <w:shd w:val="clear" w:color="auto" w:fill="FFFFFF"/>
          </w:tcPr>
          <w:p w14:paraId="09369D22">
            <w:pPr>
              <w:pStyle w:val="26"/>
              <w:rPr>
                <w:rFonts w:hint="default"/>
                <w:color w:val="auto"/>
                <w:highlight w:val="yellow"/>
              </w:rPr>
            </w:pPr>
            <w:r>
              <w:rPr>
                <w:rFonts w:hint="default"/>
                <w:color w:val="auto"/>
                <w:highlight w:val="yellow"/>
              </w:rPr>
              <w:t>注册成功，登录后返回Token</w:t>
            </w:r>
          </w:p>
        </w:tc>
      </w:tr>
      <w:tr w14:paraId="06555E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tcPr>
          <w:p w14:paraId="431A2283">
            <w:pPr>
              <w:pStyle w:val="26"/>
              <w:rPr>
                <w:rFonts w:hint="default"/>
                <w:color w:val="auto"/>
                <w:highlight w:val="yellow"/>
              </w:rPr>
            </w:pPr>
            <w:r>
              <w:rPr>
                <w:rFonts w:hint="default"/>
                <w:color w:val="auto"/>
                <w:highlight w:val="yellow"/>
              </w:rPr>
              <w:t>TC-002</w:t>
            </w:r>
          </w:p>
        </w:tc>
        <w:tc>
          <w:tcPr>
            <w:tcW w:w="1104" w:type="dxa"/>
            <w:tcBorders>
              <w:tl2br w:val="nil"/>
              <w:tr2bl w:val="nil"/>
            </w:tcBorders>
            <w:shd w:val="clear" w:color="auto" w:fill="FFFFFF"/>
          </w:tcPr>
          <w:p w14:paraId="5CAAD16B">
            <w:pPr>
              <w:pStyle w:val="26"/>
              <w:rPr>
                <w:rFonts w:hint="default"/>
                <w:color w:val="auto"/>
                <w:highlight w:val="yellow"/>
              </w:rPr>
            </w:pPr>
            <w:r>
              <w:rPr>
                <w:rFonts w:hint="default"/>
                <w:color w:val="auto"/>
                <w:highlight w:val="yellow"/>
              </w:rPr>
              <w:t>密码找回</w:t>
            </w:r>
          </w:p>
        </w:tc>
        <w:tc>
          <w:tcPr>
            <w:tcW w:w="3009" w:type="dxa"/>
            <w:tcBorders>
              <w:tl2br w:val="nil"/>
              <w:tr2bl w:val="nil"/>
            </w:tcBorders>
            <w:shd w:val="clear" w:color="auto" w:fill="FFFFFF"/>
          </w:tcPr>
          <w:p w14:paraId="2030E584">
            <w:pPr>
              <w:pStyle w:val="26"/>
              <w:rPr>
                <w:rFonts w:hint="default"/>
                <w:color w:val="auto"/>
                <w:highlight w:val="yellow"/>
              </w:rPr>
            </w:pPr>
            <w:r>
              <w:rPr>
                <w:rFonts w:hint="default"/>
                <w:color w:val="auto"/>
                <w:highlight w:val="yellow"/>
              </w:rPr>
              <w:t>输入正确密保答案设置新密码</w:t>
            </w:r>
          </w:p>
        </w:tc>
        <w:tc>
          <w:tcPr>
            <w:tcW w:w="0" w:type="auto"/>
            <w:tcBorders>
              <w:tl2br w:val="nil"/>
              <w:tr2bl w:val="nil"/>
            </w:tcBorders>
            <w:shd w:val="clear" w:color="auto" w:fill="FFFFFF"/>
          </w:tcPr>
          <w:p w14:paraId="0EE1C529">
            <w:pPr>
              <w:pStyle w:val="26"/>
              <w:rPr>
                <w:rFonts w:hint="default"/>
                <w:color w:val="auto"/>
                <w:highlight w:val="yellow"/>
              </w:rPr>
            </w:pPr>
            <w:r>
              <w:rPr>
                <w:rFonts w:hint="default"/>
                <w:color w:val="auto"/>
                <w:highlight w:val="yellow"/>
              </w:rPr>
              <w:t>密码重置成功</w:t>
            </w:r>
          </w:p>
        </w:tc>
      </w:tr>
      <w:tr w14:paraId="61DED1D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tcPr>
          <w:p w14:paraId="1428A52A">
            <w:pPr>
              <w:pStyle w:val="26"/>
              <w:rPr>
                <w:rFonts w:hint="default"/>
                <w:color w:val="auto"/>
                <w:highlight w:val="yellow"/>
              </w:rPr>
            </w:pPr>
            <w:r>
              <w:rPr>
                <w:rFonts w:hint="default"/>
                <w:color w:val="auto"/>
                <w:highlight w:val="yellow"/>
              </w:rPr>
              <w:t>TC-003</w:t>
            </w:r>
          </w:p>
        </w:tc>
        <w:tc>
          <w:tcPr>
            <w:tcW w:w="1104" w:type="dxa"/>
            <w:tcBorders>
              <w:tl2br w:val="nil"/>
              <w:tr2bl w:val="nil"/>
            </w:tcBorders>
            <w:shd w:val="clear" w:color="auto" w:fill="FFFFFF"/>
          </w:tcPr>
          <w:p w14:paraId="7654ECA9">
            <w:pPr>
              <w:pStyle w:val="26"/>
              <w:rPr>
                <w:rFonts w:hint="default"/>
                <w:color w:val="auto"/>
                <w:highlight w:val="yellow"/>
              </w:rPr>
            </w:pPr>
            <w:r>
              <w:rPr>
                <w:rFonts w:hint="default"/>
                <w:color w:val="auto"/>
                <w:highlight w:val="yellow"/>
              </w:rPr>
              <w:t>单条分类</w:t>
            </w:r>
          </w:p>
        </w:tc>
        <w:tc>
          <w:tcPr>
            <w:tcW w:w="3009" w:type="dxa"/>
            <w:tcBorders>
              <w:tl2br w:val="nil"/>
              <w:tr2bl w:val="nil"/>
            </w:tcBorders>
            <w:shd w:val="clear" w:color="auto" w:fill="FFFFFF"/>
          </w:tcPr>
          <w:p w14:paraId="3307F646">
            <w:pPr>
              <w:pStyle w:val="26"/>
              <w:rPr>
                <w:rFonts w:hint="default"/>
                <w:color w:val="auto"/>
                <w:highlight w:val="yellow"/>
              </w:rPr>
            </w:pPr>
            <w:r>
              <w:rPr>
                <w:rFonts w:hint="default"/>
                <w:color w:val="auto"/>
                <w:highlight w:val="yellow"/>
              </w:rPr>
              <w:t>输入有效专利摘要</w:t>
            </w:r>
          </w:p>
        </w:tc>
        <w:tc>
          <w:tcPr>
            <w:tcW w:w="0" w:type="auto"/>
            <w:tcBorders>
              <w:tl2br w:val="nil"/>
              <w:tr2bl w:val="nil"/>
            </w:tcBorders>
            <w:shd w:val="clear" w:color="auto" w:fill="FFFFFF"/>
          </w:tcPr>
          <w:p w14:paraId="537F9E0A">
            <w:pPr>
              <w:pStyle w:val="26"/>
              <w:rPr>
                <w:rFonts w:hint="default"/>
                <w:color w:val="auto"/>
                <w:highlight w:val="yellow"/>
              </w:rPr>
            </w:pPr>
            <w:r>
              <w:rPr>
                <w:rFonts w:hint="default"/>
                <w:color w:val="auto"/>
                <w:highlight w:val="yellow"/>
              </w:rPr>
              <w:t>返回预测类别、置信度和概率分布</w:t>
            </w:r>
          </w:p>
        </w:tc>
      </w:tr>
      <w:tr w14:paraId="344C1C1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tcPr>
          <w:p w14:paraId="3C2496F2">
            <w:pPr>
              <w:pStyle w:val="26"/>
              <w:rPr>
                <w:rFonts w:hint="default"/>
                <w:color w:val="auto"/>
                <w:highlight w:val="yellow"/>
              </w:rPr>
            </w:pPr>
            <w:r>
              <w:rPr>
                <w:rFonts w:hint="default"/>
                <w:color w:val="auto"/>
                <w:highlight w:val="yellow"/>
              </w:rPr>
              <w:t>TC-004</w:t>
            </w:r>
          </w:p>
        </w:tc>
        <w:tc>
          <w:tcPr>
            <w:tcW w:w="1104" w:type="dxa"/>
            <w:tcBorders>
              <w:tl2br w:val="nil"/>
              <w:tr2bl w:val="nil"/>
            </w:tcBorders>
            <w:shd w:val="clear" w:color="auto" w:fill="FFFFFF"/>
          </w:tcPr>
          <w:p w14:paraId="62BF8F17">
            <w:pPr>
              <w:pStyle w:val="26"/>
              <w:rPr>
                <w:rFonts w:hint="default"/>
                <w:color w:val="auto"/>
                <w:highlight w:val="yellow"/>
              </w:rPr>
            </w:pPr>
            <w:r>
              <w:rPr>
                <w:rFonts w:hint="default"/>
                <w:color w:val="auto"/>
                <w:highlight w:val="yellow"/>
              </w:rPr>
              <w:t>输入校验</w:t>
            </w:r>
          </w:p>
        </w:tc>
        <w:tc>
          <w:tcPr>
            <w:tcW w:w="3009" w:type="dxa"/>
            <w:tcBorders>
              <w:tl2br w:val="nil"/>
              <w:tr2bl w:val="nil"/>
            </w:tcBorders>
            <w:shd w:val="clear" w:color="auto" w:fill="FFFFFF"/>
          </w:tcPr>
          <w:p w14:paraId="69E142A4">
            <w:pPr>
              <w:pStyle w:val="26"/>
              <w:rPr>
                <w:rFonts w:hint="default"/>
                <w:color w:val="auto"/>
                <w:highlight w:val="yellow"/>
              </w:rPr>
            </w:pPr>
            <w:r>
              <w:rPr>
                <w:rFonts w:hint="default"/>
                <w:color w:val="auto"/>
                <w:highlight w:val="yellow"/>
              </w:rPr>
              <w:t>空摘要或不符合要求的文件</w:t>
            </w:r>
          </w:p>
        </w:tc>
        <w:tc>
          <w:tcPr>
            <w:tcW w:w="0" w:type="auto"/>
            <w:tcBorders>
              <w:tl2br w:val="nil"/>
              <w:tr2bl w:val="nil"/>
            </w:tcBorders>
            <w:shd w:val="clear" w:color="auto" w:fill="FFFFFF"/>
          </w:tcPr>
          <w:p w14:paraId="01C66CE4">
            <w:pPr>
              <w:pStyle w:val="26"/>
              <w:rPr>
                <w:rFonts w:hint="default"/>
                <w:color w:val="auto"/>
                <w:highlight w:val="yellow"/>
              </w:rPr>
            </w:pPr>
            <w:r>
              <w:rPr>
                <w:rFonts w:hint="default"/>
                <w:color w:val="auto"/>
                <w:highlight w:val="yellow"/>
              </w:rPr>
              <w:t>返回明确错误提示</w:t>
            </w:r>
          </w:p>
        </w:tc>
      </w:tr>
      <w:tr w14:paraId="18400B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tcPr>
          <w:p w14:paraId="66DEF0E7">
            <w:pPr>
              <w:pStyle w:val="26"/>
              <w:rPr>
                <w:rFonts w:hint="default"/>
                <w:color w:val="auto"/>
                <w:highlight w:val="yellow"/>
              </w:rPr>
            </w:pPr>
            <w:r>
              <w:rPr>
                <w:rFonts w:hint="default"/>
                <w:color w:val="auto"/>
                <w:highlight w:val="yellow"/>
              </w:rPr>
              <w:t>TC-005</w:t>
            </w:r>
          </w:p>
        </w:tc>
        <w:tc>
          <w:tcPr>
            <w:tcW w:w="1104" w:type="dxa"/>
            <w:tcBorders>
              <w:tl2br w:val="nil"/>
              <w:tr2bl w:val="nil"/>
            </w:tcBorders>
            <w:shd w:val="clear" w:color="auto" w:fill="FFFFFF"/>
          </w:tcPr>
          <w:p w14:paraId="11CCCE80">
            <w:pPr>
              <w:pStyle w:val="26"/>
              <w:rPr>
                <w:rFonts w:hint="default"/>
                <w:color w:val="auto"/>
                <w:highlight w:val="yellow"/>
              </w:rPr>
            </w:pPr>
            <w:r>
              <w:rPr>
                <w:rFonts w:hint="default"/>
                <w:color w:val="auto"/>
                <w:highlight w:val="yellow"/>
              </w:rPr>
              <w:t>批量分类</w:t>
            </w:r>
          </w:p>
        </w:tc>
        <w:tc>
          <w:tcPr>
            <w:tcW w:w="3009" w:type="dxa"/>
            <w:tcBorders>
              <w:tl2br w:val="nil"/>
              <w:tr2bl w:val="nil"/>
            </w:tcBorders>
            <w:shd w:val="clear" w:color="auto" w:fill="FFFFFF"/>
          </w:tcPr>
          <w:p w14:paraId="791AAC49">
            <w:pPr>
              <w:pStyle w:val="26"/>
              <w:rPr>
                <w:rFonts w:hint="default"/>
                <w:color w:val="auto"/>
                <w:highlight w:val="yellow"/>
              </w:rPr>
            </w:pPr>
            <w:r>
              <w:rPr>
                <w:rFonts w:hint="default"/>
                <w:color w:val="auto"/>
                <w:highlight w:val="yellow"/>
              </w:rPr>
              <w:t>上传包含摘要列且不超过50条的Excel文件</w:t>
            </w:r>
          </w:p>
        </w:tc>
        <w:tc>
          <w:tcPr>
            <w:tcW w:w="0" w:type="auto"/>
            <w:tcBorders>
              <w:tl2br w:val="nil"/>
              <w:tr2bl w:val="nil"/>
            </w:tcBorders>
            <w:shd w:val="clear" w:color="auto" w:fill="FFFFFF"/>
          </w:tcPr>
          <w:p w14:paraId="0F5057AC">
            <w:pPr>
              <w:pStyle w:val="26"/>
              <w:rPr>
                <w:rFonts w:hint="default"/>
                <w:color w:val="auto"/>
                <w:highlight w:val="yellow"/>
              </w:rPr>
            </w:pPr>
            <w:r>
              <w:rPr>
                <w:rFonts w:hint="default"/>
                <w:color w:val="auto"/>
                <w:highlight w:val="yellow"/>
              </w:rPr>
              <w:t>返回批次ID、成功数和失败数</w:t>
            </w:r>
          </w:p>
        </w:tc>
      </w:tr>
      <w:tr w14:paraId="506FDA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tcPr>
          <w:p w14:paraId="6C010397">
            <w:pPr>
              <w:pStyle w:val="26"/>
              <w:rPr>
                <w:rFonts w:hint="default"/>
                <w:color w:val="auto"/>
                <w:highlight w:val="yellow"/>
              </w:rPr>
            </w:pPr>
            <w:r>
              <w:rPr>
                <w:rFonts w:hint="default"/>
                <w:color w:val="auto"/>
                <w:highlight w:val="yellow"/>
              </w:rPr>
              <w:t>TC-006</w:t>
            </w:r>
          </w:p>
        </w:tc>
        <w:tc>
          <w:tcPr>
            <w:tcW w:w="1104" w:type="dxa"/>
            <w:tcBorders>
              <w:tl2br w:val="nil"/>
              <w:tr2bl w:val="nil"/>
            </w:tcBorders>
            <w:shd w:val="clear" w:color="auto" w:fill="FFFFFF"/>
          </w:tcPr>
          <w:p w14:paraId="7DF3AE04">
            <w:pPr>
              <w:pStyle w:val="26"/>
              <w:rPr>
                <w:rFonts w:hint="default"/>
                <w:color w:val="auto"/>
                <w:highlight w:val="yellow"/>
              </w:rPr>
            </w:pPr>
            <w:r>
              <w:rPr>
                <w:rFonts w:hint="default"/>
                <w:color w:val="auto"/>
                <w:highlight w:val="yellow"/>
              </w:rPr>
              <w:t>历史查询</w:t>
            </w:r>
          </w:p>
        </w:tc>
        <w:tc>
          <w:tcPr>
            <w:tcW w:w="3009" w:type="dxa"/>
            <w:tcBorders>
              <w:tl2br w:val="nil"/>
              <w:tr2bl w:val="nil"/>
            </w:tcBorders>
            <w:shd w:val="clear" w:color="auto" w:fill="FFFFFF"/>
          </w:tcPr>
          <w:p w14:paraId="0867BA88">
            <w:pPr>
              <w:pStyle w:val="26"/>
              <w:rPr>
                <w:rFonts w:hint="default"/>
                <w:color w:val="auto"/>
                <w:highlight w:val="yellow"/>
              </w:rPr>
            </w:pPr>
            <w:r>
              <w:rPr>
                <w:rFonts w:hint="default"/>
                <w:color w:val="auto"/>
                <w:highlight w:val="yellow"/>
              </w:rPr>
              <w:t>按类别、时间、来源、关键字或批次ID筛选</w:t>
            </w:r>
          </w:p>
        </w:tc>
        <w:tc>
          <w:tcPr>
            <w:tcW w:w="0" w:type="auto"/>
            <w:tcBorders>
              <w:tl2br w:val="nil"/>
              <w:tr2bl w:val="nil"/>
            </w:tcBorders>
            <w:shd w:val="clear" w:color="auto" w:fill="FFFFFF"/>
          </w:tcPr>
          <w:p w14:paraId="0E6B9640">
            <w:pPr>
              <w:pStyle w:val="26"/>
              <w:rPr>
                <w:rFonts w:hint="default"/>
                <w:color w:val="auto"/>
                <w:highlight w:val="yellow"/>
              </w:rPr>
            </w:pPr>
            <w:r>
              <w:rPr>
                <w:rFonts w:hint="default"/>
                <w:color w:val="auto"/>
                <w:highlight w:val="yellow"/>
              </w:rPr>
              <w:t>返回符合条件的分类记录</w:t>
            </w:r>
          </w:p>
        </w:tc>
      </w:tr>
      <w:tr w14:paraId="77E6315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tcPr>
          <w:p w14:paraId="6E1D9A97">
            <w:pPr>
              <w:pStyle w:val="26"/>
              <w:rPr>
                <w:rFonts w:hint="default"/>
                <w:color w:val="auto"/>
                <w:highlight w:val="yellow"/>
              </w:rPr>
            </w:pPr>
            <w:r>
              <w:rPr>
                <w:rFonts w:hint="default"/>
                <w:color w:val="auto"/>
                <w:highlight w:val="yellow"/>
              </w:rPr>
              <w:t>TC-007</w:t>
            </w:r>
          </w:p>
        </w:tc>
        <w:tc>
          <w:tcPr>
            <w:tcW w:w="1104" w:type="dxa"/>
            <w:tcBorders>
              <w:tl2br w:val="nil"/>
              <w:tr2bl w:val="nil"/>
            </w:tcBorders>
            <w:shd w:val="clear" w:color="auto" w:fill="FFFFFF"/>
          </w:tcPr>
          <w:p w14:paraId="00C08101">
            <w:pPr>
              <w:pStyle w:val="26"/>
              <w:rPr>
                <w:rFonts w:hint="default"/>
                <w:color w:val="auto"/>
                <w:highlight w:val="yellow"/>
              </w:rPr>
            </w:pPr>
            <w:r>
              <w:rPr>
                <w:rFonts w:hint="default"/>
                <w:color w:val="auto"/>
                <w:highlight w:val="yellow"/>
              </w:rPr>
              <w:t>记录详情</w:t>
            </w:r>
          </w:p>
        </w:tc>
        <w:tc>
          <w:tcPr>
            <w:tcW w:w="3009" w:type="dxa"/>
            <w:tcBorders>
              <w:tl2br w:val="nil"/>
              <w:tr2bl w:val="nil"/>
            </w:tcBorders>
            <w:shd w:val="clear" w:color="auto" w:fill="FFFFFF"/>
          </w:tcPr>
          <w:p w14:paraId="7421B770">
            <w:pPr>
              <w:pStyle w:val="26"/>
              <w:rPr>
                <w:rFonts w:hint="default"/>
                <w:color w:val="auto"/>
                <w:highlight w:val="yellow"/>
              </w:rPr>
            </w:pPr>
            <w:r>
              <w:rPr>
                <w:rFonts w:hint="default"/>
                <w:color w:val="auto"/>
                <w:highlight w:val="yellow"/>
              </w:rPr>
              <w:t>点击历史记录详情</w:t>
            </w:r>
          </w:p>
        </w:tc>
        <w:tc>
          <w:tcPr>
            <w:tcW w:w="0" w:type="auto"/>
            <w:tcBorders>
              <w:tl2br w:val="nil"/>
              <w:tr2bl w:val="nil"/>
            </w:tcBorders>
            <w:shd w:val="clear" w:color="auto" w:fill="FFFFFF"/>
          </w:tcPr>
          <w:p w14:paraId="4C8726BE">
            <w:pPr>
              <w:pStyle w:val="26"/>
              <w:rPr>
                <w:rFonts w:hint="default"/>
                <w:color w:val="auto"/>
                <w:highlight w:val="yellow"/>
              </w:rPr>
            </w:pPr>
            <w:r>
              <w:rPr>
                <w:rFonts w:hint="default"/>
                <w:color w:val="auto"/>
                <w:highlight w:val="yellow"/>
              </w:rPr>
              <w:t>展示完整摘要和22类概率分布</w:t>
            </w:r>
          </w:p>
        </w:tc>
      </w:tr>
      <w:tr w14:paraId="0F408D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tcPr>
          <w:p w14:paraId="54FFF381">
            <w:pPr>
              <w:pStyle w:val="26"/>
              <w:rPr>
                <w:rFonts w:hint="default"/>
                <w:color w:val="auto"/>
                <w:highlight w:val="yellow"/>
              </w:rPr>
            </w:pPr>
            <w:r>
              <w:rPr>
                <w:rFonts w:hint="default"/>
                <w:color w:val="auto"/>
                <w:highlight w:val="yellow"/>
              </w:rPr>
              <w:t>TC-008</w:t>
            </w:r>
          </w:p>
        </w:tc>
        <w:tc>
          <w:tcPr>
            <w:tcW w:w="1104" w:type="dxa"/>
            <w:tcBorders>
              <w:tl2br w:val="nil"/>
              <w:tr2bl w:val="nil"/>
            </w:tcBorders>
            <w:shd w:val="clear" w:color="auto" w:fill="FFFFFF"/>
          </w:tcPr>
          <w:p w14:paraId="7A2D837C">
            <w:pPr>
              <w:pStyle w:val="26"/>
              <w:rPr>
                <w:rFonts w:hint="default"/>
                <w:color w:val="auto"/>
                <w:highlight w:val="yellow"/>
              </w:rPr>
            </w:pPr>
            <w:r>
              <w:rPr>
                <w:rFonts w:hint="default"/>
                <w:color w:val="auto"/>
                <w:highlight w:val="yellow"/>
              </w:rPr>
              <w:t>结果导出</w:t>
            </w:r>
          </w:p>
        </w:tc>
        <w:tc>
          <w:tcPr>
            <w:tcW w:w="3009" w:type="dxa"/>
            <w:tcBorders>
              <w:tl2br w:val="nil"/>
              <w:tr2bl w:val="nil"/>
            </w:tcBorders>
            <w:shd w:val="clear" w:color="auto" w:fill="FFFFFF"/>
          </w:tcPr>
          <w:p w14:paraId="3F1A3444">
            <w:pPr>
              <w:pStyle w:val="26"/>
              <w:rPr>
                <w:rFonts w:hint="default"/>
                <w:color w:val="auto"/>
                <w:highlight w:val="yellow"/>
              </w:rPr>
            </w:pPr>
            <w:r>
              <w:rPr>
                <w:rFonts w:hint="default"/>
                <w:color w:val="auto"/>
                <w:highlight w:val="yellow"/>
              </w:rPr>
              <w:t>对筛选结果执行Excel导出</w:t>
            </w:r>
          </w:p>
        </w:tc>
        <w:tc>
          <w:tcPr>
            <w:tcW w:w="0" w:type="auto"/>
            <w:tcBorders>
              <w:tl2br w:val="nil"/>
              <w:tr2bl w:val="nil"/>
            </w:tcBorders>
            <w:shd w:val="clear" w:color="auto" w:fill="FFFFFF"/>
          </w:tcPr>
          <w:p w14:paraId="6B53F73B">
            <w:pPr>
              <w:pStyle w:val="26"/>
              <w:rPr>
                <w:rFonts w:hint="default"/>
                <w:color w:val="auto"/>
                <w:highlight w:val="yellow"/>
              </w:rPr>
            </w:pPr>
            <w:r>
              <w:rPr>
                <w:rFonts w:hint="default"/>
                <w:color w:val="auto"/>
                <w:highlight w:val="yellow"/>
              </w:rPr>
              <w:t>200条以内可导出，超出上限时提示缩小范围</w:t>
            </w:r>
          </w:p>
        </w:tc>
      </w:tr>
    </w:tbl>
    <w:p w14:paraId="3A74727A">
      <w:pPr>
        <w:pStyle w:val="4"/>
        <w:numPr>
          <w:ilvl w:val="2"/>
          <w:numId w:val="1"/>
        </w:numPr>
        <w:rPr>
          <w:color w:val="auto"/>
          <w:highlight w:val="yellow"/>
        </w:rPr>
      </w:pPr>
      <w:bookmarkStart w:id="250" w:name="_Toc229086917"/>
      <w:bookmarkStart w:id="251" w:name="_Toc7815"/>
      <w:r>
        <w:rPr>
          <w:rFonts w:hint="eastAsia"/>
          <w:color w:val="auto"/>
          <w:highlight w:val="yellow"/>
        </w:rPr>
        <w:t>非功能测试</w:t>
      </w:r>
      <w:bookmarkEnd w:id="250"/>
      <w:bookmarkEnd w:id="251"/>
    </w:p>
    <w:p w14:paraId="20589394">
      <w:pPr>
        <w:ind w:firstLine="480"/>
        <w:rPr>
          <w:color w:val="auto"/>
          <w:highlight w:val="yellow"/>
        </w:rPr>
      </w:pPr>
      <w:r>
        <w:rPr>
          <w:color w:val="auto"/>
          <w:highlight w:val="yellow"/>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012265C4">
      <w:pPr>
        <w:ind w:firstLine="480"/>
        <w:rPr>
          <w:color w:val="auto"/>
          <w:highlight w:val="yellow"/>
        </w:rPr>
      </w:pPr>
      <w:r>
        <w:rPr>
          <w:rFonts w:hint="eastAsia"/>
          <w:color w:val="auto"/>
          <w:highlight w:val="yellow"/>
        </w:rPr>
        <w:t>功能测试与非功能测试结果表明，系统主要业务流程能够按预期执行，运行状态基本稳定，能够满足原型系统的功能验证和应用测试要求。</w:t>
      </w:r>
    </w:p>
    <w:p w14:paraId="2AD69034">
      <w:pPr>
        <w:ind w:firstLine="480"/>
        <w:rPr>
          <w:color w:val="auto"/>
          <w:highlight w:val="yellow"/>
        </w:rPr>
      </w:pPr>
    </w:p>
    <w:p w14:paraId="0466EED0">
      <w:pPr>
        <w:ind w:firstLine="480"/>
        <w:rPr>
          <w:color w:val="auto"/>
          <w:highlight w:val="yellow"/>
        </w:rPr>
      </w:pPr>
    </w:p>
    <w:p w14:paraId="7BE465D2">
      <w:pPr>
        <w:pStyle w:val="25"/>
        <w:rPr>
          <w:rFonts w:hint="default"/>
          <w:color w:val="auto"/>
          <w:highlight w:val="yellow"/>
        </w:rPr>
      </w:pPr>
      <w:r>
        <w:rPr>
          <w:rFonts w:hint="default"/>
          <w:color w:val="auto"/>
          <w:highlight w:val="yellow"/>
        </w:rPr>
        <w:t>表5-6</w:t>
      </w:r>
      <w:r>
        <w:rPr>
          <w:color w:val="auto"/>
          <w:highlight w:val="yellow"/>
        </w:rPr>
        <w:t xml:space="preserve">  </w:t>
      </w:r>
      <w:r>
        <w:rPr>
          <w:rFonts w:hint="default"/>
          <w:color w:val="auto"/>
          <w:highlight w:val="yellow"/>
        </w:rPr>
        <w:t>系统非功能测试结果</w:t>
      </w:r>
    </w:p>
    <w:tbl>
      <w:tblPr>
        <w:tblStyle w:val="15"/>
        <w:tblW w:w="5000" w:type="pct"/>
        <w:tblInd w:w="0" w:type="dxa"/>
        <w:tblLayout w:type="autofit"/>
        <w:tblCellMar>
          <w:top w:w="0" w:type="dxa"/>
          <w:left w:w="108" w:type="dxa"/>
          <w:bottom w:w="0" w:type="dxa"/>
          <w:right w:w="108" w:type="dxa"/>
        </w:tblCellMar>
      </w:tblPr>
      <w:tblGrid>
        <w:gridCol w:w="1628"/>
        <w:gridCol w:w="2841"/>
        <w:gridCol w:w="4053"/>
      </w:tblGrid>
      <w:tr w14:paraId="637E084C">
        <w:tblPrEx>
          <w:tblCellMar>
            <w:top w:w="0" w:type="dxa"/>
            <w:left w:w="108" w:type="dxa"/>
            <w:bottom w:w="0" w:type="dxa"/>
            <w:right w:w="108" w:type="dxa"/>
          </w:tblCellMar>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04231557">
            <w:pPr>
              <w:pStyle w:val="26"/>
              <w:rPr>
                <w:rFonts w:hint="default"/>
                <w:color w:val="auto"/>
                <w:highlight w:val="yellow"/>
              </w:rPr>
            </w:pPr>
            <w:r>
              <w:rPr>
                <w:rFonts w:hint="default"/>
                <w:color w:val="auto"/>
                <w:highlight w:val="yellow"/>
              </w:rPr>
              <w:t>测试项</w:t>
            </w:r>
          </w:p>
        </w:tc>
        <w:tc>
          <w:tcPr>
            <w:tcW w:w="1666" w:type="pct"/>
            <w:tcBorders>
              <w:top w:val="single" w:color="auto" w:sz="8" w:space="0"/>
              <w:left w:val="nil"/>
              <w:bottom w:val="single" w:color="auto" w:sz="6" w:space="0"/>
              <w:right w:val="nil"/>
            </w:tcBorders>
            <w:shd w:val="clear" w:color="auto" w:fill="FFFFFF"/>
            <w:vAlign w:val="center"/>
          </w:tcPr>
          <w:p w14:paraId="50F65B62">
            <w:pPr>
              <w:pStyle w:val="26"/>
              <w:rPr>
                <w:rFonts w:hint="default"/>
                <w:color w:val="auto"/>
                <w:highlight w:val="yellow"/>
              </w:rPr>
            </w:pPr>
            <w:r>
              <w:rPr>
                <w:rFonts w:hint="default"/>
                <w:color w:val="auto"/>
                <w:highlight w:val="yellow"/>
              </w:rPr>
              <w:t>验收要求</w:t>
            </w:r>
          </w:p>
        </w:tc>
        <w:tc>
          <w:tcPr>
            <w:tcW w:w="2377" w:type="pct"/>
            <w:tcBorders>
              <w:top w:val="single" w:color="auto" w:sz="8" w:space="0"/>
              <w:left w:val="nil"/>
              <w:bottom w:val="single" w:color="auto" w:sz="6" w:space="0"/>
              <w:right w:val="nil"/>
            </w:tcBorders>
            <w:shd w:val="clear" w:color="auto" w:fill="FFFFFF"/>
            <w:vAlign w:val="center"/>
          </w:tcPr>
          <w:p w14:paraId="161CA1F6">
            <w:pPr>
              <w:pStyle w:val="26"/>
              <w:rPr>
                <w:rFonts w:hint="default"/>
                <w:color w:val="auto"/>
                <w:highlight w:val="yellow"/>
              </w:rPr>
            </w:pPr>
            <w:r>
              <w:rPr>
                <w:rFonts w:hint="default"/>
                <w:color w:val="auto"/>
                <w:highlight w:val="yellow"/>
              </w:rPr>
              <w:t>测试结果</w:t>
            </w:r>
          </w:p>
        </w:tc>
      </w:tr>
      <w:tr w14:paraId="0E54229C">
        <w:tblPrEx>
          <w:tblCellMar>
            <w:top w:w="0" w:type="dxa"/>
            <w:left w:w="108" w:type="dxa"/>
            <w:bottom w:w="0" w:type="dxa"/>
            <w:right w:w="108" w:type="dxa"/>
          </w:tblCellMar>
        </w:tblPrEx>
        <w:trPr>
          <w:trHeight w:val="170" w:hRule="atLeast"/>
        </w:trPr>
        <w:tc>
          <w:tcPr>
            <w:tcW w:w="955" w:type="pct"/>
            <w:tcBorders>
              <w:top w:val="single" w:color="auto" w:sz="6" w:space="0"/>
              <w:left w:val="nil"/>
              <w:bottom w:val="nil"/>
              <w:right w:val="nil"/>
            </w:tcBorders>
            <w:shd w:val="clear" w:color="auto" w:fill="FFFFFF"/>
          </w:tcPr>
          <w:p w14:paraId="751132B5">
            <w:pPr>
              <w:pStyle w:val="26"/>
              <w:rPr>
                <w:rFonts w:hint="default"/>
                <w:color w:val="auto"/>
                <w:highlight w:val="yellow"/>
              </w:rPr>
            </w:pPr>
            <w:r>
              <w:rPr>
                <w:rFonts w:hint="default"/>
                <w:color w:val="auto"/>
                <w:highlight w:val="yellow"/>
              </w:rPr>
              <w:t>单条分类响应</w:t>
            </w:r>
          </w:p>
        </w:tc>
        <w:tc>
          <w:tcPr>
            <w:tcW w:w="1666" w:type="pct"/>
            <w:tcBorders>
              <w:top w:val="single" w:color="auto" w:sz="6" w:space="0"/>
              <w:left w:val="nil"/>
              <w:bottom w:val="nil"/>
              <w:right w:val="nil"/>
            </w:tcBorders>
            <w:shd w:val="clear" w:color="auto" w:fill="FFFFFF"/>
          </w:tcPr>
          <w:p w14:paraId="2FD3478F">
            <w:pPr>
              <w:pStyle w:val="26"/>
              <w:rPr>
                <w:rFonts w:hint="default"/>
                <w:color w:val="auto"/>
                <w:highlight w:val="yellow"/>
              </w:rPr>
            </w:pPr>
            <w:r>
              <w:rPr>
                <w:rFonts w:hint="default"/>
                <w:color w:val="auto"/>
                <w:highlight w:val="yellow"/>
              </w:rPr>
              <w:t>t95响应时间不超过3s</w:t>
            </w:r>
          </w:p>
        </w:tc>
        <w:tc>
          <w:tcPr>
            <w:tcW w:w="2377" w:type="pct"/>
            <w:tcBorders>
              <w:top w:val="single" w:color="auto" w:sz="6" w:space="0"/>
              <w:left w:val="nil"/>
              <w:bottom w:val="nil"/>
              <w:right w:val="nil"/>
            </w:tcBorders>
            <w:shd w:val="clear" w:color="auto" w:fill="FFFFFF"/>
          </w:tcPr>
          <w:p w14:paraId="576D11E3">
            <w:pPr>
              <w:pStyle w:val="26"/>
              <w:rPr>
                <w:rFonts w:hint="default"/>
                <w:color w:val="auto"/>
                <w:highlight w:val="yellow"/>
              </w:rPr>
            </w:pPr>
            <w:r>
              <w:rPr>
                <w:rFonts w:hint="default"/>
                <w:color w:val="auto"/>
                <w:highlight w:val="yellow"/>
              </w:rPr>
              <w:t>模型服务预加载后，连续提交测试摘要，响应时间满足要求</w:t>
            </w:r>
          </w:p>
        </w:tc>
      </w:tr>
      <w:tr w14:paraId="11A38F23">
        <w:tblPrEx>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tcPr>
          <w:p w14:paraId="4CC078C9">
            <w:pPr>
              <w:pStyle w:val="26"/>
              <w:rPr>
                <w:rFonts w:hint="default"/>
                <w:color w:val="auto"/>
                <w:highlight w:val="yellow"/>
              </w:rPr>
            </w:pPr>
            <w:r>
              <w:rPr>
                <w:rFonts w:hint="default"/>
                <w:color w:val="auto"/>
                <w:highlight w:val="yellow"/>
              </w:rPr>
              <w:t>批量分类能力</w:t>
            </w:r>
          </w:p>
        </w:tc>
        <w:tc>
          <w:tcPr>
            <w:tcW w:w="1666" w:type="pct"/>
            <w:tcBorders>
              <w:top w:val="nil"/>
              <w:left w:val="nil"/>
              <w:bottom w:val="nil"/>
              <w:right w:val="nil"/>
            </w:tcBorders>
            <w:shd w:val="clear" w:color="auto" w:fill="FFFFFF"/>
          </w:tcPr>
          <w:p w14:paraId="0EE6A71E">
            <w:pPr>
              <w:pStyle w:val="26"/>
              <w:rPr>
                <w:rFonts w:hint="default"/>
                <w:color w:val="auto"/>
                <w:highlight w:val="yellow"/>
              </w:rPr>
            </w:pPr>
            <w:r>
              <w:rPr>
                <w:rFonts w:hint="default"/>
                <w:color w:val="auto"/>
                <w:highlight w:val="yellow"/>
              </w:rPr>
              <w:t>50条以内任务在5min内完成</w:t>
            </w:r>
          </w:p>
        </w:tc>
        <w:tc>
          <w:tcPr>
            <w:tcW w:w="2377" w:type="pct"/>
            <w:tcBorders>
              <w:top w:val="nil"/>
              <w:left w:val="nil"/>
              <w:bottom w:val="nil"/>
              <w:right w:val="nil"/>
            </w:tcBorders>
            <w:shd w:val="clear" w:color="auto" w:fill="FFFFFF"/>
          </w:tcPr>
          <w:p w14:paraId="41A5D32F">
            <w:pPr>
              <w:pStyle w:val="26"/>
              <w:rPr>
                <w:rFonts w:hint="default"/>
                <w:color w:val="auto"/>
                <w:highlight w:val="yellow"/>
              </w:rPr>
            </w:pPr>
            <w:r>
              <w:rPr>
                <w:rFonts w:hint="default"/>
                <w:color w:val="auto"/>
                <w:highlight w:val="yellow"/>
              </w:rPr>
              <w:t>系统能够返回批次ID、成功数和失败数</w:t>
            </w:r>
          </w:p>
        </w:tc>
      </w:tr>
      <w:tr w14:paraId="5368DB9A">
        <w:tblPrEx>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tcPr>
          <w:p w14:paraId="4AB6FC1E">
            <w:pPr>
              <w:pStyle w:val="26"/>
              <w:rPr>
                <w:rFonts w:hint="default"/>
                <w:color w:val="auto"/>
                <w:highlight w:val="yellow"/>
              </w:rPr>
            </w:pPr>
            <w:r>
              <w:rPr>
                <w:rFonts w:hint="default"/>
                <w:color w:val="auto"/>
                <w:highlight w:val="yellow"/>
              </w:rPr>
              <w:t>历史查询与导出</w:t>
            </w:r>
          </w:p>
        </w:tc>
        <w:tc>
          <w:tcPr>
            <w:tcW w:w="1666" w:type="pct"/>
            <w:tcBorders>
              <w:top w:val="nil"/>
              <w:left w:val="nil"/>
              <w:bottom w:val="nil"/>
              <w:right w:val="nil"/>
            </w:tcBorders>
            <w:shd w:val="clear" w:color="auto" w:fill="FFFFFF"/>
          </w:tcPr>
          <w:p w14:paraId="68F2F2E6">
            <w:pPr>
              <w:pStyle w:val="26"/>
              <w:rPr>
                <w:rFonts w:hint="default"/>
                <w:color w:val="auto"/>
                <w:highlight w:val="yellow"/>
              </w:rPr>
            </w:pPr>
            <w:r>
              <w:rPr>
                <w:rFonts w:hint="default"/>
                <w:color w:val="auto"/>
                <w:highlight w:val="yellow"/>
              </w:rPr>
              <w:t>查询t95不超过2s，导出不超过200条</w:t>
            </w:r>
          </w:p>
        </w:tc>
        <w:tc>
          <w:tcPr>
            <w:tcW w:w="2377" w:type="pct"/>
            <w:tcBorders>
              <w:top w:val="nil"/>
              <w:left w:val="nil"/>
              <w:bottom w:val="nil"/>
              <w:right w:val="nil"/>
            </w:tcBorders>
            <w:shd w:val="clear" w:color="auto" w:fill="FFFFFF"/>
          </w:tcPr>
          <w:p w14:paraId="4B5D3FE4">
            <w:pPr>
              <w:pStyle w:val="26"/>
              <w:rPr>
                <w:rFonts w:hint="default"/>
                <w:color w:val="auto"/>
                <w:highlight w:val="yellow"/>
              </w:rPr>
            </w:pPr>
            <w:r>
              <w:rPr>
                <w:rFonts w:hint="default"/>
                <w:color w:val="auto"/>
                <w:highlight w:val="yellow"/>
              </w:rPr>
              <w:t>筛选查询正常返回，200条以内数据可导出</w:t>
            </w:r>
          </w:p>
        </w:tc>
      </w:tr>
      <w:tr w14:paraId="15E7CBE6">
        <w:tblPrEx>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tcPr>
          <w:p w14:paraId="78BD919C">
            <w:pPr>
              <w:pStyle w:val="26"/>
              <w:rPr>
                <w:rFonts w:hint="default"/>
                <w:color w:val="auto"/>
                <w:highlight w:val="yellow"/>
              </w:rPr>
            </w:pPr>
            <w:r>
              <w:rPr>
                <w:rFonts w:hint="default"/>
                <w:color w:val="auto"/>
                <w:highlight w:val="yellow"/>
              </w:rPr>
              <w:t>用户数据隔离</w:t>
            </w:r>
          </w:p>
        </w:tc>
        <w:tc>
          <w:tcPr>
            <w:tcW w:w="1666" w:type="pct"/>
            <w:tcBorders>
              <w:top w:val="nil"/>
              <w:left w:val="nil"/>
              <w:bottom w:val="nil"/>
              <w:right w:val="nil"/>
            </w:tcBorders>
            <w:shd w:val="clear" w:color="auto" w:fill="FFFFFF"/>
          </w:tcPr>
          <w:p w14:paraId="1B8818BE">
            <w:pPr>
              <w:pStyle w:val="26"/>
              <w:rPr>
                <w:rFonts w:hint="default"/>
                <w:color w:val="auto"/>
                <w:highlight w:val="yellow"/>
              </w:rPr>
            </w:pPr>
            <w:r>
              <w:rPr>
                <w:rFonts w:hint="default"/>
                <w:color w:val="auto"/>
                <w:highlight w:val="yellow"/>
              </w:rPr>
              <w:t>未登录请求被拒绝，用户不能访问他人记录</w:t>
            </w:r>
          </w:p>
        </w:tc>
        <w:tc>
          <w:tcPr>
            <w:tcW w:w="2377" w:type="pct"/>
            <w:tcBorders>
              <w:top w:val="nil"/>
              <w:left w:val="nil"/>
              <w:bottom w:val="nil"/>
              <w:right w:val="nil"/>
            </w:tcBorders>
            <w:shd w:val="clear" w:color="auto" w:fill="FFFFFF"/>
          </w:tcPr>
          <w:p w14:paraId="4F29E94B">
            <w:pPr>
              <w:pStyle w:val="26"/>
              <w:rPr>
                <w:rFonts w:hint="default"/>
                <w:color w:val="auto"/>
                <w:highlight w:val="yellow"/>
              </w:rPr>
            </w:pPr>
            <w:r>
              <w:rPr>
                <w:rFonts w:hint="default"/>
                <w:color w:val="auto"/>
                <w:highlight w:val="yellow"/>
              </w:rPr>
              <w:t>历史记录、详情和导出接口均按用户ID过滤</w:t>
            </w:r>
          </w:p>
        </w:tc>
      </w:tr>
      <w:tr w14:paraId="53833984">
        <w:tblPrEx>
          <w:tblCellMar>
            <w:top w:w="0" w:type="dxa"/>
            <w:left w:w="108" w:type="dxa"/>
            <w:bottom w:w="0" w:type="dxa"/>
            <w:right w:w="108" w:type="dxa"/>
          </w:tblCellMar>
        </w:tblPrEx>
        <w:trPr>
          <w:trHeight w:val="170" w:hRule="atLeast"/>
        </w:trPr>
        <w:tc>
          <w:tcPr>
            <w:tcW w:w="955" w:type="pct"/>
            <w:tcBorders>
              <w:top w:val="nil"/>
              <w:left w:val="nil"/>
              <w:bottom w:val="single" w:color="auto" w:sz="8" w:space="0"/>
              <w:right w:val="nil"/>
            </w:tcBorders>
            <w:shd w:val="clear" w:color="auto" w:fill="FFFFFF"/>
          </w:tcPr>
          <w:p w14:paraId="7885EE60">
            <w:pPr>
              <w:pStyle w:val="26"/>
              <w:rPr>
                <w:rFonts w:hint="default"/>
                <w:color w:val="auto"/>
                <w:highlight w:val="yellow"/>
              </w:rPr>
            </w:pPr>
            <w:r>
              <w:rPr>
                <w:rFonts w:hint="default"/>
                <w:color w:val="auto"/>
                <w:highlight w:val="yellow"/>
              </w:rPr>
              <w:t>异常处理</w:t>
            </w:r>
          </w:p>
        </w:tc>
        <w:tc>
          <w:tcPr>
            <w:tcW w:w="1666" w:type="pct"/>
            <w:tcBorders>
              <w:top w:val="nil"/>
              <w:left w:val="nil"/>
              <w:bottom w:val="single" w:color="auto" w:sz="8" w:space="0"/>
              <w:right w:val="nil"/>
            </w:tcBorders>
            <w:shd w:val="clear" w:color="auto" w:fill="FFFFFF"/>
          </w:tcPr>
          <w:p w14:paraId="4516BF14">
            <w:pPr>
              <w:pStyle w:val="26"/>
              <w:rPr>
                <w:rFonts w:hint="default"/>
                <w:color w:val="auto"/>
                <w:highlight w:val="yellow"/>
              </w:rPr>
            </w:pPr>
            <w:r>
              <w:rPr>
                <w:rFonts w:hint="default"/>
                <w:color w:val="auto"/>
                <w:highlight w:val="yellow"/>
              </w:rPr>
              <w:t>下游异常或单条失败不导致批量任务整体中断</w:t>
            </w:r>
          </w:p>
        </w:tc>
        <w:tc>
          <w:tcPr>
            <w:tcW w:w="2377" w:type="pct"/>
            <w:tcBorders>
              <w:top w:val="nil"/>
              <w:left w:val="nil"/>
              <w:bottom w:val="single" w:color="auto" w:sz="8" w:space="0"/>
              <w:right w:val="nil"/>
            </w:tcBorders>
            <w:shd w:val="clear" w:color="auto" w:fill="FFFFFF"/>
          </w:tcPr>
          <w:p w14:paraId="14AD32D1">
            <w:pPr>
              <w:pStyle w:val="26"/>
              <w:rPr>
                <w:rFonts w:hint="default"/>
                <w:color w:val="auto"/>
                <w:highlight w:val="yellow"/>
              </w:rPr>
            </w:pPr>
            <w:r>
              <w:rPr>
                <w:rFonts w:hint="default"/>
                <w:color w:val="auto"/>
                <w:highlight w:val="yellow"/>
              </w:rPr>
              <w:t>异常记录进入失败列表，前端能够获得错误提示</w:t>
            </w:r>
          </w:p>
        </w:tc>
      </w:tr>
    </w:tbl>
    <w:p w14:paraId="6C4262A1">
      <w:pPr>
        <w:ind w:firstLine="480"/>
        <w:rPr>
          <w:color w:val="auto"/>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9CEA6FC">
      <w:pPr>
        <w:pStyle w:val="2"/>
        <w:numPr>
          <w:ilvl w:val="0"/>
          <w:numId w:val="1"/>
        </w:numPr>
        <w:tabs>
          <w:tab w:val="clear" w:pos="0"/>
        </w:tabs>
        <w:rPr>
          <w:color w:val="auto"/>
        </w:rPr>
      </w:pPr>
      <w:bookmarkStart w:id="252" w:name="_Toc216114528"/>
      <w:bookmarkStart w:id="253" w:name="_Toc229086918"/>
      <w:bookmarkStart w:id="254" w:name="_Toc13415"/>
      <w:r>
        <w:rPr>
          <w:rFonts w:hint="eastAsia"/>
          <w:color w:val="auto"/>
        </w:rPr>
        <w:t>总结与展望</w:t>
      </w:r>
      <w:bookmarkEnd w:id="252"/>
      <w:bookmarkEnd w:id="253"/>
      <w:bookmarkEnd w:id="254"/>
      <w:bookmarkStart w:id="255" w:name="_Toc216116663"/>
      <w:bookmarkEnd w:id="255"/>
      <w:bookmarkStart w:id="256" w:name="_Toc216115396"/>
      <w:bookmarkEnd w:id="256"/>
      <w:bookmarkStart w:id="257" w:name="_Toc216116735"/>
      <w:bookmarkEnd w:id="257"/>
      <w:bookmarkStart w:id="258" w:name="_Toc216114529"/>
      <w:bookmarkEnd w:id="258"/>
      <w:bookmarkStart w:id="259" w:name="_Toc216117093"/>
      <w:bookmarkEnd w:id="259"/>
      <w:bookmarkStart w:id="260" w:name="_Toc216114689"/>
      <w:bookmarkEnd w:id="260"/>
      <w:bookmarkStart w:id="261" w:name="_Toc216114387"/>
      <w:bookmarkEnd w:id="261"/>
      <w:bookmarkStart w:id="262" w:name="_Toc216114458"/>
      <w:bookmarkEnd w:id="262"/>
      <w:bookmarkStart w:id="263" w:name="_Toc216115327"/>
      <w:bookmarkEnd w:id="263"/>
    </w:p>
    <w:p w14:paraId="17E8EBFD">
      <w:pPr>
        <w:pStyle w:val="3"/>
        <w:numPr>
          <w:ilvl w:val="1"/>
          <w:numId w:val="1"/>
        </w:numPr>
        <w:tabs>
          <w:tab w:val="clear" w:pos="420"/>
        </w:tabs>
        <w:rPr>
          <w:color w:val="auto"/>
        </w:rPr>
      </w:pPr>
      <w:bookmarkStart w:id="264" w:name="_Toc216114530"/>
      <w:bookmarkStart w:id="265" w:name="_Toc229086919"/>
      <w:bookmarkStart w:id="266" w:name="_Toc14079"/>
      <w:r>
        <w:rPr>
          <w:rFonts w:hint="eastAsia"/>
          <w:color w:val="auto"/>
        </w:rPr>
        <w:t>总结</w:t>
      </w:r>
      <w:bookmarkEnd w:id="264"/>
      <w:bookmarkEnd w:id="265"/>
      <w:bookmarkEnd w:id="266"/>
    </w:p>
    <w:p w14:paraId="5DB2059A">
      <w:pPr>
        <w:ind w:firstLine="480"/>
        <w:rPr>
          <w:color w:val="auto"/>
        </w:rPr>
      </w:pPr>
      <w:r>
        <w:rPr>
          <w:rFonts w:hint="eastAsia"/>
          <w:color w:val="auto"/>
        </w:rPr>
        <w:t>本文围绕医疗器械发明专利与《医疗器械分类目录》之间的自动映射问题展开研究。现有专利分类体系主要面向技术主题组织，而医疗器械监管分类体系更强调产品用途、风险属性和监管归属，两者在分类逻辑上存在差异。与此同时，真实专利数据中的原始标签存在噪声，医疗器械专利文本又具有术语密集、类别边界交叉和长尾类别明显等特点，直接制约了分类模型的训练效果和应用可靠性。针对上述问题，本文围绕数据质量控制、跨体系分类建模以及模型验证与应用三个环节开展研究，重点解决弱标签条件下训练数据构建、专利技术文本向监管目录类别映射以及模型实际应用效果验证等问题。</w:t>
      </w:r>
    </w:p>
    <w:p w14:paraId="118DC3BC">
      <w:pPr>
        <w:numPr>
          <w:ilvl w:val="0"/>
          <w:numId w:val="18"/>
        </w:numPr>
        <w:ind w:firstLine="480"/>
        <w:rPr>
          <w:color w:val="auto"/>
        </w:rPr>
      </w:pPr>
      <w:r>
        <w:rPr>
          <w:rFonts w:hint="eastAsia"/>
          <w:color w:val="auto"/>
        </w:rPr>
        <w:t>构建了面向弱标签条件的医疗器械专利数据治理流程</w:t>
      </w:r>
    </w:p>
    <w:p w14:paraId="069AAE29">
      <w:pPr>
        <w:ind w:firstLine="480"/>
        <w:rPr>
          <w:color w:val="auto"/>
        </w:rPr>
      </w:pPr>
      <w:r>
        <w:rPr>
          <w:rFonts w:hint="eastAsia"/>
          <w:color w:val="auto"/>
        </w:rPr>
        <w:t>本文以主要IPC分类号属于A61B且申请日期不晚于2023年12月31日的发明专利作为候选数据来源，并结合授权状态、附图、一级产品类别标签和文本完整性等条件进行筛选。为避免重复样本影响模型训练，本文以申请号作为唯一标识进行去重，最终获得58495条原始候选数据。在此基础上，本文抽取1104条样本构建专家校对数据集D2，并通过二级类别预测、分层抽样和JS散度评估尽量保持抽样子集与原始数据分布的一致性。</w:t>
      </w:r>
    </w:p>
    <w:p w14:paraId="77180A79">
      <w:pPr>
        <w:numPr>
          <w:ilvl w:val="0"/>
          <w:numId w:val="18"/>
        </w:numPr>
        <w:ind w:firstLine="480"/>
        <w:rPr>
          <w:color w:val="auto"/>
        </w:rPr>
      </w:pPr>
      <w:r>
        <w:rPr>
          <w:rFonts w:hint="eastAsia"/>
          <w:color w:val="auto"/>
        </w:rPr>
        <w:t>构建了引入分类目录知识和规则校验的自动标注流程</w:t>
      </w:r>
    </w:p>
    <w:p w14:paraId="7056AAE8">
      <w:pPr>
        <w:ind w:firstLine="480"/>
        <w:rPr>
          <w:color w:val="auto"/>
        </w:rPr>
      </w:pPr>
      <w:r>
        <w:rPr>
          <w:rFonts w:hint="eastAsia"/>
          <w:color w:val="auto"/>
        </w:rPr>
        <w:t>针对原始标签存在噪声和人工标注成本较高的问题，本文基于Qwen大模型、Dify工作流、《医疗器械分类目录》和《医疗器械分类规则》构建自动标注流程。该流程在模型判断过程中引入分类目录条目、医疗器械分类规则和易混类别区分依据，并针对医用成像器械、无源植入器械、无源手术器械、医用软件等易混类别设置二次校验环节。实验结果显示，完整结构在D2上的Accuracy为0.9321，Macro F1-score为0.9220，优于原始标签、关键词匹配和KNN+BGE等方法。消融实验也表明，分类规则、分类目录知识和纠错分支均对标注质量提升具有作用。</w:t>
      </w:r>
    </w:p>
    <w:p w14:paraId="47E7764D">
      <w:pPr>
        <w:numPr>
          <w:ilvl w:val="0"/>
          <w:numId w:val="18"/>
        </w:numPr>
        <w:ind w:firstLine="480"/>
        <w:rPr>
          <w:color w:val="auto"/>
        </w:rPr>
      </w:pPr>
      <w:r>
        <w:rPr>
          <w:rFonts w:hint="eastAsia"/>
          <w:color w:val="auto"/>
        </w:rPr>
        <w:t>形成了从案例分析、置信度过滤到增强质量控制的数据质量闭环</w:t>
      </w:r>
    </w:p>
    <w:p w14:paraId="15B230BB">
      <w:pPr>
        <w:ind w:firstLine="480"/>
        <w:rPr>
          <w:color w:val="auto"/>
        </w:rPr>
      </w:pPr>
      <w:r>
        <w:rPr>
          <w:rFonts w:hint="eastAsia"/>
          <w:color w:val="auto"/>
        </w:rPr>
        <w:t>本文没有直接将自动标注结果作为训练数据，而是以专家校对数据集D2为评价基准，先对不同自动标注方法进行对比，再通过案例分析说明分类目录知识和纠错分支对易混类别的修正作用。案例分析中既保留了修正成功的样本，也保留了因摘要关键信息占比过低而导致失败的边界样本，用于说明方法的适用范围。随后，本文利用原始标签与自动标注标签的一致性划分高低置信层，并通过D3抽样验证和TOST等价性检验确认高置信样本的可用性。对于低置信样本，本文选择剔除而非直接纠错，这是在专家校对成本和训练数据质量之间作出的权衡。</w:t>
      </w:r>
    </w:p>
    <w:p w14:paraId="700437B8">
      <w:pPr>
        <w:ind w:firstLine="480"/>
        <w:rPr>
          <w:color w:val="auto"/>
        </w:rPr>
      </w:pPr>
      <w:r>
        <w:rPr>
          <w:rFonts w:hint="eastAsia"/>
          <w:color w:val="auto"/>
        </w:rPr>
        <w:t>在置信度过滤后，本文得到34431条高质量标注数据。针对训练中难以学习的极少数类别，本文没有对所有少数类统一增强，而是依据训练过程中的可学习性，仅对“输血、透析和体外循环器械”进行定向增强。增强文本进入训练集前经过人工核验，并结合语义相似度分析检查生成摘要与来源专利之间的语义一致性。最终，本文将34431条过滤后数据与62条增强样本合并，形成34493条训练数据。</w:t>
      </w:r>
    </w:p>
    <w:p w14:paraId="6CDA7A1D">
      <w:pPr>
        <w:numPr>
          <w:ilvl w:val="0"/>
          <w:numId w:val="18"/>
        </w:numPr>
        <w:ind w:firstLine="480"/>
        <w:rPr>
          <w:color w:val="auto"/>
        </w:rPr>
      </w:pPr>
      <w:r>
        <w:rPr>
          <w:rFonts w:hint="eastAsia"/>
          <w:color w:val="auto"/>
        </w:rPr>
        <w:t>完成了医疗器械专利一级产品类别分类模型的设计与评估</w:t>
      </w:r>
    </w:p>
    <w:p w14:paraId="148B9683">
      <w:pPr>
        <w:ind w:firstLine="480"/>
        <w:rPr>
          <w:color w:val="auto"/>
        </w:rPr>
      </w:pPr>
      <w:r>
        <w:rPr>
          <w:rFonts w:hint="eastAsia"/>
          <w:color w:val="auto"/>
        </w:rPr>
        <w:t>本文以《医疗器械分类目录》22个一级产品类别为分类目标，构建并评估BERT-TextCNN分类模型。需要说明的是，BERT-TextCNN并非本文提出的全新神经网络结构，本文的重点在于将预训练语言模型的全局语义表示与TextCNN的局部短语特征提取能力应用于医疗器械专利分类任务，并结合本文构建的数据集进行任务适配和实验验证。模型对比实验显示，BERT-TextCNN在测试集上的Accuracy为0.9261，Macro F1-score为0.8792，Weighted F1-score为0.9249，优于KNN、DeepPatent、PatentSBERTa、PaECTER和RAMHA等对比方法。消融实验表明，微调策略、TextCNN局部特征通路和定向数据增强均对模型性能具有贡献，其中定向数据增强主要改善了极少数类别的识别效果。</w:t>
      </w:r>
    </w:p>
    <w:p w14:paraId="4A19C953">
      <w:pPr>
        <w:numPr>
          <w:ilvl w:val="0"/>
          <w:numId w:val="18"/>
        </w:numPr>
        <w:ind w:firstLine="480"/>
        <w:rPr>
          <w:color w:val="auto"/>
        </w:rPr>
      </w:pPr>
      <w:r>
        <w:rPr>
          <w:rFonts w:hint="eastAsia"/>
          <w:color w:val="auto"/>
        </w:rPr>
        <w:t>通过外部验证和系统实现检验了方法的应用可行性</w:t>
      </w:r>
    </w:p>
    <w:p w14:paraId="5A4D55A9">
      <w:pPr>
        <w:ind w:firstLine="480"/>
        <w:rPr>
          <w:color w:val="auto"/>
        </w:rPr>
      </w:pPr>
      <w:r>
        <w:rPr>
          <w:rFonts w:hint="eastAsia"/>
          <w:color w:val="auto"/>
        </w:rPr>
        <w:t>为考察模型在新时间段数据上的适应能力，本文构建了330条来自医知桥平台2025年发明专利的外部验证集，并由专家进行复核标注。实验结果显示，BERT-TextCNN在外部验证集上的Accuracy为0.8424，Macro F1-score为0.8546，Weighted F1-score为0.8428，高于医知桥平台对应结果。该实验说明本文模型在跨时间数据上具有一定适应能力，但由于外部验证集规模和来源仍有限，其结果更适合作为应用可行性的初步验证，而不能等同于对全部产业场景的充分证明。</w:t>
      </w:r>
    </w:p>
    <w:p w14:paraId="63DC0C6F">
      <w:pPr>
        <w:ind w:firstLine="480"/>
        <w:rPr>
          <w:color w:val="auto"/>
        </w:rPr>
      </w:pPr>
      <w:r>
        <w:rPr>
          <w:rFonts w:hint="eastAsia"/>
          <w:color w:val="auto"/>
        </w:rPr>
        <w:t>在模型研究基础上，本文进一步设计并实现了医疗器械专利自动分类系统。系统采用Vue前端、Spring Boot后端、Flask推理服务和MySQL数据库组成的异构架构，支持用户认证、单条分类、批量上传、批量分类、历史查询、条件筛选、结果导出和概率可视化等功能。与仅提供单条分类的原型相比，修改后的系统更接近实际专利分类业务中批量处理、结果留存和离线复核的使用需求。</w:t>
      </w:r>
    </w:p>
    <w:p w14:paraId="0BD5E893">
      <w:pPr>
        <w:pStyle w:val="3"/>
        <w:numPr>
          <w:ilvl w:val="1"/>
          <w:numId w:val="1"/>
        </w:numPr>
        <w:tabs>
          <w:tab w:val="clear" w:pos="420"/>
        </w:tabs>
        <w:rPr>
          <w:color w:val="auto"/>
        </w:rPr>
      </w:pPr>
      <w:bookmarkStart w:id="267" w:name="_Toc229086920"/>
      <w:bookmarkStart w:id="268" w:name="_Toc14394"/>
      <w:r>
        <w:rPr>
          <w:rFonts w:hint="eastAsia"/>
          <w:color w:val="auto"/>
        </w:rPr>
        <w:t>创新点</w:t>
      </w:r>
      <w:bookmarkEnd w:id="267"/>
      <w:bookmarkEnd w:id="268"/>
    </w:p>
    <w:p w14:paraId="2848189C">
      <w:pPr>
        <w:ind w:firstLine="480"/>
        <w:rPr>
          <w:color w:val="auto"/>
        </w:rPr>
      </w:pPr>
      <w:r>
        <w:rPr>
          <w:rFonts w:hint="eastAsia"/>
          <w:color w:val="auto"/>
        </w:rPr>
        <w:t>本文针对医疗器械专利分类所面临的问题进行改进，主要包括以下几个方面的内容：</w:t>
      </w:r>
    </w:p>
    <w:p w14:paraId="70E4DDE7">
      <w:pPr>
        <w:ind w:firstLine="480"/>
        <w:rPr>
          <w:color w:val="auto"/>
        </w:rPr>
      </w:pPr>
      <w:r>
        <w:rPr>
          <w:rFonts w:hint="eastAsia"/>
          <w:color w:val="auto"/>
        </w:rPr>
        <w:t>（1）构建了面向弱标签条件的医疗器械专利数据治理流程</w:t>
      </w:r>
    </w:p>
    <w:p w14:paraId="1721E0D4">
      <w:pPr>
        <w:ind w:firstLine="480"/>
        <w:rPr>
          <w:color w:val="auto"/>
        </w:rPr>
      </w:pPr>
      <w:r>
        <w:rPr>
          <w:rFonts w:hint="eastAsia"/>
          <w:color w:val="auto"/>
        </w:rPr>
        <w:t>针对医疗器械专利缺少公开高质量标注数据的问题，本文没有直接使用原始标签，而是通过专家校对数据集、自动标注方法对比、案例分析、双信号一致性分析、抽样验证和TOST等价性检验逐步筛选训练数据。该流程将专家校对、自动标注和统计检验结合起来，为弱标签条件下构建医疗器械专利分类数据集提供了一种可复查的实现路径。</w:t>
      </w:r>
    </w:p>
    <w:p w14:paraId="09BAECE0">
      <w:pPr>
        <w:ind w:firstLine="480"/>
        <w:rPr>
          <w:color w:val="auto"/>
        </w:rPr>
      </w:pPr>
      <w:r>
        <w:rPr>
          <w:rFonts w:hint="eastAsia"/>
          <w:color w:val="auto"/>
        </w:rPr>
        <w:t>（2）设计了引入医疗器械分类知识的自动标注工作流</w:t>
      </w:r>
    </w:p>
    <w:p w14:paraId="631E0844">
      <w:pPr>
        <w:ind w:firstLine="480"/>
        <w:rPr>
          <w:color w:val="auto"/>
        </w:rPr>
      </w:pPr>
      <w:r>
        <w:rPr>
          <w:rFonts w:hint="eastAsia"/>
          <w:color w:val="auto"/>
        </w:rPr>
        <w:t>本文在自动标注阶段引入《医疗器械分类目录》和《医疗器械分类规则》等外部知识，并通过目录检索和条件纠错分支处理易混类别。与单纯依赖LLM生成标签不同，该工作流将分类目录知识、规则提示和错误纠正机制嵌入标注流程，使自动标注结果具有更强的领域约束。对比实验和消融实验表明，该设计能够提升医疗器械一级产品类别标注质量。</w:t>
      </w:r>
    </w:p>
    <w:p w14:paraId="12301011">
      <w:pPr>
        <w:ind w:firstLine="480"/>
        <w:rPr>
          <w:color w:val="auto"/>
        </w:rPr>
      </w:pPr>
      <w:r>
        <w:rPr>
          <w:rFonts w:hint="eastAsia"/>
          <w:color w:val="auto"/>
        </w:rPr>
        <w:t>（3）实现专利分类体系到医疗器械分类目录之间跨体系匹配及应用落地</w:t>
      </w:r>
    </w:p>
    <w:p w14:paraId="58E51D36">
      <w:pPr>
        <w:ind w:firstLine="480"/>
        <w:rPr>
          <w:color w:val="auto"/>
        </w:rPr>
      </w:pPr>
      <w:r>
        <w:rPr>
          <w:rFonts w:hint="eastAsia"/>
          <w:color w:val="auto"/>
        </w:rPr>
        <w:t>本文不同于仅在IPC或CPC体系内部开展类别细分的专利分类研究，而是面向医疗器械专利文本与《医疗器械分类目录》之间的跨体系映射任务，建立了从专利技术描述到监管目录类别的自动分类路径。在此基础上，本文借助B/S架构实现在线专利自动分类工具，验证了模型在批量分类、历史留存和结果导出等实际流程中的接入方式。该系统目前仍属于原型系统，其价值主要体现在应用验证层面，可为后续医疗器械垂直领域专利分类数据平台建设提供参考。</w:t>
      </w:r>
    </w:p>
    <w:p w14:paraId="689E93EE">
      <w:pPr>
        <w:pStyle w:val="3"/>
        <w:numPr>
          <w:ilvl w:val="1"/>
          <w:numId w:val="1"/>
        </w:numPr>
        <w:tabs>
          <w:tab w:val="clear" w:pos="420"/>
        </w:tabs>
        <w:rPr>
          <w:color w:val="auto"/>
        </w:rPr>
      </w:pPr>
      <w:bookmarkStart w:id="269" w:name="_Toc22641"/>
      <w:bookmarkStart w:id="270" w:name="_Toc216114531"/>
      <w:bookmarkStart w:id="271" w:name="_Toc229086921"/>
      <w:r>
        <w:rPr>
          <w:rFonts w:hint="eastAsia"/>
          <w:color w:val="auto"/>
        </w:rPr>
        <w:t>展望</w:t>
      </w:r>
      <w:bookmarkEnd w:id="269"/>
      <w:bookmarkEnd w:id="270"/>
      <w:bookmarkEnd w:id="271"/>
    </w:p>
    <w:p w14:paraId="269E0035">
      <w:pPr>
        <w:ind w:firstLine="480"/>
        <w:rPr>
          <w:color w:val="auto"/>
        </w:rPr>
      </w:pPr>
      <w:r>
        <w:rPr>
          <w:rFonts w:hint="eastAsia"/>
          <w:color w:val="auto"/>
        </w:rPr>
        <w:t>尽管本文围绕医疗器械发明专利自动分类完成了数据质量控制、分类模型构建和应用验证，但受数据来源、标注成本、实验条件和研究周期限制，仍有若干问题需要在后续工作中进一步完善。</w:t>
      </w:r>
    </w:p>
    <w:p w14:paraId="167AB691">
      <w:pPr>
        <w:numPr>
          <w:ilvl w:val="0"/>
          <w:numId w:val="19"/>
        </w:numPr>
        <w:ind w:firstLine="480"/>
        <w:rPr>
          <w:color w:val="auto"/>
          <w:highlight w:val="yellow"/>
        </w:rPr>
      </w:pPr>
      <w:r>
        <w:rPr>
          <w:rFonts w:hint="eastAsia"/>
          <w:color w:val="auto"/>
          <w:highlight w:val="yellow"/>
        </w:rPr>
        <w:t>进一步开展二级、三级目录的层次化分类研究</w:t>
      </w:r>
    </w:p>
    <w:p w14:paraId="7CBA8CD3">
      <w:pPr>
        <w:ind w:firstLine="480" w:firstLineChars="0"/>
        <w:rPr>
          <w:color w:val="auto"/>
          <w:highlight w:val="yellow"/>
        </w:rPr>
      </w:pPr>
      <w:r>
        <w:rPr>
          <w:rFonts w:hint="eastAsia"/>
          <w:color w:val="auto"/>
          <w:highlight w:val="yellow"/>
        </w:rPr>
        <w:t>本文当前聚焦《医疗器械分类目录》中的22个一级产品类别，并非忽略目录本身的层级结构，而是在原始数据缺少稳定二级、三级标签的条件下，先建立专利文本向监管目录的第一层级映射基准。若直接开展二级、三级分类，部分类别样本不足会放大监督信号噪声，影响模型评估的可靠性。因此，后续研究可在一级分类结果稳定后，引入层次化文本分类模型或路径约束机制，使模型在预测细粒度类别时保持上下级目录之间的逻辑一致性</w:t>
      </w:r>
      <w:r>
        <w:rPr>
          <w:rStyle w:val="33"/>
          <w:rFonts w:hint="eastAsia"/>
          <w:color w:val="auto"/>
          <w:highlight w:val="yellow"/>
        </w:rPr>
        <w:t>[65]</w:t>
      </w:r>
      <w:r>
        <w:rPr>
          <w:rFonts w:hint="eastAsia"/>
          <w:color w:val="auto"/>
          <w:highlight w:val="yellow"/>
        </w:rPr>
        <w:t>。同时，还需要解决二级、三级类别样本稀疏和类间边界更细的问题。</w:t>
      </w:r>
    </w:p>
    <w:p w14:paraId="1BB964AE">
      <w:pPr>
        <w:numPr>
          <w:ilvl w:val="0"/>
          <w:numId w:val="19"/>
        </w:numPr>
        <w:ind w:firstLine="480"/>
        <w:rPr>
          <w:color w:val="auto"/>
          <w:highlight w:val="yellow"/>
        </w:rPr>
      </w:pPr>
      <w:r>
        <w:rPr>
          <w:rFonts w:hint="eastAsia"/>
          <w:color w:val="auto"/>
          <w:highlight w:val="yellow"/>
        </w:rPr>
        <w:t>扩大专家校对规模</w:t>
      </w:r>
    </w:p>
    <w:p w14:paraId="32581B96">
      <w:pPr>
        <w:ind w:firstLine="480" w:firstLineChars="0"/>
        <w:rPr>
          <w:color w:val="auto"/>
          <w:highlight w:val="yellow"/>
        </w:rPr>
      </w:pPr>
      <w:r>
        <w:rPr>
          <w:rFonts w:hint="eastAsia"/>
          <w:color w:val="auto"/>
          <w:highlight w:val="yellow"/>
        </w:rPr>
        <w:t>本文构建了1104条专家校对数据集D2，并进一步对D3高低置信层进行抽样验证。该设计能够在有限人工成本下评估自动标注结果和置信度过滤策略，但专家校对规模仍然有限，尚不能完全覆盖所有类别边界和复杂样本形态。后续研究可扩大专家校对样本规模，特别是增加低置信样本和模型预测不确定样本的人工复核比例</w:t>
      </w:r>
      <w:r>
        <w:rPr>
          <w:rStyle w:val="33"/>
          <w:rFonts w:hint="eastAsia"/>
          <w:color w:val="auto"/>
          <w:highlight w:val="yellow"/>
        </w:rPr>
        <w:t>[66-68]</w:t>
      </w:r>
      <w:r>
        <w:rPr>
          <w:rFonts w:hint="eastAsia"/>
          <w:color w:val="auto"/>
          <w:highlight w:val="yellow"/>
        </w:rPr>
        <w:t>。</w:t>
      </w:r>
    </w:p>
    <w:p w14:paraId="7927220E">
      <w:pPr>
        <w:numPr>
          <w:ilvl w:val="0"/>
          <w:numId w:val="19"/>
        </w:numPr>
        <w:ind w:firstLine="480"/>
        <w:rPr>
          <w:color w:val="auto"/>
          <w:highlight w:val="yellow"/>
        </w:rPr>
      </w:pPr>
      <w:r>
        <w:rPr>
          <w:rFonts w:hint="eastAsia"/>
          <w:color w:val="auto"/>
          <w:highlight w:val="yellow"/>
        </w:rPr>
        <w:t>完善低置信样本的纠错与再利用机制</w:t>
      </w:r>
    </w:p>
    <w:p w14:paraId="6D5267BF">
      <w:pPr>
        <w:ind w:firstLine="480"/>
        <w:rPr>
          <w:color w:val="auto"/>
          <w:highlight w:val="yellow"/>
        </w:rPr>
      </w:pPr>
      <w:r>
        <w:rPr>
          <w:rFonts w:hint="eastAsia"/>
          <w:color w:val="auto"/>
          <w:highlight w:val="yellow"/>
        </w:rPr>
        <w:t>本文为保证训练标签质量，最终只保留通过验证的高置信样本，并剔除了低置信样本。这样的处理能够降低噪声标签对模型训练的影响，但也可能使训练数据更偏向于类别边界相对清晰的样本。受专家校对成本限制，本文尚未对上万条低置信样本逐条纠错，这是本研究的重要局限。</w:t>
      </w:r>
    </w:p>
    <w:p w14:paraId="0D63038D">
      <w:pPr>
        <w:ind w:firstLine="480"/>
        <w:rPr>
          <w:color w:val="auto"/>
          <w:highlight w:val="yellow"/>
        </w:rPr>
      </w:pPr>
      <w:r>
        <w:rPr>
          <w:rFonts w:hint="eastAsia"/>
          <w:color w:val="auto"/>
          <w:highlight w:val="yellow"/>
        </w:rPr>
        <w:t>后续工作可引入主动学习策略，优先选择模型不确定性高、原始标签与自动标注标签冲突的样本进行专家复核</w:t>
      </w:r>
      <w:r>
        <w:rPr>
          <w:rStyle w:val="33"/>
          <w:rFonts w:hint="eastAsia"/>
          <w:color w:val="auto"/>
          <w:highlight w:val="yellow"/>
        </w:rPr>
        <w:t>[69]</w:t>
      </w:r>
      <w:r>
        <w:rPr>
          <w:rFonts w:hint="eastAsia"/>
          <w:color w:val="auto"/>
          <w:highlight w:val="yellow"/>
        </w:rPr>
        <w:t>；也可以结合规则校验、相似案例检索和多轮人工复查，对低置信样本进行分批纠错</w:t>
      </w:r>
      <w:r>
        <w:rPr>
          <w:rStyle w:val="33"/>
          <w:rFonts w:hint="eastAsia"/>
          <w:color w:val="auto"/>
          <w:highlight w:val="yellow"/>
        </w:rPr>
        <w:t>[70]</w:t>
      </w:r>
      <w:r>
        <w:rPr>
          <w:rFonts w:hint="eastAsia"/>
          <w:color w:val="auto"/>
          <w:highlight w:val="yellow"/>
        </w:rPr>
        <w:t>。在此基础上，可将纠错后的低置信样本重新纳入训练集，进一步检验模型在复杂边界样本上的表现。</w:t>
      </w:r>
    </w:p>
    <w:p w14:paraId="2A8BE0C3">
      <w:pPr>
        <w:numPr>
          <w:ilvl w:val="0"/>
          <w:numId w:val="19"/>
        </w:numPr>
        <w:ind w:firstLine="480"/>
        <w:rPr>
          <w:color w:val="auto"/>
        </w:rPr>
      </w:pPr>
      <w:r>
        <w:rPr>
          <w:rFonts w:hint="eastAsia"/>
          <w:color w:val="auto"/>
        </w:rPr>
        <w:t>多模态数据融合</w:t>
      </w:r>
    </w:p>
    <w:p w14:paraId="533A5694">
      <w:pPr>
        <w:ind w:firstLine="480"/>
        <w:rPr>
          <w:color w:val="auto"/>
        </w:rPr>
      </w:pPr>
      <w:r>
        <w:rPr>
          <w:rFonts w:hint="eastAsia"/>
          <w:color w:val="auto"/>
        </w:rPr>
        <w:t>本文主要是根据专利摘要来进行分类工作，在实际中，专利文件中的图片包含大量的形状以及结构上的内容，这对功能相近但结构不同设备的区分具有参考价值，后续可考虑引入图像处理方法对专利附图进行特征提取，利用多模态的方法融合文本以及图片的信息，提高分类效果</w:t>
      </w:r>
      <w:r>
        <w:rPr>
          <w:rStyle w:val="33"/>
          <w:color w:val="auto"/>
        </w:rPr>
        <w:fldChar w:fldCharType="begin"/>
      </w:r>
      <w:r>
        <w:rPr>
          <w:rStyle w:val="33"/>
          <w:color w:val="auto"/>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3"/>
          <w:color w:val="auto"/>
        </w:rPr>
        <w:fldChar w:fldCharType="separate"/>
      </w:r>
      <w:r>
        <w:rPr>
          <w:rStyle w:val="33"/>
          <w:color w:val="auto"/>
        </w:rPr>
        <w:t>[71]</w:t>
      </w:r>
      <w:r>
        <w:rPr>
          <w:rStyle w:val="33"/>
          <w:color w:val="auto"/>
        </w:rPr>
        <w:fldChar w:fldCharType="end"/>
      </w:r>
      <w:r>
        <w:rPr>
          <w:rFonts w:hint="eastAsia"/>
          <w:color w:val="auto"/>
        </w:rPr>
        <w:t>。</w:t>
      </w:r>
    </w:p>
    <w:p w14:paraId="00185F62">
      <w:pPr>
        <w:numPr>
          <w:ilvl w:val="0"/>
          <w:numId w:val="19"/>
        </w:numPr>
        <w:ind w:firstLine="480"/>
        <w:rPr>
          <w:color w:val="auto"/>
        </w:rPr>
      </w:pPr>
      <w:r>
        <w:rPr>
          <w:rFonts w:hint="eastAsia"/>
          <w:color w:val="auto"/>
        </w:rPr>
        <w:t>数据范围的扩展</w:t>
      </w:r>
    </w:p>
    <w:p w14:paraId="420FF07E">
      <w:pPr>
        <w:ind w:firstLine="480"/>
        <w:rPr>
          <w:color w:val="auto"/>
        </w:rPr>
      </w:pPr>
      <w:r>
        <w:rPr>
          <w:rFonts w:hint="eastAsia"/>
          <w:color w:val="auto"/>
        </w:rPr>
        <w:t>本文仅选取IPC分类号为A61B的中文发明专利作为研究对象，后续工作可以进一步扩大研究范围到其他相关IPC小类，以便更加充分地包含可能涉及医疗器械技术的发明专利。虽然部分IPC小类并不直接标注为医疗器械，但其涉及的技术内容仍可能与医疗器械存在较高关联。</w:t>
      </w:r>
    </w:p>
    <w:p w14:paraId="7889ECF6">
      <w:pPr>
        <w:ind w:firstLine="480"/>
        <w:rPr>
          <w:color w:val="auto"/>
        </w:rPr>
      </w:pPr>
      <w:r>
        <w:rPr>
          <w:rFonts w:hint="eastAsia"/>
          <w:color w:val="auto"/>
        </w:rPr>
        <w:t>另外，后续工作还可以加入英文专利文献，在已有工作的基础上开展跨语言、跨领域医疗器械专利自动分类研究。专利文本具有较强的技术性、法律性和结构化表达特征，相关综述研究也表明，专利领域NLP仍然需要结合专利文本特点进行任务适配</w:t>
      </w:r>
      <w:r>
        <w:rPr>
          <w:rStyle w:val="33"/>
          <w:rFonts w:hint="eastAsia"/>
          <w:color w:val="auto"/>
        </w:rPr>
        <w:t>[72]</w:t>
      </w:r>
      <w:r>
        <w:rPr>
          <w:rFonts w:hint="eastAsia"/>
          <w:color w:val="auto"/>
        </w:rPr>
        <w:t>。因此，扩大数据来源和语言范围有助于进一步提升分类器的适用范围和稳健性。</w:t>
      </w:r>
    </w:p>
    <w:p w14:paraId="5E548304">
      <w:pPr>
        <w:numPr>
          <w:ilvl w:val="0"/>
          <w:numId w:val="19"/>
        </w:numPr>
        <w:ind w:firstLine="480"/>
        <w:rPr>
          <w:color w:val="auto"/>
        </w:rPr>
      </w:pPr>
      <w:r>
        <w:rPr>
          <w:color w:val="auto"/>
        </w:rPr>
        <w:t>模型的可解释性研究</w:t>
      </w:r>
    </w:p>
    <w:p w14:paraId="6B330EC9">
      <w:pPr>
        <w:ind w:firstLine="480"/>
        <w:rPr>
          <w:color w:val="auto"/>
        </w:rPr>
        <w:sectPr>
          <w:headerReference r:id="rId26" w:type="default"/>
          <w:footerReference r:id="rId28" w:type="default"/>
          <w:headerReference r:id="rId27" w:type="even"/>
          <w:footerReference r:id="rId29"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color w:val="auto"/>
        </w:rPr>
        <w:t>当前的BERT-TextCNN模型虽然具有较高的分类准确率，但是仍然存在一定程度的“黑盒”问题</w:t>
      </w:r>
      <w:r>
        <w:rPr>
          <w:rStyle w:val="33"/>
          <w:rFonts w:hint="eastAsia"/>
          <w:color w:val="auto"/>
        </w:rPr>
        <w:t>[73,74]</w:t>
      </w:r>
      <w:r>
        <w:rPr>
          <w:rFonts w:hint="eastAsia"/>
          <w:color w:val="auto"/>
        </w:rPr>
        <w:t>。而在医疗器械监管以及专利审查的工作环境中，审核人员除了关心分类的结果外，还需要知道模型是如何得出这个结论的</w:t>
      </w:r>
      <w:r>
        <w:rPr>
          <w:rStyle w:val="33"/>
          <w:color w:val="auto"/>
        </w:rPr>
        <w:fldChar w:fldCharType="begin"/>
      </w:r>
      <w:r>
        <w:rPr>
          <w:rStyle w:val="33"/>
          <w:color w:val="auto"/>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3"/>
          <w:color w:val="auto"/>
        </w:rPr>
        <w:fldChar w:fldCharType="separate"/>
      </w:r>
      <w:r>
        <w:rPr>
          <w:rStyle w:val="33"/>
          <w:color w:val="auto"/>
        </w:rPr>
        <w:t>[74]</w:t>
      </w:r>
      <w:r>
        <w:rPr>
          <w:rStyle w:val="33"/>
          <w:color w:val="auto"/>
        </w:rPr>
        <w:fldChar w:fldCharType="end"/>
      </w:r>
      <w:r>
        <w:rPr>
          <w:rFonts w:hint="eastAsia"/>
          <w:color w:val="auto"/>
        </w:rPr>
        <w:t>，比如为什么该发明会被认为是“有源手术器械”，而不是“无源手术器械”。加强模型透明度可以提高监管部门对于自动化的接受程度，也可以帮助找到一些问题所在从而改进模型。</w:t>
      </w:r>
    </w:p>
    <w:p w14:paraId="20CB2929">
      <w:pPr>
        <w:pStyle w:val="2"/>
        <w:rPr>
          <w:color w:val="auto"/>
        </w:rPr>
      </w:pPr>
      <w:bookmarkStart w:id="272" w:name="_Toc229086922"/>
      <w:bookmarkStart w:id="273" w:name="_Toc216114532"/>
      <w:bookmarkStart w:id="274" w:name="_Toc3912"/>
      <w:r>
        <w:rPr>
          <w:rFonts w:hint="eastAsia"/>
          <w:color w:val="auto"/>
        </w:rPr>
        <w:t>参考文献</w:t>
      </w:r>
      <w:bookmarkEnd w:id="272"/>
      <w:bookmarkEnd w:id="273"/>
      <w:bookmarkEnd w:id="274"/>
    </w:p>
    <w:p w14:paraId="2CF6D25A">
      <w:pPr>
        <w:pStyle w:val="31"/>
        <w:ind w:left="420" w:hanging="420"/>
        <w:rPr>
          <w:color w:val="auto"/>
        </w:rPr>
      </w:pPr>
    </w:p>
    <w:p w14:paraId="13F092FA">
      <w:pPr>
        <w:pStyle w:val="30"/>
        <w:numPr>
          <w:ilvl w:val="0"/>
          <w:numId w:val="20"/>
        </w:numPr>
        <w:ind w:left="420" w:hanging="420"/>
        <w:rPr>
          <w:color w:val="auto"/>
        </w:rPr>
      </w:pPr>
      <w:r>
        <w:rPr>
          <w:rFonts w:hint="eastAsia"/>
          <w:color w:val="auto"/>
        </w:rPr>
        <w:t>邢文中.我国创新医疗器械产业发展布局与思考[J].中国医疗器械信息,2022,28(23):1-3.DOI:10.15971/j.cnki.cmdi.2022.23.053.</w:t>
      </w:r>
      <w:r>
        <w:rPr>
          <w:color w:val="auto"/>
        </w:rPr>
        <w:t xml:space="preserve"> </w:t>
      </w:r>
    </w:p>
    <w:p w14:paraId="0F4330DA">
      <w:pPr>
        <w:pStyle w:val="30"/>
        <w:numPr>
          <w:ilvl w:val="0"/>
          <w:numId w:val="20"/>
        </w:numPr>
        <w:ind w:left="420" w:hanging="420"/>
        <w:rPr>
          <w:color w:val="auto"/>
        </w:rPr>
      </w:pPr>
      <w:r>
        <w:rPr>
          <w:color w:val="auto"/>
        </w:rPr>
        <w:t>TOPOL E J. High-performance medicine: the convergence of human and artificial intelligence[J]. Nature Medicine, 2019, 25(1): 44-56</w:t>
      </w:r>
      <w:r>
        <w:rPr>
          <w:rFonts w:hint="eastAsia"/>
          <w:color w:val="auto"/>
        </w:rPr>
        <w:t>.</w:t>
      </w:r>
    </w:p>
    <w:p w14:paraId="1FB5DF3C">
      <w:pPr>
        <w:pStyle w:val="30"/>
        <w:numPr>
          <w:ilvl w:val="0"/>
          <w:numId w:val="20"/>
        </w:numPr>
        <w:ind w:left="420" w:hanging="420"/>
        <w:rPr>
          <w:color w:val="auto"/>
        </w:rPr>
      </w:pPr>
      <w:r>
        <w:rPr>
          <w:rFonts w:hint="eastAsia"/>
          <w:color w:val="auto"/>
        </w:rPr>
        <w:t>国务院办公厅. 关于发展银发经济增进老年人福祉的意见: 国办发〔2024〕1号[EB/OL]. (2024-01-15)</w:t>
      </w:r>
      <w:r>
        <w:rPr>
          <w:color w:val="auto"/>
        </w:rPr>
        <w:t xml:space="preserve"> [2026-03-16]</w:t>
      </w:r>
      <w:r>
        <w:rPr>
          <w:rFonts w:hint="eastAsia"/>
          <w:color w:val="auto"/>
        </w:rPr>
        <w:t xml:space="preserve">. </w:t>
      </w:r>
      <w:r>
        <w:rPr>
          <w:color w:val="auto"/>
        </w:rPr>
        <w:t>https://www.gov.cn/zhengce/zhengceku/202401/content_6926088.htm.</w:t>
      </w:r>
    </w:p>
    <w:p w14:paraId="1F41B194">
      <w:pPr>
        <w:pStyle w:val="30"/>
        <w:numPr>
          <w:ilvl w:val="0"/>
          <w:numId w:val="20"/>
        </w:numPr>
        <w:ind w:left="420" w:hanging="420"/>
        <w:rPr>
          <w:color w:val="auto"/>
        </w:rPr>
      </w:pPr>
      <w:r>
        <w:rPr>
          <w:rFonts w:hint="eastAsia"/>
          <w:color w:val="auto"/>
        </w:rPr>
        <w:t>冯晓青. 企业知识产权战略[M]. 3版. 北京: 知识产权出版社, 20</w:t>
      </w:r>
      <w:r>
        <w:rPr>
          <w:color w:val="auto"/>
        </w:rPr>
        <w:t>08</w:t>
      </w:r>
      <w:r>
        <w:rPr>
          <w:rFonts w:hint="eastAsia"/>
          <w:color w:val="auto"/>
        </w:rPr>
        <w:t>: 156-180</w:t>
      </w:r>
      <w:r>
        <w:rPr>
          <w:color w:val="auto"/>
        </w:rPr>
        <w:t>.</w:t>
      </w:r>
    </w:p>
    <w:p w14:paraId="364637C2">
      <w:pPr>
        <w:pStyle w:val="30"/>
        <w:numPr>
          <w:ilvl w:val="0"/>
          <w:numId w:val="20"/>
        </w:numPr>
        <w:ind w:left="420" w:hanging="420"/>
        <w:rPr>
          <w:color w:val="auto"/>
        </w:rPr>
      </w:pPr>
      <w:r>
        <w:rPr>
          <w:color w:val="auto"/>
        </w:rPr>
        <w:t xml:space="preserve">European Patent Office. Patent Index 2024: Statistics and trends in medical technology[R]. Munich: EPO, 2025. </w:t>
      </w:r>
    </w:p>
    <w:p w14:paraId="3ED5E1C5">
      <w:pPr>
        <w:pStyle w:val="30"/>
        <w:numPr>
          <w:ilvl w:val="0"/>
          <w:numId w:val="20"/>
        </w:numPr>
        <w:ind w:left="420" w:hanging="420"/>
        <w:rPr>
          <w:color w:val="auto"/>
        </w:rPr>
      </w:pPr>
      <w:r>
        <w:rPr>
          <w:color w:val="auto"/>
        </w:rPr>
        <w:t>2024年度医疗器械注册工作报告[EB/OL]. [2026-0</w:t>
      </w:r>
      <w:r>
        <w:rPr>
          <w:rFonts w:hint="eastAsia"/>
          <w:color w:val="auto"/>
        </w:rPr>
        <w:t>3</w:t>
      </w:r>
      <w:r>
        <w:rPr>
          <w:color w:val="auto"/>
        </w:rPr>
        <w:t>-</w:t>
      </w:r>
      <w:r>
        <w:rPr>
          <w:rFonts w:hint="eastAsia"/>
          <w:color w:val="auto"/>
        </w:rPr>
        <w:t>16</w:t>
      </w:r>
      <w:r>
        <w:rPr>
          <w:color w:val="auto"/>
        </w:rPr>
        <w:t>]. https://www.nmpa.gov.cn/xxgk/fgwj/gzwj/gzwjylqx/20250213095700131.html.</w:t>
      </w:r>
    </w:p>
    <w:p w14:paraId="2E4329AB">
      <w:pPr>
        <w:pStyle w:val="30"/>
        <w:numPr>
          <w:ilvl w:val="0"/>
          <w:numId w:val="20"/>
        </w:numPr>
        <w:ind w:left="420" w:hanging="420"/>
        <w:rPr>
          <w:color w:val="auto"/>
        </w:rPr>
      </w:pPr>
      <w:r>
        <w:rPr>
          <w:color w:val="auto"/>
        </w:rPr>
        <w:t>Locarno Agreement Establishing an International Classification for Industrial Designs[EB/OL]. [2026-03-17]. https://www.wipo.int/en/web/treaties/classification/locarno/index.</w:t>
      </w:r>
    </w:p>
    <w:p w14:paraId="61A25C90">
      <w:pPr>
        <w:pStyle w:val="30"/>
        <w:numPr>
          <w:ilvl w:val="0"/>
          <w:numId w:val="20"/>
        </w:numPr>
        <w:ind w:left="420" w:hanging="420"/>
        <w:rPr>
          <w:color w:val="auto"/>
        </w:rPr>
      </w:pPr>
      <w:r>
        <w:rPr>
          <w:color w:val="auto"/>
        </w:rPr>
        <w:t>CPC Definition - G16H HEALTHCARE INFORMATICS, i.e. INFORMATION AND COMMUNICATION TECHNOLOGY [ICT]...[EB/OL]. [2026-03-16]. https://www.uspto.gov/web/patents/classification/cpc/html/defG16H.html.</w:t>
      </w:r>
    </w:p>
    <w:p w14:paraId="2CC5D92E">
      <w:pPr>
        <w:pStyle w:val="30"/>
        <w:numPr>
          <w:ilvl w:val="0"/>
          <w:numId w:val="20"/>
        </w:numPr>
        <w:ind w:left="420" w:hanging="420"/>
        <w:rPr>
          <w:color w:val="auto"/>
        </w:rPr>
      </w:pPr>
      <w:r>
        <w:rPr>
          <w:color w:val="auto"/>
        </w:rPr>
        <w:t>医疗器械分类目录[EB/OL]. [2026-03-16]. https://baike.baidu.hk/item/%E5%8C%BB%E7%96%97%E5%99%A8%E6%A2%B0%E5%88%86%E7%B1%BB%E7%9B%AE%E5%BD%95/9893267.</w:t>
      </w:r>
    </w:p>
    <w:p w14:paraId="3D297D86">
      <w:pPr>
        <w:pStyle w:val="30"/>
        <w:numPr>
          <w:ilvl w:val="0"/>
          <w:numId w:val="20"/>
        </w:numPr>
        <w:ind w:left="420" w:hanging="420"/>
        <w:rPr>
          <w:color w:val="auto"/>
        </w:rPr>
      </w:pPr>
      <w:r>
        <w:rPr>
          <w:color w:val="auto"/>
        </w:rPr>
        <w:t>NMPA Classification Specifications - China Med Device[EB/OL]. [2026-03-16]. https://chinameddevice.com/services/regulatory-services/ra-strategy/nmpa-classification/.</w:t>
      </w:r>
    </w:p>
    <w:p w14:paraId="7BC13FEA">
      <w:pPr>
        <w:pStyle w:val="30"/>
        <w:numPr>
          <w:ilvl w:val="0"/>
          <w:numId w:val="20"/>
        </w:numPr>
        <w:ind w:left="420" w:hanging="420"/>
        <w:rPr>
          <w:color w:val="auto"/>
        </w:rPr>
      </w:pPr>
      <w:r>
        <w:rPr>
          <w:color w:val="auto"/>
        </w:rPr>
        <w:t>SHIMANUKI S, SAIKI T. Technological diversity management of medical device enterprises[J]. Journal of Strategy and Management, 2012, 5(4): 420-436.</w:t>
      </w:r>
    </w:p>
    <w:p w14:paraId="3FBDE3BA">
      <w:pPr>
        <w:pStyle w:val="30"/>
        <w:numPr>
          <w:ilvl w:val="0"/>
          <w:numId w:val="20"/>
        </w:numPr>
        <w:ind w:left="420" w:hanging="420"/>
        <w:rPr>
          <w:color w:val="auto"/>
        </w:rPr>
      </w:pPr>
      <w:r>
        <w:rPr>
          <w:color w:val="auto"/>
        </w:rPr>
        <w:t>XIE X, WU J, XIANG M, et al. Enhancing the efficiency of patent classification: a multimodal classification approach for design patents[J]. Journal of King Saud University Computer and Information Sciences, 2025, 37(7): 183.</w:t>
      </w:r>
    </w:p>
    <w:p w14:paraId="72D629D0">
      <w:pPr>
        <w:pStyle w:val="30"/>
        <w:numPr>
          <w:ilvl w:val="0"/>
          <w:numId w:val="20"/>
        </w:numPr>
        <w:ind w:left="420" w:hanging="420"/>
        <w:rPr>
          <w:color w:val="auto"/>
        </w:rPr>
      </w:pPr>
      <w:r>
        <w:rPr>
          <w:rFonts w:hint="eastAsia"/>
          <w:color w:val="auto"/>
        </w:rPr>
        <w:t>PUJARI S C, MANTIUK F, GIERETH M, et al. Evaluating neural multi-field document representations for patent classification[C]//FROMMHOLZ I, MAYR P, CABANAC G, et al. BIR 2022: Proceedings of the 12th International Workshop on Bibliometric-enhanced Information Retrieval. Aachen: CEUR-WS, 2022: 13-27[2026-05-07]. https://ceur-ws.org/Vol-3230/paper-04.pdf</w:t>
      </w:r>
      <w:r>
        <w:rPr>
          <w:color w:val="auto"/>
        </w:rPr>
        <w:t>.</w:t>
      </w:r>
    </w:p>
    <w:p w14:paraId="1D0F0933">
      <w:pPr>
        <w:pStyle w:val="30"/>
        <w:numPr>
          <w:ilvl w:val="0"/>
          <w:numId w:val="20"/>
        </w:numPr>
        <w:ind w:left="420" w:hanging="420"/>
        <w:rPr>
          <w:color w:val="auto"/>
        </w:rPr>
      </w:pPr>
      <w:r>
        <w:rPr>
          <w:color w:val="auto"/>
        </w:rPr>
        <w:t>LIU Z, LIU L. Patent protection of biological genetic resources based on deep learning and artificial intelligence[J]. Scientific Reports, 2025, 15(1): 41302.</w:t>
      </w:r>
    </w:p>
    <w:p w14:paraId="64E0AE16">
      <w:pPr>
        <w:pStyle w:val="30"/>
        <w:numPr>
          <w:ilvl w:val="0"/>
          <w:numId w:val="20"/>
        </w:numPr>
        <w:ind w:left="420" w:hanging="420"/>
        <w:rPr>
          <w:color w:val="auto"/>
        </w:rPr>
      </w:pPr>
      <w:r>
        <w:rPr>
          <w:rFonts w:hint="eastAsia"/>
          <w:color w:val="auto"/>
        </w:rPr>
        <w:t>HARRIS Z S. Distributional structure[J]. Word, 1954, 10(2/3): 146-162. DOI:10.1080/00437956.1954.11659520</w:t>
      </w:r>
      <w:r>
        <w:rPr>
          <w:color w:val="auto"/>
        </w:rPr>
        <w:t>.</w:t>
      </w:r>
    </w:p>
    <w:p w14:paraId="1A83638D">
      <w:pPr>
        <w:pStyle w:val="30"/>
        <w:numPr>
          <w:ilvl w:val="0"/>
          <w:numId w:val="20"/>
        </w:numPr>
        <w:ind w:left="420" w:hanging="420"/>
        <w:rPr>
          <w:color w:val="auto"/>
        </w:rPr>
      </w:pPr>
      <w:r>
        <w:rPr>
          <w:rFonts w:hint="eastAsia"/>
          <w:color w:val="auto"/>
        </w:rPr>
        <w:t>SALTON G, BUCKLEY C. Term-weighting approaches in automatic text retrieval[J]. Information Processing &amp; Management, 1988, 24(5): 513-523. DOI:10.1016/0306-4573(88)90021-0</w:t>
      </w:r>
      <w:r>
        <w:rPr>
          <w:color w:val="auto"/>
        </w:rPr>
        <w:t>.</w:t>
      </w:r>
    </w:p>
    <w:p w14:paraId="3D8EDEBB">
      <w:pPr>
        <w:pStyle w:val="30"/>
        <w:numPr>
          <w:ilvl w:val="0"/>
          <w:numId w:val="20"/>
        </w:numPr>
        <w:ind w:left="420" w:hanging="420"/>
        <w:rPr>
          <w:color w:val="auto"/>
        </w:rPr>
      </w:pPr>
      <w:r>
        <w:rPr>
          <w:rFonts w:hint="eastAsia"/>
          <w:color w:val="auto"/>
        </w:rPr>
        <w:t>CAVNAR W B, TRENKLE J M. N-gram-based text categorization[C]//Proceedings of the 3rd Annual Symposium on Document Analysis and Information Retrieval. Las Vegas: University of Nevada, 1994: 161-169.</w:t>
      </w:r>
    </w:p>
    <w:p w14:paraId="2D0382DA">
      <w:pPr>
        <w:pStyle w:val="30"/>
        <w:numPr>
          <w:ilvl w:val="0"/>
          <w:numId w:val="20"/>
        </w:numPr>
        <w:ind w:left="420" w:hanging="420"/>
        <w:rPr>
          <w:color w:val="auto"/>
        </w:rPr>
      </w:pPr>
      <w:r>
        <w:rPr>
          <w:rFonts w:hint="eastAsia"/>
          <w:color w:val="auto"/>
        </w:rPr>
        <w:t>KIM Y. Convolutional neural networks for sentence classification[C]//Proceedings of the 2014 Conference on Empirical Methods in Natural Language Processing. Doha: Association for Computational Linguistics, 2014: 1746-1751</w:t>
      </w:r>
      <w:r>
        <w:rPr>
          <w:color w:val="auto"/>
        </w:rPr>
        <w:t>.</w:t>
      </w:r>
    </w:p>
    <w:p w14:paraId="7ABFB3A4">
      <w:pPr>
        <w:pStyle w:val="30"/>
        <w:numPr>
          <w:ilvl w:val="0"/>
          <w:numId w:val="20"/>
        </w:numPr>
        <w:ind w:left="420" w:hanging="420"/>
        <w:rPr>
          <w:color w:val="auto"/>
        </w:rPr>
      </w:pPr>
      <w:r>
        <w:rPr>
          <w:rFonts w:hint="eastAsia"/>
          <w:color w:val="auto"/>
        </w:rPr>
        <w:t>HOCHREITER S, SCHMIDHUBER J. Long short-term memory[J]. Neural Computation, 1997, 9(8): 1735-1780. DOI:10.1162/neco.1997.9.8.1735.</w:t>
      </w:r>
    </w:p>
    <w:p w14:paraId="275BA19A">
      <w:pPr>
        <w:pStyle w:val="30"/>
        <w:numPr>
          <w:ilvl w:val="0"/>
          <w:numId w:val="20"/>
        </w:numPr>
        <w:ind w:left="420" w:hanging="420"/>
        <w:rPr>
          <w:color w:val="auto"/>
        </w:rPr>
      </w:pPr>
      <w:r>
        <w:rPr>
          <w:rFonts w:hint="eastAsia"/>
          <w:color w:val="auto"/>
        </w:rPr>
        <w:t>DEVLIN J, CHANG M W, LEE K, et al. BERT: Pre-training of deep bidirectional transformers for language understanding[C]//Proceedings of the 2019 Conference of the North American Chapter of the Association for Computational Linguistics: Human Language Technologies. Minneapolis: Association for Computational Linguistics, 2019: 4171-4186. DOI:10.18653/v1/N19-1423.</w:t>
      </w:r>
    </w:p>
    <w:p w14:paraId="015350B7">
      <w:pPr>
        <w:pStyle w:val="30"/>
        <w:numPr>
          <w:ilvl w:val="0"/>
          <w:numId w:val="20"/>
        </w:numPr>
        <w:ind w:left="420" w:hanging="420"/>
        <w:rPr>
          <w:color w:val="auto"/>
        </w:rPr>
      </w:pPr>
      <w:r>
        <w:rPr>
          <w:rFonts w:hint="eastAsia"/>
          <w:color w:val="auto"/>
        </w:rPr>
        <w:t>BELTAGY I, PETERS M E, COHAN A. Longformer: The long-document transformer[EB/OL]. arXiv, 2020[2026-05-07]. https://arxiv.org/abs/2004.05150.</w:t>
      </w:r>
    </w:p>
    <w:p w14:paraId="744C1FB2">
      <w:pPr>
        <w:pStyle w:val="30"/>
        <w:numPr>
          <w:ilvl w:val="0"/>
          <w:numId w:val="20"/>
        </w:numPr>
        <w:ind w:left="420" w:hanging="420"/>
        <w:rPr>
          <w:color w:val="auto"/>
        </w:rPr>
      </w:pPr>
      <w:r>
        <w:rPr>
          <w:rFonts w:hint="eastAsia"/>
          <w:color w:val="auto"/>
        </w:rPr>
        <w:t>YANG Z, YANG D, DYER C, et al. Hierarchical attention networks for document classification[C]//Proceedings of the 2016 Conference of the North American Chapter of the Association for Computational Linguistics: Human Language Technologies. San Diego: Association for Computational Linguistics, 2016: 1480-1489. DOI:10.18653/v1/N16-1174.</w:t>
      </w:r>
    </w:p>
    <w:p w14:paraId="2768D7BE">
      <w:pPr>
        <w:pStyle w:val="30"/>
        <w:numPr>
          <w:ilvl w:val="0"/>
          <w:numId w:val="20"/>
        </w:numPr>
        <w:ind w:left="420" w:hanging="420"/>
        <w:rPr>
          <w:color w:val="auto"/>
        </w:rPr>
      </w:pPr>
      <w:r>
        <w:rPr>
          <w:rFonts w:hint="eastAsia"/>
          <w:color w:val="auto"/>
        </w:rPr>
        <w:t>BAI J, BAI S, CHU Y, et al. Qwen technical report[EB/OL]. arXiv, 2023[2026-05-07]. https://arxiv.org/abs/2309.16609.</w:t>
      </w:r>
    </w:p>
    <w:p w14:paraId="7C295E93">
      <w:pPr>
        <w:pStyle w:val="30"/>
        <w:numPr>
          <w:ilvl w:val="0"/>
          <w:numId w:val="20"/>
        </w:numPr>
        <w:ind w:left="420" w:hanging="420"/>
        <w:rPr>
          <w:color w:val="auto"/>
        </w:rPr>
      </w:pPr>
      <w:r>
        <w:rPr>
          <w:rFonts w:hint="eastAsia"/>
          <w:color w:val="auto"/>
        </w:rPr>
        <w:t>BAI Y, LV X, ZHANG J, et al. LongAlign: A recipe for long context alignment of large language models[EB/OL]. arXiv, 2024[2026-05-07]. https://arxiv.org/abs/2401.18058.</w:t>
      </w:r>
    </w:p>
    <w:p w14:paraId="5A1E2357">
      <w:pPr>
        <w:pStyle w:val="30"/>
        <w:numPr>
          <w:ilvl w:val="0"/>
          <w:numId w:val="20"/>
        </w:numPr>
        <w:ind w:left="420" w:hanging="420"/>
        <w:rPr>
          <w:color w:val="auto"/>
        </w:rPr>
      </w:pPr>
      <w:r>
        <w:rPr>
          <w:rFonts w:hint="eastAsia"/>
          <w:color w:val="auto"/>
        </w:rPr>
        <w:t>CHEN S, WONG S, CHEN L, et al. Extending context window of large language models via positional interpolation[EB/OL]. arXiv, 2023[2026-05-07]. https://arxiv.org/abs/2306.15595.</w:t>
      </w:r>
    </w:p>
    <w:p w14:paraId="513E96D9">
      <w:pPr>
        <w:pStyle w:val="30"/>
        <w:numPr>
          <w:ilvl w:val="0"/>
          <w:numId w:val="20"/>
        </w:numPr>
        <w:ind w:left="420" w:hanging="420"/>
        <w:rPr>
          <w:color w:val="auto"/>
        </w:rPr>
      </w:pPr>
      <w:r>
        <w:rPr>
          <w:color w:val="auto"/>
        </w:rPr>
        <w:t>LEE J S, HSIANG J. PatentBERT: Patent Classification with Fine-Tuning a pre-trained BERT Model[EB/OL]. arXiv, 2019[2026-03-17]. http://arxiv.org/abs/1906.02124.</w:t>
      </w:r>
    </w:p>
    <w:p w14:paraId="692DDF4B">
      <w:pPr>
        <w:pStyle w:val="30"/>
        <w:numPr>
          <w:ilvl w:val="0"/>
          <w:numId w:val="20"/>
        </w:numPr>
        <w:ind w:left="420" w:hanging="420"/>
        <w:rPr>
          <w:color w:val="auto"/>
        </w:rPr>
      </w:pPr>
      <w:r>
        <w:rPr>
          <w:color w:val="auto"/>
        </w:rPr>
        <w:t>BEKAMIRI H, HAIN D S, JUROWETZKI R. PatentSBERTa: A Deep NLP based Hybrid Model for Patent Distance and Classification using Augmented SBERT[EB/OL]. arXiv, 2021[2026-03-17]. http://arxiv.org/abs/2103.11933.</w:t>
      </w:r>
    </w:p>
    <w:p w14:paraId="1FDC1FA2">
      <w:pPr>
        <w:pStyle w:val="30"/>
        <w:numPr>
          <w:ilvl w:val="0"/>
          <w:numId w:val="20"/>
        </w:numPr>
        <w:ind w:left="420" w:hanging="420"/>
        <w:rPr>
          <w:color w:val="auto"/>
        </w:rPr>
      </w:pPr>
      <w:r>
        <w:rPr>
          <w:color w:val="auto"/>
        </w:rPr>
        <w:t>LIU Y, OTT M, GOYAL N, et al. RoBERTa: A Robustly Optimized BERT Pretraining Approach[EB/OL]. arXiv, 2019[2026-03-17]. http://arxiv.org/abs/1907.11692.</w:t>
      </w:r>
    </w:p>
    <w:p w14:paraId="5AB64618">
      <w:pPr>
        <w:pStyle w:val="30"/>
        <w:numPr>
          <w:ilvl w:val="0"/>
          <w:numId w:val="20"/>
        </w:numPr>
        <w:ind w:left="420" w:hanging="420"/>
        <w:rPr>
          <w:color w:val="auto"/>
        </w:rPr>
      </w:pPr>
      <w:r>
        <w:rPr>
          <w:color w:val="auto"/>
        </w:rPr>
        <w:t>YANG Z, DAI Z, YANG Y, et al. XLNet: Generalized Autoregressive Pretraining for Language Understanding[C/OL]//Advances in Neural Information Processing Systems: Vol. 32. Curran Associates, Inc., 2019[2026-03-17]. https://proceedings.neurips.cc/paper_files/paper/2019/hash/dc6a7e655d7e5840e66733e9ee67cc69-Abstract.html.</w:t>
      </w:r>
    </w:p>
    <w:p w14:paraId="1DABE20F">
      <w:pPr>
        <w:pStyle w:val="30"/>
        <w:numPr>
          <w:ilvl w:val="0"/>
          <w:numId w:val="20"/>
        </w:numPr>
        <w:ind w:left="420" w:hanging="420"/>
        <w:rPr>
          <w:color w:val="auto"/>
        </w:rPr>
      </w:pPr>
      <w:r>
        <w:rPr>
          <w:color w:val="auto"/>
        </w:rPr>
        <w:t>ZHU H, ZHANG C, HUANG J, et al. HiTIN: Hierarchy-aware Tree Isomorphism Network for Hierarchical Text Classification[C/OL]//ROGERS A, BOYD-GRABER J, OKAZAKI N. Proceedings of the 61st Annual Meeting of the Association for Computational Linguistics (Volume 1: Long Papers). Toronto, Canada: Association for Computational Linguistics, 2023: 7809-7821[2026-03-17]. https://aclanthology.org/2023.acl-long.432/</w:t>
      </w:r>
      <w:r>
        <w:rPr>
          <w:rFonts w:hint="eastAsia"/>
          <w:color w:val="auto"/>
        </w:rPr>
        <w:t>.</w:t>
      </w:r>
      <w:r>
        <w:rPr>
          <w:color w:val="auto"/>
        </w:rPr>
        <w:t xml:space="preserve"> </w:t>
      </w:r>
    </w:p>
    <w:p w14:paraId="660C1D08">
      <w:pPr>
        <w:pStyle w:val="30"/>
        <w:numPr>
          <w:ilvl w:val="0"/>
          <w:numId w:val="20"/>
        </w:numPr>
        <w:ind w:left="420" w:hanging="420"/>
        <w:rPr>
          <w:color w:val="auto"/>
        </w:rPr>
      </w:pPr>
      <w:r>
        <w:rPr>
          <w:color w:val="auto"/>
        </w:rPr>
        <w:t xml:space="preserve">LEWIS P, PEREZ E, PIKTUS A, et al. Retrieval-Augmented Generation for Knowledge-Intensive NLP Tasks[EB/OL]. arXiv, 2021[2026-03-17]. http://arxiv.org/abs/2005.11401. </w:t>
      </w:r>
    </w:p>
    <w:p w14:paraId="79C2B5F6">
      <w:pPr>
        <w:pStyle w:val="30"/>
        <w:numPr>
          <w:ilvl w:val="0"/>
          <w:numId w:val="20"/>
        </w:numPr>
        <w:ind w:left="420" w:hanging="420"/>
        <w:rPr>
          <w:color w:val="auto"/>
        </w:rPr>
      </w:pPr>
      <w:r>
        <w:rPr>
          <w:color w:val="auto"/>
        </w:rPr>
        <w:t xml:space="preserve">langgenius/dify[CP/OL]. LangGenius, 2026[2026-03-17]. https://github.com/langgenius/dify. </w:t>
      </w:r>
    </w:p>
    <w:p w14:paraId="3DCB9A73">
      <w:pPr>
        <w:pStyle w:val="30"/>
        <w:numPr>
          <w:ilvl w:val="0"/>
          <w:numId w:val="20"/>
        </w:numPr>
        <w:ind w:left="420" w:hanging="420"/>
        <w:rPr>
          <w:color w:val="auto"/>
        </w:rPr>
      </w:pPr>
      <w:r>
        <w:rPr>
          <w:rFonts w:hint="eastAsia"/>
          <w:color w:val="auto"/>
        </w:rPr>
        <w:t>GHOSH M, ERHARDT S, ROSE M E, et al. PaECTER: Patent-level representation learning using citation-informed transformers[EB/OL]. arXiv, 2024[2026-05-07]. https://arxiv.org/abs/2402.19411</w:t>
      </w:r>
      <w:r>
        <w:rPr>
          <w:color w:val="auto"/>
        </w:rPr>
        <w:t xml:space="preserve">. </w:t>
      </w:r>
    </w:p>
    <w:p w14:paraId="46F0FFD3">
      <w:pPr>
        <w:pStyle w:val="30"/>
        <w:numPr>
          <w:ilvl w:val="0"/>
          <w:numId w:val="20"/>
        </w:numPr>
        <w:ind w:left="420" w:hanging="420"/>
        <w:rPr>
          <w:color w:val="auto"/>
        </w:rPr>
      </w:pPr>
      <w:r>
        <w:rPr>
          <w:rFonts w:hint="eastAsia"/>
          <w:color w:val="auto"/>
        </w:rPr>
        <w:t>KUMAR M, KHAN L, CHOI A. RAMHA: A hybrid social text-based transformer with adapter for mental health emotion classification[J]. Mathematics, 2025, 13(18): 2918. DOI:10.3390/math13182918</w:t>
      </w:r>
      <w:r>
        <w:rPr>
          <w:color w:val="auto"/>
        </w:rPr>
        <w:t xml:space="preserve">. </w:t>
      </w:r>
    </w:p>
    <w:p w14:paraId="26931786">
      <w:pPr>
        <w:pStyle w:val="30"/>
        <w:numPr>
          <w:ilvl w:val="0"/>
          <w:numId w:val="20"/>
        </w:numPr>
        <w:ind w:left="420" w:hanging="420"/>
        <w:rPr>
          <w:color w:val="auto"/>
        </w:rPr>
      </w:pPr>
      <w:r>
        <w:rPr>
          <w:rFonts w:hint="eastAsia"/>
          <w:color w:val="auto"/>
        </w:rPr>
        <w:t>智慧芽官网: 更懂技术创新的AI Agent平台[EB/OL]. [2026-05-07]. https://www.zhihuiya.com/</w:t>
      </w:r>
      <w:r>
        <w:rPr>
          <w:color w:val="auto"/>
        </w:rPr>
        <w:t>.</w:t>
      </w:r>
    </w:p>
    <w:p w14:paraId="73FA294C">
      <w:pPr>
        <w:pStyle w:val="30"/>
        <w:numPr>
          <w:ilvl w:val="0"/>
          <w:numId w:val="20"/>
        </w:numPr>
        <w:ind w:left="420" w:hanging="420"/>
        <w:rPr>
          <w:color w:val="auto"/>
        </w:rPr>
      </w:pPr>
      <w:r>
        <w:rPr>
          <w:rFonts w:hint="eastAsia"/>
          <w:color w:val="auto"/>
        </w:rPr>
        <w:t xml:space="preserve">医知桥[EB/OL]. [2026-03-17]. https://www.mediplink.com.cn/login. </w:t>
      </w:r>
    </w:p>
    <w:p w14:paraId="5F0F3C99">
      <w:pPr>
        <w:pStyle w:val="30"/>
        <w:numPr>
          <w:ilvl w:val="0"/>
          <w:numId w:val="20"/>
        </w:numPr>
        <w:ind w:left="420" w:hanging="420"/>
        <w:rPr>
          <w:color w:val="auto"/>
        </w:rPr>
      </w:pPr>
      <w:r>
        <w:rPr>
          <w:rFonts w:hint="eastAsia"/>
          <w:color w:val="auto"/>
        </w:rPr>
        <w:t>国家食品药品监督管理总局. 关于发布《医疗器械分类目录》动态调整工作程序的公告（2021年第60号）[EB/OL]. (2021-04-27). https://www.nmpa.gov.cn.</w:t>
      </w:r>
      <w:r>
        <w:rPr>
          <w:color w:val="auto"/>
        </w:rPr>
        <w:t xml:space="preserve"> </w:t>
      </w:r>
    </w:p>
    <w:p w14:paraId="66949A50">
      <w:pPr>
        <w:pStyle w:val="30"/>
        <w:numPr>
          <w:ilvl w:val="0"/>
          <w:numId w:val="20"/>
        </w:numPr>
        <w:ind w:left="420" w:hanging="420"/>
        <w:rPr>
          <w:color w:val="auto"/>
        </w:rPr>
      </w:pPr>
      <w:r>
        <w:rPr>
          <w:rFonts w:hint="eastAsia"/>
          <w:color w:val="auto"/>
        </w:rPr>
        <w:t>国家食品药品监督管理总局. 关于发布医疗器械分类目录的公告: 2017年第104号[EB/OL]. (2017-08-31)[2026-05-06]. https://www.nmpa.gov.cn/xxgk/ggtg/ylqxggtg/ylqxqtggtg/20170904150301406.html</w:t>
      </w:r>
      <w:r>
        <w:rPr>
          <w:color w:val="auto"/>
        </w:rPr>
        <w:t>.</w:t>
      </w:r>
    </w:p>
    <w:p w14:paraId="6DF0DC01">
      <w:pPr>
        <w:pStyle w:val="30"/>
        <w:numPr>
          <w:ilvl w:val="0"/>
          <w:numId w:val="20"/>
        </w:numPr>
        <w:ind w:left="420" w:hanging="420"/>
        <w:rPr>
          <w:color w:val="auto"/>
        </w:rPr>
      </w:pPr>
      <w:r>
        <w:rPr>
          <w:color w:val="auto"/>
        </w:rPr>
        <w:t>Northcutt C G, Jiang L, Chuang I L. Confident Learning: Estimating Uncertainty in Dataset Labels[J]. Journal of Artificial Intelligence Research, 2021, 70: 1373-1411. DOI: 10.1613/jair.1.12125 .</w:t>
      </w:r>
    </w:p>
    <w:p w14:paraId="4C35169C">
      <w:pPr>
        <w:pStyle w:val="30"/>
        <w:numPr>
          <w:ilvl w:val="0"/>
          <w:numId w:val="20"/>
        </w:numPr>
        <w:ind w:left="420" w:hanging="420"/>
        <w:rPr>
          <w:color w:val="auto"/>
        </w:rPr>
      </w:pPr>
      <w:r>
        <w:rPr>
          <w:color w:val="auto"/>
        </w:rPr>
        <w:t xml:space="preserve">Gilardi F, Alizadeh M, Kubli M. ChatGPT out-performs crowd-workers for text-annotation tasks[J]. Proceedings of the National Academy of Sciences (PNAS), 2023, 120(28): e2305016120. DOI: 10.1073/pnas.2305016120. </w:t>
      </w:r>
    </w:p>
    <w:p w14:paraId="2BB14F71">
      <w:pPr>
        <w:pStyle w:val="30"/>
        <w:numPr>
          <w:ilvl w:val="0"/>
          <w:numId w:val="20"/>
        </w:numPr>
        <w:ind w:left="420" w:hanging="420"/>
        <w:rPr>
          <w:color w:val="auto"/>
        </w:rPr>
      </w:pPr>
      <w:r>
        <w:rPr>
          <w:color w:val="auto"/>
        </w:rPr>
        <w:t xml:space="preserve">SCHUIRMANN D J. A comparison of the two one-sided tests procedure and the power approach for assessing the equivalence of average bioavailability[J]. Journal of Pharmacokinetics and Biopharmaceutics, 1987, 15(6): 657-680. DOI: 10.1007/BF01068419. </w:t>
      </w:r>
    </w:p>
    <w:p w14:paraId="4C4163B0">
      <w:pPr>
        <w:pStyle w:val="30"/>
        <w:numPr>
          <w:ilvl w:val="0"/>
          <w:numId w:val="20"/>
        </w:numPr>
        <w:ind w:left="420" w:hanging="420"/>
        <w:rPr>
          <w:color w:val="auto"/>
        </w:rPr>
      </w:pPr>
      <w:r>
        <w:rPr>
          <w:color w:val="auto"/>
        </w:rPr>
        <w:t xml:space="preserve">COX D R. The Regression Analysis of Binary Sequences[J]. Journal of the Royal Statistical Society: Series B (Methodological), 1958, 20(2): 215-242. </w:t>
      </w:r>
    </w:p>
    <w:p w14:paraId="039A3547">
      <w:pPr>
        <w:pStyle w:val="30"/>
        <w:numPr>
          <w:ilvl w:val="0"/>
          <w:numId w:val="20"/>
        </w:numPr>
        <w:ind w:left="420" w:hanging="420"/>
        <w:rPr>
          <w:color w:val="auto"/>
        </w:rPr>
      </w:pPr>
      <w:r>
        <w:rPr>
          <w:color w:val="auto"/>
        </w:rPr>
        <w:t xml:space="preserve">COVER T, HART P. Nearest neighbor pattern classification[J]. IEEE Transactions on Information Theory, 1967, 13(1): 21-27. </w:t>
      </w:r>
    </w:p>
    <w:p w14:paraId="4DFA8C34">
      <w:pPr>
        <w:pStyle w:val="30"/>
        <w:numPr>
          <w:ilvl w:val="0"/>
          <w:numId w:val="20"/>
        </w:numPr>
        <w:ind w:left="420" w:hanging="420"/>
        <w:rPr>
          <w:color w:val="auto"/>
        </w:rPr>
      </w:pPr>
      <w:r>
        <w:rPr>
          <w:color w:val="auto"/>
        </w:rPr>
        <w:t xml:space="preserve">BREIMAN L. Random Forests[J]. Machine Learning, 2001, 45(1): 5-32. </w:t>
      </w:r>
    </w:p>
    <w:p w14:paraId="1FE19590">
      <w:pPr>
        <w:pStyle w:val="30"/>
        <w:numPr>
          <w:ilvl w:val="0"/>
          <w:numId w:val="20"/>
        </w:numPr>
        <w:ind w:left="420" w:hanging="420"/>
        <w:rPr>
          <w:color w:val="auto"/>
        </w:rPr>
      </w:pPr>
      <w:r>
        <w:rPr>
          <w:color w:val="auto"/>
        </w:rPr>
        <w:t xml:space="preserve">CHEN T, GUESTRIN C. XGBoost: A scalable tree boosting system[C]//Proceedings of the 22nd ACM SIGKDD International Conference on Knowledge Discovery and Data Mining. San Francisco: ACM, 2016: 785-794. </w:t>
      </w:r>
    </w:p>
    <w:p w14:paraId="2C3373A8">
      <w:pPr>
        <w:pStyle w:val="30"/>
        <w:numPr>
          <w:ilvl w:val="0"/>
          <w:numId w:val="20"/>
        </w:numPr>
        <w:ind w:left="420" w:hanging="420"/>
        <w:rPr>
          <w:color w:val="auto"/>
        </w:rPr>
      </w:pPr>
      <w:r>
        <w:rPr>
          <w:color w:val="auto"/>
        </w:rPr>
        <w:t>google-bert/bert-base-chinese · Hugging Face[EB/OL]. (2018-10-11)[2026-03-17]. https://huggingface.co/google-bert/bert-base-chinese.</w:t>
      </w:r>
    </w:p>
    <w:p w14:paraId="4CE8AC4D">
      <w:pPr>
        <w:pStyle w:val="30"/>
        <w:numPr>
          <w:ilvl w:val="0"/>
          <w:numId w:val="20"/>
        </w:numPr>
        <w:ind w:left="420" w:hanging="420"/>
        <w:rPr>
          <w:color w:val="auto"/>
        </w:rPr>
      </w:pPr>
      <w:r>
        <w:rPr>
          <w:color w:val="auto"/>
        </w:rPr>
        <w:t>hfl/chinese-roberta-wwm-ext · Hugging Face[EB/OL]. (2024-05-07)[2026-03-17]. https://huggingface.co/hfl/chinese-roberta-wwm-ext.</w:t>
      </w:r>
    </w:p>
    <w:p w14:paraId="1526EFA0">
      <w:pPr>
        <w:pStyle w:val="30"/>
        <w:numPr>
          <w:ilvl w:val="0"/>
          <w:numId w:val="20"/>
        </w:numPr>
        <w:ind w:left="420" w:hanging="420"/>
        <w:rPr>
          <w:color w:val="auto"/>
        </w:rPr>
      </w:pPr>
      <w:r>
        <w:rPr>
          <w:color w:val="auto"/>
        </w:rPr>
        <w:t xml:space="preserve">hfl/chinese-macbert-base · Hugging Face[EB/OL]. (2024-05-07)[2026-03-17]. https://huggingface.co/hfl/chinese-macbert-base. </w:t>
      </w:r>
    </w:p>
    <w:p w14:paraId="11C384F3">
      <w:pPr>
        <w:pStyle w:val="30"/>
        <w:numPr>
          <w:ilvl w:val="0"/>
          <w:numId w:val="20"/>
        </w:numPr>
        <w:ind w:left="420" w:hanging="420"/>
        <w:rPr>
          <w:color w:val="auto"/>
        </w:rPr>
      </w:pPr>
      <w:r>
        <w:rPr>
          <w:color w:val="auto"/>
        </w:rPr>
        <w:t xml:space="preserve">CUI Y, CHE W, LIU T, et al. Pre-training with Whole Word Masking for Chinese BERT[J]. IEEE/ACM Transactions on Audio, Speech, and Language Processing, 2021, 29: 3504-3514. DOI: 10.1109/TASLP.2021.3124368. </w:t>
      </w:r>
    </w:p>
    <w:p w14:paraId="14D01E1F">
      <w:pPr>
        <w:pStyle w:val="30"/>
        <w:numPr>
          <w:ilvl w:val="0"/>
          <w:numId w:val="20"/>
        </w:numPr>
        <w:ind w:left="420" w:hanging="420"/>
        <w:rPr>
          <w:color w:val="auto"/>
        </w:rPr>
      </w:pPr>
      <w:r>
        <w:rPr>
          <w:color w:val="auto"/>
        </w:rPr>
        <w:t>WANG Z, WANG P, HUANG L, et al. Incorporating hierarchy into text encoder: a contrastive learning approach for hierarchical text classification[C]//Proceedings of the 60th Annual Meeting of the Association for Computational Linguistics (Volume 1: Long Papers). Dublin: Association for Computational Linguistics, 2022: 7109-7119. DOI: 10.18653/v1/2022.acl-long.491.</w:t>
      </w:r>
    </w:p>
    <w:p w14:paraId="0F203573">
      <w:pPr>
        <w:pStyle w:val="30"/>
        <w:numPr>
          <w:ilvl w:val="0"/>
          <w:numId w:val="20"/>
        </w:numPr>
        <w:ind w:left="420" w:hanging="420"/>
        <w:rPr>
          <w:color w:val="auto"/>
        </w:rPr>
      </w:pPr>
      <w:r>
        <w:rPr>
          <w:color w:val="auto"/>
        </w:rPr>
        <w:t>BAAI/bge-large-zh-v1.5 · Hugging Face[EB/OL]. (2026-02-04)[2026-03-17]. https://huggingface.co/BAAI/bge-large-zh-v1.5.</w:t>
      </w:r>
    </w:p>
    <w:p w14:paraId="61AF3A5E">
      <w:pPr>
        <w:pStyle w:val="30"/>
        <w:numPr>
          <w:ilvl w:val="0"/>
          <w:numId w:val="20"/>
        </w:numPr>
        <w:ind w:left="420" w:hanging="420"/>
        <w:rPr>
          <w:color w:val="auto"/>
        </w:rPr>
      </w:pPr>
      <w:r>
        <w:rPr>
          <w:color w:val="auto"/>
        </w:rPr>
        <w:t>ollama/ollama[CP/OL]. Ollama, 2026[2026-03-17]. https://github.com/ollama/ollama.</w:t>
      </w:r>
    </w:p>
    <w:p w14:paraId="1A5F0DD4">
      <w:pPr>
        <w:pStyle w:val="30"/>
        <w:numPr>
          <w:ilvl w:val="0"/>
          <w:numId w:val="20"/>
        </w:numPr>
        <w:ind w:left="420" w:hanging="420"/>
        <w:rPr>
          <w:color w:val="auto"/>
        </w:rPr>
      </w:pPr>
      <w:r>
        <w:rPr>
          <w:color w:val="auto"/>
        </w:rPr>
        <w:t>Docker: lightweight Linux containers for consistent development and deployment: Linux Journal: Vol 2014, No 239[EB/OL]. [2026-03-17]. https://dl.acm.org/doi/10.5555/2600239.2600241.</w:t>
      </w:r>
    </w:p>
    <w:p w14:paraId="4BA24426">
      <w:pPr>
        <w:pStyle w:val="30"/>
        <w:numPr>
          <w:ilvl w:val="0"/>
          <w:numId w:val="20"/>
        </w:numPr>
        <w:ind w:left="420" w:hanging="420"/>
        <w:rPr>
          <w:color w:val="auto"/>
        </w:rPr>
      </w:pPr>
      <w:r>
        <w:rPr>
          <w:color w:val="auto"/>
        </w:rPr>
        <w:t>Li S, Hu J, Cui Y, et al. DeepPatent: patent classification with convolutional neural networks and word embedding[J]. Scientometrics, 2018, 117(2): 721-744.</w:t>
      </w:r>
    </w:p>
    <w:p w14:paraId="2B1D403F">
      <w:pPr>
        <w:pStyle w:val="30"/>
        <w:numPr>
          <w:ilvl w:val="0"/>
          <w:numId w:val="20"/>
        </w:numPr>
        <w:ind w:left="420" w:hanging="420"/>
        <w:rPr>
          <w:color w:val="auto"/>
        </w:rPr>
      </w:pPr>
      <w:r>
        <w:rPr>
          <w:rFonts w:hint="eastAsia"/>
          <w:color w:val="auto"/>
        </w:rPr>
        <w:t>VUE.JS. Introduction — Vue.js[EB/OL]. [2026-03-17]. https://v2.vuejs.org/v2/guide/.</w:t>
      </w:r>
    </w:p>
    <w:p w14:paraId="1C366D95">
      <w:pPr>
        <w:pStyle w:val="30"/>
        <w:numPr>
          <w:ilvl w:val="0"/>
          <w:numId w:val="20"/>
        </w:numPr>
        <w:ind w:left="420" w:hanging="420"/>
        <w:rPr>
          <w:color w:val="auto"/>
        </w:rPr>
      </w:pPr>
      <w:r>
        <w:rPr>
          <w:rFonts w:hint="eastAsia"/>
          <w:color w:val="auto"/>
        </w:rPr>
        <w:t>ELEMENT. Element - The world's most popular Vue UI framework[EB/OL]. [2026-03-17]. https://element.eleme.io/.</w:t>
      </w:r>
    </w:p>
    <w:p w14:paraId="6F16A58C">
      <w:pPr>
        <w:pStyle w:val="30"/>
        <w:numPr>
          <w:ilvl w:val="0"/>
          <w:numId w:val="20"/>
        </w:numPr>
        <w:ind w:left="420" w:hanging="420"/>
        <w:rPr>
          <w:color w:val="auto"/>
        </w:rPr>
      </w:pPr>
      <w:r>
        <w:rPr>
          <w:rFonts w:hint="eastAsia"/>
          <w:color w:val="auto"/>
        </w:rPr>
        <w:t>APACHE ECHARTS. Apache ECharts Handbook[EB/OL]. [2026-03-17]. https://echarts.apache.org/handbook/en/get-started/.</w:t>
      </w:r>
    </w:p>
    <w:p w14:paraId="52D9E372">
      <w:pPr>
        <w:pStyle w:val="30"/>
        <w:numPr>
          <w:ilvl w:val="0"/>
          <w:numId w:val="20"/>
        </w:numPr>
        <w:ind w:left="420" w:hanging="420"/>
        <w:rPr>
          <w:color w:val="auto"/>
        </w:rPr>
      </w:pPr>
      <w:r>
        <w:rPr>
          <w:rFonts w:hint="eastAsia"/>
          <w:color w:val="auto"/>
        </w:rPr>
        <w:t>SPRING. Spring Boot Reference Documentation 2.6.13[EB/OL]. [2026-03-17]. https://docs.spring.io/spring-boot/docs/2.6.13/reference/html/.</w:t>
      </w:r>
    </w:p>
    <w:p w14:paraId="0BF7625C">
      <w:pPr>
        <w:pStyle w:val="30"/>
        <w:numPr>
          <w:ilvl w:val="0"/>
          <w:numId w:val="20"/>
        </w:numPr>
        <w:ind w:left="420" w:hanging="420"/>
        <w:rPr>
          <w:color w:val="auto"/>
        </w:rPr>
      </w:pPr>
      <w:r>
        <w:rPr>
          <w:rFonts w:hint="eastAsia"/>
          <w:color w:val="auto"/>
        </w:rPr>
        <w:t>PALLETS. Flask Documentation[EB/OL]. [2026-03-17]. https://flask.palletsprojects.com/.</w:t>
      </w:r>
    </w:p>
    <w:p w14:paraId="2C852403">
      <w:pPr>
        <w:pStyle w:val="30"/>
        <w:numPr>
          <w:ilvl w:val="0"/>
          <w:numId w:val="20"/>
        </w:numPr>
        <w:ind w:left="420" w:hanging="420"/>
        <w:rPr>
          <w:color w:val="auto"/>
        </w:rPr>
      </w:pPr>
      <w:r>
        <w:rPr>
          <w:rFonts w:hint="eastAsia"/>
          <w:color w:val="auto"/>
        </w:rPr>
        <w:t>ORACLE. MySQL 5.7 Reference Manual[EB/OL]. [2026-03-17]. https://dev.mysql.com/doc/refman/5.7/en/.</w:t>
      </w:r>
    </w:p>
    <w:p w14:paraId="0AC35099">
      <w:pPr>
        <w:pStyle w:val="30"/>
        <w:numPr>
          <w:ilvl w:val="0"/>
          <w:numId w:val="20"/>
        </w:numPr>
        <w:ind w:left="420" w:hanging="420"/>
        <w:rPr>
          <w:color w:val="auto"/>
        </w:rPr>
      </w:pPr>
      <w:r>
        <w:rPr>
          <w:rFonts w:hint="eastAsia"/>
          <w:color w:val="auto"/>
        </w:rPr>
        <w:t>ELEMENT. Element UI Documentation[EB/OL]. [2026-03-17]. https://element.eleme.io/.</w:t>
      </w:r>
    </w:p>
    <w:p w14:paraId="01F7B854">
      <w:pPr>
        <w:pStyle w:val="30"/>
        <w:numPr>
          <w:ilvl w:val="0"/>
          <w:numId w:val="20"/>
        </w:numPr>
        <w:ind w:left="420" w:hanging="420"/>
        <w:rPr>
          <w:color w:val="auto"/>
        </w:rPr>
      </w:pPr>
      <w:r>
        <w:rPr>
          <w:rFonts w:hint="eastAsia"/>
          <w:color w:val="auto"/>
        </w:rPr>
        <w:t>APACHE ECHARTS. Documentation - Apache ECharts[EB/OL]. [2026-03-17]. https://echarts.apache.org/en/index.html.</w:t>
      </w:r>
    </w:p>
    <w:p w14:paraId="17673194">
      <w:pPr>
        <w:pStyle w:val="30"/>
        <w:numPr>
          <w:ilvl w:val="0"/>
          <w:numId w:val="20"/>
        </w:numPr>
        <w:ind w:left="420" w:hanging="420"/>
        <w:rPr>
          <w:color w:val="auto"/>
        </w:rPr>
      </w:pPr>
      <w:r>
        <w:rPr>
          <w:rFonts w:hint="eastAsia"/>
          <w:color w:val="auto"/>
        </w:rPr>
        <w:t>JONES M, HARDT D. The OAuth 2.0 Authorization Framework: Bearer Token Usage: RFC 6750[S/OL]. 2012[2026-05-07]. https://www.rfc-editor.org/rfc/rfc6750.</w:t>
      </w:r>
    </w:p>
    <w:p w14:paraId="6CE5C40C">
      <w:pPr>
        <w:pStyle w:val="30"/>
        <w:numPr>
          <w:ilvl w:val="0"/>
          <w:numId w:val="20"/>
        </w:numPr>
        <w:ind w:left="420" w:hanging="420"/>
        <w:rPr>
          <w:color w:val="auto"/>
        </w:rPr>
      </w:pPr>
      <w:r>
        <w:rPr>
          <w:rFonts w:hint="eastAsia"/>
          <w:color w:val="auto"/>
        </w:rPr>
        <w:t xml:space="preserve">ALIBABA. EasyExcel: 快速、简洁、解决大文件内存溢出的Java处理Excel工具[CP/OL]. [2026-03-17]. </w:t>
      </w:r>
      <w:r>
        <w:rPr>
          <w:color w:val="auto"/>
        </w:rPr>
        <w:fldChar w:fldCharType="begin"/>
      </w:r>
      <w:r>
        <w:rPr>
          <w:color w:val="auto"/>
        </w:rPr>
        <w:instrText xml:space="preserve"> HYPERLINK "https://github.com/alibaba/easyexcel." </w:instrText>
      </w:r>
      <w:r>
        <w:rPr>
          <w:color w:val="auto"/>
        </w:rPr>
        <w:fldChar w:fldCharType="separate"/>
      </w:r>
      <w:r>
        <w:rPr>
          <w:rFonts w:hint="eastAsia"/>
          <w:color w:val="auto"/>
        </w:rPr>
        <w:t>https://github.com/alibaba/easyexcel.</w:t>
      </w:r>
      <w:r>
        <w:rPr>
          <w:rFonts w:hint="eastAsia"/>
          <w:color w:val="auto"/>
        </w:rPr>
        <w:fldChar w:fldCharType="end"/>
      </w:r>
    </w:p>
    <w:p w14:paraId="459EE390">
      <w:pPr>
        <w:pStyle w:val="30"/>
        <w:numPr>
          <w:ilvl w:val="0"/>
          <w:numId w:val="20"/>
        </w:numPr>
        <w:ind w:left="420" w:hanging="420"/>
        <w:rPr>
          <w:color w:val="auto"/>
        </w:rPr>
      </w:pPr>
      <w:r>
        <w:rPr>
          <w:rFonts w:hint="eastAsia"/>
          <w:color w:val="auto"/>
        </w:rPr>
        <w:t>SOERGEL D, LAUSER B, LIANG A, et al. Automated patent categorization and guided patent search using IPC as inspired by MeSH and PubMed[J/OL]. Journal of Biomedical Semantics, 2013, 4(Suppl 1): S3[2026-03-17]. https://doi.org/10.1186/2041-1480-4-S1-S3.</w:t>
      </w:r>
    </w:p>
    <w:p w14:paraId="7B8CF808">
      <w:pPr>
        <w:pStyle w:val="30"/>
        <w:numPr>
          <w:ilvl w:val="0"/>
          <w:numId w:val="20"/>
        </w:numPr>
        <w:ind w:left="420" w:hanging="420"/>
        <w:rPr>
          <w:color w:val="auto"/>
        </w:rPr>
      </w:pPr>
      <w:r>
        <w:rPr>
          <w:rFonts w:hint="eastAsia"/>
          <w:color w:val="auto"/>
        </w:rPr>
        <w:t>COHEN J. A coefficient of agreement for nominal scales[J]. Educational and Psychological Measurement, 1960, 20(1): 37-46. DOI: 10.1177/001316446002000104.</w:t>
      </w:r>
    </w:p>
    <w:p w14:paraId="6A143A3F">
      <w:pPr>
        <w:pStyle w:val="30"/>
        <w:numPr>
          <w:ilvl w:val="0"/>
          <w:numId w:val="20"/>
        </w:numPr>
        <w:ind w:left="420" w:hanging="420"/>
        <w:rPr>
          <w:color w:val="auto"/>
        </w:rPr>
      </w:pPr>
      <w:r>
        <w:rPr>
          <w:color w:val="auto"/>
        </w:rPr>
        <w:t>SZE V, CHEN Y H, YANG T J, et al. Efficient Processing of Deep Neural Networks: A Tutorial and Survey[J]. Proceedings of the IEEE, 2017, 105(12): 2295-2329. DOI:10.1109/JPROC.2017.2761740.</w:t>
      </w:r>
    </w:p>
    <w:p w14:paraId="250B8018">
      <w:pPr>
        <w:pStyle w:val="30"/>
        <w:numPr>
          <w:ilvl w:val="0"/>
          <w:numId w:val="20"/>
        </w:numPr>
        <w:ind w:left="420" w:hanging="420"/>
        <w:rPr>
          <w:color w:val="auto"/>
        </w:rPr>
      </w:pPr>
      <w:r>
        <w:rPr>
          <w:rFonts w:hint="eastAsia"/>
          <w:color w:val="auto"/>
        </w:rPr>
        <w:t>ARTSTEIN R, POESIO M. Inter-coder agreement for computational linguistics[J]. Computational Linguistics, 2008, 34(4): 555-596. DOI: 10.1162/coli.07-034-R2.</w:t>
      </w:r>
    </w:p>
    <w:p w14:paraId="453DE033">
      <w:pPr>
        <w:pStyle w:val="30"/>
        <w:numPr>
          <w:ilvl w:val="0"/>
          <w:numId w:val="20"/>
        </w:numPr>
        <w:ind w:left="420" w:hanging="420"/>
        <w:rPr>
          <w:color w:val="auto"/>
        </w:rPr>
      </w:pPr>
      <w:r>
        <w:rPr>
          <w:rFonts w:hint="eastAsia"/>
          <w:color w:val="auto"/>
        </w:rPr>
        <w:t>SETTLES B. Active learning literature survey[R/OL]. Madison: University of Wisconsin-Madison, 2009[2026-03-17]. https://burrsettles.com/pub/settles.activelearning_20090109.pdf.</w:t>
      </w:r>
    </w:p>
    <w:p w14:paraId="71CEE94E">
      <w:pPr>
        <w:pStyle w:val="30"/>
        <w:numPr>
          <w:ilvl w:val="0"/>
          <w:numId w:val="20"/>
        </w:numPr>
        <w:ind w:left="420" w:hanging="420"/>
        <w:rPr>
          <w:color w:val="auto"/>
        </w:rPr>
      </w:pPr>
      <w:r>
        <w:rPr>
          <w:rFonts w:hint="eastAsia"/>
          <w:color w:val="auto"/>
        </w:rPr>
        <w:t>ZHANG J, REN H, GUO S, et al. Multi-model collaboration and prompt-driven patent classification methods[C/OL]//Proceedings of the 2024 4th International Conference on Artificial Intelligence, Big Data and Algorithms. New York: Association for Computing Machinery, 2024: 332-336[2026-03-16]. https://dl.acm.org/doi/10.1145/3690407.3690464.</w:t>
      </w:r>
    </w:p>
    <w:p w14:paraId="29D93AF1">
      <w:pPr>
        <w:pStyle w:val="30"/>
        <w:numPr>
          <w:ilvl w:val="0"/>
          <w:numId w:val="20"/>
        </w:numPr>
        <w:ind w:left="420" w:hanging="420"/>
        <w:rPr>
          <w:color w:val="auto"/>
        </w:rPr>
      </w:pPr>
      <w:r>
        <w:rPr>
          <w:rFonts w:hint="eastAsia"/>
          <w:color w:val="auto"/>
        </w:rPr>
        <w:t>BALTRUŠAITIS T, AHUJA C, MORENCY L P. Multimodal machine learning: a survey and taxonomy[J]. IEEE Transactions on Pattern Analysis and Machine Intelligence, 2019, 41(2): 423-443. DOI: 10.1109/TPAMI.2018.2798607.</w:t>
      </w:r>
    </w:p>
    <w:p w14:paraId="0DB6EEB8">
      <w:pPr>
        <w:pStyle w:val="30"/>
        <w:numPr>
          <w:ilvl w:val="0"/>
          <w:numId w:val="20"/>
        </w:numPr>
        <w:ind w:left="420" w:hanging="420"/>
        <w:rPr>
          <w:color w:val="auto"/>
        </w:rPr>
      </w:pPr>
      <w:r>
        <w:rPr>
          <w:rFonts w:hint="eastAsia"/>
          <w:color w:val="auto"/>
        </w:rPr>
        <w:t>JIANG L, GOETZ S M. Natural language processing in the patent domain: a survey[J]. Artificial Intelligence Review, 2025, 58(7): 214. DOI: 10.1007/s10462-025-11168-z.</w:t>
      </w:r>
    </w:p>
    <w:p w14:paraId="3DF0C10A">
      <w:pPr>
        <w:pStyle w:val="30"/>
        <w:numPr>
          <w:ilvl w:val="0"/>
          <w:numId w:val="20"/>
        </w:numPr>
        <w:ind w:left="420" w:hanging="420"/>
        <w:rPr>
          <w:color w:val="auto"/>
        </w:rPr>
      </w:pPr>
      <w:r>
        <w:rPr>
          <w:rFonts w:hint="eastAsia"/>
          <w:color w:val="auto"/>
        </w:rPr>
        <w:t>SZCZEPAŃSKI M, PAWLICKI M, KOZIK R, et al. New explainability method for BERT-based model in fake news detection[J]. Scientific Reports, 2021, 11(1): 23705. DOI: 10.1038/s41598-021-03100-6.</w:t>
      </w:r>
    </w:p>
    <w:p w14:paraId="582A7F50">
      <w:pPr>
        <w:pStyle w:val="30"/>
        <w:numPr>
          <w:ilvl w:val="0"/>
          <w:numId w:val="20"/>
        </w:numPr>
        <w:ind w:left="420" w:hanging="420"/>
        <w:rPr>
          <w:color w:val="auto"/>
        </w:rPr>
      </w:pPr>
      <w:r>
        <w:rPr>
          <w:rFonts w:hint="eastAsia"/>
          <w:color w:val="auto"/>
        </w:rPr>
        <w:t>ZHANG X, LIU S. Explainable judgment prediction and article-violation analysis using deep LexFaith hierarchical BERT model[J]. Scientific Reports, 2026, 16(1): 2974. DOI: 10.1038/s41598-025-32833-x.</w:t>
      </w:r>
    </w:p>
    <w:p w14:paraId="7163025E">
      <w:pPr>
        <w:pStyle w:val="30"/>
        <w:ind w:left="0" w:firstLine="0" w:firstLineChars="0"/>
        <w:rPr>
          <w:color w:val="auto"/>
        </w:rPr>
      </w:pPr>
    </w:p>
    <w:p w14:paraId="7E5EB5F9">
      <w:pPr>
        <w:pStyle w:val="31"/>
        <w:ind w:left="420" w:hanging="420"/>
        <w:rPr>
          <w:color w:val="auto"/>
        </w:rPr>
      </w:pPr>
    </w:p>
    <w:p w14:paraId="12780BF8">
      <w:pPr>
        <w:widowControl/>
        <w:spacing w:line="240" w:lineRule="auto"/>
        <w:ind w:firstLine="0" w:firstLineChars="0"/>
        <w:jc w:val="left"/>
        <w:rPr>
          <w:color w:val="auto"/>
          <w:sz w:val="21"/>
        </w:rPr>
      </w:pPr>
      <w:r>
        <w:rPr>
          <w:color w:val="auto"/>
        </w:rPr>
        <w:br w:type="page"/>
      </w:r>
    </w:p>
    <w:p w14:paraId="226FDBF9">
      <w:pPr>
        <w:pStyle w:val="2"/>
        <w:rPr>
          <w:color w:val="auto"/>
        </w:rPr>
      </w:pPr>
      <w:bookmarkStart w:id="275" w:name="_Toc216114533"/>
      <w:bookmarkStart w:id="276" w:name="_Toc229086923"/>
      <w:bookmarkStart w:id="277" w:name="_Toc23234"/>
      <w:r>
        <w:rPr>
          <w:rFonts w:hint="eastAsia"/>
          <w:color w:val="auto"/>
        </w:rPr>
        <w:t>致谢</w:t>
      </w:r>
      <w:bookmarkEnd w:id="275"/>
      <w:bookmarkEnd w:id="276"/>
      <w:bookmarkEnd w:id="277"/>
    </w:p>
    <w:p w14:paraId="38569FBF">
      <w:pPr>
        <w:ind w:firstLine="480"/>
        <w:rPr>
          <w:color w:val="auto"/>
        </w:rPr>
      </w:pPr>
      <w:r>
        <w:rPr>
          <w:rFonts w:hint="eastAsia"/>
          <w:color w:val="auto"/>
        </w:rPr>
        <w:t>随着这篇硕士论文完成，我的学习生活也要告一段落，在这期间有苦有乐，从最初的迷茫到不断地改进自己的方案，每一点进步都离不开我的指导老师、师兄师姐以及家人的关心帮助。</w:t>
      </w:r>
    </w:p>
    <w:p w14:paraId="6E3B3661">
      <w:pPr>
        <w:ind w:firstLine="480"/>
        <w:rPr>
          <w:color w:val="auto"/>
        </w:rPr>
      </w:pPr>
      <w:r>
        <w:rPr>
          <w:rFonts w:hint="eastAsia"/>
          <w:color w:val="auto"/>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70A218D4">
      <w:pPr>
        <w:ind w:firstLine="480"/>
        <w:rPr>
          <w:color w:val="auto"/>
        </w:rPr>
      </w:pPr>
      <w:r>
        <w:rPr>
          <w:rFonts w:hint="eastAsia"/>
          <w:color w:val="auto"/>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159F64F2">
      <w:pPr>
        <w:ind w:firstLine="480"/>
        <w:rPr>
          <w:color w:val="auto"/>
        </w:rPr>
      </w:pPr>
      <w:r>
        <w:rPr>
          <w:rFonts w:hint="eastAsia"/>
          <w:color w:val="auto"/>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EF048FF">
      <w:pPr>
        <w:ind w:firstLine="480"/>
        <w:rPr>
          <w:color w:val="auto"/>
        </w:rPr>
      </w:pPr>
      <w:r>
        <w:rPr>
          <w:rFonts w:hint="eastAsia"/>
          <w:color w:val="auto"/>
        </w:rPr>
        <w:t>最后，向所有参加本论文评阅、答辩的各位老师表示衷心感谢，在百忙之中对我论文审阅并提出许多有益建议。</w:t>
      </w:r>
    </w:p>
    <w:p w14:paraId="032D1124">
      <w:pPr>
        <w:ind w:firstLine="480"/>
        <w:rPr>
          <w:color w:val="auto"/>
        </w:rPr>
      </w:pPr>
      <w:r>
        <w:rPr>
          <w:rFonts w:hint="eastAsia"/>
          <w:color w:val="auto"/>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20B0604020202020204"/>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CBB05F">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D3A8CD">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C7F83D">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09E859">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57D43">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9FC72D">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AD55E1E">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AD55E1E">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828825">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CF943C">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9CF943C">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1878F">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0CDB98">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4F0CDB98">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74FE60">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6D5684B">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36D5684B">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792FF1">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E80AD3">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35E80AD3">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FA0DD">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B4A4EE">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2CB4A4EE">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4B3A6">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7FAF70DE">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0889FF0B">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7FAF70DE">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0889FF0B">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52A74">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FBDF09">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69FBDF09">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8443E4">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77A510">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1B77A510">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D8845C">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EB6973">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30EB6973">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5CE66D">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9972F3">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759972F3">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4CDE95">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36BBA2">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7F36BBA2">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8D0AE2">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821887">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5B072D">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63E33D">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B16C4C">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6E163D">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F90281">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8515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分类模型设计与评估</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4A1842">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66824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分类模型设计与评估</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3C817F">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E6D18C">
    <w:pPr>
      <w:pStyle w:val="9"/>
      <w:pBdr>
        <w:bottom w:val="single" w:color="auto" w:sz="4" w:space="1"/>
      </w:pBdr>
      <w:ind w:firstLine="0" w:firstLineChars="0"/>
      <w:jc w:val="center"/>
    </w:pPr>
    <w:r>
      <w:fldChar w:fldCharType="begin"/>
    </w:r>
    <w:r>
      <w:instrText xml:space="preserve"> STYLEREF "标题 1"  \* MERGEFORMAT </w:instrText>
    </w:r>
    <w:r>
      <w:fldChar w:fldCharType="separate"/>
    </w:r>
    <w:r>
      <w:t>分类模型设计与评估</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139594"/>
    <w:multiLevelType w:val="singleLevel"/>
    <w:tmpl w:val="8F139594"/>
    <w:lvl w:ilvl="0" w:tentative="0">
      <w:start w:val="1"/>
      <w:numFmt w:val="decimal"/>
      <w:suff w:val="nothing"/>
      <w:lvlText w:val="（%1）"/>
      <w:lvlJc w:val="left"/>
    </w:lvl>
  </w:abstractNum>
  <w:abstractNum w:abstractNumId="1">
    <w:nsid w:val="A0BDC78A"/>
    <w:multiLevelType w:val="singleLevel"/>
    <w:tmpl w:val="A0BDC78A"/>
    <w:lvl w:ilvl="0" w:tentative="0">
      <w:start w:val="1"/>
      <w:numFmt w:val="decimal"/>
      <w:suff w:val="nothing"/>
      <w:lvlText w:val="（%1）"/>
      <w:lvlJc w:val="left"/>
    </w:lvl>
  </w:abstractNum>
  <w:abstractNum w:abstractNumId="2">
    <w:nsid w:val="A74E51C2"/>
    <w:multiLevelType w:val="singleLevel"/>
    <w:tmpl w:val="A74E51C2"/>
    <w:lvl w:ilvl="0" w:tentative="0">
      <w:start w:val="1"/>
      <w:numFmt w:val="decimal"/>
      <w:suff w:val="nothing"/>
      <w:lvlText w:val="（%1）"/>
      <w:lvlJc w:val="left"/>
    </w:lvl>
  </w:abstractNum>
  <w:abstractNum w:abstractNumId="3">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4">
    <w:nsid w:val="B80F0E2B"/>
    <w:multiLevelType w:val="singleLevel"/>
    <w:tmpl w:val="B80F0E2B"/>
    <w:lvl w:ilvl="0" w:tentative="0">
      <w:start w:val="1"/>
      <w:numFmt w:val="decimal"/>
      <w:suff w:val="nothing"/>
      <w:lvlText w:val="（%1）"/>
      <w:lvlJc w:val="left"/>
    </w:lvl>
  </w:abstractNum>
  <w:abstractNum w:abstractNumId="5">
    <w:nsid w:val="B9F3C476"/>
    <w:multiLevelType w:val="singleLevel"/>
    <w:tmpl w:val="B9F3C476"/>
    <w:lvl w:ilvl="0" w:tentative="0">
      <w:start w:val="1"/>
      <w:numFmt w:val="decimal"/>
      <w:suff w:val="nothing"/>
      <w:lvlText w:val="（%1）"/>
      <w:lvlJc w:val="left"/>
    </w:lvl>
  </w:abstractNum>
  <w:abstractNum w:abstractNumId="6">
    <w:nsid w:val="CCF77B1B"/>
    <w:multiLevelType w:val="singleLevel"/>
    <w:tmpl w:val="CCF77B1B"/>
    <w:lvl w:ilvl="0" w:tentative="0">
      <w:start w:val="1"/>
      <w:numFmt w:val="decimal"/>
      <w:suff w:val="nothing"/>
      <w:lvlText w:val="（%1）"/>
      <w:lvlJc w:val="left"/>
    </w:lvl>
  </w:abstractNum>
  <w:abstractNum w:abstractNumId="7">
    <w:nsid w:val="DC143FD9"/>
    <w:multiLevelType w:val="singleLevel"/>
    <w:tmpl w:val="DC143FD9"/>
    <w:lvl w:ilvl="0" w:tentative="0">
      <w:start w:val="1"/>
      <w:numFmt w:val="decimal"/>
      <w:suff w:val="nothing"/>
      <w:lvlText w:val="（%1）"/>
      <w:lvlJc w:val="left"/>
    </w:lvl>
  </w:abstractNum>
  <w:abstractNum w:abstractNumId="8">
    <w:nsid w:val="DE54D1DA"/>
    <w:multiLevelType w:val="singleLevel"/>
    <w:tmpl w:val="DE54D1DA"/>
    <w:lvl w:ilvl="0" w:tentative="0">
      <w:start w:val="1"/>
      <w:numFmt w:val="decimal"/>
      <w:suff w:val="nothing"/>
      <w:lvlText w:val="（%1）"/>
      <w:lvlJc w:val="left"/>
    </w:lvl>
  </w:abstractNum>
  <w:abstractNum w:abstractNumId="9">
    <w:nsid w:val="EF9E76AC"/>
    <w:multiLevelType w:val="singleLevel"/>
    <w:tmpl w:val="EF9E76AC"/>
    <w:lvl w:ilvl="0" w:tentative="0">
      <w:start w:val="1"/>
      <w:numFmt w:val="decimal"/>
      <w:suff w:val="nothing"/>
      <w:lvlText w:val="（%1）"/>
      <w:lvlJc w:val="left"/>
    </w:lvl>
  </w:abstractNum>
  <w:abstractNum w:abstractNumId="10">
    <w:nsid w:val="F6152A68"/>
    <w:multiLevelType w:val="singleLevel"/>
    <w:tmpl w:val="F6152A68"/>
    <w:lvl w:ilvl="0" w:tentative="0">
      <w:start w:val="1"/>
      <w:numFmt w:val="decimal"/>
      <w:suff w:val="nothing"/>
      <w:lvlText w:val="（%1）"/>
      <w:lvlJc w:val="left"/>
    </w:lvl>
  </w:abstractNum>
  <w:abstractNum w:abstractNumId="11">
    <w:nsid w:val="FF982225"/>
    <w:multiLevelType w:val="singleLevel"/>
    <w:tmpl w:val="FF982225"/>
    <w:lvl w:ilvl="0" w:tentative="0">
      <w:start w:val="1"/>
      <w:numFmt w:val="decimal"/>
      <w:suff w:val="nothing"/>
      <w:lvlText w:val="（%1）"/>
      <w:lvlJc w:val="left"/>
    </w:lvl>
  </w:abstractNum>
  <w:abstractNum w:abstractNumId="12">
    <w:nsid w:val="00A563DD"/>
    <w:multiLevelType w:val="singleLevel"/>
    <w:tmpl w:val="00A563DD"/>
    <w:lvl w:ilvl="0" w:tentative="0">
      <w:start w:val="1"/>
      <w:numFmt w:val="decimal"/>
      <w:suff w:val="nothing"/>
      <w:lvlText w:val="（%1）"/>
      <w:lvlJc w:val="left"/>
    </w:lvl>
  </w:abstractNum>
  <w:abstractNum w:abstractNumId="13">
    <w:nsid w:val="23C14C71"/>
    <w:multiLevelType w:val="singleLevel"/>
    <w:tmpl w:val="23C14C71"/>
    <w:lvl w:ilvl="0" w:tentative="0">
      <w:start w:val="1"/>
      <w:numFmt w:val="decimal"/>
      <w:suff w:val="nothing"/>
      <w:lvlText w:val="（%1）"/>
      <w:lvlJc w:val="left"/>
    </w:lvl>
  </w:abstractNum>
  <w:abstractNum w:abstractNumId="14">
    <w:nsid w:val="329F0348"/>
    <w:multiLevelType w:val="singleLevel"/>
    <w:tmpl w:val="329F0348"/>
    <w:lvl w:ilvl="0" w:tentative="0">
      <w:start w:val="1"/>
      <w:numFmt w:val="decimal"/>
      <w:suff w:val="nothing"/>
      <w:lvlText w:val="（%1）"/>
      <w:lvlJc w:val="left"/>
    </w:lvl>
  </w:abstractNum>
  <w:abstractNum w:abstractNumId="15">
    <w:nsid w:val="3F6F29BD"/>
    <w:multiLevelType w:val="singleLevel"/>
    <w:tmpl w:val="3F6F29BD"/>
    <w:lvl w:ilvl="0" w:tentative="0">
      <w:start w:val="1"/>
      <w:numFmt w:val="decimal"/>
      <w:lvlText w:val="[%1]"/>
      <w:lvlJc w:val="left"/>
      <w:pPr>
        <w:tabs>
          <w:tab w:val="left" w:pos="420"/>
        </w:tabs>
        <w:ind w:left="425" w:hanging="425"/>
      </w:pPr>
      <w:rPr>
        <w:rFonts w:hint="default"/>
      </w:rPr>
    </w:lvl>
  </w:abstractNum>
  <w:abstractNum w:abstractNumId="16">
    <w:nsid w:val="440B27EA"/>
    <w:multiLevelType w:val="singleLevel"/>
    <w:tmpl w:val="440B27EA"/>
    <w:lvl w:ilvl="0" w:tentative="0">
      <w:start w:val="1"/>
      <w:numFmt w:val="decimal"/>
      <w:suff w:val="nothing"/>
      <w:lvlText w:val="（%1）"/>
      <w:lvlJc w:val="left"/>
    </w:lvl>
  </w:abstractNum>
  <w:abstractNum w:abstractNumId="17">
    <w:nsid w:val="5EB05F2C"/>
    <w:multiLevelType w:val="singleLevel"/>
    <w:tmpl w:val="5EB05F2C"/>
    <w:lvl w:ilvl="0" w:tentative="0">
      <w:start w:val="1"/>
      <w:numFmt w:val="decimal"/>
      <w:suff w:val="nothing"/>
      <w:lvlText w:val="（%1）"/>
      <w:lvlJc w:val="left"/>
    </w:lvl>
  </w:abstractNum>
  <w:abstractNum w:abstractNumId="18">
    <w:nsid w:val="7A08BD12"/>
    <w:multiLevelType w:val="singleLevel"/>
    <w:tmpl w:val="7A08BD12"/>
    <w:lvl w:ilvl="0" w:tentative="0">
      <w:start w:val="1"/>
      <w:numFmt w:val="decimal"/>
      <w:suff w:val="space"/>
      <w:lvlText w:val="%1."/>
      <w:lvlJc w:val="left"/>
    </w:lvl>
  </w:abstractNum>
  <w:abstractNum w:abstractNumId="19">
    <w:nsid w:val="7EACDF80"/>
    <w:multiLevelType w:val="singleLevel"/>
    <w:tmpl w:val="7EACDF80"/>
    <w:lvl w:ilvl="0" w:tentative="0">
      <w:start w:val="1"/>
      <w:numFmt w:val="decimal"/>
      <w:suff w:val="nothing"/>
      <w:lvlText w:val="（%1）"/>
      <w:lvlJc w:val="left"/>
    </w:lvl>
  </w:abstractNum>
  <w:num w:numId="1">
    <w:abstractNumId w:val="3"/>
  </w:num>
  <w:num w:numId="2">
    <w:abstractNumId w:val="0"/>
  </w:num>
  <w:num w:numId="3">
    <w:abstractNumId w:val="1"/>
  </w:num>
  <w:num w:numId="4">
    <w:abstractNumId w:val="10"/>
  </w:num>
  <w:num w:numId="5">
    <w:abstractNumId w:val="16"/>
  </w:num>
  <w:num w:numId="6">
    <w:abstractNumId w:val="13"/>
  </w:num>
  <w:num w:numId="7">
    <w:abstractNumId w:val="8"/>
  </w:num>
  <w:num w:numId="8">
    <w:abstractNumId w:val="18"/>
  </w:num>
  <w:num w:numId="9">
    <w:abstractNumId w:val="14"/>
  </w:num>
  <w:num w:numId="10">
    <w:abstractNumId w:val="11"/>
  </w:num>
  <w:num w:numId="11">
    <w:abstractNumId w:val="4"/>
  </w:num>
  <w:num w:numId="12">
    <w:abstractNumId w:val="9"/>
  </w:num>
  <w:num w:numId="13">
    <w:abstractNumId w:val="5"/>
  </w:num>
  <w:num w:numId="14">
    <w:abstractNumId w:val="2"/>
  </w:num>
  <w:num w:numId="15">
    <w:abstractNumId w:val="7"/>
  </w:num>
  <w:num w:numId="16">
    <w:abstractNumId w:val="12"/>
  </w:num>
  <w:num w:numId="17">
    <w:abstractNumId w:val="19"/>
  </w:num>
  <w:num w:numId="18">
    <w:abstractNumId w:val="17"/>
  </w:num>
  <w:num w:numId="19">
    <w:abstractNumId w:val="6"/>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evenAndOddHeaders w:val="1"/>
  <w:drawingGridHorizontalSpacing w:val="120"/>
  <w:drawingGridVerticalSpacing w:val="163"/>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2C3D"/>
    <w:rsid w:val="0006462D"/>
    <w:rsid w:val="00064699"/>
    <w:rsid w:val="00066861"/>
    <w:rsid w:val="0007431A"/>
    <w:rsid w:val="00084BCF"/>
    <w:rsid w:val="000855DE"/>
    <w:rsid w:val="00087D95"/>
    <w:rsid w:val="000A1732"/>
    <w:rsid w:val="000A57B9"/>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D0C09"/>
    <w:rsid w:val="001F2819"/>
    <w:rsid w:val="00204751"/>
    <w:rsid w:val="00206C23"/>
    <w:rsid w:val="002101AB"/>
    <w:rsid w:val="002213BB"/>
    <w:rsid w:val="00224BA1"/>
    <w:rsid w:val="00227783"/>
    <w:rsid w:val="002344AB"/>
    <w:rsid w:val="00254AAB"/>
    <w:rsid w:val="00255218"/>
    <w:rsid w:val="002553B0"/>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2F7A8D"/>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445"/>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092F"/>
    <w:rsid w:val="00451B1B"/>
    <w:rsid w:val="004674D9"/>
    <w:rsid w:val="004724FC"/>
    <w:rsid w:val="00483E11"/>
    <w:rsid w:val="00486DF8"/>
    <w:rsid w:val="0049308D"/>
    <w:rsid w:val="00493DE8"/>
    <w:rsid w:val="00494AEF"/>
    <w:rsid w:val="00495AF0"/>
    <w:rsid w:val="004A6A91"/>
    <w:rsid w:val="004B3C72"/>
    <w:rsid w:val="004B3FED"/>
    <w:rsid w:val="004D1F14"/>
    <w:rsid w:val="004E225E"/>
    <w:rsid w:val="004E31E1"/>
    <w:rsid w:val="004F53F6"/>
    <w:rsid w:val="00502C25"/>
    <w:rsid w:val="00505368"/>
    <w:rsid w:val="005062D6"/>
    <w:rsid w:val="00507E72"/>
    <w:rsid w:val="00511700"/>
    <w:rsid w:val="0052765F"/>
    <w:rsid w:val="00530A14"/>
    <w:rsid w:val="00536FCE"/>
    <w:rsid w:val="005466D2"/>
    <w:rsid w:val="00550216"/>
    <w:rsid w:val="0056021D"/>
    <w:rsid w:val="00570D72"/>
    <w:rsid w:val="00574DB7"/>
    <w:rsid w:val="005753AD"/>
    <w:rsid w:val="00582716"/>
    <w:rsid w:val="00582F50"/>
    <w:rsid w:val="00584F5C"/>
    <w:rsid w:val="005874FF"/>
    <w:rsid w:val="00587AE6"/>
    <w:rsid w:val="005925D7"/>
    <w:rsid w:val="005967FA"/>
    <w:rsid w:val="005A7088"/>
    <w:rsid w:val="005C4949"/>
    <w:rsid w:val="005C5F40"/>
    <w:rsid w:val="005D0F79"/>
    <w:rsid w:val="005E047A"/>
    <w:rsid w:val="005F20FE"/>
    <w:rsid w:val="00603127"/>
    <w:rsid w:val="00611F33"/>
    <w:rsid w:val="00624D15"/>
    <w:rsid w:val="00625A37"/>
    <w:rsid w:val="0064355E"/>
    <w:rsid w:val="00650D15"/>
    <w:rsid w:val="00663E04"/>
    <w:rsid w:val="006710BC"/>
    <w:rsid w:val="00674210"/>
    <w:rsid w:val="0067511D"/>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A047E"/>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C6B43"/>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06F"/>
    <w:rsid w:val="009E1FEC"/>
    <w:rsid w:val="009E3FD2"/>
    <w:rsid w:val="009E42D6"/>
    <w:rsid w:val="009E5FC6"/>
    <w:rsid w:val="009F543E"/>
    <w:rsid w:val="00A1379D"/>
    <w:rsid w:val="00A1731F"/>
    <w:rsid w:val="00A212B3"/>
    <w:rsid w:val="00A24022"/>
    <w:rsid w:val="00A33A82"/>
    <w:rsid w:val="00A459DA"/>
    <w:rsid w:val="00A4647F"/>
    <w:rsid w:val="00A46EAB"/>
    <w:rsid w:val="00A50A33"/>
    <w:rsid w:val="00A52B63"/>
    <w:rsid w:val="00A57835"/>
    <w:rsid w:val="00A605AC"/>
    <w:rsid w:val="00A6333E"/>
    <w:rsid w:val="00A73747"/>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2F0C"/>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8655E"/>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66624"/>
    <w:rsid w:val="00D73839"/>
    <w:rsid w:val="00D73B50"/>
    <w:rsid w:val="00D75C5C"/>
    <w:rsid w:val="00D772D7"/>
    <w:rsid w:val="00D90FD2"/>
    <w:rsid w:val="00D91DC7"/>
    <w:rsid w:val="00D963A1"/>
    <w:rsid w:val="00DA10C6"/>
    <w:rsid w:val="00DD7B2D"/>
    <w:rsid w:val="00DE0144"/>
    <w:rsid w:val="00DF2BAA"/>
    <w:rsid w:val="00DF72B6"/>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0D28"/>
    <w:rsid w:val="00F23400"/>
    <w:rsid w:val="00F2465C"/>
    <w:rsid w:val="00F264CF"/>
    <w:rsid w:val="00F26B1C"/>
    <w:rsid w:val="00F35A02"/>
    <w:rsid w:val="00F419A9"/>
    <w:rsid w:val="00F44AAD"/>
    <w:rsid w:val="00F559CB"/>
    <w:rsid w:val="00F620E1"/>
    <w:rsid w:val="00F811D2"/>
    <w:rsid w:val="00F926D7"/>
    <w:rsid w:val="00FA10B2"/>
    <w:rsid w:val="00FA6C6A"/>
    <w:rsid w:val="00FB0E6B"/>
    <w:rsid w:val="00FB7C19"/>
    <w:rsid w:val="00FC259E"/>
    <w:rsid w:val="00FC77AB"/>
    <w:rsid w:val="00FE48D3"/>
    <w:rsid w:val="00FF177B"/>
    <w:rsid w:val="012F0C91"/>
    <w:rsid w:val="0149240B"/>
    <w:rsid w:val="015C4E83"/>
    <w:rsid w:val="02001ACA"/>
    <w:rsid w:val="02245871"/>
    <w:rsid w:val="022C21A4"/>
    <w:rsid w:val="023A0BBE"/>
    <w:rsid w:val="02585732"/>
    <w:rsid w:val="025E4FFD"/>
    <w:rsid w:val="0280333D"/>
    <w:rsid w:val="02A9180D"/>
    <w:rsid w:val="02DE3DB5"/>
    <w:rsid w:val="02E910F0"/>
    <w:rsid w:val="02FF6BBC"/>
    <w:rsid w:val="031C10D7"/>
    <w:rsid w:val="035B4572"/>
    <w:rsid w:val="038419E8"/>
    <w:rsid w:val="03EE3EEF"/>
    <w:rsid w:val="04013771"/>
    <w:rsid w:val="043976A1"/>
    <w:rsid w:val="04422673"/>
    <w:rsid w:val="047D7964"/>
    <w:rsid w:val="04B9492C"/>
    <w:rsid w:val="04BA53B0"/>
    <w:rsid w:val="0540295E"/>
    <w:rsid w:val="05663A99"/>
    <w:rsid w:val="05A3302E"/>
    <w:rsid w:val="05FE4F98"/>
    <w:rsid w:val="06017F04"/>
    <w:rsid w:val="061E4834"/>
    <w:rsid w:val="063113E0"/>
    <w:rsid w:val="06316315"/>
    <w:rsid w:val="067A000D"/>
    <w:rsid w:val="071F1601"/>
    <w:rsid w:val="07296CD4"/>
    <w:rsid w:val="073B1607"/>
    <w:rsid w:val="07850251"/>
    <w:rsid w:val="078B4A32"/>
    <w:rsid w:val="079E7F01"/>
    <w:rsid w:val="07A84224"/>
    <w:rsid w:val="08741249"/>
    <w:rsid w:val="0888482E"/>
    <w:rsid w:val="08F4242E"/>
    <w:rsid w:val="09087B7F"/>
    <w:rsid w:val="093255A9"/>
    <w:rsid w:val="09513C21"/>
    <w:rsid w:val="095A1021"/>
    <w:rsid w:val="09696037"/>
    <w:rsid w:val="09B93488"/>
    <w:rsid w:val="0A5C3A6A"/>
    <w:rsid w:val="0A5E5C25"/>
    <w:rsid w:val="0A946BD1"/>
    <w:rsid w:val="0A9D666F"/>
    <w:rsid w:val="0ABB4D47"/>
    <w:rsid w:val="0AE72FFC"/>
    <w:rsid w:val="0B441769"/>
    <w:rsid w:val="0B7A69B0"/>
    <w:rsid w:val="0BC63052"/>
    <w:rsid w:val="0BDB44E9"/>
    <w:rsid w:val="0C444873"/>
    <w:rsid w:val="0C4D671C"/>
    <w:rsid w:val="0C6F1A68"/>
    <w:rsid w:val="0CA32E1E"/>
    <w:rsid w:val="0CB11B60"/>
    <w:rsid w:val="0D196723"/>
    <w:rsid w:val="0D2E1801"/>
    <w:rsid w:val="0D49488C"/>
    <w:rsid w:val="0D61456E"/>
    <w:rsid w:val="0D727E7E"/>
    <w:rsid w:val="0D7362E8"/>
    <w:rsid w:val="0D9B30A7"/>
    <w:rsid w:val="0DC25AE2"/>
    <w:rsid w:val="0DFB18C2"/>
    <w:rsid w:val="0E2F3F20"/>
    <w:rsid w:val="0E344BF5"/>
    <w:rsid w:val="0E4A4418"/>
    <w:rsid w:val="0E5D1762"/>
    <w:rsid w:val="0E762242"/>
    <w:rsid w:val="0E7F7A02"/>
    <w:rsid w:val="0E963B01"/>
    <w:rsid w:val="0EA6675B"/>
    <w:rsid w:val="0EB6385C"/>
    <w:rsid w:val="0ED24B54"/>
    <w:rsid w:val="0F0C4970"/>
    <w:rsid w:val="0F5D008C"/>
    <w:rsid w:val="0F8E594E"/>
    <w:rsid w:val="0F9028B3"/>
    <w:rsid w:val="0FB8503A"/>
    <w:rsid w:val="0FD45C91"/>
    <w:rsid w:val="105340A3"/>
    <w:rsid w:val="10763895"/>
    <w:rsid w:val="10921754"/>
    <w:rsid w:val="10E34B41"/>
    <w:rsid w:val="10E77FAD"/>
    <w:rsid w:val="10EB2EDA"/>
    <w:rsid w:val="110D5F06"/>
    <w:rsid w:val="11192501"/>
    <w:rsid w:val="11221850"/>
    <w:rsid w:val="11577520"/>
    <w:rsid w:val="115C4694"/>
    <w:rsid w:val="116729A4"/>
    <w:rsid w:val="117552E9"/>
    <w:rsid w:val="118C636C"/>
    <w:rsid w:val="119D52FB"/>
    <w:rsid w:val="11CD24C5"/>
    <w:rsid w:val="11DF6E61"/>
    <w:rsid w:val="11EF15CF"/>
    <w:rsid w:val="11F75647"/>
    <w:rsid w:val="120766D3"/>
    <w:rsid w:val="121073DE"/>
    <w:rsid w:val="121216F1"/>
    <w:rsid w:val="125448F5"/>
    <w:rsid w:val="126D6927"/>
    <w:rsid w:val="131F3A5F"/>
    <w:rsid w:val="13695A71"/>
    <w:rsid w:val="13962935"/>
    <w:rsid w:val="13A54AE5"/>
    <w:rsid w:val="13E3118F"/>
    <w:rsid w:val="143824FF"/>
    <w:rsid w:val="14386B00"/>
    <w:rsid w:val="147A0371"/>
    <w:rsid w:val="14942097"/>
    <w:rsid w:val="14AF5969"/>
    <w:rsid w:val="14CD59AD"/>
    <w:rsid w:val="14FF6F54"/>
    <w:rsid w:val="15741C3B"/>
    <w:rsid w:val="15793835"/>
    <w:rsid w:val="15915022"/>
    <w:rsid w:val="15CC7E09"/>
    <w:rsid w:val="15ED0DD5"/>
    <w:rsid w:val="15F01D49"/>
    <w:rsid w:val="161F262E"/>
    <w:rsid w:val="16214DEF"/>
    <w:rsid w:val="162E2871"/>
    <w:rsid w:val="165321B7"/>
    <w:rsid w:val="1674196D"/>
    <w:rsid w:val="167B11B6"/>
    <w:rsid w:val="168D25F7"/>
    <w:rsid w:val="169D53AA"/>
    <w:rsid w:val="16C06033"/>
    <w:rsid w:val="16CF7AEA"/>
    <w:rsid w:val="171E35E1"/>
    <w:rsid w:val="177E0095"/>
    <w:rsid w:val="1782031A"/>
    <w:rsid w:val="17AD57E5"/>
    <w:rsid w:val="17FF4F97"/>
    <w:rsid w:val="18355424"/>
    <w:rsid w:val="18572C4B"/>
    <w:rsid w:val="185C3635"/>
    <w:rsid w:val="188D5A23"/>
    <w:rsid w:val="18C37C83"/>
    <w:rsid w:val="18D15CFF"/>
    <w:rsid w:val="18F0265B"/>
    <w:rsid w:val="194C6343"/>
    <w:rsid w:val="195F55F7"/>
    <w:rsid w:val="19BD49C8"/>
    <w:rsid w:val="19C4446E"/>
    <w:rsid w:val="1A5B26D0"/>
    <w:rsid w:val="1A616756"/>
    <w:rsid w:val="1A715802"/>
    <w:rsid w:val="1A7A7554"/>
    <w:rsid w:val="1A8149E7"/>
    <w:rsid w:val="1A825833"/>
    <w:rsid w:val="1AE95EC6"/>
    <w:rsid w:val="1AFA0F3D"/>
    <w:rsid w:val="1B410951"/>
    <w:rsid w:val="1B5E4ACA"/>
    <w:rsid w:val="1B897DD2"/>
    <w:rsid w:val="1B9A0C46"/>
    <w:rsid w:val="1B9F4DE1"/>
    <w:rsid w:val="1BB47E61"/>
    <w:rsid w:val="1C07072D"/>
    <w:rsid w:val="1C09341C"/>
    <w:rsid w:val="1C842D60"/>
    <w:rsid w:val="1C8E7BFF"/>
    <w:rsid w:val="1CAC7FFA"/>
    <w:rsid w:val="1CBD1C6D"/>
    <w:rsid w:val="1CCC02D7"/>
    <w:rsid w:val="1CD83537"/>
    <w:rsid w:val="1CD867B6"/>
    <w:rsid w:val="1CDE7254"/>
    <w:rsid w:val="1D181B85"/>
    <w:rsid w:val="1D3E44A2"/>
    <w:rsid w:val="1D497EC4"/>
    <w:rsid w:val="1D7B31AC"/>
    <w:rsid w:val="1D7D6213"/>
    <w:rsid w:val="1D812A56"/>
    <w:rsid w:val="1D952DC8"/>
    <w:rsid w:val="1DA05B37"/>
    <w:rsid w:val="1DDD21D6"/>
    <w:rsid w:val="1E030979"/>
    <w:rsid w:val="1E06228A"/>
    <w:rsid w:val="1E253203"/>
    <w:rsid w:val="1E2E44E7"/>
    <w:rsid w:val="1E34479D"/>
    <w:rsid w:val="1E555448"/>
    <w:rsid w:val="1E7A39C3"/>
    <w:rsid w:val="1E816080"/>
    <w:rsid w:val="1EDE6925"/>
    <w:rsid w:val="1EF83A1C"/>
    <w:rsid w:val="1F0F73FB"/>
    <w:rsid w:val="1F3F61F7"/>
    <w:rsid w:val="1FF21B8B"/>
    <w:rsid w:val="200E1F83"/>
    <w:rsid w:val="201E4236"/>
    <w:rsid w:val="20234AC9"/>
    <w:rsid w:val="202D4925"/>
    <w:rsid w:val="203E4B48"/>
    <w:rsid w:val="20964804"/>
    <w:rsid w:val="20AC4CD8"/>
    <w:rsid w:val="20B62501"/>
    <w:rsid w:val="20E00C0C"/>
    <w:rsid w:val="20E43CE3"/>
    <w:rsid w:val="21197C6C"/>
    <w:rsid w:val="2140228F"/>
    <w:rsid w:val="2180399D"/>
    <w:rsid w:val="224C49F2"/>
    <w:rsid w:val="229609E2"/>
    <w:rsid w:val="22AA7366"/>
    <w:rsid w:val="22CA49AE"/>
    <w:rsid w:val="22DC4E21"/>
    <w:rsid w:val="22DF6967"/>
    <w:rsid w:val="22F35816"/>
    <w:rsid w:val="230961F8"/>
    <w:rsid w:val="23450B58"/>
    <w:rsid w:val="236427EF"/>
    <w:rsid w:val="23A07597"/>
    <w:rsid w:val="241D5F5E"/>
    <w:rsid w:val="24437EF8"/>
    <w:rsid w:val="244F00B3"/>
    <w:rsid w:val="2457471E"/>
    <w:rsid w:val="246359A6"/>
    <w:rsid w:val="24641342"/>
    <w:rsid w:val="24690E02"/>
    <w:rsid w:val="24863746"/>
    <w:rsid w:val="248D3338"/>
    <w:rsid w:val="24B93311"/>
    <w:rsid w:val="24DB5972"/>
    <w:rsid w:val="250C778C"/>
    <w:rsid w:val="25146FAB"/>
    <w:rsid w:val="25237B49"/>
    <w:rsid w:val="253C5676"/>
    <w:rsid w:val="25633D72"/>
    <w:rsid w:val="25783D19"/>
    <w:rsid w:val="25B35B86"/>
    <w:rsid w:val="25B72FDD"/>
    <w:rsid w:val="25B94E62"/>
    <w:rsid w:val="25FA6BAC"/>
    <w:rsid w:val="25FC1F6F"/>
    <w:rsid w:val="25FD3DB9"/>
    <w:rsid w:val="26191380"/>
    <w:rsid w:val="262048F9"/>
    <w:rsid w:val="262818BC"/>
    <w:rsid w:val="26650806"/>
    <w:rsid w:val="266601FB"/>
    <w:rsid w:val="26C22BCA"/>
    <w:rsid w:val="27B76AB5"/>
    <w:rsid w:val="27FC3B40"/>
    <w:rsid w:val="286B3401"/>
    <w:rsid w:val="28750EB3"/>
    <w:rsid w:val="28C66939"/>
    <w:rsid w:val="29334C83"/>
    <w:rsid w:val="293B10D5"/>
    <w:rsid w:val="293E4722"/>
    <w:rsid w:val="2958608A"/>
    <w:rsid w:val="29666A14"/>
    <w:rsid w:val="296A63B5"/>
    <w:rsid w:val="298A5BB9"/>
    <w:rsid w:val="299F5316"/>
    <w:rsid w:val="29C829D9"/>
    <w:rsid w:val="29EC500B"/>
    <w:rsid w:val="2A033A63"/>
    <w:rsid w:val="2A146738"/>
    <w:rsid w:val="2A1A4ADF"/>
    <w:rsid w:val="2A3F0EF2"/>
    <w:rsid w:val="2A575DBA"/>
    <w:rsid w:val="2A647C1A"/>
    <w:rsid w:val="2A785553"/>
    <w:rsid w:val="2AFB18E4"/>
    <w:rsid w:val="2B2F4FA9"/>
    <w:rsid w:val="2B91548B"/>
    <w:rsid w:val="2BC76878"/>
    <w:rsid w:val="2BE42285"/>
    <w:rsid w:val="2C022066"/>
    <w:rsid w:val="2C0E0D23"/>
    <w:rsid w:val="2C253137"/>
    <w:rsid w:val="2C2674A1"/>
    <w:rsid w:val="2C2B2026"/>
    <w:rsid w:val="2C3229FF"/>
    <w:rsid w:val="2CB8403C"/>
    <w:rsid w:val="2CB8438F"/>
    <w:rsid w:val="2CBB677F"/>
    <w:rsid w:val="2CFE784A"/>
    <w:rsid w:val="2D606F0F"/>
    <w:rsid w:val="2D865AD4"/>
    <w:rsid w:val="2D8E5ADB"/>
    <w:rsid w:val="2D9F7082"/>
    <w:rsid w:val="2DD408F3"/>
    <w:rsid w:val="2DE46318"/>
    <w:rsid w:val="2E490605"/>
    <w:rsid w:val="2E4A1A89"/>
    <w:rsid w:val="2E612507"/>
    <w:rsid w:val="2EAD4823"/>
    <w:rsid w:val="2EE338FA"/>
    <w:rsid w:val="2F2F683F"/>
    <w:rsid w:val="2F3E203D"/>
    <w:rsid w:val="2F822586"/>
    <w:rsid w:val="2FAB0B10"/>
    <w:rsid w:val="2FC07A5E"/>
    <w:rsid w:val="2FC647D1"/>
    <w:rsid w:val="3031392A"/>
    <w:rsid w:val="30870C1D"/>
    <w:rsid w:val="30AB4416"/>
    <w:rsid w:val="30BA4FD6"/>
    <w:rsid w:val="30D72AF4"/>
    <w:rsid w:val="310C1587"/>
    <w:rsid w:val="31315C42"/>
    <w:rsid w:val="315C20B8"/>
    <w:rsid w:val="319E7876"/>
    <w:rsid w:val="31EC5663"/>
    <w:rsid w:val="31FF307E"/>
    <w:rsid w:val="3202689B"/>
    <w:rsid w:val="32770273"/>
    <w:rsid w:val="32924E88"/>
    <w:rsid w:val="32B40A15"/>
    <w:rsid w:val="32B77FEB"/>
    <w:rsid w:val="32DC4FA3"/>
    <w:rsid w:val="32F825DE"/>
    <w:rsid w:val="3341553A"/>
    <w:rsid w:val="334B63B9"/>
    <w:rsid w:val="33514297"/>
    <w:rsid w:val="33582884"/>
    <w:rsid w:val="339C2714"/>
    <w:rsid w:val="33A0604C"/>
    <w:rsid w:val="33DE035B"/>
    <w:rsid w:val="342E6182"/>
    <w:rsid w:val="34376A99"/>
    <w:rsid w:val="343B7963"/>
    <w:rsid w:val="34621C0C"/>
    <w:rsid w:val="348341CB"/>
    <w:rsid w:val="34A75871"/>
    <w:rsid w:val="34AE56C2"/>
    <w:rsid w:val="34B425D2"/>
    <w:rsid w:val="350D2D6B"/>
    <w:rsid w:val="35163E4C"/>
    <w:rsid w:val="352275ED"/>
    <w:rsid w:val="3525070E"/>
    <w:rsid w:val="354C3B03"/>
    <w:rsid w:val="3561261E"/>
    <w:rsid w:val="35685AD6"/>
    <w:rsid w:val="356B3EAB"/>
    <w:rsid w:val="359D6409"/>
    <w:rsid w:val="35A10580"/>
    <w:rsid w:val="35CC6392"/>
    <w:rsid w:val="361F1978"/>
    <w:rsid w:val="3635639C"/>
    <w:rsid w:val="367E4A76"/>
    <w:rsid w:val="369150BD"/>
    <w:rsid w:val="36995CE6"/>
    <w:rsid w:val="369B1405"/>
    <w:rsid w:val="36A42101"/>
    <w:rsid w:val="36AD70DB"/>
    <w:rsid w:val="36B35215"/>
    <w:rsid w:val="36CE75A7"/>
    <w:rsid w:val="36D230CA"/>
    <w:rsid w:val="36E0194A"/>
    <w:rsid w:val="36E36908"/>
    <w:rsid w:val="36E44089"/>
    <w:rsid w:val="37047564"/>
    <w:rsid w:val="371A7C27"/>
    <w:rsid w:val="373B252E"/>
    <w:rsid w:val="376C4B50"/>
    <w:rsid w:val="377037F6"/>
    <w:rsid w:val="37844317"/>
    <w:rsid w:val="37977C07"/>
    <w:rsid w:val="37A81254"/>
    <w:rsid w:val="37AF29E9"/>
    <w:rsid w:val="37DD5C4A"/>
    <w:rsid w:val="37E86F0F"/>
    <w:rsid w:val="381E4888"/>
    <w:rsid w:val="3842549E"/>
    <w:rsid w:val="38470F23"/>
    <w:rsid w:val="38683569"/>
    <w:rsid w:val="3885236D"/>
    <w:rsid w:val="38B3351B"/>
    <w:rsid w:val="38C3401D"/>
    <w:rsid w:val="38EB0B78"/>
    <w:rsid w:val="38EC25F0"/>
    <w:rsid w:val="391261C2"/>
    <w:rsid w:val="39381EFD"/>
    <w:rsid w:val="39453290"/>
    <w:rsid w:val="396B46A5"/>
    <w:rsid w:val="39777F08"/>
    <w:rsid w:val="39FE2691"/>
    <w:rsid w:val="3A0637EB"/>
    <w:rsid w:val="3A5B1F3A"/>
    <w:rsid w:val="3AA7481D"/>
    <w:rsid w:val="3AAD2378"/>
    <w:rsid w:val="3ABA3B8B"/>
    <w:rsid w:val="3AC16B02"/>
    <w:rsid w:val="3ACC5134"/>
    <w:rsid w:val="3ADC38B4"/>
    <w:rsid w:val="3B024F0B"/>
    <w:rsid w:val="3B037579"/>
    <w:rsid w:val="3B2D393F"/>
    <w:rsid w:val="3B5E431C"/>
    <w:rsid w:val="3B716F4F"/>
    <w:rsid w:val="3B78414B"/>
    <w:rsid w:val="3B86193A"/>
    <w:rsid w:val="3B8C62A3"/>
    <w:rsid w:val="3BA3035E"/>
    <w:rsid w:val="3BB62BE8"/>
    <w:rsid w:val="3BBE0795"/>
    <w:rsid w:val="3BC10768"/>
    <w:rsid w:val="3BC136BC"/>
    <w:rsid w:val="3BF3780A"/>
    <w:rsid w:val="3C025DA2"/>
    <w:rsid w:val="3C436FDE"/>
    <w:rsid w:val="3C4C0023"/>
    <w:rsid w:val="3C8A1488"/>
    <w:rsid w:val="3D242E36"/>
    <w:rsid w:val="3D516B41"/>
    <w:rsid w:val="3D580050"/>
    <w:rsid w:val="3D696D70"/>
    <w:rsid w:val="3D8A0952"/>
    <w:rsid w:val="3D950C61"/>
    <w:rsid w:val="3D9D26B3"/>
    <w:rsid w:val="3DE33C07"/>
    <w:rsid w:val="3E642CE2"/>
    <w:rsid w:val="3E852A39"/>
    <w:rsid w:val="3ED0092C"/>
    <w:rsid w:val="3EDF4E5E"/>
    <w:rsid w:val="3EF60D22"/>
    <w:rsid w:val="3F0E4029"/>
    <w:rsid w:val="3F6946EE"/>
    <w:rsid w:val="3F9421F4"/>
    <w:rsid w:val="3F991334"/>
    <w:rsid w:val="3FA60A28"/>
    <w:rsid w:val="3FEC4A80"/>
    <w:rsid w:val="3FED0FCE"/>
    <w:rsid w:val="3FF43FD3"/>
    <w:rsid w:val="3FF61040"/>
    <w:rsid w:val="407924B5"/>
    <w:rsid w:val="40A335F7"/>
    <w:rsid w:val="40E51029"/>
    <w:rsid w:val="40FF0993"/>
    <w:rsid w:val="41966C29"/>
    <w:rsid w:val="41B33AA7"/>
    <w:rsid w:val="425A1A7E"/>
    <w:rsid w:val="425F45F1"/>
    <w:rsid w:val="427E58D8"/>
    <w:rsid w:val="4298117D"/>
    <w:rsid w:val="42AB2180"/>
    <w:rsid w:val="43222685"/>
    <w:rsid w:val="432602A9"/>
    <w:rsid w:val="43484C07"/>
    <w:rsid w:val="436A352E"/>
    <w:rsid w:val="439D7FDF"/>
    <w:rsid w:val="43EA2ABB"/>
    <w:rsid w:val="444B6AAA"/>
    <w:rsid w:val="44784D45"/>
    <w:rsid w:val="44C723C4"/>
    <w:rsid w:val="45043F93"/>
    <w:rsid w:val="455F2012"/>
    <w:rsid w:val="459B14D9"/>
    <w:rsid w:val="45B778DE"/>
    <w:rsid w:val="45BD24D3"/>
    <w:rsid w:val="45BF1A1E"/>
    <w:rsid w:val="45C74F7C"/>
    <w:rsid w:val="45E7158D"/>
    <w:rsid w:val="460913D3"/>
    <w:rsid w:val="460C3B5D"/>
    <w:rsid w:val="4611121F"/>
    <w:rsid w:val="464242FA"/>
    <w:rsid w:val="464476A6"/>
    <w:rsid w:val="46771E8F"/>
    <w:rsid w:val="46780578"/>
    <w:rsid w:val="46AC2993"/>
    <w:rsid w:val="474419DA"/>
    <w:rsid w:val="47493072"/>
    <w:rsid w:val="47636CC4"/>
    <w:rsid w:val="47782540"/>
    <w:rsid w:val="477E357C"/>
    <w:rsid w:val="47B45253"/>
    <w:rsid w:val="47DD4C0C"/>
    <w:rsid w:val="47DD7AD0"/>
    <w:rsid w:val="47F6087B"/>
    <w:rsid w:val="48084421"/>
    <w:rsid w:val="48595276"/>
    <w:rsid w:val="487815A6"/>
    <w:rsid w:val="489E5807"/>
    <w:rsid w:val="48A17848"/>
    <w:rsid w:val="48AC3DAF"/>
    <w:rsid w:val="48D75130"/>
    <w:rsid w:val="490F2643"/>
    <w:rsid w:val="493D4B4E"/>
    <w:rsid w:val="49493A19"/>
    <w:rsid w:val="494A4C66"/>
    <w:rsid w:val="49C526F4"/>
    <w:rsid w:val="49CF2ED9"/>
    <w:rsid w:val="49E04914"/>
    <w:rsid w:val="4A413C1A"/>
    <w:rsid w:val="4A465674"/>
    <w:rsid w:val="4ACB7688"/>
    <w:rsid w:val="4AF17D21"/>
    <w:rsid w:val="4B043E66"/>
    <w:rsid w:val="4B337A07"/>
    <w:rsid w:val="4B6860E7"/>
    <w:rsid w:val="4C0264E9"/>
    <w:rsid w:val="4C4C2590"/>
    <w:rsid w:val="4C59349D"/>
    <w:rsid w:val="4C846ECA"/>
    <w:rsid w:val="4CA1625A"/>
    <w:rsid w:val="4CA3785C"/>
    <w:rsid w:val="4CAE7A0D"/>
    <w:rsid w:val="4D0D3D6D"/>
    <w:rsid w:val="4DCF61BF"/>
    <w:rsid w:val="4E2734EA"/>
    <w:rsid w:val="4E3E34B5"/>
    <w:rsid w:val="4EB46B62"/>
    <w:rsid w:val="4ED8458A"/>
    <w:rsid w:val="4EF77942"/>
    <w:rsid w:val="4F004723"/>
    <w:rsid w:val="4F0C3101"/>
    <w:rsid w:val="4F4742D1"/>
    <w:rsid w:val="4F7640F5"/>
    <w:rsid w:val="4F815F97"/>
    <w:rsid w:val="4FC17CDE"/>
    <w:rsid w:val="4FC755F2"/>
    <w:rsid w:val="4FE647B0"/>
    <w:rsid w:val="503725C2"/>
    <w:rsid w:val="507A3A97"/>
    <w:rsid w:val="507C18B2"/>
    <w:rsid w:val="50852AB2"/>
    <w:rsid w:val="50A17466"/>
    <w:rsid w:val="50EF211F"/>
    <w:rsid w:val="516E5C3E"/>
    <w:rsid w:val="5180042D"/>
    <w:rsid w:val="5196484B"/>
    <w:rsid w:val="51BD037A"/>
    <w:rsid w:val="51F51A37"/>
    <w:rsid w:val="526F5D91"/>
    <w:rsid w:val="52DF030A"/>
    <w:rsid w:val="52F61A46"/>
    <w:rsid w:val="53251CD0"/>
    <w:rsid w:val="533A0528"/>
    <w:rsid w:val="53505BC6"/>
    <w:rsid w:val="53560736"/>
    <w:rsid w:val="53843B25"/>
    <w:rsid w:val="53C0050E"/>
    <w:rsid w:val="540B1675"/>
    <w:rsid w:val="540C5D72"/>
    <w:rsid w:val="542A24AA"/>
    <w:rsid w:val="5458228C"/>
    <w:rsid w:val="54A1510B"/>
    <w:rsid w:val="54A764C1"/>
    <w:rsid w:val="54C86751"/>
    <w:rsid w:val="54EC26AA"/>
    <w:rsid w:val="54F770D8"/>
    <w:rsid w:val="54FA7A9E"/>
    <w:rsid w:val="54FD1327"/>
    <w:rsid w:val="553064E9"/>
    <w:rsid w:val="553D637D"/>
    <w:rsid w:val="55C027DF"/>
    <w:rsid w:val="56217714"/>
    <w:rsid w:val="568E5B9B"/>
    <w:rsid w:val="56A676EB"/>
    <w:rsid w:val="56C4643B"/>
    <w:rsid w:val="56E006CE"/>
    <w:rsid w:val="572A5A70"/>
    <w:rsid w:val="5750411A"/>
    <w:rsid w:val="57863747"/>
    <w:rsid w:val="57C6532A"/>
    <w:rsid w:val="584E0792"/>
    <w:rsid w:val="5850446E"/>
    <w:rsid w:val="587F428B"/>
    <w:rsid w:val="58B612AB"/>
    <w:rsid w:val="58D324F7"/>
    <w:rsid w:val="58D93418"/>
    <w:rsid w:val="59017499"/>
    <w:rsid w:val="59555AFD"/>
    <w:rsid w:val="597045F3"/>
    <w:rsid w:val="597B707C"/>
    <w:rsid w:val="597F7DE2"/>
    <w:rsid w:val="59A629D0"/>
    <w:rsid w:val="5A4450F4"/>
    <w:rsid w:val="5A9A07E3"/>
    <w:rsid w:val="5AB75AE4"/>
    <w:rsid w:val="5AF50ACF"/>
    <w:rsid w:val="5B124F92"/>
    <w:rsid w:val="5B2A513B"/>
    <w:rsid w:val="5B463D7C"/>
    <w:rsid w:val="5B655A75"/>
    <w:rsid w:val="5B843542"/>
    <w:rsid w:val="5BB6088D"/>
    <w:rsid w:val="5C203C2E"/>
    <w:rsid w:val="5C473E4D"/>
    <w:rsid w:val="5C6A6763"/>
    <w:rsid w:val="5C8D4726"/>
    <w:rsid w:val="5CBA5B65"/>
    <w:rsid w:val="5CD64792"/>
    <w:rsid w:val="5D4E0737"/>
    <w:rsid w:val="5D953969"/>
    <w:rsid w:val="5DBC348C"/>
    <w:rsid w:val="5DED4FE5"/>
    <w:rsid w:val="5DF03C42"/>
    <w:rsid w:val="5E0B087C"/>
    <w:rsid w:val="5E242507"/>
    <w:rsid w:val="5E2E3013"/>
    <w:rsid w:val="5E54656D"/>
    <w:rsid w:val="5E5A203A"/>
    <w:rsid w:val="5E600C5B"/>
    <w:rsid w:val="5EA762EA"/>
    <w:rsid w:val="5F2D785C"/>
    <w:rsid w:val="5F440E28"/>
    <w:rsid w:val="5F517FEB"/>
    <w:rsid w:val="5F9340F2"/>
    <w:rsid w:val="5FB30ED5"/>
    <w:rsid w:val="5FB96354"/>
    <w:rsid w:val="5FF849B0"/>
    <w:rsid w:val="601A7BEA"/>
    <w:rsid w:val="60344795"/>
    <w:rsid w:val="60667327"/>
    <w:rsid w:val="606B3AEB"/>
    <w:rsid w:val="60787F3E"/>
    <w:rsid w:val="60A928F5"/>
    <w:rsid w:val="60AC0895"/>
    <w:rsid w:val="60B3720A"/>
    <w:rsid w:val="60C03693"/>
    <w:rsid w:val="61000AA8"/>
    <w:rsid w:val="610C1F51"/>
    <w:rsid w:val="61194F52"/>
    <w:rsid w:val="61284CC2"/>
    <w:rsid w:val="61474223"/>
    <w:rsid w:val="615D357C"/>
    <w:rsid w:val="619E3DB7"/>
    <w:rsid w:val="61EA0670"/>
    <w:rsid w:val="61EB473F"/>
    <w:rsid w:val="62266F76"/>
    <w:rsid w:val="622B50F0"/>
    <w:rsid w:val="624C307F"/>
    <w:rsid w:val="62986C7A"/>
    <w:rsid w:val="632B774E"/>
    <w:rsid w:val="6330170C"/>
    <w:rsid w:val="63323E90"/>
    <w:rsid w:val="63597E24"/>
    <w:rsid w:val="63923686"/>
    <w:rsid w:val="64233E52"/>
    <w:rsid w:val="645B798F"/>
    <w:rsid w:val="64AF29A7"/>
    <w:rsid w:val="64B22D8B"/>
    <w:rsid w:val="65117739"/>
    <w:rsid w:val="653D7CA3"/>
    <w:rsid w:val="655C7271"/>
    <w:rsid w:val="65607D06"/>
    <w:rsid w:val="657C2A83"/>
    <w:rsid w:val="65A40AF7"/>
    <w:rsid w:val="65B116C2"/>
    <w:rsid w:val="65B62F8A"/>
    <w:rsid w:val="65DF51A0"/>
    <w:rsid w:val="65E25C80"/>
    <w:rsid w:val="65E47FE5"/>
    <w:rsid w:val="65F46891"/>
    <w:rsid w:val="661E6346"/>
    <w:rsid w:val="663C396E"/>
    <w:rsid w:val="66525E15"/>
    <w:rsid w:val="66873AE4"/>
    <w:rsid w:val="668B04E6"/>
    <w:rsid w:val="66A7157D"/>
    <w:rsid w:val="66B06F8E"/>
    <w:rsid w:val="66CA279C"/>
    <w:rsid w:val="66F24689"/>
    <w:rsid w:val="67410D56"/>
    <w:rsid w:val="67620FE6"/>
    <w:rsid w:val="67871780"/>
    <w:rsid w:val="67884BE4"/>
    <w:rsid w:val="67B20F17"/>
    <w:rsid w:val="67C24A44"/>
    <w:rsid w:val="67E1404B"/>
    <w:rsid w:val="67E8797B"/>
    <w:rsid w:val="67F073BE"/>
    <w:rsid w:val="67F74755"/>
    <w:rsid w:val="68010C18"/>
    <w:rsid w:val="682E0CCD"/>
    <w:rsid w:val="682F0E28"/>
    <w:rsid w:val="68480D45"/>
    <w:rsid w:val="686C3165"/>
    <w:rsid w:val="687A681D"/>
    <w:rsid w:val="68927F63"/>
    <w:rsid w:val="68C83319"/>
    <w:rsid w:val="68D66648"/>
    <w:rsid w:val="68E007FE"/>
    <w:rsid w:val="69027FDB"/>
    <w:rsid w:val="69097E8C"/>
    <w:rsid w:val="691A3C19"/>
    <w:rsid w:val="691B21AC"/>
    <w:rsid w:val="696E52AE"/>
    <w:rsid w:val="699761C3"/>
    <w:rsid w:val="69AD6FB5"/>
    <w:rsid w:val="69B10A98"/>
    <w:rsid w:val="69D7387A"/>
    <w:rsid w:val="69FC44A6"/>
    <w:rsid w:val="6A187379"/>
    <w:rsid w:val="6A2531A4"/>
    <w:rsid w:val="6A31184A"/>
    <w:rsid w:val="6A372519"/>
    <w:rsid w:val="6A3C19EC"/>
    <w:rsid w:val="6A481AA9"/>
    <w:rsid w:val="6ABE14AD"/>
    <w:rsid w:val="6B607F4C"/>
    <w:rsid w:val="6B6C7832"/>
    <w:rsid w:val="6B7F12E5"/>
    <w:rsid w:val="6BAD76D9"/>
    <w:rsid w:val="6BE239E2"/>
    <w:rsid w:val="6C0A21F8"/>
    <w:rsid w:val="6C152AE5"/>
    <w:rsid w:val="6C25069C"/>
    <w:rsid w:val="6C442E9D"/>
    <w:rsid w:val="6C805D14"/>
    <w:rsid w:val="6CF43042"/>
    <w:rsid w:val="6CFB32E8"/>
    <w:rsid w:val="6D286848"/>
    <w:rsid w:val="6D87412D"/>
    <w:rsid w:val="6DB7546C"/>
    <w:rsid w:val="6DDF010C"/>
    <w:rsid w:val="6E1C6AC3"/>
    <w:rsid w:val="6EB03039"/>
    <w:rsid w:val="6ECD02A6"/>
    <w:rsid w:val="6ED816BC"/>
    <w:rsid w:val="6F2968A7"/>
    <w:rsid w:val="6F3E2828"/>
    <w:rsid w:val="6F6A72D7"/>
    <w:rsid w:val="6F6D07EC"/>
    <w:rsid w:val="6F7271AA"/>
    <w:rsid w:val="6F8B1E14"/>
    <w:rsid w:val="6F8F2B24"/>
    <w:rsid w:val="6FB6638D"/>
    <w:rsid w:val="6FBE44A1"/>
    <w:rsid w:val="6FC45835"/>
    <w:rsid w:val="6FE55EDD"/>
    <w:rsid w:val="6FEA266A"/>
    <w:rsid w:val="6FF040AB"/>
    <w:rsid w:val="6FFC7634"/>
    <w:rsid w:val="70223DF2"/>
    <w:rsid w:val="70362992"/>
    <w:rsid w:val="705D2381"/>
    <w:rsid w:val="707C543A"/>
    <w:rsid w:val="70B61ED2"/>
    <w:rsid w:val="70C8125E"/>
    <w:rsid w:val="70FA5E92"/>
    <w:rsid w:val="712B4B60"/>
    <w:rsid w:val="71361216"/>
    <w:rsid w:val="714B3AB2"/>
    <w:rsid w:val="714E6AC7"/>
    <w:rsid w:val="71C9076D"/>
    <w:rsid w:val="71CF3736"/>
    <w:rsid w:val="71F87FE7"/>
    <w:rsid w:val="72084CEF"/>
    <w:rsid w:val="720A0BFF"/>
    <w:rsid w:val="724F4877"/>
    <w:rsid w:val="726A0115"/>
    <w:rsid w:val="729A1B21"/>
    <w:rsid w:val="72E23702"/>
    <w:rsid w:val="72E87022"/>
    <w:rsid w:val="73110C0E"/>
    <w:rsid w:val="73605BCD"/>
    <w:rsid w:val="739724CE"/>
    <w:rsid w:val="73A87BE1"/>
    <w:rsid w:val="73AF248A"/>
    <w:rsid w:val="73B44184"/>
    <w:rsid w:val="73EE4A30"/>
    <w:rsid w:val="743624CE"/>
    <w:rsid w:val="74B86703"/>
    <w:rsid w:val="751B470E"/>
    <w:rsid w:val="758A27DE"/>
    <w:rsid w:val="75932809"/>
    <w:rsid w:val="75B034CD"/>
    <w:rsid w:val="75C21AE1"/>
    <w:rsid w:val="75CF01A8"/>
    <w:rsid w:val="75D22519"/>
    <w:rsid w:val="76322E1E"/>
    <w:rsid w:val="764D5571"/>
    <w:rsid w:val="76966F18"/>
    <w:rsid w:val="76C1043C"/>
    <w:rsid w:val="76E54DC5"/>
    <w:rsid w:val="77143175"/>
    <w:rsid w:val="774E76A8"/>
    <w:rsid w:val="77BF6F51"/>
    <w:rsid w:val="77C17FC5"/>
    <w:rsid w:val="77EB7DB5"/>
    <w:rsid w:val="78191B58"/>
    <w:rsid w:val="78250206"/>
    <w:rsid w:val="78272E80"/>
    <w:rsid w:val="7872473C"/>
    <w:rsid w:val="789C2C49"/>
    <w:rsid w:val="789F5FB6"/>
    <w:rsid w:val="78A71634"/>
    <w:rsid w:val="78FB2499"/>
    <w:rsid w:val="79B156AC"/>
    <w:rsid w:val="79EF15A4"/>
    <w:rsid w:val="79FB7128"/>
    <w:rsid w:val="7A1136B2"/>
    <w:rsid w:val="7A526DB4"/>
    <w:rsid w:val="7A640A40"/>
    <w:rsid w:val="7A7035E5"/>
    <w:rsid w:val="7B0251E6"/>
    <w:rsid w:val="7B0525F0"/>
    <w:rsid w:val="7B1448AF"/>
    <w:rsid w:val="7B1D733E"/>
    <w:rsid w:val="7B294BBC"/>
    <w:rsid w:val="7B87251F"/>
    <w:rsid w:val="7C4A67DB"/>
    <w:rsid w:val="7C5F74F0"/>
    <w:rsid w:val="7C7C2599"/>
    <w:rsid w:val="7CC876B0"/>
    <w:rsid w:val="7D4D5E56"/>
    <w:rsid w:val="7D5F0BDC"/>
    <w:rsid w:val="7D6526D0"/>
    <w:rsid w:val="7D7D03C5"/>
    <w:rsid w:val="7DD46DBA"/>
    <w:rsid w:val="7E612918"/>
    <w:rsid w:val="7E877E1C"/>
    <w:rsid w:val="7E945BAE"/>
    <w:rsid w:val="7E971850"/>
    <w:rsid w:val="7EED169F"/>
    <w:rsid w:val="7EF83897"/>
    <w:rsid w:val="7F434099"/>
    <w:rsid w:val="7FA34AC0"/>
    <w:rsid w:val="7FF82FE0"/>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spacing w:line="240" w:lineRule="auto"/>
      <w:ind w:left="480" w:hanging="480" w:hangingChars="200"/>
      <w:jc w:val="left"/>
    </w:pPr>
    <w:rPr>
      <w:rFonts w:cs="宋体"/>
      <w:sz w:val="21"/>
    </w:rPr>
  </w:style>
  <w:style w:type="paragraph" w:customStyle="1" w:styleId="31">
    <w:name w:val="参考文献"/>
    <w:basedOn w:val="1"/>
    <w:link w:val="33"/>
    <w:qFormat/>
    <w:uiPriority w:val="0"/>
    <w:pPr>
      <w:spacing w:line="240" w:lineRule="auto"/>
      <w:ind w:left="200" w:hanging="200" w:hangingChars="200"/>
      <w:jc w:val="left"/>
    </w:pPr>
    <w:rPr>
      <w:sz w:val="21"/>
      <w:vertAlign w:val="superscript"/>
    </w:rPr>
  </w:style>
  <w:style w:type="character" w:customStyle="1" w:styleId="32">
    <w:name w:val="参考文献正文 字符"/>
    <w:basedOn w:val="17"/>
    <w:link w:val="30"/>
    <w:qFormat/>
    <w:uiPriority w:val="0"/>
    <w:rPr>
      <w:rFonts w:eastAsia="宋体" w:cs="宋体"/>
      <w:kern w:val="2"/>
      <w:sz w:val="21"/>
      <w:szCs w:val="24"/>
      <w:vertAlign w:val="baseline"/>
    </w:rPr>
  </w:style>
  <w:style w:type="character" w:customStyle="1" w:styleId="33">
    <w:name w:val="参考文献 字符"/>
    <w:basedOn w:val="17"/>
    <w:link w:val="31"/>
    <w:qFormat/>
    <w:uiPriority w:val="0"/>
    <w:rPr>
      <w:rFonts w:eastAsia="宋体" w:cstheme="minorBidi"/>
      <w:kern w:val="2"/>
      <w:sz w:val="21"/>
      <w:szCs w:val="24"/>
      <w:vertAlign w:val="superscript"/>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书目2"/>
    <w:basedOn w:val="1"/>
    <w:next w:val="1"/>
    <w:unhideWhenUsed/>
    <w:qFormat/>
    <w:uiPriority w:val="37"/>
  </w:style>
  <w:style w:type="paragraph" w:customStyle="1" w:styleId="37">
    <w:name w:val="Revision"/>
    <w:hidden/>
    <w:semiHidden/>
    <w:qFormat/>
    <w:uiPriority w:val="99"/>
    <w:rPr>
      <w:rFonts w:ascii="Times New Roman" w:hAnsi="Times New Roman" w:eastAsia="宋体" w:cstheme="minorBidi"/>
      <w:kern w:val="2"/>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679644C-F32D-4626-8FF3-25390B2B985C}">
  <ds:schemaRefs/>
</ds:datastoreItem>
</file>

<file path=customXml/itemProps3.xml><?xml version="1.0" encoding="utf-8"?>
<ds:datastoreItem xmlns:ds="http://schemas.openxmlformats.org/officeDocument/2006/customXml" ds:itemID="{901CA8C6-9177-4863-A1A1-91270CEA385B}">
  <ds:schemaRefs/>
</ds:datastoreItem>
</file>

<file path=docProps/app.xml><?xml version="1.0" encoding="utf-8"?>
<Properties xmlns="http://schemas.openxmlformats.org/officeDocument/2006/extended-properties" xmlns:vt="http://schemas.openxmlformats.org/officeDocument/2006/docPropsVTypes">
  <Template>Normal.dotm</Template>
  <Pages>92</Pages>
  <Words>12029</Words>
  <Characters>16094</Characters>
  <Lines>769</Lines>
  <Paragraphs>216</Paragraphs>
  <TotalTime>37</TotalTime>
  <ScaleCrop>false</ScaleCrop>
  <LinksUpToDate>false</LinksUpToDate>
  <CharactersWithSpaces>17067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2026-05-07T16:37:50Z</cp:lastPrinted>
  <dcterms:modified xsi:type="dcterms:W3CDTF">2026-05-07T16:41:47Z</dcterms:modified>
  <cp:revision>288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B8B64656676742A6B7C946C2C1F9AD49_13</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