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92DBA2">
      <w:pPr>
        <w:ind w:left="480" w:firstLine="480"/>
      </w:pPr>
    </w:p>
    <w:p w14:paraId="1A00A773">
      <w:pPr>
        <w:ind w:left="480" w:firstLine="480"/>
      </w:pPr>
    </w:p>
    <w:p w14:paraId="2624B933">
      <w:pPr>
        <w:ind w:firstLine="843" w:firstLineChars="100"/>
        <w:rPr>
          <w:rFonts w:ascii="黑体" w:hAnsi="宋体" w:eastAsia="黑体"/>
          <w:b/>
          <w:color w:val="000000"/>
          <w:sz w:val="84"/>
          <w:szCs w:val="84"/>
        </w:rPr>
      </w:pPr>
    </w:p>
    <w:p w14:paraId="69E1ABDF">
      <w:pPr>
        <w:ind w:firstLine="0" w:firstLineChars="0"/>
        <w:rPr>
          <w:rFonts w:ascii="黑体" w:hAnsi="宋体" w:eastAsia="黑体"/>
          <w:b/>
          <w:color w:val="000000"/>
          <w:sz w:val="84"/>
          <w:szCs w:val="84"/>
        </w:rPr>
      </w:pPr>
    </w:p>
    <w:p w14:paraId="118B7BC2">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2F176A9D">
      <w:pPr>
        <w:ind w:firstLine="3253" w:firstLineChars="900"/>
        <w:rPr>
          <w:rFonts w:ascii="黑体" w:eastAsia="黑体"/>
        </w:rPr>
      </w:pPr>
      <w:r>
        <w:rPr>
          <w:rFonts w:hint="eastAsia" w:ascii="黑体" w:eastAsia="黑体"/>
          <w:b/>
          <w:sz w:val="36"/>
          <w:szCs w:val="32"/>
        </w:rPr>
        <w:t>（专业学位硕士）</w:t>
      </w:r>
    </w:p>
    <w:p w14:paraId="3061D829">
      <w:pPr>
        <w:ind w:firstLine="480"/>
        <w:jc w:val="center"/>
        <w:rPr>
          <w:rFonts w:ascii="黑体" w:eastAsia="黑体"/>
        </w:rPr>
      </w:pPr>
    </w:p>
    <w:p w14:paraId="34AE6F8B">
      <w:pPr>
        <w:ind w:firstLine="480"/>
      </w:pPr>
      <w:r>
        <w:rPr>
          <w:rFonts w:hint="eastAsia"/>
        </w:rPr>
        <w:t xml:space="preserve">            </w:t>
      </w:r>
    </w:p>
    <w:p w14:paraId="22F9E863">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6854DCFA">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1AAE59CF">
      <w:pPr>
        <w:ind w:firstLine="480"/>
      </w:pPr>
    </w:p>
    <w:p w14:paraId="2DB81EC3">
      <w:pPr>
        <w:ind w:firstLine="480"/>
      </w:pPr>
    </w:p>
    <w:p w14:paraId="0B80DA09">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693951C6">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031635">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2C77E412">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0E7540D6">
      <w:pPr>
        <w:ind w:firstLine="482"/>
        <w:rPr>
          <w:b/>
        </w:rPr>
      </w:pPr>
      <w:r>
        <w:rPr>
          <w:b/>
        </w:rPr>
        <w:br w:type="page"/>
      </w:r>
    </w:p>
    <w:p w14:paraId="4345115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4BB7B210">
      <w:pPr>
        <w:pStyle w:val="7"/>
        <w:ind w:firstLine="0" w:firstLineChars="0"/>
        <w:rPr>
          <w:rFonts w:ascii="黑体" w:hAnsi="黑体" w:eastAsia="黑体"/>
          <w:color w:val="000000"/>
          <w:sz w:val="32"/>
          <w:szCs w:val="32"/>
        </w:rPr>
      </w:pPr>
    </w:p>
    <w:p w14:paraId="61370021">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160CD68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058F633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8DD40B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0B07A3BD">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3F21508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7C1BB7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4E6A860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67A4E9C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3CAA31D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6846F32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04EBD8A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6E3F15C">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51AF3D13">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4AC6D5E6">
      <w:pPr>
        <w:pStyle w:val="7"/>
        <w:ind w:firstLine="0" w:firstLineChars="0"/>
        <w:rPr>
          <w:rFonts w:asciiTheme="majorEastAsia" w:hAnsiTheme="majorEastAsia" w:eastAsiaTheme="majorEastAsia"/>
          <w:color w:val="000000"/>
          <w:sz w:val="28"/>
          <w:szCs w:val="28"/>
        </w:rPr>
      </w:pPr>
    </w:p>
    <w:p w14:paraId="4908A3C8">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6B801794">
      <w:pPr>
        <w:pStyle w:val="7"/>
        <w:ind w:firstLine="560"/>
        <w:rPr>
          <w:rFonts w:asciiTheme="majorEastAsia" w:hAnsiTheme="majorEastAsia" w:eastAsiaTheme="majorEastAsia"/>
          <w:color w:val="000000"/>
          <w:sz w:val="28"/>
          <w:szCs w:val="28"/>
        </w:rPr>
      </w:pPr>
    </w:p>
    <w:p w14:paraId="2C15867F">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50D5882F">
      <w:pPr>
        <w:pStyle w:val="7"/>
        <w:ind w:firstLine="560"/>
        <w:rPr>
          <w:rFonts w:asciiTheme="majorEastAsia" w:hAnsiTheme="majorEastAsia" w:eastAsiaTheme="majorEastAsia"/>
          <w:color w:val="000000"/>
          <w:sz w:val="28"/>
          <w:szCs w:val="28"/>
        </w:rPr>
      </w:pPr>
    </w:p>
    <w:p w14:paraId="2AD648F2">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79B92588">
      <w:pPr>
        <w:pStyle w:val="7"/>
        <w:ind w:firstLine="560"/>
        <w:rPr>
          <w:rFonts w:asciiTheme="majorEastAsia" w:hAnsiTheme="majorEastAsia" w:eastAsiaTheme="majorEastAsia"/>
          <w:color w:val="000000"/>
          <w:sz w:val="28"/>
          <w:szCs w:val="28"/>
        </w:rPr>
      </w:pPr>
    </w:p>
    <w:p w14:paraId="4EE1C665">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4684F16C">
      <w:pPr>
        <w:pStyle w:val="7"/>
        <w:ind w:firstLine="560"/>
        <w:rPr>
          <w:rFonts w:asciiTheme="majorEastAsia" w:hAnsiTheme="majorEastAsia" w:eastAsiaTheme="majorEastAsia"/>
          <w:color w:val="000000"/>
          <w:sz w:val="28"/>
          <w:szCs w:val="28"/>
        </w:rPr>
      </w:pPr>
    </w:p>
    <w:p w14:paraId="752EA92D">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1A1D2799">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6B84E2FC">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6404C58C">
      <w:pPr>
        <w:widowControl/>
        <w:ind w:firstLine="0" w:firstLineChars="0"/>
        <w:jc w:val="center"/>
        <w:rPr>
          <w:rFonts w:ascii="黑体" w:hAnsi="宋体" w:eastAsia="黑体" w:cs="宋体"/>
          <w:b/>
          <w:color w:val="000000"/>
          <w:sz w:val="32"/>
          <w:szCs w:val="32"/>
        </w:rPr>
      </w:pPr>
    </w:p>
    <w:p w14:paraId="261B6A32">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04C5CDF2">
      <w:pPr>
        <w:widowControl/>
        <w:ind w:firstLine="480"/>
        <w:jc w:val="center"/>
        <w:rPr>
          <w:rFonts w:ascii="宋体" w:hAnsi="宋体" w:cs="宋体"/>
          <w:color w:val="000000"/>
          <w:kern w:val="0"/>
        </w:rPr>
      </w:pPr>
    </w:p>
    <w:p w14:paraId="337A5EDC">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7895DC42">
      <w:pPr>
        <w:spacing w:line="600" w:lineRule="exact"/>
        <w:ind w:firstLine="480"/>
      </w:pPr>
    </w:p>
    <w:p w14:paraId="282FD4FA">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4E0A3E2E">
      <w:pPr>
        <w:ind w:firstLine="560"/>
        <w:rPr>
          <w:rFonts w:ascii="宋体" w:hAnsi="宋体" w:cs="宋体"/>
          <w:bCs/>
          <w:spacing w:val="20"/>
        </w:rPr>
      </w:pPr>
    </w:p>
    <w:p w14:paraId="7A004FDC">
      <w:pPr>
        <w:widowControl/>
        <w:spacing w:line="400" w:lineRule="exact"/>
        <w:ind w:firstLine="880"/>
        <w:jc w:val="center"/>
        <w:rPr>
          <w:rFonts w:ascii="黑体" w:hAnsi="宋体" w:eastAsia="黑体" w:cs="宋体"/>
          <w:color w:val="000000"/>
          <w:sz w:val="44"/>
        </w:rPr>
      </w:pPr>
    </w:p>
    <w:p w14:paraId="7904B35D">
      <w:pPr>
        <w:widowControl/>
        <w:spacing w:line="400" w:lineRule="exact"/>
        <w:ind w:firstLine="880"/>
        <w:jc w:val="center"/>
        <w:rPr>
          <w:rFonts w:ascii="黑体" w:hAnsi="宋体" w:eastAsia="黑体" w:cs="宋体"/>
          <w:color w:val="000000"/>
          <w:sz w:val="44"/>
        </w:rPr>
      </w:pPr>
    </w:p>
    <w:p w14:paraId="4461EE25">
      <w:pPr>
        <w:widowControl/>
        <w:spacing w:line="400" w:lineRule="exact"/>
        <w:ind w:firstLine="880"/>
        <w:jc w:val="center"/>
        <w:rPr>
          <w:rFonts w:ascii="黑体" w:hAnsi="宋体" w:eastAsia="黑体" w:cs="宋体"/>
          <w:color w:val="000000"/>
          <w:sz w:val="44"/>
        </w:rPr>
      </w:pPr>
    </w:p>
    <w:p w14:paraId="7BF9E8EA">
      <w:pPr>
        <w:widowControl/>
        <w:spacing w:line="400" w:lineRule="exact"/>
        <w:ind w:firstLine="880"/>
        <w:jc w:val="center"/>
        <w:rPr>
          <w:rFonts w:ascii="黑体" w:hAnsi="宋体" w:eastAsia="黑体" w:cs="宋体"/>
          <w:color w:val="000000"/>
          <w:sz w:val="44"/>
        </w:rPr>
      </w:pPr>
    </w:p>
    <w:p w14:paraId="3D69534B">
      <w:pPr>
        <w:widowControl/>
        <w:spacing w:line="400" w:lineRule="exact"/>
        <w:ind w:firstLine="880"/>
        <w:jc w:val="center"/>
        <w:rPr>
          <w:rFonts w:ascii="黑体" w:hAnsi="宋体" w:eastAsia="黑体" w:cs="宋体"/>
          <w:color w:val="000000"/>
          <w:sz w:val="44"/>
        </w:rPr>
      </w:pPr>
    </w:p>
    <w:p w14:paraId="0CAD2882">
      <w:pPr>
        <w:widowControl/>
        <w:spacing w:line="400" w:lineRule="exact"/>
        <w:ind w:firstLine="880"/>
        <w:jc w:val="center"/>
        <w:rPr>
          <w:rFonts w:ascii="黑体" w:hAnsi="宋体" w:eastAsia="黑体" w:cs="宋体"/>
          <w:color w:val="000000"/>
          <w:sz w:val="44"/>
        </w:rPr>
      </w:pPr>
    </w:p>
    <w:p w14:paraId="69F7C8E8">
      <w:pPr>
        <w:widowControl/>
        <w:spacing w:line="400" w:lineRule="exact"/>
        <w:ind w:firstLine="880"/>
        <w:jc w:val="center"/>
        <w:rPr>
          <w:rFonts w:ascii="黑体" w:hAnsi="宋体" w:eastAsia="黑体" w:cs="宋体"/>
          <w:color w:val="000000"/>
          <w:sz w:val="44"/>
        </w:rPr>
      </w:pPr>
    </w:p>
    <w:p w14:paraId="61E369A2">
      <w:pPr>
        <w:widowControl/>
        <w:spacing w:line="400" w:lineRule="exact"/>
        <w:ind w:firstLine="880"/>
        <w:jc w:val="center"/>
        <w:rPr>
          <w:rFonts w:ascii="黑体" w:hAnsi="宋体" w:eastAsia="黑体" w:cs="宋体"/>
          <w:color w:val="000000"/>
          <w:sz w:val="44"/>
        </w:rPr>
      </w:pPr>
    </w:p>
    <w:p w14:paraId="6C5867A1">
      <w:pPr>
        <w:widowControl/>
        <w:spacing w:line="400" w:lineRule="exact"/>
        <w:ind w:firstLine="880"/>
        <w:jc w:val="center"/>
        <w:rPr>
          <w:rFonts w:ascii="黑体" w:hAnsi="宋体" w:eastAsia="黑体" w:cs="宋体"/>
          <w:color w:val="000000"/>
          <w:sz w:val="44"/>
        </w:rPr>
      </w:pPr>
    </w:p>
    <w:p w14:paraId="168C8E64">
      <w:pPr>
        <w:widowControl/>
        <w:spacing w:line="400" w:lineRule="exact"/>
        <w:ind w:firstLine="880"/>
        <w:jc w:val="center"/>
        <w:rPr>
          <w:rFonts w:ascii="黑体" w:hAnsi="宋体" w:eastAsia="黑体" w:cs="宋体"/>
          <w:color w:val="000000"/>
          <w:sz w:val="44"/>
        </w:rPr>
      </w:pPr>
    </w:p>
    <w:p w14:paraId="293F5265">
      <w:pPr>
        <w:widowControl/>
        <w:spacing w:line="400" w:lineRule="exact"/>
        <w:ind w:firstLine="880"/>
        <w:jc w:val="center"/>
        <w:rPr>
          <w:rFonts w:ascii="黑体" w:hAnsi="宋体" w:eastAsia="黑体" w:cs="宋体"/>
          <w:color w:val="000000"/>
          <w:sz w:val="44"/>
        </w:rPr>
      </w:pPr>
    </w:p>
    <w:p w14:paraId="7D48ABC7">
      <w:pPr>
        <w:widowControl/>
        <w:spacing w:line="400" w:lineRule="exact"/>
        <w:ind w:firstLine="880"/>
        <w:jc w:val="center"/>
        <w:rPr>
          <w:rFonts w:ascii="黑体" w:hAnsi="宋体" w:eastAsia="黑体" w:cs="宋体"/>
          <w:color w:val="000000"/>
          <w:sz w:val="44"/>
        </w:rPr>
      </w:pPr>
    </w:p>
    <w:p w14:paraId="67F2EF3F">
      <w:pPr>
        <w:widowControl/>
        <w:spacing w:line="400" w:lineRule="exact"/>
        <w:ind w:firstLine="880"/>
        <w:jc w:val="center"/>
        <w:rPr>
          <w:rFonts w:ascii="黑体" w:hAnsi="宋体" w:eastAsia="黑体" w:cs="宋体"/>
          <w:color w:val="000000"/>
          <w:sz w:val="44"/>
        </w:rPr>
      </w:pPr>
    </w:p>
    <w:p w14:paraId="6DD12AC3">
      <w:pPr>
        <w:widowControl/>
        <w:spacing w:line="400" w:lineRule="exact"/>
        <w:ind w:firstLine="880"/>
        <w:jc w:val="center"/>
        <w:rPr>
          <w:rFonts w:ascii="黑体" w:hAnsi="宋体" w:eastAsia="黑体" w:cs="宋体"/>
          <w:color w:val="000000"/>
          <w:sz w:val="44"/>
        </w:rPr>
      </w:pPr>
    </w:p>
    <w:p w14:paraId="0C6263BE">
      <w:pPr>
        <w:widowControl/>
        <w:spacing w:line="400" w:lineRule="exact"/>
        <w:ind w:firstLine="880"/>
        <w:jc w:val="center"/>
        <w:rPr>
          <w:rFonts w:ascii="黑体" w:hAnsi="宋体" w:eastAsia="黑体" w:cs="宋体"/>
          <w:color w:val="000000"/>
          <w:sz w:val="44"/>
        </w:rPr>
      </w:pPr>
    </w:p>
    <w:p w14:paraId="35992EE4">
      <w:pPr>
        <w:widowControl/>
        <w:spacing w:line="400" w:lineRule="exact"/>
        <w:ind w:firstLine="880"/>
        <w:jc w:val="center"/>
        <w:rPr>
          <w:rFonts w:ascii="黑体" w:hAnsi="宋体" w:eastAsia="黑体" w:cs="宋体"/>
          <w:color w:val="000000"/>
          <w:sz w:val="44"/>
        </w:rPr>
      </w:pPr>
    </w:p>
    <w:p w14:paraId="50A8A383">
      <w:pPr>
        <w:widowControl/>
        <w:spacing w:line="400" w:lineRule="exact"/>
        <w:ind w:firstLine="880"/>
        <w:jc w:val="center"/>
        <w:rPr>
          <w:rFonts w:ascii="黑体" w:hAnsi="宋体" w:eastAsia="黑体" w:cs="宋体"/>
          <w:color w:val="000000"/>
          <w:sz w:val="44"/>
        </w:rPr>
      </w:pPr>
    </w:p>
    <w:p w14:paraId="7095CBC1">
      <w:pPr>
        <w:widowControl/>
        <w:spacing w:line="400" w:lineRule="exact"/>
        <w:ind w:firstLine="880"/>
        <w:jc w:val="center"/>
        <w:rPr>
          <w:rFonts w:ascii="黑体" w:hAnsi="宋体" w:eastAsia="黑体" w:cs="宋体"/>
          <w:color w:val="000000"/>
          <w:sz w:val="44"/>
        </w:rPr>
      </w:pPr>
    </w:p>
    <w:p w14:paraId="3DB68BEC">
      <w:pPr>
        <w:spacing w:before="100" w:beforeAutospacing="1" w:after="100" w:afterAutospacing="1"/>
        <w:ind w:firstLine="482"/>
        <w:rPr>
          <w:rFonts w:cs="Times New Roman"/>
          <w:b/>
        </w:rPr>
      </w:pPr>
    </w:p>
    <w:p w14:paraId="1F22AA4A">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0FEB8C49">
      <w:pPr>
        <w:widowControl/>
        <w:ind w:firstLine="643"/>
        <w:rPr>
          <w:rFonts w:eastAsia="黑体" w:cs="宋体"/>
          <w:b/>
          <w:color w:val="000000"/>
          <w:sz w:val="32"/>
          <w:szCs w:val="32"/>
          <w:lang w:bidi="ar"/>
        </w:rPr>
      </w:pPr>
    </w:p>
    <w:p w14:paraId="5A719739">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2C34337">
      <w:pPr>
        <w:widowControl/>
        <w:ind w:firstLine="480"/>
        <w:jc w:val="center"/>
        <w:rPr>
          <w:rFonts w:eastAsia="黑体" w:cs="宋体"/>
          <w:color w:val="000000"/>
        </w:rPr>
      </w:pPr>
      <w:r>
        <w:rPr>
          <w:rFonts w:eastAsia="黑体" w:cs="宋体"/>
          <w:color w:val="000000"/>
          <w:lang w:bidi="ar"/>
        </w:rPr>
        <w:t xml:space="preserve"> </w:t>
      </w:r>
    </w:p>
    <w:p w14:paraId="27F6893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37FA1270">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0FA23346">
      <w:pPr>
        <w:widowControl/>
        <w:ind w:firstLine="0" w:firstLineChars="0"/>
        <w:rPr>
          <w:rFonts w:cs="宋体"/>
          <w:color w:val="000000"/>
        </w:rPr>
      </w:pPr>
      <w:r>
        <w:rPr>
          <w:rFonts w:hint="eastAsia" w:cs="宋体"/>
          <w:color w:val="000000"/>
          <w:lang w:bidi="ar"/>
        </w:rPr>
        <w:t>（涉密、内部论文在解密后适用本授权书）</w:t>
      </w:r>
    </w:p>
    <w:p w14:paraId="5C95BD13">
      <w:pPr>
        <w:widowControl/>
        <w:ind w:firstLine="0" w:firstLineChars="0"/>
        <w:rPr>
          <w:rFonts w:cs="宋体"/>
          <w:color w:val="000000"/>
        </w:rPr>
      </w:pPr>
      <w:r>
        <w:rPr>
          <w:rFonts w:hint="eastAsia" w:cs="宋体"/>
          <w:color w:val="000000"/>
          <w:lang w:bidi="ar"/>
        </w:rPr>
        <w:t>本学位论文属于</w:t>
      </w:r>
    </w:p>
    <w:p w14:paraId="77836807">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73AC47D">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7490B145">
      <w:pPr>
        <w:widowControl/>
        <w:ind w:firstLine="0" w:firstLineChars="0"/>
        <w:rPr>
          <w:rFonts w:cs="宋体"/>
          <w:color w:val="000000"/>
        </w:rPr>
      </w:pPr>
      <w:r>
        <w:rPr>
          <w:rFonts w:hint="eastAsia" w:cs="宋体"/>
          <w:color w:val="000000"/>
          <w:lang w:bidi="ar"/>
        </w:rPr>
        <w:t>（请在以上相应方框内打“√”）</w:t>
      </w:r>
    </w:p>
    <w:p w14:paraId="6DED974E">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4ED27343">
      <w:pPr>
        <w:widowControl/>
        <w:ind w:firstLine="480"/>
        <w:jc w:val="left"/>
        <w:rPr>
          <w:rFonts w:ascii="宋体" w:cs="宋体"/>
          <w:color w:val="000000"/>
          <w:kern w:val="0"/>
        </w:rPr>
      </w:pPr>
    </w:p>
    <w:p w14:paraId="7A9CA8C7">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6703D985">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19BCADA4">
          <w:pPr>
            <w:ind w:firstLine="0" w:firstLineChars="0"/>
            <w:jc w:val="center"/>
            <w:rPr>
              <w:rFonts w:ascii="黑体" w:hAnsi="黑体" w:eastAsia="黑体" w:cs="黑体"/>
              <w:color w:val="auto"/>
              <w:sz w:val="36"/>
              <w:szCs w:val="36"/>
            </w:rPr>
          </w:pPr>
          <w:r>
            <w:rPr>
              <w:rFonts w:hint="eastAsia" w:ascii="黑体" w:hAnsi="黑体" w:eastAsia="黑体" w:cs="黑体"/>
              <w:color w:val="auto"/>
              <w:sz w:val="36"/>
              <w:szCs w:val="36"/>
              <w:lang w:val="zh-CN"/>
            </w:rPr>
            <w:t>目录</w:t>
          </w:r>
        </w:p>
        <w:p w14:paraId="17A3C6E2">
          <w:pPr>
            <w:pStyle w:val="10"/>
            <w:tabs>
              <w:tab w:val="right" w:leader="dot" w:pos="9072"/>
            </w:tabs>
          </w:pPr>
          <w:r>
            <w:rPr>
              <w:color w:val="auto"/>
            </w:rPr>
            <w:fldChar w:fldCharType="begin"/>
          </w:r>
          <w:r>
            <w:rPr>
              <w:color w:val="auto"/>
            </w:rPr>
            <w:instrText xml:space="preserve"> TOC \o "1-3" \h \z \u </w:instrText>
          </w:r>
          <w:r>
            <w:rPr>
              <w:color w:val="auto"/>
            </w:rPr>
            <w:fldChar w:fldCharType="separate"/>
          </w:r>
          <w:r>
            <w:rPr>
              <w:color w:val="auto"/>
            </w:rPr>
            <w:fldChar w:fldCharType="begin"/>
          </w:r>
          <w:r>
            <w:instrText xml:space="preserve"> HYPERLINK \l _Toc17674 </w:instrText>
          </w:r>
          <w:r>
            <w:fldChar w:fldCharType="separate"/>
          </w:r>
          <w:r>
            <w:rPr>
              <w:rFonts w:hint="eastAsia"/>
            </w:rPr>
            <w:t>摘要</w:t>
          </w:r>
          <w:r>
            <w:tab/>
          </w:r>
          <w:r>
            <w:fldChar w:fldCharType="begin"/>
          </w:r>
          <w:r>
            <w:instrText xml:space="preserve"> PAGEREF _Toc17674 \h </w:instrText>
          </w:r>
          <w:r>
            <w:fldChar w:fldCharType="separate"/>
          </w:r>
          <w:r>
            <w:t>I</w:t>
          </w:r>
          <w:r>
            <w:fldChar w:fldCharType="end"/>
          </w:r>
          <w:r>
            <w:rPr>
              <w:color w:val="auto"/>
            </w:rPr>
            <w:fldChar w:fldCharType="end"/>
          </w:r>
        </w:p>
        <w:p w14:paraId="001921FD">
          <w:pPr>
            <w:pStyle w:val="10"/>
            <w:tabs>
              <w:tab w:val="right" w:leader="dot" w:pos="9072"/>
            </w:tabs>
          </w:pPr>
          <w:r>
            <w:rPr>
              <w:bCs/>
              <w:color w:val="auto"/>
              <w:lang w:val="zh-CN"/>
            </w:rPr>
            <w:fldChar w:fldCharType="begin"/>
          </w:r>
          <w:r>
            <w:rPr>
              <w:bCs/>
              <w:lang w:val="zh-CN"/>
            </w:rPr>
            <w:instrText xml:space="preserve"> HYPERLINK \l _Toc8252 </w:instrText>
          </w:r>
          <w:r>
            <w:rPr>
              <w:bCs/>
              <w:lang w:val="zh-CN"/>
            </w:rPr>
            <w:fldChar w:fldCharType="separate"/>
          </w:r>
          <w:r>
            <w:rPr>
              <w:rFonts w:hint="eastAsia"/>
              <w:bCs/>
            </w:rPr>
            <w:t>ABSTRACT</w:t>
          </w:r>
          <w:r>
            <w:tab/>
          </w:r>
          <w:r>
            <w:fldChar w:fldCharType="begin"/>
          </w:r>
          <w:r>
            <w:instrText xml:space="preserve"> PAGEREF _Toc8252 \h </w:instrText>
          </w:r>
          <w:r>
            <w:fldChar w:fldCharType="separate"/>
          </w:r>
          <w:r>
            <w:t>II</w:t>
          </w:r>
          <w:r>
            <w:fldChar w:fldCharType="end"/>
          </w:r>
          <w:r>
            <w:rPr>
              <w:bCs/>
              <w:color w:val="auto"/>
              <w:lang w:val="zh-CN"/>
            </w:rPr>
            <w:fldChar w:fldCharType="end"/>
          </w:r>
        </w:p>
        <w:p w14:paraId="02F765EA">
          <w:pPr>
            <w:pStyle w:val="10"/>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_Toc14483 </w:instrText>
          </w:r>
          <w:r>
            <w:rPr>
              <w:bCs/>
              <w:highlight w:val="yellow"/>
              <w:lang w:val="zh-CN"/>
            </w:rPr>
            <w:fldChar w:fldCharType="separate"/>
          </w:r>
          <w:r>
            <w:rPr>
              <w:rFonts w:hint="eastAsia"/>
              <w:szCs w:val="30"/>
              <w:highlight w:val="yellow"/>
            </w:rPr>
            <w:t xml:space="preserve">第一章 </w:t>
          </w:r>
          <w:r>
            <w:rPr>
              <w:rFonts w:hint="eastAsia"/>
              <w:highlight w:val="yellow"/>
            </w:rPr>
            <w:t>绪论</w:t>
          </w:r>
          <w:r>
            <w:rPr>
              <w:highlight w:val="yellow"/>
            </w:rPr>
            <w:tab/>
          </w:r>
          <w:r>
            <w:rPr>
              <w:highlight w:val="yellow"/>
            </w:rPr>
            <w:fldChar w:fldCharType="begin"/>
          </w:r>
          <w:r>
            <w:rPr>
              <w:highlight w:val="yellow"/>
            </w:rPr>
            <w:instrText xml:space="preserve"> PAGEREF _Toc14483 \h </w:instrText>
          </w:r>
          <w:r>
            <w:rPr>
              <w:highlight w:val="yellow"/>
            </w:rPr>
            <w:fldChar w:fldCharType="separate"/>
          </w:r>
          <w:r>
            <w:rPr>
              <w:highlight w:val="yellow"/>
            </w:rPr>
            <w:t>1</w:t>
          </w:r>
          <w:r>
            <w:rPr>
              <w:highlight w:val="yellow"/>
            </w:rPr>
            <w:fldChar w:fldCharType="end"/>
          </w:r>
          <w:r>
            <w:rPr>
              <w:bCs/>
              <w:color w:val="auto"/>
              <w:highlight w:val="yellow"/>
              <w:lang w:val="zh-CN"/>
            </w:rPr>
            <w:fldChar w:fldCharType="end"/>
          </w:r>
        </w:p>
        <w:p w14:paraId="10D2B19B">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_Toc31415 </w:instrText>
          </w:r>
          <w:r>
            <w:rPr>
              <w:bCs/>
              <w:highlight w:val="yellow"/>
              <w:lang w:val="zh-CN"/>
            </w:rPr>
            <w:fldChar w:fldCharType="separate"/>
          </w:r>
          <w:r>
            <w:rPr>
              <w:rFonts w:hint="default"/>
              <w:szCs w:val="28"/>
              <w:highlight w:val="yellow"/>
            </w:rPr>
            <w:t xml:space="preserve">1.1 </w:t>
          </w:r>
          <w:r>
            <w:rPr>
              <w:rFonts w:hint="eastAsia"/>
              <w:highlight w:val="yellow"/>
            </w:rPr>
            <w:t>研究背景及意义</w:t>
          </w:r>
          <w:r>
            <w:rPr>
              <w:highlight w:val="yellow"/>
            </w:rPr>
            <w:tab/>
          </w:r>
          <w:r>
            <w:rPr>
              <w:highlight w:val="yellow"/>
            </w:rPr>
            <w:fldChar w:fldCharType="begin"/>
          </w:r>
          <w:r>
            <w:rPr>
              <w:highlight w:val="yellow"/>
            </w:rPr>
            <w:instrText xml:space="preserve"> PAGEREF _Toc31415 \h </w:instrText>
          </w:r>
          <w:r>
            <w:rPr>
              <w:highlight w:val="yellow"/>
            </w:rPr>
            <w:fldChar w:fldCharType="separate"/>
          </w:r>
          <w:r>
            <w:rPr>
              <w:highlight w:val="yellow"/>
            </w:rPr>
            <w:t>1</w:t>
          </w:r>
          <w:r>
            <w:rPr>
              <w:highlight w:val="yellow"/>
            </w:rPr>
            <w:fldChar w:fldCharType="end"/>
          </w:r>
          <w:r>
            <w:rPr>
              <w:bCs/>
              <w:color w:val="auto"/>
              <w:highlight w:val="yellow"/>
              <w:lang w:val="zh-CN"/>
            </w:rPr>
            <w:fldChar w:fldCharType="end"/>
          </w:r>
        </w:p>
        <w:p w14:paraId="5E060D89">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_Toc14341 </w:instrText>
          </w:r>
          <w:r>
            <w:rPr>
              <w:bCs/>
              <w:highlight w:val="yellow"/>
              <w:lang w:val="zh-CN"/>
            </w:rPr>
            <w:fldChar w:fldCharType="separate"/>
          </w:r>
          <w:r>
            <w:rPr>
              <w:rFonts w:hint="default"/>
              <w:szCs w:val="24"/>
              <w:highlight w:val="yellow"/>
            </w:rPr>
            <w:t xml:space="preserve">1.1.1 </w:t>
          </w:r>
          <w:r>
            <w:rPr>
              <w:rFonts w:hint="eastAsia"/>
              <w:highlight w:val="yellow"/>
            </w:rPr>
            <w:t>研究背景</w:t>
          </w:r>
          <w:r>
            <w:rPr>
              <w:highlight w:val="yellow"/>
            </w:rPr>
            <w:tab/>
          </w:r>
          <w:r>
            <w:rPr>
              <w:highlight w:val="yellow"/>
            </w:rPr>
            <w:fldChar w:fldCharType="begin"/>
          </w:r>
          <w:r>
            <w:rPr>
              <w:highlight w:val="yellow"/>
            </w:rPr>
            <w:instrText xml:space="preserve"> PAGEREF _Toc14341 \h </w:instrText>
          </w:r>
          <w:r>
            <w:rPr>
              <w:highlight w:val="yellow"/>
            </w:rPr>
            <w:fldChar w:fldCharType="separate"/>
          </w:r>
          <w:r>
            <w:rPr>
              <w:highlight w:val="yellow"/>
            </w:rPr>
            <w:t>1</w:t>
          </w:r>
          <w:r>
            <w:rPr>
              <w:highlight w:val="yellow"/>
            </w:rPr>
            <w:fldChar w:fldCharType="end"/>
          </w:r>
          <w:r>
            <w:rPr>
              <w:bCs/>
              <w:color w:val="auto"/>
              <w:highlight w:val="yellow"/>
              <w:lang w:val="zh-CN"/>
            </w:rPr>
            <w:fldChar w:fldCharType="end"/>
          </w:r>
        </w:p>
        <w:p w14:paraId="2C6C3833">
          <w:pPr>
            <w:pStyle w:val="6"/>
            <w:tabs>
              <w:tab w:val="right" w:leader="dot" w:pos="9072"/>
            </w:tabs>
          </w:pPr>
          <w:r>
            <w:rPr>
              <w:bCs/>
              <w:color w:val="auto"/>
              <w:highlight w:val="yellow"/>
              <w:lang w:val="zh-CN"/>
            </w:rPr>
            <w:fldChar w:fldCharType="begin"/>
          </w:r>
          <w:r>
            <w:rPr>
              <w:bCs/>
              <w:highlight w:val="yellow"/>
              <w:lang w:val="zh-CN"/>
            </w:rPr>
            <w:instrText xml:space="preserve"> HYPERLINK \l _Toc17757 </w:instrText>
          </w:r>
          <w:r>
            <w:rPr>
              <w:bCs/>
              <w:highlight w:val="yellow"/>
              <w:lang w:val="zh-CN"/>
            </w:rPr>
            <w:fldChar w:fldCharType="separate"/>
          </w:r>
          <w:r>
            <w:rPr>
              <w:rFonts w:hint="default"/>
              <w:szCs w:val="24"/>
              <w:highlight w:val="yellow"/>
            </w:rPr>
            <w:t xml:space="preserve">1.1.2 </w:t>
          </w:r>
          <w:r>
            <w:rPr>
              <w:rFonts w:hint="eastAsia"/>
              <w:highlight w:val="yellow"/>
            </w:rPr>
            <w:t>研究意义</w:t>
          </w:r>
          <w:r>
            <w:rPr>
              <w:highlight w:val="yellow"/>
            </w:rPr>
            <w:tab/>
          </w:r>
          <w:r>
            <w:rPr>
              <w:highlight w:val="yellow"/>
            </w:rPr>
            <w:fldChar w:fldCharType="begin"/>
          </w:r>
          <w:r>
            <w:rPr>
              <w:highlight w:val="yellow"/>
            </w:rPr>
            <w:instrText xml:space="preserve"> PAGEREF _Toc17757 \h </w:instrText>
          </w:r>
          <w:r>
            <w:rPr>
              <w:highlight w:val="yellow"/>
            </w:rPr>
            <w:fldChar w:fldCharType="separate"/>
          </w:r>
          <w:r>
            <w:rPr>
              <w:highlight w:val="yellow"/>
            </w:rPr>
            <w:t>3</w:t>
          </w:r>
          <w:r>
            <w:rPr>
              <w:highlight w:val="yellow"/>
            </w:rPr>
            <w:fldChar w:fldCharType="end"/>
          </w:r>
          <w:r>
            <w:rPr>
              <w:bCs/>
              <w:color w:val="auto"/>
              <w:highlight w:val="yellow"/>
              <w:lang w:val="zh-CN"/>
            </w:rPr>
            <w:fldChar w:fldCharType="end"/>
          </w:r>
        </w:p>
        <w:p w14:paraId="28B741B0">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_Toc7226 </w:instrText>
          </w:r>
          <w:r>
            <w:rPr>
              <w:bCs/>
              <w:highlight w:val="yellow"/>
              <w:lang w:val="zh-CN"/>
            </w:rPr>
            <w:fldChar w:fldCharType="separate"/>
          </w:r>
          <w:r>
            <w:rPr>
              <w:rFonts w:hint="default"/>
              <w:szCs w:val="28"/>
              <w:highlight w:val="yellow"/>
            </w:rPr>
            <w:t xml:space="preserve">1.2 </w:t>
          </w:r>
          <w:r>
            <w:rPr>
              <w:rFonts w:hint="eastAsia"/>
              <w:highlight w:val="yellow"/>
            </w:rPr>
            <w:t>研究现状</w:t>
          </w:r>
          <w:r>
            <w:rPr>
              <w:highlight w:val="yellow"/>
            </w:rPr>
            <w:tab/>
          </w:r>
          <w:r>
            <w:rPr>
              <w:highlight w:val="yellow"/>
            </w:rPr>
            <w:fldChar w:fldCharType="begin"/>
          </w:r>
          <w:r>
            <w:rPr>
              <w:highlight w:val="yellow"/>
            </w:rPr>
            <w:instrText xml:space="preserve"> PAGEREF _Toc7226 \h </w:instrText>
          </w:r>
          <w:r>
            <w:rPr>
              <w:highlight w:val="yellow"/>
            </w:rPr>
            <w:fldChar w:fldCharType="separate"/>
          </w:r>
          <w:r>
            <w:rPr>
              <w:highlight w:val="yellow"/>
            </w:rPr>
            <w:t>4</w:t>
          </w:r>
          <w:r>
            <w:rPr>
              <w:highlight w:val="yellow"/>
            </w:rPr>
            <w:fldChar w:fldCharType="end"/>
          </w:r>
          <w:r>
            <w:rPr>
              <w:bCs/>
              <w:color w:val="auto"/>
              <w:highlight w:val="yellow"/>
              <w:lang w:val="zh-CN"/>
            </w:rPr>
            <w:fldChar w:fldCharType="end"/>
          </w:r>
        </w:p>
        <w:p w14:paraId="4FBC5391">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_Toc28389 </w:instrText>
          </w:r>
          <w:r>
            <w:rPr>
              <w:bCs/>
              <w:highlight w:val="yellow"/>
              <w:lang w:val="zh-CN"/>
            </w:rPr>
            <w:fldChar w:fldCharType="separate"/>
          </w:r>
          <w:r>
            <w:rPr>
              <w:rFonts w:hint="default"/>
              <w:szCs w:val="24"/>
              <w:highlight w:val="yellow"/>
            </w:rPr>
            <w:t xml:space="preserve">1.2.1 </w:t>
          </w:r>
          <w:r>
            <w:rPr>
              <w:rFonts w:hint="eastAsia"/>
              <w:highlight w:val="yellow"/>
            </w:rPr>
            <w:t>文本分类算法的发展</w:t>
          </w:r>
          <w:r>
            <w:rPr>
              <w:highlight w:val="yellow"/>
            </w:rPr>
            <w:tab/>
          </w:r>
          <w:r>
            <w:rPr>
              <w:highlight w:val="yellow"/>
            </w:rPr>
            <w:fldChar w:fldCharType="begin"/>
          </w:r>
          <w:r>
            <w:rPr>
              <w:highlight w:val="yellow"/>
            </w:rPr>
            <w:instrText xml:space="preserve"> PAGEREF _Toc28389 \h </w:instrText>
          </w:r>
          <w:r>
            <w:rPr>
              <w:highlight w:val="yellow"/>
            </w:rPr>
            <w:fldChar w:fldCharType="separate"/>
          </w:r>
          <w:r>
            <w:rPr>
              <w:highlight w:val="yellow"/>
            </w:rPr>
            <w:t>4</w:t>
          </w:r>
          <w:r>
            <w:rPr>
              <w:highlight w:val="yellow"/>
            </w:rPr>
            <w:fldChar w:fldCharType="end"/>
          </w:r>
          <w:r>
            <w:rPr>
              <w:bCs/>
              <w:color w:val="auto"/>
              <w:highlight w:val="yellow"/>
              <w:lang w:val="zh-CN"/>
            </w:rPr>
            <w:fldChar w:fldCharType="end"/>
          </w:r>
        </w:p>
        <w:p w14:paraId="3C2F6156">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_Toc13643 </w:instrText>
          </w:r>
          <w:r>
            <w:rPr>
              <w:bCs/>
              <w:highlight w:val="yellow"/>
              <w:lang w:val="zh-CN"/>
            </w:rPr>
            <w:fldChar w:fldCharType="separate"/>
          </w:r>
          <w:r>
            <w:rPr>
              <w:rFonts w:hint="default"/>
              <w:szCs w:val="24"/>
              <w:highlight w:val="yellow"/>
            </w:rPr>
            <w:t xml:space="preserve">1.2.2 </w:t>
          </w:r>
          <w:r>
            <w:rPr>
              <w:rFonts w:hint="eastAsia"/>
              <w:highlight w:val="yellow"/>
            </w:rPr>
            <w:t>垂直领域专用预训练模型的发展</w:t>
          </w:r>
          <w:r>
            <w:rPr>
              <w:highlight w:val="yellow"/>
            </w:rPr>
            <w:tab/>
          </w:r>
          <w:r>
            <w:rPr>
              <w:highlight w:val="yellow"/>
            </w:rPr>
            <w:fldChar w:fldCharType="begin"/>
          </w:r>
          <w:r>
            <w:rPr>
              <w:highlight w:val="yellow"/>
            </w:rPr>
            <w:instrText xml:space="preserve"> PAGEREF _Toc13643 \h </w:instrText>
          </w:r>
          <w:r>
            <w:rPr>
              <w:highlight w:val="yellow"/>
            </w:rPr>
            <w:fldChar w:fldCharType="separate"/>
          </w:r>
          <w:r>
            <w:rPr>
              <w:highlight w:val="yellow"/>
            </w:rPr>
            <w:t>5</w:t>
          </w:r>
          <w:r>
            <w:rPr>
              <w:highlight w:val="yellow"/>
            </w:rPr>
            <w:fldChar w:fldCharType="end"/>
          </w:r>
          <w:r>
            <w:rPr>
              <w:bCs/>
              <w:color w:val="auto"/>
              <w:highlight w:val="yellow"/>
              <w:lang w:val="zh-CN"/>
            </w:rPr>
            <w:fldChar w:fldCharType="end"/>
          </w:r>
        </w:p>
        <w:p w14:paraId="0A954C2F">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_Toc6743 </w:instrText>
          </w:r>
          <w:r>
            <w:rPr>
              <w:bCs/>
              <w:highlight w:val="yellow"/>
              <w:lang w:val="zh-CN"/>
            </w:rPr>
            <w:fldChar w:fldCharType="separate"/>
          </w:r>
          <w:r>
            <w:rPr>
              <w:rFonts w:hint="default"/>
              <w:szCs w:val="24"/>
              <w:highlight w:val="yellow"/>
            </w:rPr>
            <w:t xml:space="preserve">1.2.3 </w:t>
          </w:r>
          <w:r>
            <w:rPr>
              <w:rFonts w:hint="eastAsia"/>
              <w:highlight w:val="yellow"/>
            </w:rPr>
            <w:t>层次化文本分类技术的发展</w:t>
          </w:r>
          <w:r>
            <w:rPr>
              <w:highlight w:val="yellow"/>
            </w:rPr>
            <w:tab/>
          </w:r>
          <w:r>
            <w:rPr>
              <w:highlight w:val="yellow"/>
            </w:rPr>
            <w:fldChar w:fldCharType="begin"/>
          </w:r>
          <w:r>
            <w:rPr>
              <w:highlight w:val="yellow"/>
            </w:rPr>
            <w:instrText xml:space="preserve"> PAGEREF _Toc6743 \h </w:instrText>
          </w:r>
          <w:r>
            <w:rPr>
              <w:highlight w:val="yellow"/>
            </w:rPr>
            <w:fldChar w:fldCharType="separate"/>
          </w:r>
          <w:r>
            <w:rPr>
              <w:highlight w:val="yellow"/>
            </w:rPr>
            <w:t>5</w:t>
          </w:r>
          <w:r>
            <w:rPr>
              <w:highlight w:val="yellow"/>
            </w:rPr>
            <w:fldChar w:fldCharType="end"/>
          </w:r>
          <w:r>
            <w:rPr>
              <w:bCs/>
              <w:color w:val="auto"/>
              <w:highlight w:val="yellow"/>
              <w:lang w:val="zh-CN"/>
            </w:rPr>
            <w:fldChar w:fldCharType="end"/>
          </w:r>
        </w:p>
        <w:p w14:paraId="6D159B51">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_Toc10281 </w:instrText>
          </w:r>
          <w:r>
            <w:rPr>
              <w:bCs/>
              <w:highlight w:val="yellow"/>
              <w:lang w:val="zh-CN"/>
            </w:rPr>
            <w:fldChar w:fldCharType="separate"/>
          </w:r>
          <w:r>
            <w:rPr>
              <w:rFonts w:hint="default"/>
              <w:szCs w:val="24"/>
              <w:highlight w:val="yellow"/>
            </w:rPr>
            <w:t xml:space="preserve">1.2.4 </w:t>
          </w:r>
          <w:r>
            <w:rPr>
              <w:rFonts w:hint="eastAsia"/>
              <w:highlight w:val="yellow"/>
            </w:rPr>
            <w:t>大语言模型与自动化数据治理进展</w:t>
          </w:r>
          <w:r>
            <w:rPr>
              <w:highlight w:val="yellow"/>
            </w:rPr>
            <w:tab/>
          </w:r>
          <w:r>
            <w:rPr>
              <w:highlight w:val="yellow"/>
            </w:rPr>
            <w:fldChar w:fldCharType="begin"/>
          </w:r>
          <w:r>
            <w:rPr>
              <w:highlight w:val="yellow"/>
            </w:rPr>
            <w:instrText xml:space="preserve"> PAGEREF _Toc10281 \h </w:instrText>
          </w:r>
          <w:r>
            <w:rPr>
              <w:highlight w:val="yellow"/>
            </w:rPr>
            <w:fldChar w:fldCharType="separate"/>
          </w:r>
          <w:r>
            <w:rPr>
              <w:highlight w:val="yellow"/>
            </w:rPr>
            <w:t>6</w:t>
          </w:r>
          <w:r>
            <w:rPr>
              <w:highlight w:val="yellow"/>
            </w:rPr>
            <w:fldChar w:fldCharType="end"/>
          </w:r>
          <w:r>
            <w:rPr>
              <w:bCs/>
              <w:color w:val="auto"/>
              <w:highlight w:val="yellow"/>
              <w:lang w:val="zh-CN"/>
            </w:rPr>
            <w:fldChar w:fldCharType="end"/>
          </w:r>
        </w:p>
        <w:p w14:paraId="4BE3C67E">
          <w:pPr>
            <w:pStyle w:val="6"/>
            <w:tabs>
              <w:tab w:val="right" w:leader="dot" w:pos="9072"/>
            </w:tabs>
          </w:pPr>
          <w:r>
            <w:rPr>
              <w:bCs/>
              <w:color w:val="auto"/>
              <w:highlight w:val="yellow"/>
              <w:lang w:val="zh-CN"/>
            </w:rPr>
            <w:fldChar w:fldCharType="begin"/>
          </w:r>
          <w:r>
            <w:rPr>
              <w:bCs/>
              <w:highlight w:val="yellow"/>
              <w:lang w:val="zh-CN"/>
            </w:rPr>
            <w:instrText xml:space="preserve"> HYPERLINK \l _Toc22207 </w:instrText>
          </w:r>
          <w:r>
            <w:rPr>
              <w:bCs/>
              <w:highlight w:val="yellow"/>
              <w:lang w:val="zh-CN"/>
            </w:rPr>
            <w:fldChar w:fldCharType="separate"/>
          </w:r>
          <w:r>
            <w:rPr>
              <w:rFonts w:hint="default"/>
              <w:szCs w:val="24"/>
              <w:highlight w:val="yellow"/>
            </w:rPr>
            <w:t xml:space="preserve">1.2.5 </w:t>
          </w:r>
          <w:r>
            <w:rPr>
              <w:rFonts w:hint="eastAsia"/>
              <w:highlight w:val="yellow"/>
            </w:rPr>
            <w:t>现有研究分析</w:t>
          </w:r>
          <w:r>
            <w:rPr>
              <w:highlight w:val="yellow"/>
            </w:rPr>
            <w:tab/>
          </w:r>
          <w:r>
            <w:rPr>
              <w:highlight w:val="yellow"/>
            </w:rPr>
            <w:fldChar w:fldCharType="begin"/>
          </w:r>
          <w:r>
            <w:rPr>
              <w:highlight w:val="yellow"/>
            </w:rPr>
            <w:instrText xml:space="preserve"> PAGEREF _Toc22207 \h </w:instrText>
          </w:r>
          <w:r>
            <w:rPr>
              <w:highlight w:val="yellow"/>
            </w:rPr>
            <w:fldChar w:fldCharType="separate"/>
          </w:r>
          <w:r>
            <w:rPr>
              <w:highlight w:val="yellow"/>
            </w:rPr>
            <w:t>6</w:t>
          </w:r>
          <w:r>
            <w:rPr>
              <w:highlight w:val="yellow"/>
            </w:rPr>
            <w:fldChar w:fldCharType="end"/>
          </w:r>
          <w:r>
            <w:rPr>
              <w:bCs/>
              <w:color w:val="auto"/>
              <w:highlight w:val="yellow"/>
              <w:lang w:val="zh-CN"/>
            </w:rPr>
            <w:fldChar w:fldCharType="end"/>
          </w:r>
        </w:p>
        <w:p w14:paraId="77FC80BA">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_Toc22027 </w:instrText>
          </w:r>
          <w:r>
            <w:rPr>
              <w:bCs/>
              <w:highlight w:val="yellow"/>
              <w:lang w:val="zh-CN"/>
            </w:rPr>
            <w:fldChar w:fldCharType="separate"/>
          </w:r>
          <w:r>
            <w:rPr>
              <w:rFonts w:hint="default"/>
              <w:szCs w:val="28"/>
              <w:highlight w:val="yellow"/>
            </w:rPr>
            <w:t xml:space="preserve">1.3 </w:t>
          </w:r>
          <w:r>
            <w:rPr>
              <w:rFonts w:hint="eastAsia"/>
              <w:highlight w:val="yellow"/>
            </w:rPr>
            <w:t>研究内容及流程</w:t>
          </w:r>
          <w:r>
            <w:rPr>
              <w:highlight w:val="yellow"/>
            </w:rPr>
            <w:tab/>
          </w:r>
          <w:r>
            <w:rPr>
              <w:highlight w:val="yellow"/>
            </w:rPr>
            <w:fldChar w:fldCharType="begin"/>
          </w:r>
          <w:r>
            <w:rPr>
              <w:highlight w:val="yellow"/>
            </w:rPr>
            <w:instrText xml:space="preserve"> PAGEREF _Toc22027 \h </w:instrText>
          </w:r>
          <w:r>
            <w:rPr>
              <w:highlight w:val="yellow"/>
            </w:rPr>
            <w:fldChar w:fldCharType="separate"/>
          </w:r>
          <w:r>
            <w:rPr>
              <w:highlight w:val="yellow"/>
            </w:rPr>
            <w:t>7</w:t>
          </w:r>
          <w:r>
            <w:rPr>
              <w:highlight w:val="yellow"/>
            </w:rPr>
            <w:fldChar w:fldCharType="end"/>
          </w:r>
          <w:r>
            <w:rPr>
              <w:bCs/>
              <w:color w:val="auto"/>
              <w:highlight w:val="yellow"/>
              <w:lang w:val="zh-CN"/>
            </w:rPr>
            <w:fldChar w:fldCharType="end"/>
          </w:r>
        </w:p>
        <w:p w14:paraId="299F9487">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_Toc15723 </w:instrText>
          </w:r>
          <w:r>
            <w:rPr>
              <w:bCs/>
              <w:highlight w:val="yellow"/>
              <w:lang w:val="zh-CN"/>
            </w:rPr>
            <w:fldChar w:fldCharType="separate"/>
          </w:r>
          <w:r>
            <w:rPr>
              <w:rFonts w:hint="default"/>
              <w:szCs w:val="24"/>
              <w:highlight w:val="yellow"/>
            </w:rPr>
            <w:t xml:space="preserve">1.3.1 </w:t>
          </w:r>
          <w:r>
            <w:rPr>
              <w:rFonts w:hint="eastAsia"/>
              <w:highlight w:val="yellow"/>
            </w:rPr>
            <w:t>研究内容</w:t>
          </w:r>
          <w:r>
            <w:rPr>
              <w:highlight w:val="yellow"/>
            </w:rPr>
            <w:tab/>
          </w:r>
          <w:r>
            <w:rPr>
              <w:highlight w:val="yellow"/>
            </w:rPr>
            <w:fldChar w:fldCharType="begin"/>
          </w:r>
          <w:r>
            <w:rPr>
              <w:highlight w:val="yellow"/>
            </w:rPr>
            <w:instrText xml:space="preserve"> PAGEREF _Toc15723 \h </w:instrText>
          </w:r>
          <w:r>
            <w:rPr>
              <w:highlight w:val="yellow"/>
            </w:rPr>
            <w:fldChar w:fldCharType="separate"/>
          </w:r>
          <w:r>
            <w:rPr>
              <w:highlight w:val="yellow"/>
            </w:rPr>
            <w:t>8</w:t>
          </w:r>
          <w:r>
            <w:rPr>
              <w:highlight w:val="yellow"/>
            </w:rPr>
            <w:fldChar w:fldCharType="end"/>
          </w:r>
          <w:r>
            <w:rPr>
              <w:bCs/>
              <w:color w:val="auto"/>
              <w:highlight w:val="yellow"/>
              <w:lang w:val="zh-CN"/>
            </w:rPr>
            <w:fldChar w:fldCharType="end"/>
          </w:r>
        </w:p>
        <w:p w14:paraId="72C68E1A">
          <w:pPr>
            <w:pStyle w:val="6"/>
            <w:tabs>
              <w:tab w:val="right" w:leader="dot" w:pos="9072"/>
            </w:tabs>
          </w:pPr>
          <w:r>
            <w:rPr>
              <w:bCs/>
              <w:color w:val="auto"/>
              <w:highlight w:val="yellow"/>
              <w:lang w:val="zh-CN"/>
            </w:rPr>
            <w:fldChar w:fldCharType="begin"/>
          </w:r>
          <w:r>
            <w:rPr>
              <w:bCs/>
              <w:highlight w:val="yellow"/>
              <w:lang w:val="zh-CN"/>
            </w:rPr>
            <w:instrText xml:space="preserve"> HYPERLINK \l _Toc1072 </w:instrText>
          </w:r>
          <w:r>
            <w:rPr>
              <w:bCs/>
              <w:highlight w:val="yellow"/>
              <w:lang w:val="zh-CN"/>
            </w:rPr>
            <w:fldChar w:fldCharType="separate"/>
          </w:r>
          <w:r>
            <w:rPr>
              <w:rFonts w:hint="default" w:eastAsia="宋体"/>
              <w:szCs w:val="24"/>
              <w:highlight w:val="yellow"/>
            </w:rPr>
            <w:t xml:space="preserve">1.3.2 </w:t>
          </w:r>
          <w:r>
            <w:rPr>
              <w:rFonts w:hint="eastAsia"/>
              <w:highlight w:val="yellow"/>
            </w:rPr>
            <w:t>研究流程</w:t>
          </w:r>
          <w:r>
            <w:rPr>
              <w:highlight w:val="yellow"/>
            </w:rPr>
            <w:tab/>
          </w:r>
          <w:r>
            <w:rPr>
              <w:highlight w:val="yellow"/>
            </w:rPr>
            <w:fldChar w:fldCharType="begin"/>
          </w:r>
          <w:r>
            <w:rPr>
              <w:highlight w:val="yellow"/>
            </w:rPr>
            <w:instrText xml:space="preserve"> PAGEREF _Toc1072 \h </w:instrText>
          </w:r>
          <w:r>
            <w:rPr>
              <w:highlight w:val="yellow"/>
            </w:rPr>
            <w:fldChar w:fldCharType="separate"/>
          </w:r>
          <w:r>
            <w:rPr>
              <w:highlight w:val="yellow"/>
            </w:rPr>
            <w:t>9</w:t>
          </w:r>
          <w:r>
            <w:rPr>
              <w:highlight w:val="yellow"/>
            </w:rPr>
            <w:fldChar w:fldCharType="end"/>
          </w:r>
          <w:r>
            <w:rPr>
              <w:bCs/>
              <w:color w:val="auto"/>
              <w:highlight w:val="yellow"/>
              <w:lang w:val="zh-CN"/>
            </w:rPr>
            <w:fldChar w:fldCharType="end"/>
          </w:r>
        </w:p>
        <w:p w14:paraId="626F4538">
          <w:pPr>
            <w:pStyle w:val="11"/>
            <w:tabs>
              <w:tab w:val="right" w:leader="dot" w:pos="9072"/>
              <w:tab w:val="clear" w:pos="9062"/>
            </w:tabs>
          </w:pPr>
          <w:r>
            <w:rPr>
              <w:bCs/>
              <w:color w:val="auto"/>
              <w:lang w:val="zh-CN"/>
            </w:rPr>
            <w:fldChar w:fldCharType="begin"/>
          </w:r>
          <w:r>
            <w:rPr>
              <w:bCs/>
              <w:lang w:val="zh-CN"/>
            </w:rPr>
            <w:instrText xml:space="preserve"> HYPERLINK \l _Toc29471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_Toc29471 \h </w:instrText>
          </w:r>
          <w:r>
            <w:fldChar w:fldCharType="separate"/>
          </w:r>
          <w:r>
            <w:t>10</w:t>
          </w:r>
          <w:r>
            <w:fldChar w:fldCharType="end"/>
          </w:r>
          <w:r>
            <w:rPr>
              <w:bCs/>
              <w:color w:val="auto"/>
              <w:lang w:val="zh-CN"/>
            </w:rPr>
            <w:fldChar w:fldCharType="end"/>
          </w:r>
        </w:p>
        <w:p w14:paraId="3AEF4FBC">
          <w:pPr>
            <w:pStyle w:val="10"/>
            <w:tabs>
              <w:tab w:val="right" w:leader="dot" w:pos="9072"/>
            </w:tabs>
          </w:pPr>
          <w:r>
            <w:rPr>
              <w:bCs/>
              <w:color w:val="auto"/>
              <w:lang w:val="zh-CN"/>
            </w:rPr>
            <w:fldChar w:fldCharType="begin"/>
          </w:r>
          <w:r>
            <w:rPr>
              <w:bCs/>
              <w:lang w:val="zh-CN"/>
            </w:rPr>
            <w:instrText xml:space="preserve"> HYPERLINK \l _Toc28358 </w:instrText>
          </w:r>
          <w:r>
            <w:rPr>
              <w:bCs/>
              <w:lang w:val="zh-CN"/>
            </w:rPr>
            <w:fldChar w:fldCharType="separate"/>
          </w:r>
          <w:r>
            <w:rPr>
              <w:rFonts w:hint="eastAsia"/>
              <w:szCs w:val="30"/>
            </w:rPr>
            <w:t xml:space="preserve">第二章 </w:t>
          </w:r>
          <w:r>
            <w:rPr>
              <w:rFonts w:hint="eastAsia"/>
            </w:rPr>
            <w:t>医疗器械专利分类模型相关理论基础</w:t>
          </w:r>
          <w:r>
            <w:tab/>
          </w:r>
          <w:r>
            <w:fldChar w:fldCharType="begin"/>
          </w:r>
          <w:r>
            <w:instrText xml:space="preserve"> PAGEREF _Toc28358 \h </w:instrText>
          </w:r>
          <w:r>
            <w:fldChar w:fldCharType="separate"/>
          </w:r>
          <w:r>
            <w:t>11</w:t>
          </w:r>
          <w:r>
            <w:fldChar w:fldCharType="end"/>
          </w:r>
          <w:r>
            <w:rPr>
              <w:bCs/>
              <w:color w:val="auto"/>
              <w:lang w:val="zh-CN"/>
            </w:rPr>
            <w:fldChar w:fldCharType="end"/>
          </w:r>
        </w:p>
        <w:p w14:paraId="5175D950">
          <w:pPr>
            <w:pStyle w:val="11"/>
            <w:tabs>
              <w:tab w:val="right" w:leader="dot" w:pos="9072"/>
              <w:tab w:val="clear" w:pos="9062"/>
            </w:tabs>
          </w:pPr>
          <w:r>
            <w:rPr>
              <w:bCs/>
              <w:color w:val="auto"/>
              <w:lang w:val="zh-CN"/>
            </w:rPr>
            <w:fldChar w:fldCharType="begin"/>
          </w:r>
          <w:r>
            <w:rPr>
              <w:bCs/>
              <w:lang w:val="zh-CN"/>
            </w:rPr>
            <w:instrText xml:space="preserve"> HYPERLINK \l _Toc11239 </w:instrText>
          </w:r>
          <w:r>
            <w:rPr>
              <w:bCs/>
              <w:lang w:val="zh-CN"/>
            </w:rPr>
            <w:fldChar w:fldCharType="separate"/>
          </w:r>
          <w:r>
            <w:rPr>
              <w:rFonts w:hint="default"/>
              <w:szCs w:val="28"/>
            </w:rPr>
            <w:t xml:space="preserve">2.1 </w:t>
          </w:r>
          <w:r>
            <w:rPr>
              <w:rFonts w:hint="eastAsia"/>
            </w:rPr>
            <w:t>专利数据特征与医疗器械监管体系结构</w:t>
          </w:r>
          <w:r>
            <w:tab/>
          </w:r>
          <w:r>
            <w:fldChar w:fldCharType="begin"/>
          </w:r>
          <w:r>
            <w:instrText xml:space="preserve"> PAGEREF _Toc11239 \h </w:instrText>
          </w:r>
          <w:r>
            <w:fldChar w:fldCharType="separate"/>
          </w:r>
          <w:r>
            <w:t>11</w:t>
          </w:r>
          <w:r>
            <w:fldChar w:fldCharType="end"/>
          </w:r>
          <w:r>
            <w:rPr>
              <w:bCs/>
              <w:color w:val="auto"/>
              <w:lang w:val="zh-CN"/>
            </w:rPr>
            <w:fldChar w:fldCharType="end"/>
          </w:r>
        </w:p>
        <w:p w14:paraId="69DECA30">
          <w:pPr>
            <w:pStyle w:val="6"/>
            <w:tabs>
              <w:tab w:val="right" w:leader="dot" w:pos="9072"/>
            </w:tabs>
          </w:pPr>
          <w:r>
            <w:rPr>
              <w:bCs/>
              <w:color w:val="auto"/>
              <w:lang w:val="zh-CN"/>
            </w:rPr>
            <w:fldChar w:fldCharType="begin"/>
          </w:r>
          <w:r>
            <w:rPr>
              <w:bCs/>
              <w:lang w:val="zh-CN"/>
            </w:rPr>
            <w:instrText xml:space="preserve"> HYPERLINK \l _Toc2037 </w:instrText>
          </w:r>
          <w:r>
            <w:rPr>
              <w:bCs/>
              <w:lang w:val="zh-CN"/>
            </w:rPr>
            <w:fldChar w:fldCharType="separate"/>
          </w:r>
          <w:r>
            <w:rPr>
              <w:rFonts w:hint="default" w:eastAsia="宋体"/>
              <w:szCs w:val="24"/>
            </w:rPr>
            <w:t xml:space="preserve">2.1.1 </w:t>
          </w:r>
          <w:r>
            <w:rPr>
              <w:rFonts w:hint="eastAsia"/>
            </w:rPr>
            <w:t>专利数据</w:t>
          </w:r>
          <w:r>
            <w:tab/>
          </w:r>
          <w:r>
            <w:fldChar w:fldCharType="begin"/>
          </w:r>
          <w:r>
            <w:instrText xml:space="preserve"> PAGEREF _Toc2037 \h </w:instrText>
          </w:r>
          <w:r>
            <w:fldChar w:fldCharType="separate"/>
          </w:r>
          <w:r>
            <w:t>11</w:t>
          </w:r>
          <w:r>
            <w:fldChar w:fldCharType="end"/>
          </w:r>
          <w:r>
            <w:rPr>
              <w:bCs/>
              <w:color w:val="auto"/>
              <w:lang w:val="zh-CN"/>
            </w:rPr>
            <w:fldChar w:fldCharType="end"/>
          </w:r>
        </w:p>
        <w:p w14:paraId="624BBF86">
          <w:pPr>
            <w:pStyle w:val="6"/>
            <w:tabs>
              <w:tab w:val="right" w:leader="dot" w:pos="9072"/>
            </w:tabs>
          </w:pPr>
          <w:r>
            <w:rPr>
              <w:bCs/>
              <w:color w:val="auto"/>
              <w:lang w:val="zh-CN"/>
            </w:rPr>
            <w:fldChar w:fldCharType="begin"/>
          </w:r>
          <w:r>
            <w:rPr>
              <w:bCs/>
              <w:lang w:val="zh-CN"/>
            </w:rPr>
            <w:instrText xml:space="preserve"> HYPERLINK \l _Toc3689 </w:instrText>
          </w:r>
          <w:r>
            <w:rPr>
              <w:bCs/>
              <w:lang w:val="zh-CN"/>
            </w:rPr>
            <w:fldChar w:fldCharType="separate"/>
          </w:r>
          <w:r>
            <w:rPr>
              <w:rFonts w:hint="default"/>
              <w:szCs w:val="24"/>
            </w:rPr>
            <w:t xml:space="preserve">2.1.2 </w:t>
          </w:r>
          <w:r>
            <w:rPr>
              <w:rFonts w:hint="eastAsia"/>
            </w:rPr>
            <w:t>专利分类体系</w:t>
          </w:r>
          <w:r>
            <w:tab/>
          </w:r>
          <w:r>
            <w:fldChar w:fldCharType="begin"/>
          </w:r>
          <w:r>
            <w:instrText xml:space="preserve"> PAGEREF _Toc3689 \h </w:instrText>
          </w:r>
          <w:r>
            <w:fldChar w:fldCharType="separate"/>
          </w:r>
          <w:r>
            <w:t>12</w:t>
          </w:r>
          <w:r>
            <w:fldChar w:fldCharType="end"/>
          </w:r>
          <w:r>
            <w:rPr>
              <w:bCs/>
              <w:color w:val="auto"/>
              <w:lang w:val="zh-CN"/>
            </w:rPr>
            <w:fldChar w:fldCharType="end"/>
          </w:r>
        </w:p>
        <w:p w14:paraId="00E9856A">
          <w:pPr>
            <w:pStyle w:val="6"/>
            <w:tabs>
              <w:tab w:val="right" w:leader="dot" w:pos="9072"/>
            </w:tabs>
          </w:pPr>
          <w:r>
            <w:rPr>
              <w:bCs/>
              <w:color w:val="auto"/>
              <w:lang w:val="zh-CN"/>
            </w:rPr>
            <w:fldChar w:fldCharType="begin"/>
          </w:r>
          <w:r>
            <w:rPr>
              <w:bCs/>
              <w:lang w:val="zh-CN"/>
            </w:rPr>
            <w:instrText xml:space="preserve"> HYPERLINK \l _Toc27745 </w:instrText>
          </w:r>
          <w:r>
            <w:rPr>
              <w:bCs/>
              <w:lang w:val="zh-CN"/>
            </w:rPr>
            <w:fldChar w:fldCharType="separate"/>
          </w:r>
          <w:r>
            <w:rPr>
              <w:rFonts w:hint="default"/>
              <w:szCs w:val="24"/>
            </w:rPr>
            <w:t xml:space="preserve">2.1.3 </w:t>
          </w:r>
          <w:r>
            <w:rPr>
              <w:rFonts w:hint="eastAsia"/>
            </w:rPr>
            <w:t>医疗器械监管分类体系</w:t>
          </w:r>
          <w:r>
            <w:tab/>
          </w:r>
          <w:r>
            <w:fldChar w:fldCharType="begin"/>
          </w:r>
          <w:r>
            <w:instrText xml:space="preserve"> PAGEREF _Toc27745 \h </w:instrText>
          </w:r>
          <w:r>
            <w:fldChar w:fldCharType="separate"/>
          </w:r>
          <w:r>
            <w:t>13</w:t>
          </w:r>
          <w:r>
            <w:fldChar w:fldCharType="end"/>
          </w:r>
          <w:r>
            <w:rPr>
              <w:bCs/>
              <w:color w:val="auto"/>
              <w:lang w:val="zh-CN"/>
            </w:rPr>
            <w:fldChar w:fldCharType="end"/>
          </w:r>
        </w:p>
        <w:p w14:paraId="0B44510F">
          <w:pPr>
            <w:pStyle w:val="6"/>
            <w:tabs>
              <w:tab w:val="right" w:leader="dot" w:pos="9072"/>
            </w:tabs>
          </w:pPr>
          <w:r>
            <w:rPr>
              <w:bCs/>
              <w:color w:val="auto"/>
              <w:lang w:val="zh-CN"/>
            </w:rPr>
            <w:fldChar w:fldCharType="begin"/>
          </w:r>
          <w:r>
            <w:rPr>
              <w:bCs/>
              <w:lang w:val="zh-CN"/>
            </w:rPr>
            <w:instrText xml:space="preserve"> HYPERLINK \l _Toc31469 </w:instrText>
          </w:r>
          <w:r>
            <w:rPr>
              <w:bCs/>
              <w:lang w:val="zh-CN"/>
            </w:rPr>
            <w:fldChar w:fldCharType="separate"/>
          </w:r>
          <w:r>
            <w:rPr>
              <w:rFonts w:hint="default"/>
              <w:szCs w:val="24"/>
              <w:highlight w:val="yellow"/>
            </w:rPr>
            <w:t xml:space="preserve">2.1.4 </w:t>
          </w:r>
          <w:r>
            <w:rPr>
              <w:rFonts w:hint="eastAsia"/>
              <w:highlight w:val="yellow"/>
            </w:rPr>
            <w:t>跨体系语义映射问题定义与分析</w:t>
          </w:r>
          <w:r>
            <w:tab/>
          </w:r>
          <w:r>
            <w:fldChar w:fldCharType="begin"/>
          </w:r>
          <w:r>
            <w:instrText xml:space="preserve"> PAGEREF _Toc31469 \h </w:instrText>
          </w:r>
          <w:r>
            <w:fldChar w:fldCharType="separate"/>
          </w:r>
          <w:r>
            <w:t>14</w:t>
          </w:r>
          <w:r>
            <w:fldChar w:fldCharType="end"/>
          </w:r>
          <w:r>
            <w:rPr>
              <w:bCs/>
              <w:color w:val="auto"/>
              <w:lang w:val="zh-CN"/>
            </w:rPr>
            <w:fldChar w:fldCharType="end"/>
          </w:r>
        </w:p>
        <w:p w14:paraId="1043C235">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_Toc8353 </w:instrText>
          </w:r>
          <w:r>
            <w:rPr>
              <w:bCs/>
              <w:highlight w:val="yellow"/>
              <w:lang w:val="zh-CN"/>
            </w:rPr>
            <w:fldChar w:fldCharType="separate"/>
          </w:r>
          <w:r>
            <w:rPr>
              <w:rFonts w:hint="default"/>
              <w:szCs w:val="28"/>
              <w:highlight w:val="yellow"/>
            </w:rPr>
            <w:t xml:space="preserve">2.2 </w:t>
          </w:r>
          <w:r>
            <w:rPr>
              <w:rFonts w:hint="eastAsia"/>
              <w:highlight w:val="yellow"/>
            </w:rPr>
            <w:t>自动标注数据质量控制方法</w:t>
          </w:r>
          <w:r>
            <w:rPr>
              <w:highlight w:val="yellow"/>
            </w:rPr>
            <w:tab/>
          </w:r>
          <w:r>
            <w:rPr>
              <w:highlight w:val="yellow"/>
            </w:rPr>
            <w:fldChar w:fldCharType="begin"/>
          </w:r>
          <w:r>
            <w:rPr>
              <w:highlight w:val="yellow"/>
            </w:rPr>
            <w:instrText xml:space="preserve"> PAGEREF _Toc8353 \h </w:instrText>
          </w:r>
          <w:r>
            <w:rPr>
              <w:highlight w:val="yellow"/>
            </w:rPr>
            <w:fldChar w:fldCharType="separate"/>
          </w:r>
          <w:r>
            <w:rPr>
              <w:highlight w:val="yellow"/>
            </w:rPr>
            <w:t>15</w:t>
          </w:r>
          <w:r>
            <w:rPr>
              <w:highlight w:val="yellow"/>
            </w:rPr>
            <w:fldChar w:fldCharType="end"/>
          </w:r>
          <w:r>
            <w:rPr>
              <w:bCs/>
              <w:color w:val="auto"/>
              <w:highlight w:val="yellow"/>
              <w:lang w:val="zh-CN"/>
            </w:rPr>
            <w:fldChar w:fldCharType="end"/>
          </w:r>
        </w:p>
        <w:p w14:paraId="782E886E">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_Toc7022 </w:instrText>
          </w:r>
          <w:r>
            <w:rPr>
              <w:bCs/>
              <w:highlight w:val="yellow"/>
              <w:lang w:val="zh-CN"/>
            </w:rPr>
            <w:fldChar w:fldCharType="separate"/>
          </w:r>
          <w:r>
            <w:rPr>
              <w:rFonts w:hint="default"/>
              <w:szCs w:val="24"/>
              <w:highlight w:val="yellow"/>
            </w:rPr>
            <w:t xml:space="preserve">2.2.1 </w:t>
          </w:r>
          <w:r>
            <w:rPr>
              <w:rFonts w:hint="eastAsia"/>
              <w:highlight w:val="yellow"/>
            </w:rPr>
            <w:t>一致性筛选与标签错误检测</w:t>
          </w:r>
          <w:r>
            <w:rPr>
              <w:highlight w:val="yellow"/>
            </w:rPr>
            <w:tab/>
          </w:r>
          <w:r>
            <w:rPr>
              <w:highlight w:val="yellow"/>
            </w:rPr>
            <w:fldChar w:fldCharType="begin"/>
          </w:r>
          <w:r>
            <w:rPr>
              <w:highlight w:val="yellow"/>
            </w:rPr>
            <w:instrText xml:space="preserve"> PAGEREF _Toc7022 \h </w:instrText>
          </w:r>
          <w:r>
            <w:rPr>
              <w:highlight w:val="yellow"/>
            </w:rPr>
            <w:fldChar w:fldCharType="separate"/>
          </w:r>
          <w:r>
            <w:rPr>
              <w:highlight w:val="yellow"/>
            </w:rPr>
            <w:t>15</w:t>
          </w:r>
          <w:r>
            <w:rPr>
              <w:highlight w:val="yellow"/>
            </w:rPr>
            <w:fldChar w:fldCharType="end"/>
          </w:r>
          <w:r>
            <w:rPr>
              <w:bCs/>
              <w:color w:val="auto"/>
              <w:highlight w:val="yellow"/>
              <w:lang w:val="zh-CN"/>
            </w:rPr>
            <w:fldChar w:fldCharType="end"/>
          </w:r>
        </w:p>
        <w:p w14:paraId="6072769E">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_Toc1913 </w:instrText>
          </w:r>
          <w:r>
            <w:rPr>
              <w:bCs/>
              <w:highlight w:val="yellow"/>
              <w:lang w:val="zh-CN"/>
            </w:rPr>
            <w:fldChar w:fldCharType="separate"/>
          </w:r>
          <w:r>
            <w:rPr>
              <w:rFonts w:hint="default"/>
              <w:szCs w:val="24"/>
              <w:highlight w:val="yellow"/>
            </w:rPr>
            <w:t xml:space="preserve">2.2.2 </w:t>
          </w:r>
          <w:r>
            <w:rPr>
              <w:rFonts w:hint="eastAsia"/>
              <w:highlight w:val="yellow"/>
            </w:rPr>
            <w:t>统计等价性检验</w:t>
          </w:r>
          <w:r>
            <w:rPr>
              <w:highlight w:val="yellow"/>
            </w:rPr>
            <w:tab/>
          </w:r>
          <w:r>
            <w:rPr>
              <w:highlight w:val="yellow"/>
            </w:rPr>
            <w:fldChar w:fldCharType="begin"/>
          </w:r>
          <w:r>
            <w:rPr>
              <w:highlight w:val="yellow"/>
            </w:rPr>
            <w:instrText xml:space="preserve"> PAGEREF _Toc1913 \h </w:instrText>
          </w:r>
          <w:r>
            <w:rPr>
              <w:highlight w:val="yellow"/>
            </w:rPr>
            <w:fldChar w:fldCharType="separate"/>
          </w:r>
          <w:r>
            <w:rPr>
              <w:highlight w:val="yellow"/>
            </w:rPr>
            <w:t>16</w:t>
          </w:r>
          <w:r>
            <w:rPr>
              <w:highlight w:val="yellow"/>
            </w:rPr>
            <w:fldChar w:fldCharType="end"/>
          </w:r>
          <w:r>
            <w:rPr>
              <w:bCs/>
              <w:color w:val="auto"/>
              <w:highlight w:val="yellow"/>
              <w:lang w:val="zh-CN"/>
            </w:rPr>
            <w:fldChar w:fldCharType="end"/>
          </w:r>
        </w:p>
        <w:p w14:paraId="56DAAE3A">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_Toc3445 </w:instrText>
          </w:r>
          <w:r>
            <w:rPr>
              <w:bCs/>
              <w:highlight w:val="yellow"/>
              <w:lang w:val="zh-CN"/>
            </w:rPr>
            <w:fldChar w:fldCharType="separate"/>
          </w:r>
          <w:r>
            <w:rPr>
              <w:rFonts w:hint="default"/>
              <w:szCs w:val="28"/>
              <w:highlight w:val="yellow"/>
            </w:rPr>
            <w:t xml:space="preserve">2.3 </w:t>
          </w:r>
          <w:r>
            <w:rPr>
              <w:rFonts w:hint="eastAsia"/>
              <w:highlight w:val="yellow"/>
            </w:rPr>
            <w:t>语义表征与分类模型</w:t>
          </w:r>
          <w:r>
            <w:rPr>
              <w:highlight w:val="yellow"/>
            </w:rPr>
            <w:tab/>
          </w:r>
          <w:r>
            <w:rPr>
              <w:highlight w:val="yellow"/>
            </w:rPr>
            <w:fldChar w:fldCharType="begin"/>
          </w:r>
          <w:r>
            <w:rPr>
              <w:highlight w:val="yellow"/>
            </w:rPr>
            <w:instrText xml:space="preserve"> PAGEREF _Toc3445 \h </w:instrText>
          </w:r>
          <w:r>
            <w:rPr>
              <w:highlight w:val="yellow"/>
            </w:rPr>
            <w:fldChar w:fldCharType="separate"/>
          </w:r>
          <w:r>
            <w:rPr>
              <w:highlight w:val="yellow"/>
            </w:rPr>
            <w:t>16</w:t>
          </w:r>
          <w:r>
            <w:rPr>
              <w:highlight w:val="yellow"/>
            </w:rPr>
            <w:fldChar w:fldCharType="end"/>
          </w:r>
          <w:r>
            <w:rPr>
              <w:bCs/>
              <w:color w:val="auto"/>
              <w:highlight w:val="yellow"/>
              <w:lang w:val="zh-CN"/>
            </w:rPr>
            <w:fldChar w:fldCharType="end"/>
          </w:r>
        </w:p>
        <w:p w14:paraId="0987F4B6">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_Toc16089 </w:instrText>
          </w:r>
          <w:r>
            <w:rPr>
              <w:bCs/>
              <w:highlight w:val="yellow"/>
              <w:lang w:val="zh-CN"/>
            </w:rPr>
            <w:fldChar w:fldCharType="separate"/>
          </w:r>
          <w:r>
            <w:rPr>
              <w:rFonts w:hint="default"/>
              <w:szCs w:val="24"/>
              <w:highlight w:val="yellow"/>
            </w:rPr>
            <w:t xml:space="preserve">2.3.1 </w:t>
          </w:r>
          <w:r>
            <w:rPr>
              <w:rFonts w:hint="eastAsia"/>
              <w:highlight w:val="yellow"/>
            </w:rPr>
            <w:t>传统机器学习模型</w:t>
          </w:r>
          <w:r>
            <w:rPr>
              <w:highlight w:val="yellow"/>
            </w:rPr>
            <w:tab/>
          </w:r>
          <w:r>
            <w:rPr>
              <w:highlight w:val="yellow"/>
            </w:rPr>
            <w:fldChar w:fldCharType="begin"/>
          </w:r>
          <w:r>
            <w:rPr>
              <w:highlight w:val="yellow"/>
            </w:rPr>
            <w:instrText xml:space="preserve"> PAGEREF _Toc16089 \h </w:instrText>
          </w:r>
          <w:r>
            <w:rPr>
              <w:highlight w:val="yellow"/>
            </w:rPr>
            <w:fldChar w:fldCharType="separate"/>
          </w:r>
          <w:r>
            <w:rPr>
              <w:highlight w:val="yellow"/>
            </w:rPr>
            <w:t>16</w:t>
          </w:r>
          <w:r>
            <w:rPr>
              <w:highlight w:val="yellow"/>
            </w:rPr>
            <w:fldChar w:fldCharType="end"/>
          </w:r>
          <w:r>
            <w:rPr>
              <w:bCs/>
              <w:color w:val="auto"/>
              <w:highlight w:val="yellow"/>
              <w:lang w:val="zh-CN"/>
            </w:rPr>
            <w:fldChar w:fldCharType="end"/>
          </w:r>
        </w:p>
        <w:p w14:paraId="649039DF">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_Toc15248 </w:instrText>
          </w:r>
          <w:r>
            <w:rPr>
              <w:bCs/>
              <w:highlight w:val="yellow"/>
              <w:lang w:val="zh-CN"/>
            </w:rPr>
            <w:fldChar w:fldCharType="separate"/>
          </w:r>
          <w:r>
            <w:rPr>
              <w:rFonts w:hint="default"/>
              <w:szCs w:val="24"/>
              <w:highlight w:val="yellow"/>
            </w:rPr>
            <w:t xml:space="preserve">2.3.2 </w:t>
          </w:r>
          <w:r>
            <w:rPr>
              <w:rFonts w:hint="eastAsia"/>
              <w:highlight w:val="yellow"/>
            </w:rPr>
            <w:t>基于深度学习与预训练模型的语义表征</w:t>
          </w:r>
          <w:r>
            <w:rPr>
              <w:highlight w:val="yellow"/>
            </w:rPr>
            <w:tab/>
          </w:r>
          <w:r>
            <w:rPr>
              <w:highlight w:val="yellow"/>
            </w:rPr>
            <w:fldChar w:fldCharType="begin"/>
          </w:r>
          <w:r>
            <w:rPr>
              <w:highlight w:val="yellow"/>
            </w:rPr>
            <w:instrText xml:space="preserve"> PAGEREF _Toc15248 \h </w:instrText>
          </w:r>
          <w:r>
            <w:rPr>
              <w:highlight w:val="yellow"/>
            </w:rPr>
            <w:fldChar w:fldCharType="separate"/>
          </w:r>
          <w:r>
            <w:rPr>
              <w:highlight w:val="yellow"/>
            </w:rPr>
            <w:t>18</w:t>
          </w:r>
          <w:r>
            <w:rPr>
              <w:highlight w:val="yellow"/>
            </w:rPr>
            <w:fldChar w:fldCharType="end"/>
          </w:r>
          <w:r>
            <w:rPr>
              <w:bCs/>
              <w:color w:val="auto"/>
              <w:highlight w:val="yellow"/>
              <w:lang w:val="zh-CN"/>
            </w:rPr>
            <w:fldChar w:fldCharType="end"/>
          </w:r>
        </w:p>
        <w:p w14:paraId="7D5C808F">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_Toc16886 </w:instrText>
          </w:r>
          <w:r>
            <w:rPr>
              <w:bCs/>
              <w:highlight w:val="yellow"/>
              <w:lang w:val="zh-CN"/>
            </w:rPr>
            <w:fldChar w:fldCharType="separate"/>
          </w:r>
          <w:r>
            <w:rPr>
              <w:rFonts w:hint="default"/>
              <w:szCs w:val="28"/>
              <w:highlight w:val="yellow"/>
            </w:rPr>
            <w:t xml:space="preserve">2.4 </w:t>
          </w:r>
          <w:r>
            <w:rPr>
              <w:rFonts w:hint="eastAsia"/>
              <w:highlight w:val="yellow"/>
            </w:rPr>
            <w:t>大语言模型与知识增强技术</w:t>
          </w:r>
          <w:r>
            <w:rPr>
              <w:highlight w:val="yellow"/>
            </w:rPr>
            <w:tab/>
          </w:r>
          <w:r>
            <w:rPr>
              <w:highlight w:val="yellow"/>
            </w:rPr>
            <w:fldChar w:fldCharType="begin"/>
          </w:r>
          <w:r>
            <w:rPr>
              <w:highlight w:val="yellow"/>
            </w:rPr>
            <w:instrText xml:space="preserve"> PAGEREF _Toc16886 \h </w:instrText>
          </w:r>
          <w:r>
            <w:rPr>
              <w:highlight w:val="yellow"/>
            </w:rPr>
            <w:fldChar w:fldCharType="separate"/>
          </w:r>
          <w:r>
            <w:rPr>
              <w:highlight w:val="yellow"/>
            </w:rPr>
            <w:t>21</w:t>
          </w:r>
          <w:r>
            <w:rPr>
              <w:highlight w:val="yellow"/>
            </w:rPr>
            <w:fldChar w:fldCharType="end"/>
          </w:r>
          <w:r>
            <w:rPr>
              <w:bCs/>
              <w:color w:val="auto"/>
              <w:highlight w:val="yellow"/>
              <w:lang w:val="zh-CN"/>
            </w:rPr>
            <w:fldChar w:fldCharType="end"/>
          </w:r>
        </w:p>
        <w:p w14:paraId="34CFD2BD">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_Toc27541 </w:instrText>
          </w:r>
          <w:r>
            <w:rPr>
              <w:bCs/>
              <w:highlight w:val="yellow"/>
              <w:lang w:val="zh-CN"/>
            </w:rPr>
            <w:fldChar w:fldCharType="separate"/>
          </w:r>
          <w:r>
            <w:rPr>
              <w:rFonts w:hint="default"/>
              <w:szCs w:val="24"/>
              <w:highlight w:val="yellow"/>
            </w:rPr>
            <w:t xml:space="preserve">2.4.1 </w:t>
          </w:r>
          <w:r>
            <w:rPr>
              <w:rFonts w:hint="eastAsia"/>
              <w:highlight w:val="yellow"/>
            </w:rPr>
            <w:t>基于</w:t>
          </w:r>
          <w:r>
            <w:rPr>
              <w:highlight w:val="yellow"/>
            </w:rPr>
            <w:t>Q</w:t>
          </w:r>
          <w:r>
            <w:rPr>
              <w:rFonts w:hint="eastAsia"/>
              <w:highlight w:val="yellow"/>
            </w:rPr>
            <w:t>wen的数据标注推理</w:t>
          </w:r>
          <w:r>
            <w:rPr>
              <w:highlight w:val="yellow"/>
            </w:rPr>
            <w:tab/>
          </w:r>
          <w:r>
            <w:rPr>
              <w:highlight w:val="yellow"/>
            </w:rPr>
            <w:fldChar w:fldCharType="begin"/>
          </w:r>
          <w:r>
            <w:rPr>
              <w:highlight w:val="yellow"/>
            </w:rPr>
            <w:instrText xml:space="preserve"> PAGEREF _Toc27541 \h </w:instrText>
          </w:r>
          <w:r>
            <w:rPr>
              <w:highlight w:val="yellow"/>
            </w:rPr>
            <w:fldChar w:fldCharType="separate"/>
          </w:r>
          <w:r>
            <w:rPr>
              <w:highlight w:val="yellow"/>
            </w:rPr>
            <w:t>21</w:t>
          </w:r>
          <w:r>
            <w:rPr>
              <w:highlight w:val="yellow"/>
            </w:rPr>
            <w:fldChar w:fldCharType="end"/>
          </w:r>
          <w:r>
            <w:rPr>
              <w:bCs/>
              <w:color w:val="auto"/>
              <w:highlight w:val="yellow"/>
              <w:lang w:val="zh-CN"/>
            </w:rPr>
            <w:fldChar w:fldCharType="end"/>
          </w:r>
        </w:p>
        <w:p w14:paraId="316DE584">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_Toc24816 </w:instrText>
          </w:r>
          <w:r>
            <w:rPr>
              <w:bCs/>
              <w:highlight w:val="yellow"/>
              <w:lang w:val="zh-CN"/>
            </w:rPr>
            <w:fldChar w:fldCharType="separate"/>
          </w:r>
          <w:r>
            <w:rPr>
              <w:rFonts w:hint="default"/>
              <w:szCs w:val="24"/>
              <w:highlight w:val="yellow"/>
            </w:rPr>
            <w:t xml:space="preserve">2.4.2 </w:t>
          </w:r>
          <w:r>
            <w:rPr>
              <w:rFonts w:hint="eastAsia"/>
              <w:highlight w:val="yellow"/>
            </w:rPr>
            <w:t>RAG 检索增强</w:t>
          </w:r>
          <w:r>
            <w:rPr>
              <w:highlight w:val="yellow"/>
            </w:rPr>
            <w:tab/>
          </w:r>
          <w:r>
            <w:rPr>
              <w:highlight w:val="yellow"/>
            </w:rPr>
            <w:fldChar w:fldCharType="begin"/>
          </w:r>
          <w:r>
            <w:rPr>
              <w:highlight w:val="yellow"/>
            </w:rPr>
            <w:instrText xml:space="preserve"> PAGEREF _Toc24816 \h </w:instrText>
          </w:r>
          <w:r>
            <w:rPr>
              <w:highlight w:val="yellow"/>
            </w:rPr>
            <w:fldChar w:fldCharType="separate"/>
          </w:r>
          <w:r>
            <w:rPr>
              <w:highlight w:val="yellow"/>
            </w:rPr>
            <w:t>22</w:t>
          </w:r>
          <w:r>
            <w:rPr>
              <w:highlight w:val="yellow"/>
            </w:rPr>
            <w:fldChar w:fldCharType="end"/>
          </w:r>
          <w:r>
            <w:rPr>
              <w:bCs/>
              <w:color w:val="auto"/>
              <w:highlight w:val="yellow"/>
              <w:lang w:val="zh-CN"/>
            </w:rPr>
            <w:fldChar w:fldCharType="end"/>
          </w:r>
        </w:p>
        <w:p w14:paraId="10FC12F4">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_Toc28710 </w:instrText>
          </w:r>
          <w:r>
            <w:rPr>
              <w:bCs/>
              <w:highlight w:val="yellow"/>
              <w:lang w:val="zh-CN"/>
            </w:rPr>
            <w:fldChar w:fldCharType="separate"/>
          </w:r>
          <w:r>
            <w:rPr>
              <w:rFonts w:hint="default"/>
              <w:szCs w:val="24"/>
              <w:highlight w:val="yellow"/>
            </w:rPr>
            <w:t xml:space="preserve">2.4.3 </w:t>
          </w:r>
          <w:r>
            <w:rPr>
              <w:rFonts w:hint="eastAsia"/>
              <w:highlight w:val="yellow"/>
            </w:rPr>
            <w:t>基于</w:t>
          </w:r>
          <w:r>
            <w:rPr>
              <w:highlight w:val="yellow"/>
            </w:rPr>
            <w:t>D</w:t>
          </w:r>
          <w:r>
            <w:rPr>
              <w:rFonts w:hint="eastAsia"/>
              <w:highlight w:val="yellow"/>
            </w:rPr>
            <w:t>ify的标注工程化</w:t>
          </w:r>
          <w:r>
            <w:rPr>
              <w:highlight w:val="yellow"/>
            </w:rPr>
            <w:tab/>
          </w:r>
          <w:r>
            <w:rPr>
              <w:highlight w:val="yellow"/>
            </w:rPr>
            <w:fldChar w:fldCharType="begin"/>
          </w:r>
          <w:r>
            <w:rPr>
              <w:highlight w:val="yellow"/>
            </w:rPr>
            <w:instrText xml:space="preserve"> PAGEREF _Toc28710 \h </w:instrText>
          </w:r>
          <w:r>
            <w:rPr>
              <w:highlight w:val="yellow"/>
            </w:rPr>
            <w:fldChar w:fldCharType="separate"/>
          </w:r>
          <w:r>
            <w:rPr>
              <w:highlight w:val="yellow"/>
            </w:rPr>
            <w:t>23</w:t>
          </w:r>
          <w:r>
            <w:rPr>
              <w:highlight w:val="yellow"/>
            </w:rPr>
            <w:fldChar w:fldCharType="end"/>
          </w:r>
          <w:r>
            <w:rPr>
              <w:bCs/>
              <w:color w:val="auto"/>
              <w:highlight w:val="yellow"/>
              <w:lang w:val="zh-CN"/>
            </w:rPr>
            <w:fldChar w:fldCharType="end"/>
          </w:r>
        </w:p>
        <w:p w14:paraId="14C3747C">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_Toc25315 </w:instrText>
          </w:r>
          <w:r>
            <w:rPr>
              <w:bCs/>
              <w:highlight w:val="yellow"/>
              <w:lang w:val="zh-CN"/>
            </w:rPr>
            <w:fldChar w:fldCharType="separate"/>
          </w:r>
          <w:r>
            <w:rPr>
              <w:rFonts w:hint="default"/>
              <w:szCs w:val="28"/>
              <w:highlight w:val="yellow"/>
            </w:rPr>
            <w:t xml:space="preserve">2.5 </w:t>
          </w:r>
          <w:r>
            <w:rPr>
              <w:rFonts w:hint="eastAsia"/>
              <w:highlight w:val="yellow"/>
            </w:rPr>
            <w:t>层次文本分类模型</w:t>
          </w:r>
          <w:r>
            <w:rPr>
              <w:highlight w:val="yellow"/>
            </w:rPr>
            <w:tab/>
          </w:r>
          <w:r>
            <w:rPr>
              <w:highlight w:val="yellow"/>
            </w:rPr>
            <w:fldChar w:fldCharType="begin"/>
          </w:r>
          <w:r>
            <w:rPr>
              <w:highlight w:val="yellow"/>
            </w:rPr>
            <w:instrText xml:space="preserve"> PAGEREF _Toc25315 \h </w:instrText>
          </w:r>
          <w:r>
            <w:rPr>
              <w:highlight w:val="yellow"/>
            </w:rPr>
            <w:fldChar w:fldCharType="separate"/>
          </w:r>
          <w:r>
            <w:rPr>
              <w:highlight w:val="yellow"/>
            </w:rPr>
            <w:t>23</w:t>
          </w:r>
          <w:r>
            <w:rPr>
              <w:highlight w:val="yellow"/>
            </w:rPr>
            <w:fldChar w:fldCharType="end"/>
          </w:r>
          <w:r>
            <w:rPr>
              <w:bCs/>
              <w:color w:val="auto"/>
              <w:highlight w:val="yellow"/>
              <w:lang w:val="zh-CN"/>
            </w:rPr>
            <w:fldChar w:fldCharType="end"/>
          </w:r>
        </w:p>
        <w:p w14:paraId="41A5545D">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_Toc7937 </w:instrText>
          </w:r>
          <w:r>
            <w:rPr>
              <w:bCs/>
              <w:highlight w:val="yellow"/>
              <w:lang w:val="zh-CN"/>
            </w:rPr>
            <w:fldChar w:fldCharType="separate"/>
          </w:r>
          <w:r>
            <w:rPr>
              <w:rFonts w:hint="default"/>
              <w:szCs w:val="24"/>
              <w:highlight w:val="yellow"/>
            </w:rPr>
            <w:t xml:space="preserve">2.5.1 </w:t>
          </w:r>
          <w:r>
            <w:rPr>
              <w:highlight w:val="yellow"/>
            </w:rPr>
            <w:t>HiTIN</w:t>
          </w:r>
          <w:r>
            <w:rPr>
              <w:rFonts w:hint="eastAsia"/>
              <w:highlight w:val="yellow"/>
            </w:rPr>
            <w:t>模型</w:t>
          </w:r>
          <w:r>
            <w:rPr>
              <w:highlight w:val="yellow"/>
            </w:rPr>
            <w:tab/>
          </w:r>
          <w:r>
            <w:rPr>
              <w:highlight w:val="yellow"/>
            </w:rPr>
            <w:fldChar w:fldCharType="begin"/>
          </w:r>
          <w:r>
            <w:rPr>
              <w:highlight w:val="yellow"/>
            </w:rPr>
            <w:instrText xml:space="preserve"> PAGEREF _Toc7937 \h </w:instrText>
          </w:r>
          <w:r>
            <w:rPr>
              <w:highlight w:val="yellow"/>
            </w:rPr>
            <w:fldChar w:fldCharType="separate"/>
          </w:r>
          <w:r>
            <w:rPr>
              <w:highlight w:val="yellow"/>
            </w:rPr>
            <w:t>24</w:t>
          </w:r>
          <w:r>
            <w:rPr>
              <w:highlight w:val="yellow"/>
            </w:rPr>
            <w:fldChar w:fldCharType="end"/>
          </w:r>
          <w:r>
            <w:rPr>
              <w:bCs/>
              <w:color w:val="auto"/>
              <w:highlight w:val="yellow"/>
              <w:lang w:val="zh-CN"/>
            </w:rPr>
            <w:fldChar w:fldCharType="end"/>
          </w:r>
        </w:p>
        <w:p w14:paraId="23DEB28B">
          <w:pPr>
            <w:pStyle w:val="6"/>
            <w:tabs>
              <w:tab w:val="right" w:leader="dot" w:pos="9072"/>
            </w:tabs>
          </w:pPr>
          <w:r>
            <w:rPr>
              <w:bCs/>
              <w:color w:val="auto"/>
              <w:highlight w:val="yellow"/>
              <w:lang w:val="zh-CN"/>
            </w:rPr>
            <w:fldChar w:fldCharType="begin"/>
          </w:r>
          <w:r>
            <w:rPr>
              <w:bCs/>
              <w:highlight w:val="yellow"/>
              <w:lang w:val="zh-CN"/>
            </w:rPr>
            <w:instrText xml:space="preserve"> HYPERLINK \l _Toc3419 </w:instrText>
          </w:r>
          <w:r>
            <w:rPr>
              <w:bCs/>
              <w:highlight w:val="yellow"/>
              <w:lang w:val="zh-CN"/>
            </w:rPr>
            <w:fldChar w:fldCharType="separate"/>
          </w:r>
          <w:r>
            <w:rPr>
              <w:rFonts w:hint="default"/>
              <w:szCs w:val="24"/>
              <w:highlight w:val="yellow"/>
            </w:rPr>
            <w:t xml:space="preserve">2.5.2 </w:t>
          </w:r>
          <w:r>
            <w:rPr>
              <w:rFonts w:hint="eastAsia"/>
              <w:highlight w:val="yellow"/>
            </w:rPr>
            <w:t>HGCLR模型</w:t>
          </w:r>
          <w:r>
            <w:rPr>
              <w:highlight w:val="yellow"/>
            </w:rPr>
            <w:tab/>
          </w:r>
          <w:r>
            <w:rPr>
              <w:highlight w:val="yellow"/>
            </w:rPr>
            <w:fldChar w:fldCharType="begin"/>
          </w:r>
          <w:r>
            <w:rPr>
              <w:highlight w:val="yellow"/>
            </w:rPr>
            <w:instrText xml:space="preserve"> PAGEREF _Toc3419 \h </w:instrText>
          </w:r>
          <w:r>
            <w:rPr>
              <w:highlight w:val="yellow"/>
            </w:rPr>
            <w:fldChar w:fldCharType="separate"/>
          </w:r>
          <w:r>
            <w:rPr>
              <w:highlight w:val="yellow"/>
            </w:rPr>
            <w:t>24</w:t>
          </w:r>
          <w:r>
            <w:rPr>
              <w:highlight w:val="yellow"/>
            </w:rPr>
            <w:fldChar w:fldCharType="end"/>
          </w:r>
          <w:r>
            <w:rPr>
              <w:bCs/>
              <w:color w:val="auto"/>
              <w:highlight w:val="yellow"/>
              <w:lang w:val="zh-CN"/>
            </w:rPr>
            <w:fldChar w:fldCharType="end"/>
          </w:r>
        </w:p>
        <w:p w14:paraId="27C635A9">
          <w:pPr>
            <w:pStyle w:val="10"/>
            <w:tabs>
              <w:tab w:val="right" w:leader="dot" w:pos="9072"/>
            </w:tabs>
          </w:pPr>
          <w:r>
            <w:rPr>
              <w:bCs/>
              <w:color w:val="auto"/>
              <w:lang w:val="zh-CN"/>
            </w:rPr>
            <w:fldChar w:fldCharType="begin"/>
          </w:r>
          <w:r>
            <w:rPr>
              <w:bCs/>
              <w:lang w:val="zh-CN"/>
            </w:rPr>
            <w:instrText xml:space="preserve"> HYPERLINK \l _Toc31522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_Toc31522 \h </w:instrText>
          </w:r>
          <w:r>
            <w:fldChar w:fldCharType="separate"/>
          </w:r>
          <w:r>
            <w:t>25</w:t>
          </w:r>
          <w:r>
            <w:fldChar w:fldCharType="end"/>
          </w:r>
          <w:r>
            <w:rPr>
              <w:bCs/>
              <w:color w:val="auto"/>
              <w:lang w:val="zh-CN"/>
            </w:rPr>
            <w:fldChar w:fldCharType="end"/>
          </w:r>
        </w:p>
        <w:p w14:paraId="1FF83521">
          <w:pPr>
            <w:pStyle w:val="11"/>
            <w:tabs>
              <w:tab w:val="right" w:leader="dot" w:pos="9072"/>
              <w:tab w:val="clear" w:pos="9062"/>
            </w:tabs>
          </w:pPr>
          <w:r>
            <w:rPr>
              <w:bCs/>
              <w:color w:val="auto"/>
              <w:lang w:val="zh-CN"/>
            </w:rPr>
            <w:fldChar w:fldCharType="begin"/>
          </w:r>
          <w:r>
            <w:rPr>
              <w:bCs/>
              <w:lang w:val="zh-CN"/>
            </w:rPr>
            <w:instrText xml:space="preserve"> HYPERLINK \l _Toc25725 </w:instrText>
          </w:r>
          <w:r>
            <w:rPr>
              <w:bCs/>
              <w:lang w:val="zh-CN"/>
            </w:rPr>
            <w:fldChar w:fldCharType="separate"/>
          </w:r>
          <w:r>
            <w:rPr>
              <w:rFonts w:hint="default"/>
              <w:szCs w:val="28"/>
              <w:highlight w:val="yellow"/>
            </w:rPr>
            <w:t xml:space="preserve">3.1 </w:t>
          </w:r>
          <w:r>
            <w:rPr>
              <w:rFonts w:hint="eastAsia"/>
              <w:highlight w:val="yellow"/>
            </w:rPr>
            <w:t>数据集介绍</w:t>
          </w:r>
          <w:r>
            <w:tab/>
          </w:r>
          <w:r>
            <w:fldChar w:fldCharType="begin"/>
          </w:r>
          <w:r>
            <w:instrText xml:space="preserve"> PAGEREF _Toc25725 \h </w:instrText>
          </w:r>
          <w:r>
            <w:fldChar w:fldCharType="separate"/>
          </w:r>
          <w:r>
            <w:t>25</w:t>
          </w:r>
          <w:r>
            <w:fldChar w:fldCharType="end"/>
          </w:r>
          <w:r>
            <w:rPr>
              <w:bCs/>
              <w:color w:val="auto"/>
              <w:lang w:val="zh-CN"/>
            </w:rPr>
            <w:fldChar w:fldCharType="end"/>
          </w:r>
        </w:p>
        <w:p w14:paraId="7C24B298">
          <w:pPr>
            <w:pStyle w:val="11"/>
            <w:tabs>
              <w:tab w:val="right" w:leader="dot" w:pos="9072"/>
              <w:tab w:val="clear" w:pos="9062"/>
            </w:tabs>
          </w:pPr>
          <w:r>
            <w:rPr>
              <w:bCs/>
              <w:color w:val="auto"/>
              <w:lang w:val="zh-CN"/>
            </w:rPr>
            <w:fldChar w:fldCharType="begin"/>
          </w:r>
          <w:r>
            <w:rPr>
              <w:bCs/>
              <w:lang w:val="zh-CN"/>
            </w:rPr>
            <w:instrText xml:space="preserve"> HYPERLINK \l _Toc14542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_Toc14542 \h </w:instrText>
          </w:r>
          <w:r>
            <w:fldChar w:fldCharType="separate"/>
          </w:r>
          <w:r>
            <w:t>29</w:t>
          </w:r>
          <w:r>
            <w:fldChar w:fldCharType="end"/>
          </w:r>
          <w:r>
            <w:rPr>
              <w:bCs/>
              <w:color w:val="auto"/>
              <w:lang w:val="zh-CN"/>
            </w:rPr>
            <w:fldChar w:fldCharType="end"/>
          </w:r>
        </w:p>
        <w:p w14:paraId="65823258">
          <w:pPr>
            <w:pStyle w:val="6"/>
            <w:tabs>
              <w:tab w:val="right" w:leader="dot" w:pos="9072"/>
            </w:tabs>
          </w:pPr>
          <w:r>
            <w:rPr>
              <w:bCs/>
              <w:color w:val="auto"/>
              <w:lang w:val="zh-CN"/>
            </w:rPr>
            <w:fldChar w:fldCharType="begin"/>
          </w:r>
          <w:r>
            <w:rPr>
              <w:bCs/>
              <w:lang w:val="zh-CN"/>
            </w:rPr>
            <w:instrText xml:space="preserve"> HYPERLINK \l _Toc20837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_Toc20837 \h </w:instrText>
          </w:r>
          <w:r>
            <w:fldChar w:fldCharType="separate"/>
          </w:r>
          <w:r>
            <w:t>29</w:t>
          </w:r>
          <w:r>
            <w:fldChar w:fldCharType="end"/>
          </w:r>
          <w:r>
            <w:rPr>
              <w:bCs/>
              <w:color w:val="auto"/>
              <w:lang w:val="zh-CN"/>
            </w:rPr>
            <w:fldChar w:fldCharType="end"/>
          </w:r>
        </w:p>
        <w:p w14:paraId="33D8BA64">
          <w:pPr>
            <w:pStyle w:val="6"/>
            <w:tabs>
              <w:tab w:val="right" w:leader="dot" w:pos="9072"/>
            </w:tabs>
          </w:pPr>
          <w:r>
            <w:rPr>
              <w:bCs/>
              <w:color w:val="auto"/>
              <w:lang w:val="zh-CN"/>
            </w:rPr>
            <w:fldChar w:fldCharType="begin"/>
          </w:r>
          <w:r>
            <w:rPr>
              <w:bCs/>
              <w:lang w:val="zh-CN"/>
            </w:rPr>
            <w:instrText xml:space="preserve"> HYPERLINK \l _Toc13041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_Toc13041 \h </w:instrText>
          </w:r>
          <w:r>
            <w:fldChar w:fldCharType="separate"/>
          </w:r>
          <w:r>
            <w:t>31</w:t>
          </w:r>
          <w:r>
            <w:fldChar w:fldCharType="end"/>
          </w:r>
          <w:r>
            <w:rPr>
              <w:bCs/>
              <w:color w:val="auto"/>
              <w:lang w:val="zh-CN"/>
            </w:rPr>
            <w:fldChar w:fldCharType="end"/>
          </w:r>
        </w:p>
        <w:p w14:paraId="4646AA4A">
          <w:pPr>
            <w:pStyle w:val="6"/>
            <w:tabs>
              <w:tab w:val="right" w:leader="dot" w:pos="9072"/>
            </w:tabs>
          </w:pPr>
          <w:r>
            <w:rPr>
              <w:bCs/>
              <w:color w:val="auto"/>
              <w:lang w:val="zh-CN"/>
            </w:rPr>
            <w:fldChar w:fldCharType="begin"/>
          </w:r>
          <w:r>
            <w:rPr>
              <w:bCs/>
              <w:lang w:val="zh-CN"/>
            </w:rPr>
            <w:instrText xml:space="preserve"> HYPERLINK \l _Toc2185 </w:instrText>
          </w:r>
          <w:r>
            <w:rPr>
              <w:bCs/>
              <w:lang w:val="zh-CN"/>
            </w:rPr>
            <w:fldChar w:fldCharType="separate"/>
          </w:r>
          <w:r>
            <w:rPr>
              <w:rFonts w:hint="default"/>
              <w:szCs w:val="24"/>
              <w:highlight w:val="yellow"/>
            </w:rPr>
            <w:t xml:space="preserve">3.2.3 </w:t>
          </w:r>
          <w:r>
            <w:rPr>
              <w:rFonts w:hint="eastAsia"/>
              <w:highlight w:val="yellow"/>
            </w:rPr>
            <w:t>抽样结果评估</w:t>
          </w:r>
          <w:r>
            <w:tab/>
          </w:r>
          <w:r>
            <w:fldChar w:fldCharType="begin"/>
          </w:r>
          <w:r>
            <w:instrText xml:space="preserve"> PAGEREF _Toc2185 \h </w:instrText>
          </w:r>
          <w:r>
            <w:fldChar w:fldCharType="separate"/>
          </w:r>
          <w:r>
            <w:t>33</w:t>
          </w:r>
          <w:r>
            <w:fldChar w:fldCharType="end"/>
          </w:r>
          <w:r>
            <w:rPr>
              <w:bCs/>
              <w:color w:val="auto"/>
              <w:lang w:val="zh-CN"/>
            </w:rPr>
            <w:fldChar w:fldCharType="end"/>
          </w:r>
        </w:p>
        <w:p w14:paraId="16B89312">
          <w:pPr>
            <w:pStyle w:val="11"/>
            <w:tabs>
              <w:tab w:val="right" w:leader="dot" w:pos="9072"/>
              <w:tab w:val="clear" w:pos="9062"/>
            </w:tabs>
          </w:pPr>
          <w:r>
            <w:rPr>
              <w:bCs/>
              <w:color w:val="auto"/>
              <w:lang w:val="zh-CN"/>
            </w:rPr>
            <w:fldChar w:fldCharType="begin"/>
          </w:r>
          <w:r>
            <w:rPr>
              <w:bCs/>
              <w:lang w:val="zh-CN"/>
            </w:rPr>
            <w:instrText xml:space="preserve"> HYPERLINK \l _Toc25723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_Toc25723 \h </w:instrText>
          </w:r>
          <w:r>
            <w:fldChar w:fldCharType="separate"/>
          </w:r>
          <w:r>
            <w:t>37</w:t>
          </w:r>
          <w:r>
            <w:fldChar w:fldCharType="end"/>
          </w:r>
          <w:r>
            <w:rPr>
              <w:bCs/>
              <w:color w:val="auto"/>
              <w:lang w:val="zh-CN"/>
            </w:rPr>
            <w:fldChar w:fldCharType="end"/>
          </w:r>
        </w:p>
        <w:p w14:paraId="357A1594">
          <w:pPr>
            <w:pStyle w:val="6"/>
            <w:tabs>
              <w:tab w:val="right" w:leader="dot" w:pos="9072"/>
            </w:tabs>
          </w:pPr>
          <w:r>
            <w:rPr>
              <w:bCs/>
              <w:color w:val="auto"/>
              <w:lang w:val="zh-CN"/>
            </w:rPr>
            <w:fldChar w:fldCharType="begin"/>
          </w:r>
          <w:r>
            <w:rPr>
              <w:bCs/>
              <w:lang w:val="zh-CN"/>
            </w:rPr>
            <w:instrText xml:space="preserve"> HYPERLINK \l _Toc6180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_Toc6180 \h </w:instrText>
          </w:r>
          <w:r>
            <w:fldChar w:fldCharType="separate"/>
          </w:r>
          <w:r>
            <w:t>37</w:t>
          </w:r>
          <w:r>
            <w:fldChar w:fldCharType="end"/>
          </w:r>
          <w:r>
            <w:rPr>
              <w:bCs/>
              <w:color w:val="auto"/>
              <w:lang w:val="zh-CN"/>
            </w:rPr>
            <w:fldChar w:fldCharType="end"/>
          </w:r>
        </w:p>
        <w:p w14:paraId="416E1ABC">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_Toc19874 </w:instrText>
          </w:r>
          <w:r>
            <w:rPr>
              <w:bCs/>
              <w:highlight w:val="yellow"/>
              <w:lang w:val="zh-CN"/>
            </w:rPr>
            <w:fldChar w:fldCharType="separate"/>
          </w:r>
          <w:r>
            <w:rPr>
              <w:rFonts w:hint="default"/>
              <w:szCs w:val="24"/>
              <w:highlight w:val="yellow"/>
            </w:rPr>
            <w:t xml:space="preserve">3.3.2 </w:t>
          </w:r>
          <w:r>
            <w:rPr>
              <w:rFonts w:hint="eastAsia"/>
              <w:highlight w:val="yellow"/>
            </w:rPr>
            <w:t>自动标注工作流设计</w:t>
          </w:r>
          <w:r>
            <w:rPr>
              <w:highlight w:val="yellow"/>
            </w:rPr>
            <w:tab/>
          </w:r>
          <w:r>
            <w:rPr>
              <w:highlight w:val="yellow"/>
            </w:rPr>
            <w:fldChar w:fldCharType="begin"/>
          </w:r>
          <w:r>
            <w:rPr>
              <w:highlight w:val="yellow"/>
            </w:rPr>
            <w:instrText xml:space="preserve"> PAGEREF _Toc19874 \h </w:instrText>
          </w:r>
          <w:r>
            <w:rPr>
              <w:highlight w:val="yellow"/>
            </w:rPr>
            <w:fldChar w:fldCharType="separate"/>
          </w:r>
          <w:r>
            <w:rPr>
              <w:highlight w:val="yellow"/>
            </w:rPr>
            <w:t>38</w:t>
          </w:r>
          <w:r>
            <w:rPr>
              <w:highlight w:val="yellow"/>
            </w:rPr>
            <w:fldChar w:fldCharType="end"/>
          </w:r>
          <w:r>
            <w:rPr>
              <w:bCs/>
              <w:color w:val="auto"/>
              <w:highlight w:val="yellow"/>
              <w:lang w:val="zh-CN"/>
            </w:rPr>
            <w:fldChar w:fldCharType="end"/>
          </w:r>
        </w:p>
        <w:p w14:paraId="557E4790">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_Toc1771 </w:instrText>
          </w:r>
          <w:r>
            <w:rPr>
              <w:bCs/>
              <w:highlight w:val="yellow"/>
              <w:lang w:val="zh-CN"/>
            </w:rPr>
            <w:fldChar w:fldCharType="separate"/>
          </w:r>
          <w:r>
            <w:rPr>
              <w:rFonts w:hint="default"/>
              <w:szCs w:val="24"/>
              <w:highlight w:val="yellow"/>
            </w:rPr>
            <w:t xml:space="preserve">3.3.3 </w:t>
          </w:r>
          <w:r>
            <w:rPr>
              <w:rFonts w:hint="eastAsia"/>
              <w:highlight w:val="yellow"/>
            </w:rPr>
            <w:t>自动标注结果评估</w:t>
          </w:r>
          <w:r>
            <w:rPr>
              <w:highlight w:val="yellow"/>
            </w:rPr>
            <w:tab/>
          </w:r>
          <w:r>
            <w:rPr>
              <w:highlight w:val="yellow"/>
            </w:rPr>
            <w:fldChar w:fldCharType="begin"/>
          </w:r>
          <w:r>
            <w:rPr>
              <w:highlight w:val="yellow"/>
            </w:rPr>
            <w:instrText xml:space="preserve"> PAGEREF _Toc1771 \h </w:instrText>
          </w:r>
          <w:r>
            <w:rPr>
              <w:highlight w:val="yellow"/>
            </w:rPr>
            <w:fldChar w:fldCharType="separate"/>
          </w:r>
          <w:r>
            <w:rPr>
              <w:highlight w:val="yellow"/>
            </w:rPr>
            <w:t>40</w:t>
          </w:r>
          <w:r>
            <w:rPr>
              <w:highlight w:val="yellow"/>
            </w:rPr>
            <w:fldChar w:fldCharType="end"/>
          </w:r>
          <w:r>
            <w:rPr>
              <w:bCs/>
              <w:color w:val="auto"/>
              <w:highlight w:val="yellow"/>
              <w:lang w:val="zh-CN"/>
            </w:rPr>
            <w:fldChar w:fldCharType="end"/>
          </w:r>
        </w:p>
        <w:p w14:paraId="67DEA48D">
          <w:pPr>
            <w:pStyle w:val="6"/>
            <w:tabs>
              <w:tab w:val="right" w:leader="dot" w:pos="9072"/>
            </w:tabs>
          </w:pPr>
          <w:r>
            <w:rPr>
              <w:bCs/>
              <w:color w:val="auto"/>
              <w:highlight w:val="yellow"/>
              <w:lang w:val="zh-CN"/>
            </w:rPr>
            <w:fldChar w:fldCharType="begin"/>
          </w:r>
          <w:r>
            <w:rPr>
              <w:bCs/>
              <w:highlight w:val="yellow"/>
              <w:lang w:val="zh-CN"/>
            </w:rPr>
            <w:instrText xml:space="preserve"> HYPERLINK \l _Toc11313 </w:instrText>
          </w:r>
          <w:r>
            <w:rPr>
              <w:bCs/>
              <w:highlight w:val="yellow"/>
              <w:lang w:val="zh-CN"/>
            </w:rPr>
            <w:fldChar w:fldCharType="separate"/>
          </w:r>
          <w:r>
            <w:rPr>
              <w:rFonts w:hint="default"/>
              <w:szCs w:val="24"/>
              <w:highlight w:val="yellow"/>
            </w:rPr>
            <w:t xml:space="preserve">3.3.4 </w:t>
          </w:r>
          <w:r>
            <w:rPr>
              <w:rFonts w:hint="eastAsia"/>
              <w:highlight w:val="yellow"/>
            </w:rPr>
            <w:t>案例分析</w:t>
          </w:r>
          <w:r>
            <w:rPr>
              <w:highlight w:val="yellow"/>
            </w:rPr>
            <w:tab/>
          </w:r>
          <w:r>
            <w:rPr>
              <w:highlight w:val="yellow"/>
            </w:rPr>
            <w:fldChar w:fldCharType="begin"/>
          </w:r>
          <w:r>
            <w:rPr>
              <w:highlight w:val="yellow"/>
            </w:rPr>
            <w:instrText xml:space="preserve"> PAGEREF _Toc11313 \h </w:instrText>
          </w:r>
          <w:r>
            <w:rPr>
              <w:highlight w:val="yellow"/>
            </w:rPr>
            <w:fldChar w:fldCharType="separate"/>
          </w:r>
          <w:r>
            <w:rPr>
              <w:highlight w:val="yellow"/>
            </w:rPr>
            <w:t>43</w:t>
          </w:r>
          <w:r>
            <w:rPr>
              <w:highlight w:val="yellow"/>
            </w:rPr>
            <w:fldChar w:fldCharType="end"/>
          </w:r>
          <w:r>
            <w:rPr>
              <w:bCs/>
              <w:color w:val="auto"/>
              <w:highlight w:val="yellow"/>
              <w:lang w:val="zh-CN"/>
            </w:rPr>
            <w:fldChar w:fldCharType="end"/>
          </w:r>
        </w:p>
        <w:p w14:paraId="3029E4CA">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_Toc28075 </w:instrText>
          </w:r>
          <w:r>
            <w:rPr>
              <w:bCs/>
              <w:highlight w:val="yellow"/>
              <w:lang w:val="zh-CN"/>
            </w:rPr>
            <w:fldChar w:fldCharType="separate"/>
          </w:r>
          <w:r>
            <w:rPr>
              <w:rFonts w:hint="default"/>
              <w:szCs w:val="28"/>
              <w:highlight w:val="yellow"/>
            </w:rPr>
            <w:t xml:space="preserve">3.4 </w:t>
          </w:r>
          <w:r>
            <w:rPr>
              <w:rFonts w:hint="eastAsia"/>
              <w:highlight w:val="yellow"/>
            </w:rPr>
            <w:t>置信度过滤与最终数据集</w:t>
          </w:r>
          <w:r>
            <w:rPr>
              <w:highlight w:val="yellow"/>
            </w:rPr>
            <w:tab/>
          </w:r>
          <w:r>
            <w:rPr>
              <w:highlight w:val="yellow"/>
            </w:rPr>
            <w:fldChar w:fldCharType="begin"/>
          </w:r>
          <w:r>
            <w:rPr>
              <w:highlight w:val="yellow"/>
            </w:rPr>
            <w:instrText xml:space="preserve"> PAGEREF _Toc28075 \h </w:instrText>
          </w:r>
          <w:r>
            <w:rPr>
              <w:highlight w:val="yellow"/>
            </w:rPr>
            <w:fldChar w:fldCharType="separate"/>
          </w:r>
          <w:r>
            <w:rPr>
              <w:highlight w:val="yellow"/>
            </w:rPr>
            <w:t>44</w:t>
          </w:r>
          <w:r>
            <w:rPr>
              <w:highlight w:val="yellow"/>
            </w:rPr>
            <w:fldChar w:fldCharType="end"/>
          </w:r>
          <w:r>
            <w:rPr>
              <w:bCs/>
              <w:color w:val="auto"/>
              <w:highlight w:val="yellow"/>
              <w:lang w:val="zh-CN"/>
            </w:rPr>
            <w:fldChar w:fldCharType="end"/>
          </w:r>
        </w:p>
        <w:p w14:paraId="5946B95B">
          <w:pPr>
            <w:pStyle w:val="11"/>
            <w:tabs>
              <w:tab w:val="right" w:leader="dot" w:pos="9072"/>
              <w:tab w:val="clear" w:pos="9062"/>
            </w:tabs>
          </w:pPr>
          <w:r>
            <w:rPr>
              <w:bCs/>
              <w:color w:val="auto"/>
              <w:highlight w:val="yellow"/>
              <w:lang w:val="zh-CN"/>
            </w:rPr>
            <w:fldChar w:fldCharType="begin"/>
          </w:r>
          <w:r>
            <w:rPr>
              <w:bCs/>
              <w:highlight w:val="yellow"/>
              <w:lang w:val="zh-CN"/>
            </w:rPr>
            <w:instrText xml:space="preserve"> HYPERLINK \l _Toc26443 </w:instrText>
          </w:r>
          <w:r>
            <w:rPr>
              <w:bCs/>
              <w:highlight w:val="yellow"/>
              <w:lang w:val="zh-CN"/>
            </w:rPr>
            <w:fldChar w:fldCharType="separate"/>
          </w:r>
          <w:r>
            <w:rPr>
              <w:rFonts w:hint="default"/>
              <w:szCs w:val="28"/>
              <w:highlight w:val="yellow"/>
            </w:rPr>
            <w:t xml:space="preserve">3.5 </w:t>
          </w:r>
          <w:r>
            <w:rPr>
              <w:rFonts w:hint="eastAsia"/>
              <w:highlight w:val="yellow"/>
            </w:rPr>
            <w:t>数据增强</w:t>
          </w:r>
          <w:r>
            <w:rPr>
              <w:highlight w:val="yellow"/>
            </w:rPr>
            <w:tab/>
          </w:r>
          <w:r>
            <w:rPr>
              <w:highlight w:val="yellow"/>
            </w:rPr>
            <w:fldChar w:fldCharType="begin"/>
          </w:r>
          <w:r>
            <w:rPr>
              <w:highlight w:val="yellow"/>
            </w:rPr>
            <w:instrText xml:space="preserve"> PAGEREF _Toc26443 \h </w:instrText>
          </w:r>
          <w:r>
            <w:rPr>
              <w:highlight w:val="yellow"/>
            </w:rPr>
            <w:fldChar w:fldCharType="separate"/>
          </w:r>
          <w:r>
            <w:rPr>
              <w:highlight w:val="yellow"/>
            </w:rPr>
            <w:t>45</w:t>
          </w:r>
          <w:r>
            <w:rPr>
              <w:highlight w:val="yellow"/>
            </w:rPr>
            <w:fldChar w:fldCharType="end"/>
          </w:r>
          <w:r>
            <w:rPr>
              <w:bCs/>
              <w:color w:val="auto"/>
              <w:highlight w:val="yellow"/>
              <w:lang w:val="zh-CN"/>
            </w:rPr>
            <w:fldChar w:fldCharType="end"/>
          </w:r>
        </w:p>
        <w:p w14:paraId="0BE9C80B">
          <w:pPr>
            <w:pStyle w:val="10"/>
            <w:tabs>
              <w:tab w:val="right" w:leader="dot" w:pos="9072"/>
            </w:tabs>
          </w:pPr>
          <w:r>
            <w:rPr>
              <w:bCs/>
              <w:color w:val="auto"/>
              <w:lang w:val="zh-CN"/>
            </w:rPr>
            <w:fldChar w:fldCharType="begin"/>
          </w:r>
          <w:r>
            <w:rPr>
              <w:bCs/>
              <w:lang w:val="zh-CN"/>
            </w:rPr>
            <w:instrText xml:space="preserve"> HYPERLINK \l _Toc2677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_Toc2677 \h </w:instrText>
          </w:r>
          <w:r>
            <w:fldChar w:fldCharType="separate"/>
          </w:r>
          <w:r>
            <w:t>47</w:t>
          </w:r>
          <w:r>
            <w:fldChar w:fldCharType="end"/>
          </w:r>
          <w:r>
            <w:rPr>
              <w:bCs/>
              <w:color w:val="auto"/>
              <w:lang w:val="zh-CN"/>
            </w:rPr>
            <w:fldChar w:fldCharType="end"/>
          </w:r>
        </w:p>
        <w:p w14:paraId="7B716090">
          <w:pPr>
            <w:pStyle w:val="11"/>
            <w:tabs>
              <w:tab w:val="right" w:leader="dot" w:pos="9072"/>
              <w:tab w:val="clear" w:pos="9062"/>
            </w:tabs>
          </w:pPr>
          <w:r>
            <w:rPr>
              <w:bCs/>
              <w:color w:val="auto"/>
              <w:lang w:val="zh-CN"/>
            </w:rPr>
            <w:fldChar w:fldCharType="begin"/>
          </w:r>
          <w:r>
            <w:rPr>
              <w:bCs/>
              <w:lang w:val="zh-CN"/>
            </w:rPr>
            <w:instrText xml:space="preserve"> HYPERLINK \l _Toc21066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_Toc21066 \h </w:instrText>
          </w:r>
          <w:r>
            <w:fldChar w:fldCharType="separate"/>
          </w:r>
          <w:r>
            <w:t>47</w:t>
          </w:r>
          <w:r>
            <w:fldChar w:fldCharType="end"/>
          </w:r>
          <w:r>
            <w:rPr>
              <w:bCs/>
              <w:color w:val="auto"/>
              <w:lang w:val="zh-CN"/>
            </w:rPr>
            <w:fldChar w:fldCharType="end"/>
          </w:r>
        </w:p>
        <w:p w14:paraId="2144C264">
          <w:pPr>
            <w:pStyle w:val="6"/>
            <w:tabs>
              <w:tab w:val="right" w:leader="dot" w:pos="9072"/>
            </w:tabs>
          </w:pPr>
          <w:r>
            <w:rPr>
              <w:bCs/>
              <w:color w:val="auto"/>
              <w:lang w:val="zh-CN"/>
            </w:rPr>
            <w:fldChar w:fldCharType="begin"/>
          </w:r>
          <w:r>
            <w:rPr>
              <w:bCs/>
              <w:lang w:val="zh-CN"/>
            </w:rPr>
            <w:instrText xml:space="preserve"> HYPERLINK \l _Toc641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_Toc641 \h </w:instrText>
          </w:r>
          <w:r>
            <w:fldChar w:fldCharType="separate"/>
          </w:r>
          <w:r>
            <w:t>47</w:t>
          </w:r>
          <w:r>
            <w:fldChar w:fldCharType="end"/>
          </w:r>
          <w:r>
            <w:rPr>
              <w:bCs/>
              <w:color w:val="auto"/>
              <w:lang w:val="zh-CN"/>
            </w:rPr>
            <w:fldChar w:fldCharType="end"/>
          </w:r>
        </w:p>
        <w:p w14:paraId="72FF8275">
          <w:pPr>
            <w:pStyle w:val="6"/>
            <w:tabs>
              <w:tab w:val="right" w:leader="dot" w:pos="9072"/>
            </w:tabs>
          </w:pPr>
          <w:r>
            <w:rPr>
              <w:bCs/>
              <w:color w:val="auto"/>
              <w:lang w:val="zh-CN"/>
            </w:rPr>
            <w:fldChar w:fldCharType="begin"/>
          </w:r>
          <w:r>
            <w:rPr>
              <w:bCs/>
              <w:lang w:val="zh-CN"/>
            </w:rPr>
            <w:instrText xml:space="preserve"> HYPERLINK \l _Toc18344 </w:instrText>
          </w:r>
          <w:r>
            <w:rPr>
              <w:bCs/>
              <w:lang w:val="zh-CN"/>
            </w:rPr>
            <w:fldChar w:fldCharType="separate"/>
          </w:r>
          <w:r>
            <w:rPr>
              <w:rFonts w:hint="default" w:eastAsia="宋体"/>
              <w:szCs w:val="24"/>
              <w:highlight w:val="yellow"/>
            </w:rPr>
            <w:t xml:space="preserve">4.1.2 </w:t>
          </w:r>
          <w:r>
            <w:rPr>
              <w:rFonts w:hint="eastAsia"/>
              <w:highlight w:val="yellow"/>
            </w:rPr>
            <w:t>深度</w:t>
          </w:r>
          <w:r>
            <w:rPr>
              <w:highlight w:val="yellow"/>
            </w:rPr>
            <w:t>学习</w:t>
          </w:r>
          <w:r>
            <w:rPr>
              <w:rFonts w:hint="eastAsia"/>
              <w:highlight w:val="yellow"/>
            </w:rPr>
            <w:t>模型</w:t>
          </w:r>
          <w:r>
            <w:tab/>
          </w:r>
          <w:r>
            <w:fldChar w:fldCharType="begin"/>
          </w:r>
          <w:r>
            <w:instrText xml:space="preserve"> PAGEREF _Toc18344 \h </w:instrText>
          </w:r>
          <w:r>
            <w:fldChar w:fldCharType="separate"/>
          </w:r>
          <w:r>
            <w:t>48</w:t>
          </w:r>
          <w:r>
            <w:fldChar w:fldCharType="end"/>
          </w:r>
          <w:r>
            <w:rPr>
              <w:bCs/>
              <w:color w:val="auto"/>
              <w:lang w:val="zh-CN"/>
            </w:rPr>
            <w:fldChar w:fldCharType="end"/>
          </w:r>
        </w:p>
        <w:p w14:paraId="1C8712A2">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_Toc28669 </w:instrText>
          </w:r>
          <w:r>
            <w:rPr>
              <w:bCs/>
              <w:highlight w:val="yellow"/>
              <w:lang w:val="zh-CN"/>
            </w:rPr>
            <w:fldChar w:fldCharType="separate"/>
          </w:r>
          <w:r>
            <w:rPr>
              <w:rFonts w:hint="default"/>
              <w:szCs w:val="28"/>
              <w:highlight w:val="yellow"/>
            </w:rPr>
            <w:t xml:space="preserve">4.2 </w:t>
          </w:r>
          <w:r>
            <w:rPr>
              <w:rFonts w:hint="eastAsia"/>
              <w:highlight w:val="yellow"/>
            </w:rPr>
            <w:t>分类模型评估</w:t>
          </w:r>
          <w:r>
            <w:rPr>
              <w:highlight w:val="yellow"/>
            </w:rPr>
            <w:tab/>
          </w:r>
          <w:r>
            <w:rPr>
              <w:highlight w:val="yellow"/>
            </w:rPr>
            <w:fldChar w:fldCharType="begin"/>
          </w:r>
          <w:r>
            <w:rPr>
              <w:highlight w:val="yellow"/>
            </w:rPr>
            <w:instrText xml:space="preserve"> PAGEREF _Toc28669 \h </w:instrText>
          </w:r>
          <w:r>
            <w:rPr>
              <w:highlight w:val="yellow"/>
            </w:rPr>
            <w:fldChar w:fldCharType="separate"/>
          </w:r>
          <w:r>
            <w:rPr>
              <w:highlight w:val="yellow"/>
            </w:rPr>
            <w:t>51</w:t>
          </w:r>
          <w:r>
            <w:rPr>
              <w:highlight w:val="yellow"/>
            </w:rPr>
            <w:fldChar w:fldCharType="end"/>
          </w:r>
          <w:r>
            <w:rPr>
              <w:bCs/>
              <w:color w:val="auto"/>
              <w:highlight w:val="yellow"/>
              <w:lang w:val="zh-CN"/>
            </w:rPr>
            <w:fldChar w:fldCharType="end"/>
          </w:r>
        </w:p>
        <w:p w14:paraId="23F14FD0">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_Toc25617 </w:instrText>
          </w:r>
          <w:r>
            <w:rPr>
              <w:bCs/>
              <w:highlight w:val="yellow"/>
              <w:lang w:val="zh-CN"/>
            </w:rPr>
            <w:fldChar w:fldCharType="separate"/>
          </w:r>
          <w:r>
            <w:rPr>
              <w:rFonts w:hint="default"/>
              <w:szCs w:val="24"/>
              <w:highlight w:val="yellow"/>
            </w:rPr>
            <w:t xml:space="preserve">4.2.1 </w:t>
          </w:r>
          <w:r>
            <w:rPr>
              <w:rFonts w:hint="eastAsia"/>
              <w:highlight w:val="yellow"/>
            </w:rPr>
            <w:t>模型对比实验</w:t>
          </w:r>
          <w:r>
            <w:rPr>
              <w:highlight w:val="yellow"/>
            </w:rPr>
            <w:tab/>
          </w:r>
          <w:r>
            <w:rPr>
              <w:highlight w:val="yellow"/>
            </w:rPr>
            <w:fldChar w:fldCharType="begin"/>
          </w:r>
          <w:r>
            <w:rPr>
              <w:highlight w:val="yellow"/>
            </w:rPr>
            <w:instrText xml:space="preserve"> PAGEREF _Toc25617 \h </w:instrText>
          </w:r>
          <w:r>
            <w:rPr>
              <w:highlight w:val="yellow"/>
            </w:rPr>
            <w:fldChar w:fldCharType="separate"/>
          </w:r>
          <w:r>
            <w:rPr>
              <w:highlight w:val="yellow"/>
            </w:rPr>
            <w:t>51</w:t>
          </w:r>
          <w:r>
            <w:rPr>
              <w:highlight w:val="yellow"/>
            </w:rPr>
            <w:fldChar w:fldCharType="end"/>
          </w:r>
          <w:r>
            <w:rPr>
              <w:bCs/>
              <w:color w:val="auto"/>
              <w:highlight w:val="yellow"/>
              <w:lang w:val="zh-CN"/>
            </w:rPr>
            <w:fldChar w:fldCharType="end"/>
          </w:r>
        </w:p>
        <w:p w14:paraId="2120C6DB">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_Toc850 </w:instrText>
          </w:r>
          <w:r>
            <w:rPr>
              <w:bCs/>
              <w:highlight w:val="yellow"/>
              <w:lang w:val="zh-CN"/>
            </w:rPr>
            <w:fldChar w:fldCharType="separate"/>
          </w:r>
          <w:r>
            <w:rPr>
              <w:rFonts w:hint="default"/>
              <w:szCs w:val="24"/>
              <w:highlight w:val="yellow"/>
            </w:rPr>
            <w:t xml:space="preserve">4.2.2 </w:t>
          </w:r>
          <w:r>
            <w:rPr>
              <w:rFonts w:hint="eastAsia"/>
              <w:highlight w:val="yellow"/>
            </w:rPr>
            <w:t>消融实验</w:t>
          </w:r>
          <w:r>
            <w:rPr>
              <w:highlight w:val="yellow"/>
            </w:rPr>
            <w:tab/>
          </w:r>
          <w:r>
            <w:rPr>
              <w:highlight w:val="yellow"/>
            </w:rPr>
            <w:fldChar w:fldCharType="begin"/>
          </w:r>
          <w:r>
            <w:rPr>
              <w:highlight w:val="yellow"/>
            </w:rPr>
            <w:instrText xml:space="preserve"> PAGEREF _Toc850 \h </w:instrText>
          </w:r>
          <w:r>
            <w:rPr>
              <w:highlight w:val="yellow"/>
            </w:rPr>
            <w:fldChar w:fldCharType="separate"/>
          </w:r>
          <w:r>
            <w:rPr>
              <w:highlight w:val="yellow"/>
            </w:rPr>
            <w:t>55</w:t>
          </w:r>
          <w:r>
            <w:rPr>
              <w:highlight w:val="yellow"/>
            </w:rPr>
            <w:fldChar w:fldCharType="end"/>
          </w:r>
          <w:r>
            <w:rPr>
              <w:bCs/>
              <w:color w:val="auto"/>
              <w:highlight w:val="yellow"/>
              <w:lang w:val="zh-CN"/>
            </w:rPr>
            <w:fldChar w:fldCharType="end"/>
          </w:r>
        </w:p>
        <w:p w14:paraId="40AB1E7D">
          <w:pPr>
            <w:pStyle w:val="6"/>
            <w:tabs>
              <w:tab w:val="right" w:leader="dot" w:pos="9072"/>
            </w:tabs>
          </w:pPr>
          <w:r>
            <w:rPr>
              <w:bCs/>
              <w:color w:val="auto"/>
              <w:highlight w:val="yellow"/>
              <w:lang w:val="zh-CN"/>
            </w:rPr>
            <w:fldChar w:fldCharType="begin"/>
          </w:r>
          <w:r>
            <w:rPr>
              <w:bCs/>
              <w:highlight w:val="yellow"/>
              <w:lang w:val="zh-CN"/>
            </w:rPr>
            <w:instrText xml:space="preserve"> HYPERLINK \l _Toc11014 </w:instrText>
          </w:r>
          <w:r>
            <w:rPr>
              <w:bCs/>
              <w:highlight w:val="yellow"/>
              <w:lang w:val="zh-CN"/>
            </w:rPr>
            <w:fldChar w:fldCharType="separate"/>
          </w:r>
          <w:r>
            <w:rPr>
              <w:rFonts w:hint="default"/>
              <w:szCs w:val="24"/>
              <w:highlight w:val="yellow"/>
            </w:rPr>
            <w:t xml:space="preserve">4.2.3 </w:t>
          </w:r>
          <w:r>
            <w:rPr>
              <w:rFonts w:hint="eastAsia"/>
              <w:highlight w:val="yellow"/>
            </w:rPr>
            <w:t>外部验证</w:t>
          </w:r>
          <w:r>
            <w:rPr>
              <w:highlight w:val="yellow"/>
            </w:rPr>
            <w:tab/>
          </w:r>
          <w:r>
            <w:rPr>
              <w:highlight w:val="yellow"/>
            </w:rPr>
            <w:fldChar w:fldCharType="begin"/>
          </w:r>
          <w:r>
            <w:rPr>
              <w:highlight w:val="yellow"/>
            </w:rPr>
            <w:instrText xml:space="preserve"> PAGEREF _Toc11014 \h </w:instrText>
          </w:r>
          <w:r>
            <w:rPr>
              <w:highlight w:val="yellow"/>
            </w:rPr>
            <w:fldChar w:fldCharType="separate"/>
          </w:r>
          <w:r>
            <w:rPr>
              <w:highlight w:val="yellow"/>
            </w:rPr>
            <w:t>57</w:t>
          </w:r>
          <w:r>
            <w:rPr>
              <w:highlight w:val="yellow"/>
            </w:rPr>
            <w:fldChar w:fldCharType="end"/>
          </w:r>
          <w:r>
            <w:rPr>
              <w:bCs/>
              <w:color w:val="auto"/>
              <w:highlight w:val="yellow"/>
              <w:lang w:val="zh-CN"/>
            </w:rPr>
            <w:fldChar w:fldCharType="end"/>
          </w:r>
        </w:p>
        <w:p w14:paraId="0AD5F254">
          <w:pPr>
            <w:pStyle w:val="10"/>
            <w:tabs>
              <w:tab w:val="right" w:leader="dot" w:pos="9072"/>
            </w:tabs>
          </w:pPr>
          <w:r>
            <w:rPr>
              <w:bCs/>
              <w:color w:val="auto"/>
              <w:lang w:val="zh-CN"/>
            </w:rPr>
            <w:fldChar w:fldCharType="begin"/>
          </w:r>
          <w:r>
            <w:rPr>
              <w:bCs/>
              <w:lang w:val="zh-CN"/>
            </w:rPr>
            <w:instrText xml:space="preserve"> HYPERLINK \l _Toc31666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_Toc31666 \h </w:instrText>
          </w:r>
          <w:r>
            <w:fldChar w:fldCharType="separate"/>
          </w:r>
          <w:r>
            <w:t>58</w:t>
          </w:r>
          <w:r>
            <w:fldChar w:fldCharType="end"/>
          </w:r>
          <w:r>
            <w:rPr>
              <w:bCs/>
              <w:color w:val="auto"/>
              <w:lang w:val="zh-CN"/>
            </w:rPr>
            <w:fldChar w:fldCharType="end"/>
          </w:r>
        </w:p>
        <w:p w14:paraId="3C176E6B">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_Toc27080 </w:instrText>
          </w:r>
          <w:r>
            <w:rPr>
              <w:bCs/>
              <w:highlight w:val="yellow"/>
              <w:lang w:val="zh-CN"/>
            </w:rPr>
            <w:fldChar w:fldCharType="separate"/>
          </w:r>
          <w:r>
            <w:rPr>
              <w:rFonts w:hint="default"/>
              <w:szCs w:val="28"/>
              <w:highlight w:val="yellow"/>
            </w:rPr>
            <w:t xml:space="preserve">5.1 </w:t>
          </w:r>
          <w:r>
            <w:rPr>
              <w:rFonts w:hint="eastAsia"/>
              <w:highlight w:val="yellow"/>
            </w:rPr>
            <w:t>需求分析</w:t>
          </w:r>
          <w:r>
            <w:rPr>
              <w:highlight w:val="yellow"/>
            </w:rPr>
            <w:tab/>
          </w:r>
          <w:r>
            <w:rPr>
              <w:highlight w:val="yellow"/>
            </w:rPr>
            <w:fldChar w:fldCharType="begin"/>
          </w:r>
          <w:r>
            <w:rPr>
              <w:highlight w:val="yellow"/>
            </w:rPr>
            <w:instrText xml:space="preserve"> PAGEREF _Toc27080 \h </w:instrText>
          </w:r>
          <w:r>
            <w:rPr>
              <w:highlight w:val="yellow"/>
            </w:rPr>
            <w:fldChar w:fldCharType="separate"/>
          </w:r>
          <w:r>
            <w:rPr>
              <w:highlight w:val="yellow"/>
            </w:rPr>
            <w:t>58</w:t>
          </w:r>
          <w:r>
            <w:rPr>
              <w:highlight w:val="yellow"/>
            </w:rPr>
            <w:fldChar w:fldCharType="end"/>
          </w:r>
          <w:r>
            <w:rPr>
              <w:bCs/>
              <w:color w:val="auto"/>
              <w:highlight w:val="yellow"/>
              <w:lang w:val="zh-CN"/>
            </w:rPr>
            <w:fldChar w:fldCharType="end"/>
          </w:r>
        </w:p>
        <w:p w14:paraId="32021CAE">
          <w:pPr>
            <w:pStyle w:val="6"/>
            <w:tabs>
              <w:tab w:val="right" w:leader="dot" w:pos="9072"/>
            </w:tabs>
          </w:pPr>
          <w:r>
            <w:rPr>
              <w:bCs/>
              <w:color w:val="auto"/>
              <w:highlight w:val="yellow"/>
              <w:lang w:val="zh-CN"/>
            </w:rPr>
            <w:fldChar w:fldCharType="begin"/>
          </w:r>
          <w:r>
            <w:rPr>
              <w:bCs/>
              <w:highlight w:val="yellow"/>
              <w:lang w:val="zh-CN"/>
            </w:rPr>
            <w:instrText xml:space="preserve"> HYPERLINK \l _Toc6373 </w:instrText>
          </w:r>
          <w:r>
            <w:rPr>
              <w:bCs/>
              <w:highlight w:val="yellow"/>
              <w:lang w:val="zh-CN"/>
            </w:rPr>
            <w:fldChar w:fldCharType="separate"/>
          </w:r>
          <w:r>
            <w:rPr>
              <w:rFonts w:hint="default"/>
              <w:szCs w:val="24"/>
              <w:highlight w:val="yellow"/>
            </w:rPr>
            <w:t xml:space="preserve">5.1.1 </w:t>
          </w:r>
          <w:r>
            <w:rPr>
              <w:rFonts w:hint="eastAsia"/>
              <w:highlight w:val="yellow"/>
            </w:rPr>
            <w:t>功能需求分析</w:t>
          </w:r>
          <w:r>
            <w:rPr>
              <w:highlight w:val="yellow"/>
            </w:rPr>
            <w:tab/>
          </w:r>
          <w:r>
            <w:rPr>
              <w:highlight w:val="yellow"/>
            </w:rPr>
            <w:fldChar w:fldCharType="begin"/>
          </w:r>
          <w:r>
            <w:rPr>
              <w:highlight w:val="yellow"/>
            </w:rPr>
            <w:instrText xml:space="preserve"> PAGEREF _Toc6373 \h </w:instrText>
          </w:r>
          <w:r>
            <w:rPr>
              <w:highlight w:val="yellow"/>
            </w:rPr>
            <w:fldChar w:fldCharType="separate"/>
          </w:r>
          <w:r>
            <w:rPr>
              <w:highlight w:val="yellow"/>
            </w:rPr>
            <w:t>58</w:t>
          </w:r>
          <w:r>
            <w:rPr>
              <w:highlight w:val="yellow"/>
            </w:rPr>
            <w:fldChar w:fldCharType="end"/>
          </w:r>
          <w:r>
            <w:rPr>
              <w:bCs/>
              <w:color w:val="auto"/>
              <w:highlight w:val="yellow"/>
              <w:lang w:val="zh-CN"/>
            </w:rPr>
            <w:fldChar w:fldCharType="end"/>
          </w:r>
        </w:p>
        <w:p w14:paraId="11D37068">
          <w:pPr>
            <w:pStyle w:val="6"/>
            <w:tabs>
              <w:tab w:val="right" w:leader="dot" w:pos="9072"/>
            </w:tabs>
          </w:pPr>
          <w:r>
            <w:rPr>
              <w:bCs/>
              <w:color w:val="auto"/>
              <w:lang w:val="zh-CN"/>
            </w:rPr>
            <w:fldChar w:fldCharType="begin"/>
          </w:r>
          <w:r>
            <w:rPr>
              <w:bCs/>
              <w:lang w:val="zh-CN"/>
            </w:rPr>
            <w:instrText xml:space="preserve"> HYPERLINK \l _Toc4703 </w:instrText>
          </w:r>
          <w:r>
            <w:rPr>
              <w:bCs/>
              <w:lang w:val="zh-CN"/>
            </w:rPr>
            <w:fldChar w:fldCharType="separate"/>
          </w:r>
          <w:r>
            <w:rPr>
              <w:rFonts w:hint="default"/>
              <w:szCs w:val="24"/>
            </w:rPr>
            <w:t xml:space="preserve">5.1.2 </w:t>
          </w:r>
          <w:r>
            <w:rPr>
              <w:rFonts w:hint="eastAsia"/>
              <w:highlight w:val="yellow"/>
            </w:rPr>
            <w:t>非功能性需求分析</w:t>
          </w:r>
          <w:r>
            <w:tab/>
          </w:r>
          <w:r>
            <w:fldChar w:fldCharType="begin"/>
          </w:r>
          <w:r>
            <w:instrText xml:space="preserve"> PAGEREF _Toc4703 \h </w:instrText>
          </w:r>
          <w:r>
            <w:fldChar w:fldCharType="separate"/>
          </w:r>
          <w:r>
            <w:t>60</w:t>
          </w:r>
          <w:r>
            <w:fldChar w:fldCharType="end"/>
          </w:r>
          <w:r>
            <w:rPr>
              <w:bCs/>
              <w:color w:val="auto"/>
              <w:lang w:val="zh-CN"/>
            </w:rPr>
            <w:fldChar w:fldCharType="end"/>
          </w:r>
        </w:p>
        <w:p w14:paraId="1593499D">
          <w:pPr>
            <w:pStyle w:val="11"/>
            <w:tabs>
              <w:tab w:val="right" w:leader="dot" w:pos="9072"/>
              <w:tab w:val="clear" w:pos="9062"/>
            </w:tabs>
          </w:pPr>
          <w:r>
            <w:rPr>
              <w:bCs/>
              <w:color w:val="auto"/>
              <w:lang w:val="zh-CN"/>
            </w:rPr>
            <w:fldChar w:fldCharType="begin"/>
          </w:r>
          <w:r>
            <w:rPr>
              <w:bCs/>
              <w:lang w:val="zh-CN"/>
            </w:rPr>
            <w:instrText xml:space="preserve"> HYPERLINK \l _Toc30896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_Toc30896 \h </w:instrText>
          </w:r>
          <w:r>
            <w:fldChar w:fldCharType="separate"/>
          </w:r>
          <w:r>
            <w:t>60</w:t>
          </w:r>
          <w:r>
            <w:fldChar w:fldCharType="end"/>
          </w:r>
          <w:r>
            <w:rPr>
              <w:bCs/>
              <w:color w:val="auto"/>
              <w:lang w:val="zh-CN"/>
            </w:rPr>
            <w:fldChar w:fldCharType="end"/>
          </w:r>
        </w:p>
        <w:p w14:paraId="6F98A857">
          <w:pPr>
            <w:pStyle w:val="6"/>
            <w:tabs>
              <w:tab w:val="right" w:leader="dot" w:pos="9072"/>
            </w:tabs>
          </w:pPr>
          <w:r>
            <w:rPr>
              <w:bCs/>
              <w:color w:val="auto"/>
              <w:lang w:val="zh-CN"/>
            </w:rPr>
            <w:fldChar w:fldCharType="begin"/>
          </w:r>
          <w:r>
            <w:rPr>
              <w:bCs/>
              <w:lang w:val="zh-CN"/>
            </w:rPr>
            <w:instrText xml:space="preserve"> HYPERLINK \l _Toc22512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_Toc22512 \h </w:instrText>
          </w:r>
          <w:r>
            <w:fldChar w:fldCharType="separate"/>
          </w:r>
          <w:r>
            <w:t>60</w:t>
          </w:r>
          <w:r>
            <w:fldChar w:fldCharType="end"/>
          </w:r>
          <w:r>
            <w:rPr>
              <w:bCs/>
              <w:color w:val="auto"/>
              <w:lang w:val="zh-CN"/>
            </w:rPr>
            <w:fldChar w:fldCharType="end"/>
          </w:r>
        </w:p>
        <w:p w14:paraId="0BFD6263">
          <w:pPr>
            <w:pStyle w:val="6"/>
            <w:tabs>
              <w:tab w:val="right" w:leader="dot" w:pos="9072"/>
            </w:tabs>
          </w:pPr>
          <w:r>
            <w:rPr>
              <w:bCs/>
              <w:color w:val="auto"/>
              <w:lang w:val="zh-CN"/>
            </w:rPr>
            <w:fldChar w:fldCharType="begin"/>
          </w:r>
          <w:r>
            <w:rPr>
              <w:bCs/>
              <w:lang w:val="zh-CN"/>
            </w:rPr>
            <w:instrText xml:space="preserve"> HYPERLINK \l _Toc9294 </w:instrText>
          </w:r>
          <w:r>
            <w:rPr>
              <w:bCs/>
              <w:lang w:val="zh-CN"/>
            </w:rPr>
            <w:fldChar w:fldCharType="separate"/>
          </w:r>
          <w:r>
            <w:rPr>
              <w:rFonts w:hint="default"/>
              <w:szCs w:val="24"/>
              <w:highlight w:val="yellow"/>
            </w:rPr>
            <w:t xml:space="preserve">5.2.2 </w:t>
          </w:r>
          <w:r>
            <w:rPr>
              <w:rFonts w:hint="eastAsia"/>
              <w:highlight w:val="yellow"/>
            </w:rPr>
            <w:t>数据库设计</w:t>
          </w:r>
          <w:r>
            <w:tab/>
          </w:r>
          <w:r>
            <w:fldChar w:fldCharType="begin"/>
          </w:r>
          <w:r>
            <w:instrText xml:space="preserve"> PAGEREF _Toc9294 \h </w:instrText>
          </w:r>
          <w:r>
            <w:fldChar w:fldCharType="separate"/>
          </w:r>
          <w:r>
            <w:t>62</w:t>
          </w:r>
          <w:r>
            <w:fldChar w:fldCharType="end"/>
          </w:r>
          <w:r>
            <w:rPr>
              <w:bCs/>
              <w:color w:val="auto"/>
              <w:lang w:val="zh-CN"/>
            </w:rPr>
            <w:fldChar w:fldCharType="end"/>
          </w:r>
        </w:p>
        <w:p w14:paraId="6644907D">
          <w:pPr>
            <w:pStyle w:val="11"/>
            <w:tabs>
              <w:tab w:val="right" w:leader="dot" w:pos="9072"/>
              <w:tab w:val="clear" w:pos="9062"/>
            </w:tabs>
          </w:pPr>
          <w:r>
            <w:rPr>
              <w:bCs/>
              <w:color w:val="auto"/>
              <w:lang w:val="zh-CN"/>
            </w:rPr>
            <w:fldChar w:fldCharType="begin"/>
          </w:r>
          <w:r>
            <w:rPr>
              <w:bCs/>
              <w:lang w:val="zh-CN"/>
            </w:rPr>
            <w:instrText xml:space="preserve"> HYPERLINK \l _Toc24263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_Toc24263 \h </w:instrText>
          </w:r>
          <w:r>
            <w:fldChar w:fldCharType="separate"/>
          </w:r>
          <w:r>
            <w:t>63</w:t>
          </w:r>
          <w:r>
            <w:fldChar w:fldCharType="end"/>
          </w:r>
          <w:r>
            <w:rPr>
              <w:bCs/>
              <w:color w:val="auto"/>
              <w:lang w:val="zh-CN"/>
            </w:rPr>
            <w:fldChar w:fldCharType="end"/>
          </w:r>
        </w:p>
        <w:p w14:paraId="33DDB66D">
          <w:pPr>
            <w:pStyle w:val="6"/>
            <w:tabs>
              <w:tab w:val="right" w:leader="dot" w:pos="9072"/>
            </w:tabs>
          </w:pPr>
          <w:r>
            <w:rPr>
              <w:bCs/>
              <w:color w:val="auto"/>
              <w:lang w:val="zh-CN"/>
            </w:rPr>
            <w:fldChar w:fldCharType="begin"/>
          </w:r>
          <w:r>
            <w:rPr>
              <w:bCs/>
              <w:lang w:val="zh-CN"/>
            </w:rPr>
            <w:instrText xml:space="preserve"> HYPERLINK \l _Toc30417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_Toc30417 \h </w:instrText>
          </w:r>
          <w:r>
            <w:fldChar w:fldCharType="separate"/>
          </w:r>
          <w:r>
            <w:t>63</w:t>
          </w:r>
          <w:r>
            <w:fldChar w:fldCharType="end"/>
          </w:r>
          <w:r>
            <w:rPr>
              <w:bCs/>
              <w:color w:val="auto"/>
              <w:lang w:val="zh-CN"/>
            </w:rPr>
            <w:fldChar w:fldCharType="end"/>
          </w:r>
        </w:p>
        <w:p w14:paraId="0DB8CDA7">
          <w:pPr>
            <w:pStyle w:val="6"/>
            <w:tabs>
              <w:tab w:val="right" w:leader="dot" w:pos="9072"/>
            </w:tabs>
          </w:pPr>
          <w:r>
            <w:rPr>
              <w:bCs/>
              <w:color w:val="auto"/>
              <w:lang w:val="zh-CN"/>
            </w:rPr>
            <w:fldChar w:fldCharType="begin"/>
          </w:r>
          <w:r>
            <w:rPr>
              <w:bCs/>
              <w:lang w:val="zh-CN"/>
            </w:rPr>
            <w:instrText xml:space="preserve"> HYPERLINK \l _Toc9668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_Toc9668 \h </w:instrText>
          </w:r>
          <w:r>
            <w:fldChar w:fldCharType="separate"/>
          </w:r>
          <w:r>
            <w:t>64</w:t>
          </w:r>
          <w:r>
            <w:fldChar w:fldCharType="end"/>
          </w:r>
          <w:r>
            <w:rPr>
              <w:bCs/>
              <w:color w:val="auto"/>
              <w:lang w:val="zh-CN"/>
            </w:rPr>
            <w:fldChar w:fldCharType="end"/>
          </w:r>
        </w:p>
        <w:p w14:paraId="059B6A17">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_Toc2917 </w:instrText>
          </w:r>
          <w:r>
            <w:rPr>
              <w:bCs/>
              <w:highlight w:val="yellow"/>
              <w:lang w:val="zh-CN"/>
            </w:rPr>
            <w:fldChar w:fldCharType="separate"/>
          </w:r>
          <w:r>
            <w:rPr>
              <w:rFonts w:hint="default"/>
              <w:szCs w:val="24"/>
              <w:highlight w:val="yellow"/>
            </w:rPr>
            <w:t xml:space="preserve">5.3.3 </w:t>
          </w:r>
          <w:r>
            <w:rPr>
              <w:rFonts w:hint="eastAsia"/>
              <w:highlight w:val="yellow"/>
            </w:rPr>
            <w:t>单条分类模块实现</w:t>
          </w:r>
          <w:r>
            <w:rPr>
              <w:highlight w:val="yellow"/>
            </w:rPr>
            <w:tab/>
          </w:r>
          <w:r>
            <w:rPr>
              <w:highlight w:val="yellow"/>
            </w:rPr>
            <w:fldChar w:fldCharType="begin"/>
          </w:r>
          <w:r>
            <w:rPr>
              <w:highlight w:val="yellow"/>
            </w:rPr>
            <w:instrText xml:space="preserve"> PAGEREF _Toc2917 \h </w:instrText>
          </w:r>
          <w:r>
            <w:rPr>
              <w:highlight w:val="yellow"/>
            </w:rPr>
            <w:fldChar w:fldCharType="separate"/>
          </w:r>
          <w:r>
            <w:rPr>
              <w:highlight w:val="yellow"/>
            </w:rPr>
            <w:t>65</w:t>
          </w:r>
          <w:r>
            <w:rPr>
              <w:highlight w:val="yellow"/>
            </w:rPr>
            <w:fldChar w:fldCharType="end"/>
          </w:r>
          <w:r>
            <w:rPr>
              <w:bCs/>
              <w:color w:val="auto"/>
              <w:highlight w:val="yellow"/>
              <w:lang w:val="zh-CN"/>
            </w:rPr>
            <w:fldChar w:fldCharType="end"/>
          </w:r>
        </w:p>
        <w:p w14:paraId="442A7B6F">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_Toc15366 </w:instrText>
          </w:r>
          <w:r>
            <w:rPr>
              <w:bCs/>
              <w:highlight w:val="yellow"/>
              <w:lang w:val="zh-CN"/>
            </w:rPr>
            <w:fldChar w:fldCharType="separate"/>
          </w:r>
          <w:r>
            <w:rPr>
              <w:rFonts w:hint="default"/>
              <w:szCs w:val="24"/>
              <w:highlight w:val="yellow"/>
            </w:rPr>
            <w:t xml:space="preserve">5.3.4 </w:t>
          </w:r>
          <w:r>
            <w:rPr>
              <w:rFonts w:hint="eastAsia"/>
              <w:highlight w:val="yellow"/>
            </w:rPr>
            <w:t>批量分类模块实现</w:t>
          </w:r>
          <w:r>
            <w:rPr>
              <w:highlight w:val="yellow"/>
            </w:rPr>
            <w:tab/>
          </w:r>
          <w:r>
            <w:rPr>
              <w:highlight w:val="yellow"/>
            </w:rPr>
            <w:fldChar w:fldCharType="begin"/>
          </w:r>
          <w:r>
            <w:rPr>
              <w:highlight w:val="yellow"/>
            </w:rPr>
            <w:instrText xml:space="preserve"> PAGEREF _Toc15366 \h </w:instrText>
          </w:r>
          <w:r>
            <w:rPr>
              <w:highlight w:val="yellow"/>
            </w:rPr>
            <w:fldChar w:fldCharType="separate"/>
          </w:r>
          <w:r>
            <w:rPr>
              <w:highlight w:val="yellow"/>
            </w:rPr>
            <w:t>66</w:t>
          </w:r>
          <w:r>
            <w:rPr>
              <w:highlight w:val="yellow"/>
            </w:rPr>
            <w:fldChar w:fldCharType="end"/>
          </w:r>
          <w:r>
            <w:rPr>
              <w:bCs/>
              <w:color w:val="auto"/>
              <w:highlight w:val="yellow"/>
              <w:lang w:val="zh-CN"/>
            </w:rPr>
            <w:fldChar w:fldCharType="end"/>
          </w:r>
        </w:p>
        <w:p w14:paraId="010F6706">
          <w:pPr>
            <w:pStyle w:val="6"/>
            <w:tabs>
              <w:tab w:val="right" w:leader="dot" w:pos="9072"/>
            </w:tabs>
          </w:pPr>
          <w:r>
            <w:rPr>
              <w:bCs/>
              <w:color w:val="auto"/>
              <w:highlight w:val="yellow"/>
              <w:lang w:val="zh-CN"/>
            </w:rPr>
            <w:fldChar w:fldCharType="begin"/>
          </w:r>
          <w:r>
            <w:rPr>
              <w:bCs/>
              <w:highlight w:val="yellow"/>
              <w:lang w:val="zh-CN"/>
            </w:rPr>
            <w:instrText xml:space="preserve"> HYPERLINK \l _Toc6854 </w:instrText>
          </w:r>
          <w:r>
            <w:rPr>
              <w:bCs/>
              <w:highlight w:val="yellow"/>
              <w:lang w:val="zh-CN"/>
            </w:rPr>
            <w:fldChar w:fldCharType="separate"/>
          </w:r>
          <w:r>
            <w:rPr>
              <w:rFonts w:hint="default"/>
              <w:szCs w:val="24"/>
              <w:highlight w:val="yellow"/>
            </w:rPr>
            <w:t xml:space="preserve">5.3.5 </w:t>
          </w:r>
          <w:r>
            <w:rPr>
              <w:rFonts w:hint="eastAsia"/>
              <w:highlight w:val="yellow"/>
            </w:rPr>
            <w:t>分类历史与导出模块实现</w:t>
          </w:r>
          <w:r>
            <w:rPr>
              <w:highlight w:val="yellow"/>
            </w:rPr>
            <w:tab/>
          </w:r>
          <w:r>
            <w:rPr>
              <w:highlight w:val="yellow"/>
            </w:rPr>
            <w:fldChar w:fldCharType="begin"/>
          </w:r>
          <w:r>
            <w:rPr>
              <w:highlight w:val="yellow"/>
            </w:rPr>
            <w:instrText xml:space="preserve"> PAGEREF _Toc6854 \h </w:instrText>
          </w:r>
          <w:r>
            <w:rPr>
              <w:highlight w:val="yellow"/>
            </w:rPr>
            <w:fldChar w:fldCharType="separate"/>
          </w:r>
          <w:r>
            <w:rPr>
              <w:highlight w:val="yellow"/>
            </w:rPr>
            <w:t>67</w:t>
          </w:r>
          <w:r>
            <w:rPr>
              <w:highlight w:val="yellow"/>
            </w:rPr>
            <w:fldChar w:fldCharType="end"/>
          </w:r>
          <w:r>
            <w:rPr>
              <w:bCs/>
              <w:color w:val="auto"/>
              <w:highlight w:val="yellow"/>
              <w:lang w:val="zh-CN"/>
            </w:rPr>
            <w:fldChar w:fldCharType="end"/>
          </w:r>
        </w:p>
        <w:p w14:paraId="78C1B8EB">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_Toc11527 </w:instrText>
          </w:r>
          <w:r>
            <w:rPr>
              <w:bCs/>
              <w:highlight w:val="yellow"/>
              <w:lang w:val="zh-CN"/>
            </w:rPr>
            <w:fldChar w:fldCharType="separate"/>
          </w:r>
          <w:r>
            <w:rPr>
              <w:rFonts w:hint="default"/>
              <w:szCs w:val="28"/>
              <w:highlight w:val="yellow"/>
            </w:rPr>
            <w:t xml:space="preserve">5.4 </w:t>
          </w:r>
          <w:r>
            <w:rPr>
              <w:highlight w:val="yellow"/>
            </w:rPr>
            <w:t>系统测试与验证</w:t>
          </w:r>
          <w:r>
            <w:rPr>
              <w:highlight w:val="yellow"/>
            </w:rPr>
            <w:tab/>
          </w:r>
          <w:r>
            <w:rPr>
              <w:highlight w:val="yellow"/>
            </w:rPr>
            <w:fldChar w:fldCharType="begin"/>
          </w:r>
          <w:r>
            <w:rPr>
              <w:highlight w:val="yellow"/>
            </w:rPr>
            <w:instrText xml:space="preserve"> PAGEREF _Toc11527 \h </w:instrText>
          </w:r>
          <w:r>
            <w:rPr>
              <w:highlight w:val="yellow"/>
            </w:rPr>
            <w:fldChar w:fldCharType="separate"/>
          </w:r>
          <w:r>
            <w:rPr>
              <w:highlight w:val="yellow"/>
            </w:rPr>
            <w:t>67</w:t>
          </w:r>
          <w:r>
            <w:rPr>
              <w:highlight w:val="yellow"/>
            </w:rPr>
            <w:fldChar w:fldCharType="end"/>
          </w:r>
          <w:r>
            <w:rPr>
              <w:bCs/>
              <w:color w:val="auto"/>
              <w:highlight w:val="yellow"/>
              <w:lang w:val="zh-CN"/>
            </w:rPr>
            <w:fldChar w:fldCharType="end"/>
          </w:r>
        </w:p>
        <w:p w14:paraId="27C3E4F3">
          <w:pPr>
            <w:pStyle w:val="6"/>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_Toc10614 </w:instrText>
          </w:r>
          <w:r>
            <w:rPr>
              <w:bCs/>
              <w:highlight w:val="yellow"/>
              <w:lang w:val="zh-CN"/>
            </w:rPr>
            <w:fldChar w:fldCharType="separate"/>
          </w:r>
          <w:r>
            <w:rPr>
              <w:rFonts w:hint="default"/>
              <w:szCs w:val="24"/>
              <w:highlight w:val="yellow"/>
            </w:rPr>
            <w:t xml:space="preserve">5.4.1 </w:t>
          </w:r>
          <w:r>
            <w:rPr>
              <w:rFonts w:hint="eastAsia"/>
              <w:highlight w:val="yellow"/>
            </w:rPr>
            <w:t>功能测试</w:t>
          </w:r>
          <w:r>
            <w:rPr>
              <w:highlight w:val="yellow"/>
            </w:rPr>
            <w:tab/>
          </w:r>
          <w:r>
            <w:rPr>
              <w:highlight w:val="yellow"/>
            </w:rPr>
            <w:fldChar w:fldCharType="begin"/>
          </w:r>
          <w:r>
            <w:rPr>
              <w:highlight w:val="yellow"/>
            </w:rPr>
            <w:instrText xml:space="preserve"> PAGEREF _Toc10614 \h </w:instrText>
          </w:r>
          <w:r>
            <w:rPr>
              <w:highlight w:val="yellow"/>
            </w:rPr>
            <w:fldChar w:fldCharType="separate"/>
          </w:r>
          <w:r>
            <w:rPr>
              <w:highlight w:val="yellow"/>
            </w:rPr>
            <w:t>68</w:t>
          </w:r>
          <w:r>
            <w:rPr>
              <w:highlight w:val="yellow"/>
            </w:rPr>
            <w:fldChar w:fldCharType="end"/>
          </w:r>
          <w:r>
            <w:rPr>
              <w:bCs/>
              <w:color w:val="auto"/>
              <w:highlight w:val="yellow"/>
              <w:lang w:val="zh-CN"/>
            </w:rPr>
            <w:fldChar w:fldCharType="end"/>
          </w:r>
        </w:p>
        <w:p w14:paraId="77959CE6">
          <w:pPr>
            <w:pStyle w:val="6"/>
            <w:tabs>
              <w:tab w:val="right" w:leader="dot" w:pos="9072"/>
            </w:tabs>
          </w:pPr>
          <w:r>
            <w:rPr>
              <w:bCs/>
              <w:color w:val="auto"/>
              <w:highlight w:val="yellow"/>
              <w:lang w:val="zh-CN"/>
            </w:rPr>
            <w:fldChar w:fldCharType="begin"/>
          </w:r>
          <w:r>
            <w:rPr>
              <w:bCs/>
              <w:highlight w:val="yellow"/>
              <w:lang w:val="zh-CN"/>
            </w:rPr>
            <w:instrText xml:space="preserve"> HYPERLINK \l _Toc7815 </w:instrText>
          </w:r>
          <w:r>
            <w:rPr>
              <w:bCs/>
              <w:highlight w:val="yellow"/>
              <w:lang w:val="zh-CN"/>
            </w:rPr>
            <w:fldChar w:fldCharType="separate"/>
          </w:r>
          <w:r>
            <w:rPr>
              <w:rFonts w:hint="default"/>
              <w:szCs w:val="24"/>
              <w:highlight w:val="yellow"/>
            </w:rPr>
            <w:t xml:space="preserve">5.4.2 </w:t>
          </w:r>
          <w:r>
            <w:rPr>
              <w:rFonts w:hint="eastAsia"/>
              <w:highlight w:val="yellow"/>
            </w:rPr>
            <w:t>非功能测试</w:t>
          </w:r>
          <w:r>
            <w:rPr>
              <w:highlight w:val="yellow"/>
            </w:rPr>
            <w:tab/>
          </w:r>
          <w:r>
            <w:rPr>
              <w:highlight w:val="yellow"/>
            </w:rPr>
            <w:fldChar w:fldCharType="begin"/>
          </w:r>
          <w:r>
            <w:rPr>
              <w:highlight w:val="yellow"/>
            </w:rPr>
            <w:instrText xml:space="preserve"> PAGEREF _Toc7815 \h </w:instrText>
          </w:r>
          <w:r>
            <w:rPr>
              <w:highlight w:val="yellow"/>
            </w:rPr>
            <w:fldChar w:fldCharType="separate"/>
          </w:r>
          <w:r>
            <w:rPr>
              <w:highlight w:val="yellow"/>
            </w:rPr>
            <w:t>68</w:t>
          </w:r>
          <w:r>
            <w:rPr>
              <w:highlight w:val="yellow"/>
            </w:rPr>
            <w:fldChar w:fldCharType="end"/>
          </w:r>
          <w:r>
            <w:rPr>
              <w:bCs/>
              <w:color w:val="auto"/>
              <w:highlight w:val="yellow"/>
              <w:lang w:val="zh-CN"/>
            </w:rPr>
            <w:fldChar w:fldCharType="end"/>
          </w:r>
        </w:p>
        <w:p w14:paraId="03130FB9">
          <w:pPr>
            <w:pStyle w:val="10"/>
            <w:tabs>
              <w:tab w:val="right" w:leader="dot" w:pos="9072"/>
            </w:tabs>
            <w:rPr>
              <w:highlight w:val="yellow"/>
            </w:rPr>
          </w:pPr>
          <w:r>
            <w:rPr>
              <w:bCs/>
              <w:color w:val="auto"/>
              <w:highlight w:val="yellow"/>
              <w:lang w:val="zh-CN"/>
            </w:rPr>
            <w:fldChar w:fldCharType="begin"/>
          </w:r>
          <w:r>
            <w:rPr>
              <w:bCs/>
              <w:highlight w:val="yellow"/>
              <w:lang w:val="zh-CN"/>
            </w:rPr>
            <w:instrText xml:space="preserve"> HYPERLINK \l _Toc13415 </w:instrText>
          </w:r>
          <w:r>
            <w:rPr>
              <w:bCs/>
              <w:highlight w:val="yellow"/>
              <w:lang w:val="zh-CN"/>
            </w:rPr>
            <w:fldChar w:fldCharType="separate"/>
          </w:r>
          <w:r>
            <w:rPr>
              <w:rFonts w:hint="eastAsia"/>
              <w:szCs w:val="30"/>
              <w:highlight w:val="yellow"/>
            </w:rPr>
            <w:t xml:space="preserve">第六章 </w:t>
          </w:r>
          <w:r>
            <w:rPr>
              <w:rFonts w:hint="eastAsia"/>
              <w:highlight w:val="yellow"/>
            </w:rPr>
            <w:t>总结与展望</w:t>
          </w:r>
          <w:r>
            <w:rPr>
              <w:highlight w:val="yellow"/>
            </w:rPr>
            <w:tab/>
          </w:r>
          <w:r>
            <w:rPr>
              <w:highlight w:val="yellow"/>
            </w:rPr>
            <w:fldChar w:fldCharType="begin"/>
          </w:r>
          <w:r>
            <w:rPr>
              <w:highlight w:val="yellow"/>
            </w:rPr>
            <w:instrText xml:space="preserve"> PAGEREF _Toc13415 \h </w:instrText>
          </w:r>
          <w:r>
            <w:rPr>
              <w:highlight w:val="yellow"/>
            </w:rPr>
            <w:fldChar w:fldCharType="separate"/>
          </w:r>
          <w:r>
            <w:rPr>
              <w:highlight w:val="yellow"/>
            </w:rPr>
            <w:t>70</w:t>
          </w:r>
          <w:r>
            <w:rPr>
              <w:highlight w:val="yellow"/>
            </w:rPr>
            <w:fldChar w:fldCharType="end"/>
          </w:r>
          <w:r>
            <w:rPr>
              <w:bCs/>
              <w:color w:val="auto"/>
              <w:highlight w:val="yellow"/>
              <w:lang w:val="zh-CN"/>
            </w:rPr>
            <w:fldChar w:fldCharType="end"/>
          </w:r>
        </w:p>
        <w:p w14:paraId="6C23B4D7">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_Toc14079 </w:instrText>
          </w:r>
          <w:r>
            <w:rPr>
              <w:bCs/>
              <w:highlight w:val="yellow"/>
              <w:lang w:val="zh-CN"/>
            </w:rPr>
            <w:fldChar w:fldCharType="separate"/>
          </w:r>
          <w:r>
            <w:rPr>
              <w:rFonts w:hint="default"/>
              <w:szCs w:val="28"/>
              <w:highlight w:val="yellow"/>
            </w:rPr>
            <w:t xml:space="preserve">6.1 </w:t>
          </w:r>
          <w:r>
            <w:rPr>
              <w:rFonts w:hint="eastAsia"/>
              <w:highlight w:val="yellow"/>
            </w:rPr>
            <w:t>总结</w:t>
          </w:r>
          <w:r>
            <w:rPr>
              <w:highlight w:val="yellow"/>
            </w:rPr>
            <w:tab/>
          </w:r>
          <w:r>
            <w:rPr>
              <w:highlight w:val="yellow"/>
            </w:rPr>
            <w:fldChar w:fldCharType="begin"/>
          </w:r>
          <w:r>
            <w:rPr>
              <w:highlight w:val="yellow"/>
            </w:rPr>
            <w:instrText xml:space="preserve"> PAGEREF _Toc14079 \h </w:instrText>
          </w:r>
          <w:r>
            <w:rPr>
              <w:highlight w:val="yellow"/>
            </w:rPr>
            <w:fldChar w:fldCharType="separate"/>
          </w:r>
          <w:r>
            <w:rPr>
              <w:highlight w:val="yellow"/>
            </w:rPr>
            <w:t>70</w:t>
          </w:r>
          <w:r>
            <w:rPr>
              <w:highlight w:val="yellow"/>
            </w:rPr>
            <w:fldChar w:fldCharType="end"/>
          </w:r>
          <w:r>
            <w:rPr>
              <w:bCs/>
              <w:color w:val="auto"/>
              <w:highlight w:val="yellow"/>
              <w:lang w:val="zh-CN"/>
            </w:rPr>
            <w:fldChar w:fldCharType="end"/>
          </w:r>
        </w:p>
        <w:p w14:paraId="78539769">
          <w:pPr>
            <w:pStyle w:val="11"/>
            <w:tabs>
              <w:tab w:val="right" w:leader="dot" w:pos="9072"/>
              <w:tab w:val="clear" w:pos="9062"/>
            </w:tabs>
            <w:rPr>
              <w:highlight w:val="yellow"/>
            </w:rPr>
          </w:pPr>
          <w:r>
            <w:rPr>
              <w:bCs/>
              <w:color w:val="auto"/>
              <w:highlight w:val="yellow"/>
              <w:lang w:val="zh-CN"/>
            </w:rPr>
            <w:fldChar w:fldCharType="begin"/>
          </w:r>
          <w:r>
            <w:rPr>
              <w:bCs/>
              <w:highlight w:val="yellow"/>
              <w:lang w:val="zh-CN"/>
            </w:rPr>
            <w:instrText xml:space="preserve"> HYPERLINK \l _Toc14394 </w:instrText>
          </w:r>
          <w:r>
            <w:rPr>
              <w:bCs/>
              <w:highlight w:val="yellow"/>
              <w:lang w:val="zh-CN"/>
            </w:rPr>
            <w:fldChar w:fldCharType="separate"/>
          </w:r>
          <w:r>
            <w:rPr>
              <w:rFonts w:hint="default"/>
              <w:szCs w:val="28"/>
              <w:highlight w:val="yellow"/>
            </w:rPr>
            <w:t xml:space="preserve">6.2 </w:t>
          </w:r>
          <w:r>
            <w:rPr>
              <w:rFonts w:hint="eastAsia"/>
              <w:highlight w:val="yellow"/>
            </w:rPr>
            <w:t>创新点</w:t>
          </w:r>
          <w:r>
            <w:rPr>
              <w:highlight w:val="yellow"/>
            </w:rPr>
            <w:tab/>
          </w:r>
          <w:r>
            <w:rPr>
              <w:highlight w:val="yellow"/>
            </w:rPr>
            <w:fldChar w:fldCharType="begin"/>
          </w:r>
          <w:r>
            <w:rPr>
              <w:highlight w:val="yellow"/>
            </w:rPr>
            <w:instrText xml:space="preserve"> PAGEREF _Toc14394 \h </w:instrText>
          </w:r>
          <w:r>
            <w:rPr>
              <w:highlight w:val="yellow"/>
            </w:rPr>
            <w:fldChar w:fldCharType="separate"/>
          </w:r>
          <w:r>
            <w:rPr>
              <w:highlight w:val="yellow"/>
            </w:rPr>
            <w:t>72</w:t>
          </w:r>
          <w:r>
            <w:rPr>
              <w:highlight w:val="yellow"/>
            </w:rPr>
            <w:fldChar w:fldCharType="end"/>
          </w:r>
          <w:r>
            <w:rPr>
              <w:bCs/>
              <w:color w:val="auto"/>
              <w:highlight w:val="yellow"/>
              <w:lang w:val="zh-CN"/>
            </w:rPr>
            <w:fldChar w:fldCharType="end"/>
          </w:r>
        </w:p>
        <w:p w14:paraId="011A5AF8">
          <w:pPr>
            <w:pStyle w:val="11"/>
            <w:tabs>
              <w:tab w:val="right" w:leader="dot" w:pos="9072"/>
              <w:tab w:val="clear" w:pos="9062"/>
            </w:tabs>
          </w:pPr>
          <w:r>
            <w:rPr>
              <w:bCs/>
              <w:color w:val="auto"/>
              <w:highlight w:val="yellow"/>
              <w:lang w:val="zh-CN"/>
            </w:rPr>
            <w:fldChar w:fldCharType="begin"/>
          </w:r>
          <w:r>
            <w:rPr>
              <w:bCs/>
              <w:highlight w:val="yellow"/>
              <w:lang w:val="zh-CN"/>
            </w:rPr>
            <w:instrText xml:space="preserve"> HYPERLINK \l _Toc22641 </w:instrText>
          </w:r>
          <w:r>
            <w:rPr>
              <w:bCs/>
              <w:highlight w:val="yellow"/>
              <w:lang w:val="zh-CN"/>
            </w:rPr>
            <w:fldChar w:fldCharType="separate"/>
          </w:r>
          <w:r>
            <w:rPr>
              <w:rFonts w:hint="default"/>
              <w:szCs w:val="28"/>
              <w:highlight w:val="yellow"/>
            </w:rPr>
            <w:t xml:space="preserve">6.3 </w:t>
          </w:r>
          <w:r>
            <w:rPr>
              <w:rFonts w:hint="eastAsia"/>
              <w:highlight w:val="yellow"/>
            </w:rPr>
            <w:t>展望</w:t>
          </w:r>
          <w:r>
            <w:rPr>
              <w:highlight w:val="yellow"/>
            </w:rPr>
            <w:tab/>
          </w:r>
          <w:r>
            <w:rPr>
              <w:highlight w:val="yellow"/>
            </w:rPr>
            <w:fldChar w:fldCharType="begin"/>
          </w:r>
          <w:r>
            <w:rPr>
              <w:highlight w:val="yellow"/>
            </w:rPr>
            <w:instrText xml:space="preserve"> PAGEREF _Toc22641 \h </w:instrText>
          </w:r>
          <w:r>
            <w:rPr>
              <w:highlight w:val="yellow"/>
            </w:rPr>
            <w:fldChar w:fldCharType="separate"/>
          </w:r>
          <w:r>
            <w:rPr>
              <w:highlight w:val="yellow"/>
            </w:rPr>
            <w:t>73</w:t>
          </w:r>
          <w:r>
            <w:rPr>
              <w:highlight w:val="yellow"/>
            </w:rPr>
            <w:fldChar w:fldCharType="end"/>
          </w:r>
          <w:r>
            <w:rPr>
              <w:bCs/>
              <w:color w:val="auto"/>
              <w:highlight w:val="yellow"/>
              <w:lang w:val="zh-CN"/>
            </w:rPr>
            <w:fldChar w:fldCharType="end"/>
          </w:r>
        </w:p>
        <w:p w14:paraId="1EF3393C">
          <w:pPr>
            <w:pStyle w:val="10"/>
            <w:tabs>
              <w:tab w:val="right" w:leader="dot" w:pos="9072"/>
            </w:tabs>
          </w:pPr>
          <w:r>
            <w:rPr>
              <w:bCs/>
              <w:color w:val="auto"/>
              <w:lang w:val="zh-CN"/>
            </w:rPr>
            <w:fldChar w:fldCharType="begin"/>
          </w:r>
          <w:r>
            <w:rPr>
              <w:bCs/>
              <w:lang w:val="zh-CN"/>
            </w:rPr>
            <w:instrText xml:space="preserve"> HYPERLINK \l _Toc3912 </w:instrText>
          </w:r>
          <w:r>
            <w:rPr>
              <w:bCs/>
              <w:lang w:val="zh-CN"/>
            </w:rPr>
            <w:fldChar w:fldCharType="separate"/>
          </w:r>
          <w:r>
            <w:rPr>
              <w:rFonts w:hint="eastAsia"/>
            </w:rPr>
            <w:t>参考文献</w:t>
          </w:r>
          <w:r>
            <w:tab/>
          </w:r>
          <w:r>
            <w:fldChar w:fldCharType="begin"/>
          </w:r>
          <w:r>
            <w:instrText xml:space="preserve"> PAGEREF _Toc3912 \h </w:instrText>
          </w:r>
          <w:r>
            <w:fldChar w:fldCharType="separate"/>
          </w:r>
          <w:r>
            <w:t>75</w:t>
          </w:r>
          <w:r>
            <w:fldChar w:fldCharType="end"/>
          </w:r>
          <w:r>
            <w:rPr>
              <w:bCs/>
              <w:color w:val="auto"/>
              <w:lang w:val="zh-CN"/>
            </w:rPr>
            <w:fldChar w:fldCharType="end"/>
          </w:r>
        </w:p>
        <w:p w14:paraId="5EEA038D">
          <w:pPr>
            <w:pStyle w:val="10"/>
            <w:tabs>
              <w:tab w:val="right" w:leader="dot" w:pos="9072"/>
            </w:tabs>
          </w:pPr>
          <w:r>
            <w:rPr>
              <w:bCs/>
              <w:color w:val="auto"/>
              <w:lang w:val="zh-CN"/>
            </w:rPr>
            <w:fldChar w:fldCharType="begin"/>
          </w:r>
          <w:r>
            <w:rPr>
              <w:bCs/>
              <w:lang w:val="zh-CN"/>
            </w:rPr>
            <w:instrText xml:space="preserve"> HYPERLINK \l _Toc23234 </w:instrText>
          </w:r>
          <w:r>
            <w:rPr>
              <w:bCs/>
              <w:lang w:val="zh-CN"/>
            </w:rPr>
            <w:fldChar w:fldCharType="separate"/>
          </w:r>
          <w:r>
            <w:rPr>
              <w:rFonts w:hint="eastAsia"/>
            </w:rPr>
            <w:t>致谢</w:t>
          </w:r>
          <w:r>
            <w:tab/>
          </w:r>
          <w:r>
            <w:fldChar w:fldCharType="begin"/>
          </w:r>
          <w:r>
            <w:instrText xml:space="preserve"> PAGEREF _Toc23234 \h </w:instrText>
          </w:r>
          <w:r>
            <w:fldChar w:fldCharType="separate"/>
          </w:r>
          <w:r>
            <w:t>80</w:t>
          </w:r>
          <w:r>
            <w:fldChar w:fldCharType="end"/>
          </w:r>
          <w:r>
            <w:rPr>
              <w:bCs/>
              <w:color w:val="auto"/>
              <w:lang w:val="zh-CN"/>
            </w:rPr>
            <w:fldChar w:fldCharType="end"/>
          </w:r>
        </w:p>
        <w:p w14:paraId="48473B4D">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cols w:space="720" w:num="1"/>
              <w:docGrid w:type="lines" w:linePitch="333" w:charSpace="0"/>
            </w:sectPr>
          </w:pPr>
          <w:r>
            <w:rPr>
              <w:bCs/>
              <w:color w:val="auto"/>
              <w:lang w:val="zh-CN"/>
            </w:rPr>
            <w:fldChar w:fldCharType="end"/>
          </w:r>
        </w:p>
      </w:sdtContent>
    </w:sdt>
    <w:p w14:paraId="6FBAD7C1">
      <w:pPr>
        <w:pStyle w:val="2"/>
      </w:pPr>
      <w:bookmarkStart w:id="0" w:name="_Toc229086841"/>
      <w:bookmarkStart w:id="1" w:name="_Toc216114463"/>
      <w:bookmarkStart w:id="2" w:name="_Toc17674"/>
      <w:r>
        <w:rPr>
          <w:rFonts w:hint="eastAsia"/>
        </w:rPr>
        <w:t>摘要</w:t>
      </w:r>
      <w:bookmarkEnd w:id="0"/>
      <w:bookmarkEnd w:id="1"/>
      <w:bookmarkEnd w:id="2"/>
    </w:p>
    <w:p w14:paraId="6DF3FEB2">
      <w:pPr>
        <w:ind w:firstLine="480"/>
        <w:jc w:val="left"/>
      </w:pPr>
      <w:r>
        <w:rPr>
          <w:rFonts w:hint="eastAsia"/>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447EEEF8">
      <w:pPr>
        <w:ind w:firstLine="480"/>
        <w:jc w:val="left"/>
      </w:pPr>
      <w:r>
        <w:rPr>
          <w:rFonts w:hint="eastAsia"/>
        </w:rPr>
        <w:t>为提高训练数据质量，本文依据授权状态、附图、一级产品类别标签和文本完整性等条件筛选候选专利，并以申请号去重，获得58495条原始候选数据。在此基础上，构建1104条专家校对数据集D2，用于评价自动标注方法和分析标签置信度。为降低原始标签噪声对训练数据构建的影响，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通过D3抽样验证和TOST等价性检验确认高置信样本可用性，随后对训练中难以学习的极少数类别进行定向增强，最终形成34493条训练数据。</w:t>
      </w:r>
    </w:p>
    <w:p w14:paraId="54A2871F">
      <w:pPr>
        <w:ind w:firstLine="480"/>
        <w:jc w:val="left"/>
      </w:pPr>
      <w:r>
        <w:rPr>
          <w:rFonts w:hint="eastAsia"/>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F1-score为0.8546。基于该模型，本文开发了基于B/S架构的医疗器械专利自动分类系统，为医疗器械专利数据的分类管理、结果复核和后续分析提供了支撑。</w:t>
      </w:r>
    </w:p>
    <w:p w14:paraId="7A2680BB">
      <w:pPr>
        <w:ind w:firstLine="0" w:firstLineChars="0"/>
        <w:jc w:val="left"/>
        <w:rPr>
          <w:rFonts w:eastAsia="黑体"/>
        </w:rPr>
        <w:sectPr>
          <w:headerReference r:id="rId15" w:type="default"/>
          <w:footerReference r:id="rId16" w:type="default"/>
          <w:footerReference r:id="rId17" w:type="even"/>
          <w:pgSz w:w="11906" w:h="16838"/>
          <w:pgMar w:top="1440" w:right="1800" w:bottom="1440" w:left="1800" w:header="851" w:footer="992" w:gutter="0"/>
          <w:pgNumType w:fmt="upperRoman" w:start="1"/>
          <w:cols w:space="425" w:num="1"/>
          <w:docGrid w:type="lines" w:linePitch="312" w:charSpace="0"/>
        </w:sectPr>
      </w:pPr>
      <w:r>
        <w:rPr>
          <w:rFonts w:hint="eastAsia" w:eastAsia="黑体"/>
        </w:rPr>
        <w:t>关键词：医疗器械，发明专利分类，BERT，Qwen</w:t>
      </w:r>
    </w:p>
    <w:p w14:paraId="32258949">
      <w:pPr>
        <w:pStyle w:val="2"/>
        <w:rPr>
          <w:b/>
          <w:bCs/>
        </w:rPr>
      </w:pPr>
      <w:bookmarkStart w:id="3" w:name="_Toc216114464"/>
      <w:bookmarkStart w:id="4" w:name="_Toc229086842"/>
      <w:bookmarkStart w:id="5" w:name="_Toc8252"/>
      <w:r>
        <w:rPr>
          <w:rFonts w:hint="eastAsia"/>
          <w:b/>
          <w:bCs/>
        </w:rPr>
        <w:t>ABSTRACT</w:t>
      </w:r>
      <w:bookmarkEnd w:id="3"/>
      <w:bookmarkEnd w:id="4"/>
      <w:bookmarkEnd w:id="5"/>
      <w:bookmarkStart w:id="6" w:name="_Toc216114465"/>
    </w:p>
    <w:p w14:paraId="65107907">
      <w:pPr>
        <w:ind w:firstLine="480"/>
      </w:pPr>
      <w:r>
        <w:rPr>
          <w:rFonts w:hint="eastAsia"/>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standards such as IPC or CPC, and they cannot be directly matched with the regulatory categories in China’s Medical Device Classification Catalogue. In addition, medical device patent texts contain terms from medicine, machinery, electronics, materials and other fields. Their abstracts are highly specialized and often involve overlapping categories, which brings difficulties to automatic classification. To address these problems, this thesis takes medical device invention patents whose main IPC classification number belongs to A61B as the research object, and studies automatic classification for the 22 first-level product categories in the Medical Device Classification Catalogue.</w:t>
      </w:r>
    </w:p>
    <w:p w14:paraId="43FFF4A2">
      <w:pPr>
        <w:ind w:firstLine="480"/>
      </w:pPr>
      <w:r>
        <w:rPr>
          <w:rFonts w:hint="eastAsia"/>
        </w:rPr>
        <w:t>To improve the quality of training data, this thesis first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thesis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Directional data augmentation is further conducted for the few categories that are difficult to learn during training. Finally, 34,493 training samples are formed.</w:t>
      </w:r>
    </w:p>
    <w:p w14:paraId="4D58C4B1">
      <w:pPr>
        <w:ind w:firstLine="480"/>
      </w:pPr>
      <w:r>
        <w:rPr>
          <w:rFonts w:hint="eastAsia"/>
        </w:rPr>
        <w:t>In terms of classification modeling, this thesis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the Yizhiqiao platform in 2025. Based on this model, this thesis develops an automatic classification system for medical device patents using a B/S architecture, providing support for patent data classification management, result review and subsequent analysis.</w:t>
      </w:r>
    </w:p>
    <w:p w14:paraId="617E8BF9">
      <w:pPr>
        <w:pStyle w:val="7"/>
        <w:ind w:firstLine="0" w:firstLineChars="0"/>
        <w:jc w:val="left"/>
        <w:rPr>
          <w:rFonts w:ascii="Times New Roman" w:hAnsi="Times New Roman" w:eastAsia="仿宋"/>
          <w:b/>
          <w:bCs/>
          <w:sz w:val="24"/>
          <w:szCs w:val="24"/>
        </w:rPr>
      </w:pPr>
      <w:r>
        <w:rPr>
          <w:rFonts w:hint="eastAsia" w:ascii="Times New Roman" w:hAnsi="Times New Roman" w:eastAsia="仿宋"/>
          <w:b/>
          <w:bCs/>
          <w:sz w:val="24"/>
          <w:szCs w:val="24"/>
        </w:rPr>
        <w:t>Keywords: medical devices, invention patent classification, BERT, Qwen</w:t>
      </w:r>
    </w:p>
    <w:p w14:paraId="4ECCA8D9">
      <w:pPr>
        <w:pStyle w:val="7"/>
        <w:ind w:firstLine="0" w:firstLineChars="0"/>
        <w:jc w:val="left"/>
        <w:rPr>
          <w:rFonts w:ascii="Times New Roman" w:hAnsi="Times New Roman" w:eastAsia="仿宋"/>
          <w:b/>
          <w:bCs/>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NumType w:fmt="upperRoman" w:start="2"/>
          <w:cols w:space="0" w:num="1"/>
          <w:docGrid w:type="lines" w:linePitch="312" w:charSpace="0"/>
        </w:sectPr>
      </w:pPr>
    </w:p>
    <w:p w14:paraId="1C765B0F">
      <w:pPr>
        <w:pStyle w:val="2"/>
        <w:numPr>
          <w:ilvl w:val="0"/>
          <w:numId w:val="1"/>
        </w:numPr>
        <w:tabs>
          <w:tab w:val="clear" w:pos="0"/>
        </w:tabs>
      </w:pPr>
      <w:bookmarkStart w:id="7" w:name="_Toc229086843"/>
      <w:bookmarkStart w:id="8" w:name="_Toc14483"/>
      <w:r>
        <w:rPr>
          <w:rFonts w:hint="eastAsia"/>
        </w:rPr>
        <w:t>绪论</w:t>
      </w:r>
      <w:bookmarkEnd w:id="6"/>
      <w:bookmarkEnd w:id="7"/>
      <w:bookmarkEnd w:id="8"/>
    </w:p>
    <w:p w14:paraId="03901A35">
      <w:pPr>
        <w:pStyle w:val="3"/>
        <w:numPr>
          <w:ilvl w:val="1"/>
          <w:numId w:val="1"/>
        </w:numPr>
        <w:tabs>
          <w:tab w:val="clear" w:pos="420"/>
        </w:tabs>
        <w:rPr>
          <w:highlight w:val="yellow"/>
        </w:rPr>
      </w:pPr>
      <w:bookmarkStart w:id="9" w:name="_Toc229086844"/>
      <w:bookmarkStart w:id="10" w:name="_Toc216114466"/>
      <w:bookmarkStart w:id="11" w:name="_Toc31415"/>
      <w:bookmarkStart w:id="12" w:name="_Toc216114467"/>
      <w:r>
        <w:rPr>
          <w:rFonts w:hint="eastAsia"/>
          <w:highlight w:val="yellow"/>
        </w:rPr>
        <w:t>研究背景及意义</w:t>
      </w:r>
      <w:bookmarkEnd w:id="9"/>
      <w:bookmarkEnd w:id="10"/>
      <w:bookmarkEnd w:id="11"/>
    </w:p>
    <w:p w14:paraId="4A4A08DE">
      <w:pPr>
        <w:pStyle w:val="4"/>
        <w:numPr>
          <w:ilvl w:val="2"/>
          <w:numId w:val="1"/>
        </w:numPr>
        <w:tabs>
          <w:tab w:val="clear" w:pos="420"/>
        </w:tabs>
        <w:rPr>
          <w:highlight w:val="yellow"/>
        </w:rPr>
      </w:pPr>
      <w:bookmarkStart w:id="13" w:name="_Toc229086845"/>
      <w:bookmarkStart w:id="14" w:name="_Toc14341"/>
      <w:r>
        <w:rPr>
          <w:rFonts w:hint="eastAsia"/>
          <w:highlight w:val="yellow"/>
        </w:rPr>
        <w:t>研究背景</w:t>
      </w:r>
      <w:bookmarkEnd w:id="13"/>
      <w:bookmarkEnd w:id="14"/>
    </w:p>
    <w:p w14:paraId="15430D89">
      <w:pPr>
        <w:ind w:firstLine="480"/>
        <w:rPr>
          <w:highlight w:val="yellow"/>
        </w:rPr>
      </w:pPr>
      <w:r>
        <w:rPr>
          <w:rFonts w:hint="eastAsia"/>
          <w:highlight w:val="yellow"/>
        </w:rPr>
        <w:t>医疗器械产业是融合了生命科学、机械、电子及信息技术等多种高尖端技术于一体的高技术、高风险、高投入行业。医疗器械的技术水平直接关系到人类健康，对疾病的诊断治疗与健康维护具有至关重要的作用</w:t>
      </w:r>
      <w:r>
        <w:rPr>
          <w:rStyle w:val="33"/>
          <w:rFonts w:hint="eastAsia"/>
          <w:highlight w:val="yellow"/>
        </w:rPr>
        <w:t>[1]</w:t>
      </w:r>
      <w:r>
        <w:rPr>
          <w:rFonts w:hint="eastAsia"/>
          <w:highlight w:val="yellow"/>
        </w:rPr>
        <w:t>。在生物医学工程与人工智能技术深度融合的背景下，医疗器械已成为全球主要经济体竞相布局的关键战略领域</w:t>
      </w:r>
      <w:r>
        <w:rPr>
          <w:rStyle w:val="33"/>
          <w:rFonts w:hint="eastAsia"/>
          <w:highlight w:val="yellow"/>
        </w:rPr>
        <w:t>[2]</w:t>
      </w:r>
      <w:r>
        <w:rPr>
          <w:rFonts w:hint="eastAsia"/>
          <w:highlight w:val="yellow"/>
        </w:rPr>
        <w:t>。同时，随着我国人口老龄化的加速、慢性病发病率逐年上升，地区间医疗资源配置不平衡等问题的凸显，使医疗器械产品在疾病的预防、诊断、治疗及康复环节中体现出更加重要的作用与价值</w:t>
      </w:r>
      <w:r>
        <w:rPr>
          <w:rStyle w:val="33"/>
          <w:rFonts w:hint="eastAsia"/>
          <w:highlight w:val="yellow"/>
        </w:rPr>
        <w:t>[3]</w:t>
      </w:r>
      <w:r>
        <w:rPr>
          <w:rFonts w:hint="eastAsia"/>
          <w:highlight w:val="yellow"/>
        </w:rPr>
        <w:t>。医疗器械的创新研发已成为近年来我国健康产业领域的研究热点。</w:t>
      </w:r>
    </w:p>
    <w:p w14:paraId="486AEEED">
      <w:pPr>
        <w:ind w:firstLine="480"/>
        <w:rPr>
          <w:highlight w:val="yellow"/>
        </w:rPr>
      </w:pPr>
      <w:r>
        <w:rPr>
          <w:rFonts w:hint="eastAsia"/>
          <w:highlight w:val="yellow"/>
        </w:rPr>
        <w:t>由于医疗器械产品研发周期长、资金投入巨大且面临极高的监管门槛，发明专利成为了企业保护技术成果、降低研发风险以及维持市场核心竞争力的重要手段</w:t>
      </w:r>
      <w:r>
        <w:rPr>
          <w:rStyle w:val="33"/>
          <w:rFonts w:hint="eastAsia"/>
          <w:highlight w:val="yellow"/>
        </w:rPr>
        <w:t>[4]</w:t>
      </w:r>
      <w:r>
        <w:rPr>
          <w:rFonts w:hint="eastAsia"/>
          <w:highlight w:val="yellow"/>
        </w:rPr>
        <w:t>。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w:t>
      </w:r>
      <w:r>
        <w:rPr>
          <w:rStyle w:val="33"/>
          <w:rFonts w:hint="eastAsia"/>
          <w:highlight w:val="yellow"/>
        </w:rPr>
        <w:t>[5]</w:t>
      </w:r>
      <w:r>
        <w:rPr>
          <w:rFonts w:hint="eastAsia"/>
          <w:highlight w:val="yellow"/>
        </w:rPr>
        <w:t>。在中国，依据国家药品监督管理局相关统计数据，自2019年以来医疗器械注册数量持续上升，反映出行业发展活跃度不断提升。这一趋势对精准的技术监测与知识产权保护机制提出了更高要求</w:t>
      </w:r>
      <w:r>
        <w:rPr>
          <w:rStyle w:val="33"/>
          <w:rFonts w:hint="eastAsia"/>
          <w:highlight w:val="yellow"/>
        </w:rPr>
        <w:t>[6]</w:t>
      </w:r>
      <w:r>
        <w:rPr>
          <w:rFonts w:hint="eastAsia"/>
          <w:highlight w:val="yellow"/>
        </w:rPr>
        <w:t>。</w:t>
      </w:r>
    </w:p>
    <w:p w14:paraId="495CCFBE">
      <w:pPr>
        <w:ind w:firstLine="480"/>
        <w:rPr>
          <w:highlight w:val="yellow"/>
        </w:rPr>
      </w:pPr>
      <w:r>
        <w:rPr>
          <w:rFonts w:hint="eastAsia"/>
          <w:highlight w:val="yellow"/>
        </w:rPr>
        <w:t>然而，现行的全球专利管理体系与实际的医疗器械产业监管体系之间存在严重的信息不对称。目前的专利分类主要依赖国际专利分类（International Patent Classification, IPC）</w:t>
      </w:r>
      <w:r>
        <w:rPr>
          <w:rStyle w:val="33"/>
          <w:rFonts w:hint="eastAsia"/>
          <w:highlight w:val="yellow"/>
        </w:rPr>
        <w:t>[7]</w:t>
      </w:r>
      <w:r>
        <w:rPr>
          <w:rFonts w:hint="eastAsia"/>
          <w:highlight w:val="yellow"/>
        </w:rPr>
        <w:t>和联合专利分类（Cooperative Patent Classification, CPC）</w:t>
      </w:r>
      <w:r>
        <w:rPr>
          <w:rStyle w:val="33"/>
          <w:rFonts w:hint="eastAsia"/>
          <w:highlight w:val="yellow"/>
        </w:rPr>
        <w:t>[8]</w:t>
      </w:r>
      <w:r>
        <w:rPr>
          <w:rFonts w:hint="eastAsia"/>
          <w:highlight w:val="yellow"/>
        </w:rPr>
        <w:t>系统，在IPC体系中，A61B类目涉及医学影像、诊疗工具以及外科器械等范畴。但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89A771B">
      <w:pPr>
        <w:ind w:firstLine="480"/>
        <w:rPr>
          <w:highlight w:val="yellow"/>
        </w:rPr>
      </w:pPr>
      <w:r>
        <w:rPr>
          <w:rFonts w:hint="eastAsia"/>
          <w:highlight w:val="yellow"/>
        </w:rPr>
        <w:t>2017年，中国国家药品监督管理局（National Medical Products Administration, NMPA）发布新版《医疗器械分类目录》，将原有的43个子目整合为22个一级产品类别和206个二级产品类别</w:t>
      </w:r>
      <w:r>
        <w:rPr>
          <w:rStyle w:val="33"/>
          <w:rFonts w:hint="eastAsia"/>
          <w:highlight w:val="yellow"/>
        </w:rPr>
        <w:t>[9,10]</w:t>
      </w:r>
      <w:r>
        <w:rPr>
          <w:rFonts w:hint="eastAsia"/>
          <w:highlight w:val="yellow"/>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8D7FA70">
      <w:pPr>
        <w:ind w:firstLine="480"/>
        <w:rPr>
          <w:highlight w:val="yellow"/>
        </w:rPr>
      </w:pPr>
      <w:r>
        <w:rPr>
          <w:rFonts w:hint="eastAsia"/>
          <w:highlight w:val="yellow"/>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w:t>
      </w:r>
      <w:r>
        <w:rPr>
          <w:rStyle w:val="33"/>
          <w:rFonts w:hint="eastAsia"/>
          <w:highlight w:val="yellow"/>
        </w:rPr>
        <w:t>[11]</w:t>
      </w:r>
      <w:r>
        <w:rPr>
          <w:rFonts w:hint="eastAsia"/>
          <w:highlight w:val="yellow"/>
        </w:rPr>
        <w:t>。这直接制约了企业在知识产权风险控制及研发方向选择上的决策效率。同时，这也为监管机构的技术评估效率带来了挑战。</w:t>
      </w:r>
    </w:p>
    <w:p w14:paraId="00AF53F0">
      <w:pPr>
        <w:ind w:firstLine="480"/>
        <w:rPr>
          <w:highlight w:val="yellow"/>
        </w:rPr>
      </w:pPr>
      <w:r>
        <w:rPr>
          <w:rFonts w:hint="eastAsia"/>
          <w:highlight w:val="yellow"/>
        </w:rPr>
        <w:t>如何解决这两套体系的自动映射问题一直是行业痛点。传统的人工分类方式在海量专利文献面前，不仅效率低下，并且极易产生因标注人员的背景知识差异导致分类结果的不一致甚至错误</w:t>
      </w:r>
      <w:r>
        <w:rPr>
          <w:rStyle w:val="33"/>
          <w:rFonts w:hint="eastAsia"/>
          <w:highlight w:val="yellow"/>
        </w:rPr>
        <w:t>[12]</w:t>
      </w:r>
      <w:r>
        <w:rPr>
          <w:rFonts w:hint="eastAsia"/>
          <w:highlight w:val="yellow"/>
        </w:rPr>
        <w:t>。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3"/>
          <w:rFonts w:hint="eastAsia"/>
          <w:highlight w:val="yellow"/>
        </w:rPr>
        <w:t>[13]</w:t>
      </w:r>
      <w:r>
        <w:rPr>
          <w:rFonts w:hint="eastAsia"/>
          <w:highlight w:val="yellow"/>
        </w:rPr>
        <w:t>。</w:t>
      </w:r>
    </w:p>
    <w:p w14:paraId="6133C8F8">
      <w:pPr>
        <w:ind w:firstLine="480"/>
        <w:rPr>
          <w:highlight w:val="yellow"/>
        </w:rPr>
      </w:pPr>
      <w:r>
        <w:rPr>
          <w:rFonts w:hint="eastAsia"/>
          <w:highlight w:val="yellow"/>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w:t>
      </w:r>
      <w:r>
        <w:rPr>
          <w:rStyle w:val="33"/>
          <w:rFonts w:hint="eastAsia"/>
          <w:highlight w:val="yellow"/>
        </w:rPr>
        <w:t>[13]</w:t>
      </w:r>
      <w:r>
        <w:rPr>
          <w:rFonts w:hint="eastAsia"/>
          <w:highlight w:val="yellow"/>
        </w:rPr>
        <w:t>。但针对医疗器械专利向专业监管的《医疗器械分类目录》自动映射这一垂直领域的研究尚属空白。</w:t>
      </w:r>
    </w:p>
    <w:p w14:paraId="1AB1C76F">
      <w:pPr>
        <w:ind w:firstLine="480"/>
        <w:rPr>
          <w:highlight w:val="yellow"/>
        </w:rPr>
      </w:pPr>
      <w:r>
        <w:rPr>
          <w:rFonts w:hint="eastAsia"/>
          <w:highlight w:val="yellow"/>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313CBD80">
      <w:pPr>
        <w:ind w:firstLine="480"/>
        <w:rPr>
          <w:highlight w:val="yellow"/>
        </w:rPr>
      </w:pPr>
      <w:r>
        <w:rPr>
          <w:rFonts w:hint="eastAsia"/>
          <w:highlight w:val="yellow"/>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023E989E">
      <w:pPr>
        <w:pStyle w:val="4"/>
        <w:numPr>
          <w:ilvl w:val="2"/>
          <w:numId w:val="1"/>
        </w:numPr>
        <w:tabs>
          <w:tab w:val="clear" w:pos="420"/>
        </w:tabs>
        <w:rPr>
          <w:highlight w:val="yellow"/>
        </w:rPr>
      </w:pPr>
      <w:bookmarkStart w:id="15" w:name="_Toc229086846"/>
      <w:bookmarkStart w:id="16" w:name="_Toc17757"/>
      <w:r>
        <w:rPr>
          <w:rFonts w:hint="eastAsia"/>
          <w:highlight w:val="yellow"/>
        </w:rPr>
        <w:t>研究意义</w:t>
      </w:r>
      <w:bookmarkEnd w:id="15"/>
      <w:bookmarkEnd w:id="16"/>
    </w:p>
    <w:p w14:paraId="367192F5">
      <w:pPr>
        <w:ind w:firstLine="480"/>
        <w:rPr>
          <w:rFonts w:ascii="宋体" w:hAnsi="宋体" w:cs="宋体"/>
          <w:highlight w:val="yellow"/>
        </w:rPr>
      </w:pPr>
      <w:r>
        <w:rPr>
          <w:rFonts w:hint="eastAsia" w:ascii="宋体" w:hAnsi="宋体" w:cs="宋体"/>
          <w:highlight w:val="yellow"/>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3E1F8544">
      <w:pPr>
        <w:ind w:firstLine="480"/>
        <w:rPr>
          <w:rFonts w:ascii="宋体" w:hAnsi="宋体" w:cs="宋体"/>
          <w:highlight w:val="yellow"/>
        </w:rPr>
      </w:pPr>
      <w:r>
        <w:rPr>
          <w:rFonts w:hint="eastAsia" w:ascii="宋体" w:hAnsi="宋体" w:cs="宋体"/>
          <w:highlight w:val="yellow"/>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w:t>
      </w:r>
      <w:r>
        <w:rPr>
          <w:rStyle w:val="33"/>
          <w:rFonts w:hint="eastAsia"/>
          <w:highlight w:val="yellow"/>
        </w:rPr>
        <w:t>[14]</w:t>
      </w:r>
      <w:r>
        <w:rPr>
          <w:rFonts w:hint="eastAsia" w:ascii="宋体" w:hAnsi="宋体" w:cs="宋体"/>
          <w:highlight w:val="yellow"/>
        </w:rPr>
        <w:t>。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5A485E63">
      <w:pPr>
        <w:ind w:firstLine="480"/>
        <w:rPr>
          <w:rFonts w:ascii="宋体" w:hAnsi="宋体" w:cs="宋体"/>
          <w:highlight w:val="yellow"/>
        </w:rPr>
      </w:pPr>
      <w:r>
        <w:rPr>
          <w:rFonts w:hint="eastAsia" w:ascii="宋体" w:hAnsi="宋体" w:cs="宋体"/>
          <w:highlight w:val="yellow"/>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2559F041">
      <w:pPr>
        <w:pStyle w:val="3"/>
        <w:numPr>
          <w:ilvl w:val="1"/>
          <w:numId w:val="1"/>
        </w:numPr>
        <w:tabs>
          <w:tab w:val="clear" w:pos="420"/>
        </w:tabs>
        <w:rPr>
          <w:highlight w:val="yellow"/>
        </w:rPr>
      </w:pPr>
      <w:bookmarkStart w:id="17" w:name="_Toc229086847"/>
      <w:bookmarkStart w:id="18" w:name="_Toc7226"/>
      <w:r>
        <w:rPr>
          <w:rFonts w:hint="eastAsia"/>
          <w:highlight w:val="yellow"/>
        </w:rPr>
        <w:t>研究现状</w:t>
      </w:r>
      <w:bookmarkEnd w:id="12"/>
      <w:bookmarkEnd w:id="17"/>
      <w:bookmarkEnd w:id="18"/>
    </w:p>
    <w:p w14:paraId="0662C3DC">
      <w:pPr>
        <w:pStyle w:val="4"/>
        <w:numPr>
          <w:ilvl w:val="2"/>
          <w:numId w:val="1"/>
        </w:numPr>
        <w:rPr>
          <w:highlight w:val="yellow"/>
        </w:rPr>
      </w:pPr>
      <w:bookmarkStart w:id="19" w:name="_Toc229086848"/>
      <w:bookmarkStart w:id="20" w:name="_Toc28389"/>
      <w:r>
        <w:rPr>
          <w:rFonts w:hint="eastAsia"/>
          <w:highlight w:val="yellow"/>
        </w:rPr>
        <w:t>文本分类算法的发展</w:t>
      </w:r>
      <w:bookmarkEnd w:id="19"/>
      <w:bookmarkEnd w:id="20"/>
    </w:p>
    <w:p w14:paraId="16008506">
      <w:pPr>
        <w:ind w:firstLine="480"/>
        <w:rPr>
          <w:highlight w:val="yellow"/>
        </w:rPr>
      </w:pPr>
      <w:r>
        <w:rPr>
          <w:rFonts w:hint="eastAsia"/>
          <w:highlight w:val="yellow"/>
        </w:rPr>
        <w:t>文本分类研究经历了从基于统计学的机器学习，到基于神经网络的深度学习，到当前以预训练模型及生成式大模型为主导的演进阶段。</w:t>
      </w:r>
    </w:p>
    <w:p w14:paraId="2CFBF034">
      <w:pPr>
        <w:ind w:firstLine="480"/>
        <w:rPr>
          <w:highlight w:val="yellow"/>
        </w:rPr>
      </w:pPr>
      <w:r>
        <w:rPr>
          <w:rFonts w:hint="eastAsia"/>
          <w:highlight w:val="yellow"/>
        </w:rPr>
        <w:t>（1）从特征工程到预训练模型</w:t>
      </w:r>
    </w:p>
    <w:p w14:paraId="583AB722">
      <w:pPr>
        <w:ind w:firstLine="480"/>
        <w:rPr>
          <w:highlight w:val="yellow"/>
        </w:rPr>
      </w:pPr>
      <w:r>
        <w:rPr>
          <w:rFonts w:hint="eastAsia"/>
          <w:highlight w:val="yellow"/>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w:t>
      </w:r>
      <w:r>
        <w:rPr>
          <w:rStyle w:val="33"/>
          <w:rFonts w:hint="eastAsia"/>
          <w:highlight w:val="yellow"/>
        </w:rPr>
        <w:t>[15-17]</w:t>
      </w:r>
      <w:r>
        <w:rPr>
          <w:rFonts w:hint="eastAsia"/>
          <w:highlight w:val="yellow"/>
        </w:rPr>
        <w:t>。随着深度学习的兴起与发展，2014年，Kim提出的TextCNN模型利用多尺度卷积核实现了对短语级局部语义特征自动提取</w:t>
      </w:r>
      <w:r>
        <w:rPr>
          <w:rStyle w:val="33"/>
          <w:rFonts w:hint="eastAsia"/>
          <w:highlight w:val="yellow"/>
        </w:rPr>
        <w:t>[18]</w:t>
      </w:r>
      <w:r>
        <w:rPr>
          <w:rFonts w:hint="eastAsia"/>
          <w:highlight w:val="yellow"/>
        </w:rPr>
        <w:t>。长短期记忆网络（Long Short-Term Memory, LSTM）通过门控机制解决了深层网络训练中的梯度消失问题，强化了对时序依赖关系的建模</w:t>
      </w:r>
      <w:r>
        <w:rPr>
          <w:rStyle w:val="33"/>
          <w:rFonts w:hint="eastAsia"/>
          <w:highlight w:val="yellow"/>
        </w:rPr>
        <w:t>[19]</w:t>
      </w:r>
      <w:r>
        <w:rPr>
          <w:rFonts w:hint="eastAsia"/>
          <w:highlight w:val="yellow"/>
        </w:rPr>
        <w:t>。2018年，BERT模型开启了“预训练+微调”的新范式，通过双向编码器表示和自注意力机制显著提升了跨领域任务的泛化性能</w:t>
      </w:r>
      <w:r>
        <w:rPr>
          <w:rStyle w:val="33"/>
          <w:rFonts w:hint="eastAsia"/>
          <w:highlight w:val="yellow"/>
        </w:rPr>
        <w:t>[20]</w:t>
      </w:r>
      <w:r>
        <w:rPr>
          <w:rFonts w:hint="eastAsia"/>
          <w:highlight w:val="yellow"/>
        </w:rPr>
        <w:t>。然而，在面对术语密集的专利长文本时，这些方法仍面临远距离特征捕获能力不足等问题。</w:t>
      </w:r>
    </w:p>
    <w:p w14:paraId="42F33FE3">
      <w:pPr>
        <w:ind w:firstLine="480"/>
        <w:rPr>
          <w:highlight w:val="yellow"/>
        </w:rPr>
      </w:pPr>
      <w:r>
        <w:rPr>
          <w:rFonts w:hint="eastAsia"/>
          <w:highlight w:val="yellow"/>
        </w:rPr>
        <w:t>（2）长文本分类与全局建模</w:t>
      </w:r>
    </w:p>
    <w:p w14:paraId="08E6BB2A">
      <w:pPr>
        <w:ind w:firstLine="480"/>
        <w:rPr>
          <w:highlight w:val="yellow"/>
        </w:rPr>
      </w:pPr>
      <w:r>
        <w:rPr>
          <w:rFonts w:hint="eastAsia"/>
          <w:highlight w:val="yellow"/>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w:t>
      </w:r>
      <w:r>
        <w:rPr>
          <w:rStyle w:val="33"/>
          <w:rFonts w:hint="eastAsia"/>
          <w:highlight w:val="yellow"/>
        </w:rPr>
        <w:t>[21]</w:t>
      </w:r>
      <w:r>
        <w:rPr>
          <w:rFonts w:hint="eastAsia"/>
          <w:highlight w:val="yellow"/>
        </w:rPr>
        <w:t>。Yang等提出的层级注意力网络（Hierarchical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w:t>
      </w:r>
      <w:r>
        <w:rPr>
          <w:rStyle w:val="33"/>
          <w:rFonts w:hint="eastAsia"/>
          <w:highlight w:val="yellow"/>
        </w:rPr>
        <w:t>[22]</w:t>
      </w:r>
      <w:r>
        <w:rPr>
          <w:rFonts w:hint="eastAsia"/>
          <w:highlight w:val="yellow"/>
        </w:rPr>
        <w:t>。随着长上下文大模型技术取得突破性进展，Qwen-Long、ChatGLM-1M等模型通过位置编码改进与外推技术，极大程度提升了对长文本全局语义关联的建模精度</w:t>
      </w:r>
      <w:r>
        <w:rPr>
          <w:rStyle w:val="33"/>
          <w:rFonts w:hint="eastAsia"/>
          <w:highlight w:val="yellow"/>
        </w:rPr>
        <w:t>[23-25]</w:t>
      </w:r>
      <w:r>
        <w:rPr>
          <w:rFonts w:hint="eastAsia"/>
          <w:highlight w:val="yellow"/>
        </w:rPr>
        <w:t>。</w:t>
      </w:r>
    </w:p>
    <w:p w14:paraId="16A6E99E">
      <w:pPr>
        <w:pStyle w:val="4"/>
        <w:numPr>
          <w:ilvl w:val="2"/>
          <w:numId w:val="1"/>
        </w:numPr>
        <w:rPr>
          <w:highlight w:val="yellow"/>
        </w:rPr>
      </w:pPr>
      <w:bookmarkStart w:id="21" w:name="_Toc229086849"/>
      <w:bookmarkStart w:id="22" w:name="_Toc13643"/>
      <w:r>
        <w:rPr>
          <w:rFonts w:hint="eastAsia"/>
          <w:highlight w:val="yellow"/>
        </w:rPr>
        <w:t>垂直领域专用预训练模型的发展</w:t>
      </w:r>
      <w:bookmarkEnd w:id="21"/>
      <w:bookmarkEnd w:id="22"/>
    </w:p>
    <w:p w14:paraId="1C5CFE16">
      <w:pPr>
        <w:ind w:firstLine="480"/>
        <w:rPr>
          <w:highlight w:val="yellow"/>
        </w:rPr>
      </w:pPr>
      <w:r>
        <w:rPr>
          <w:rFonts w:hint="eastAsia"/>
          <w:highlight w:val="yellow"/>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w:t>
      </w:r>
      <w:r>
        <w:rPr>
          <w:rStyle w:val="33"/>
          <w:rFonts w:hint="eastAsia"/>
          <w:highlight w:val="yellow"/>
        </w:rPr>
        <w:t>[26]</w:t>
      </w:r>
      <w:r>
        <w:rPr>
          <w:rFonts w:hint="eastAsia"/>
          <w:highlight w:val="yellow"/>
        </w:rPr>
        <w:t>。Bekamiri团队设计的PatentSBERTa基于Sentence-BERT架构，生成的句向量足以胜任基于语义相似度的多标签分类及检索任务</w:t>
      </w:r>
      <w:r>
        <w:rPr>
          <w:rStyle w:val="33"/>
          <w:rFonts w:hint="eastAsia"/>
          <w:highlight w:val="yellow"/>
        </w:rPr>
        <w:t>[27]</w:t>
      </w:r>
      <w:r>
        <w:rPr>
          <w:rFonts w:hint="eastAsia"/>
          <w:highlight w:val="yellow"/>
        </w:rPr>
        <w:t>。RoBERTa则通过剔除NSP任务、引入动态掩码并扩大Batch Size，显著增强了多标签专利分类的鲁棒性</w:t>
      </w:r>
      <w:r>
        <w:rPr>
          <w:rStyle w:val="33"/>
          <w:rFonts w:hint="eastAsia"/>
          <w:highlight w:val="yellow"/>
        </w:rPr>
        <w:t>[28]</w:t>
      </w:r>
      <w:r>
        <w:rPr>
          <w:rFonts w:hint="eastAsia"/>
          <w:highlight w:val="yellow"/>
        </w:rPr>
        <w:t>。而在处理长文本依赖方面，XLNet凭借自回归预训练方式，性能表现甚至优于BERT</w:t>
      </w:r>
      <w:r>
        <w:rPr>
          <w:rStyle w:val="33"/>
          <w:rFonts w:hint="eastAsia"/>
          <w:highlight w:val="yellow"/>
        </w:rPr>
        <w:t>[29]</w:t>
      </w:r>
      <w:r>
        <w:rPr>
          <w:rFonts w:hint="eastAsia"/>
          <w:highlight w:val="yellow"/>
        </w:rPr>
        <w:t>。Xie等构建的专利专用对比学习模型则通过引入对比学习，在预训练阶段强化对硬负样本的判别能力，显著增强了模型对“有源/无源”等语义高度相似医疗器械类别的区分度</w:t>
      </w:r>
      <w:r>
        <w:rPr>
          <w:rStyle w:val="33"/>
          <w:rFonts w:hint="eastAsia"/>
          <w:highlight w:val="yellow"/>
        </w:rPr>
        <w:t>[12]</w:t>
      </w:r>
      <w:r>
        <w:rPr>
          <w:rFonts w:hint="eastAsia"/>
          <w:highlight w:val="yellow"/>
        </w:rPr>
        <w:t>。</w:t>
      </w:r>
    </w:p>
    <w:p w14:paraId="368C417F">
      <w:pPr>
        <w:pStyle w:val="4"/>
        <w:numPr>
          <w:ilvl w:val="2"/>
          <w:numId w:val="1"/>
        </w:numPr>
        <w:rPr>
          <w:highlight w:val="yellow"/>
        </w:rPr>
      </w:pPr>
      <w:bookmarkStart w:id="23" w:name="_Toc229086850"/>
      <w:bookmarkStart w:id="24" w:name="_Toc6743"/>
      <w:r>
        <w:rPr>
          <w:rFonts w:hint="eastAsia"/>
          <w:highlight w:val="yellow"/>
        </w:rPr>
        <w:t>层次化文本分类技术的发展</w:t>
      </w:r>
      <w:bookmarkEnd w:id="23"/>
      <w:bookmarkEnd w:id="24"/>
    </w:p>
    <w:p w14:paraId="3DB9851F">
      <w:pPr>
        <w:ind w:firstLine="480"/>
        <w:rPr>
          <w:highlight w:val="yellow"/>
        </w:rPr>
      </w:pPr>
      <w:r>
        <w:rPr>
          <w:rFonts w:hint="eastAsia"/>
          <w:highlight w:val="yellow"/>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w:t>
      </w:r>
      <w:r>
        <w:rPr>
          <w:rStyle w:val="33"/>
          <w:rFonts w:hint="eastAsia"/>
          <w:highlight w:val="yellow"/>
        </w:rPr>
        <w:t>[30]</w:t>
      </w:r>
      <w:r>
        <w:rPr>
          <w:rFonts w:hint="eastAsia"/>
          <w:highlight w:val="yellow"/>
        </w:rPr>
        <w:t>。2024年，研究者在此基础上引入基于路径约束的交叉熵损失函数，通过在目标函数中显式惩罚违反层级包含逻辑的预测路径，强制模型遵循由大类到子类的推理链条，显著提升了模型在数据稀疏子类上的分类精度与稳健性</w:t>
      </w:r>
      <w:r>
        <w:rPr>
          <w:rStyle w:val="33"/>
          <w:rFonts w:hint="eastAsia"/>
          <w:highlight w:val="yellow"/>
        </w:rPr>
        <w:t>[12]</w:t>
      </w:r>
      <w:r>
        <w:rPr>
          <w:rFonts w:hint="eastAsia"/>
          <w:highlight w:val="yellow"/>
        </w:rPr>
        <w:t>。这些层次化文本分类技术的发展为实现医疗器械专利文本从基础的一级分类映射向更高细粒度的二级、三级分类发展提供了理论基础。</w:t>
      </w:r>
    </w:p>
    <w:p w14:paraId="1134C3E4">
      <w:pPr>
        <w:pStyle w:val="4"/>
        <w:numPr>
          <w:ilvl w:val="2"/>
          <w:numId w:val="1"/>
        </w:numPr>
        <w:rPr>
          <w:highlight w:val="yellow"/>
        </w:rPr>
      </w:pPr>
      <w:bookmarkStart w:id="25" w:name="_Toc229086851"/>
      <w:bookmarkStart w:id="26" w:name="_Toc10281"/>
      <w:r>
        <w:rPr>
          <w:rFonts w:hint="eastAsia"/>
          <w:highlight w:val="yellow"/>
        </w:rPr>
        <w:t>大语言模型与自动化数据治理进展</w:t>
      </w:r>
      <w:bookmarkEnd w:id="25"/>
      <w:bookmarkEnd w:id="26"/>
    </w:p>
    <w:p w14:paraId="304BBC33">
      <w:pPr>
        <w:ind w:firstLine="480"/>
        <w:rPr>
          <w:highlight w:val="yellow"/>
        </w:rPr>
      </w:pPr>
      <w:r>
        <w:rPr>
          <w:rFonts w:hint="eastAsia"/>
          <w:highlight w:val="yellow"/>
        </w:rPr>
        <w:t>2023年，LLM为代表的生成式AI开启了自然语言处理的新范式。LLM不仅在长文档理解上展现出巨大潜力，特别是检索增强生成（Retrieval-Augmented Generation, RAG）技术的介入，允许模型</w:t>
      </w:r>
      <w:r>
        <w:rPr>
          <w:rFonts w:hint="eastAsia"/>
          <w:highlight w:val="yellow"/>
          <w:lang w:val="en-US" w:eastAsia="zh-CN"/>
        </w:rPr>
        <w:t>引入医疗器械的领域知识作为</w:t>
      </w:r>
      <w:r>
        <w:rPr>
          <w:rFonts w:hint="eastAsia"/>
          <w:highlight w:val="yellow"/>
        </w:rPr>
        <w:t>外部</w:t>
      </w:r>
      <w:r>
        <w:rPr>
          <w:rFonts w:hint="eastAsia"/>
          <w:highlight w:val="yellow"/>
          <w:lang w:val="en-US" w:eastAsia="zh-CN"/>
        </w:rPr>
        <w:t>依据</w:t>
      </w:r>
      <w:r>
        <w:rPr>
          <w:rFonts w:hint="eastAsia"/>
          <w:highlight w:val="yellow"/>
        </w:rPr>
        <w:t>进行决策辅助</w:t>
      </w:r>
      <w:r>
        <w:rPr>
          <w:rStyle w:val="33"/>
          <w:rFonts w:hint="eastAsia"/>
          <w:highlight w:val="yellow"/>
        </w:rPr>
        <w:t>[31]</w:t>
      </w:r>
      <w:r>
        <w:rPr>
          <w:rFonts w:hint="eastAsia"/>
          <w:highlight w:val="yellow"/>
        </w:rPr>
        <w:t>，有效缓解了垂直领域的知识过时与幻觉问题。此外，针对专家指出的高质量标注成本高、标签噪声治理困难等痛点，利用Dify等低代码智能体构建自动化标注工作流，正成为实现大规模专利数据精炼与垂直领域模型深度适配的关键路径</w:t>
      </w:r>
      <w:r>
        <w:rPr>
          <w:rStyle w:val="33"/>
          <w:rFonts w:hint="eastAsia"/>
          <w:highlight w:val="yellow"/>
        </w:rPr>
        <w:t>[32]</w:t>
      </w:r>
      <w:r>
        <w:rPr>
          <w:rFonts w:hint="eastAsia"/>
          <w:highlight w:val="yellow"/>
        </w:rPr>
        <w:t>。这为本研究构建高质量训练集、解决原始标签噪声提供了系统性的技术支撑。</w:t>
      </w:r>
    </w:p>
    <w:p w14:paraId="647FB71C">
      <w:pPr>
        <w:pStyle w:val="4"/>
        <w:numPr>
          <w:ilvl w:val="2"/>
          <w:numId w:val="1"/>
        </w:numPr>
        <w:rPr>
          <w:highlight w:val="yellow"/>
        </w:rPr>
      </w:pPr>
      <w:bookmarkStart w:id="27" w:name="_Toc229086852"/>
      <w:bookmarkStart w:id="28" w:name="_Toc22207"/>
      <w:r>
        <w:rPr>
          <w:rFonts w:hint="eastAsia"/>
          <w:highlight w:val="yellow"/>
        </w:rPr>
        <w:t>现有研究分析</w:t>
      </w:r>
      <w:bookmarkEnd w:id="27"/>
      <w:bookmarkEnd w:id="28"/>
    </w:p>
    <w:p w14:paraId="12A08B0F">
      <w:pPr>
        <w:ind w:firstLine="480"/>
        <w:rPr>
          <w:highlight w:val="yellow"/>
        </w:rPr>
      </w:pPr>
      <w:r>
        <w:rPr>
          <w:rFonts w:hint="eastAsia"/>
          <w:highlight w:val="yellow"/>
        </w:rPr>
        <w:t>（1）专利文本分类领域国内外研究进展</w:t>
      </w:r>
    </w:p>
    <w:p w14:paraId="340388C7">
      <w:pPr>
        <w:ind w:firstLine="480"/>
        <w:rPr>
          <w:highlight w:val="yellow"/>
        </w:rPr>
      </w:pPr>
      <w:r>
        <w:rPr>
          <w:rFonts w:hint="eastAsia"/>
          <w:highlight w:val="yellow"/>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w:t>
      </w:r>
      <w:r>
        <w:rPr>
          <w:rStyle w:val="33"/>
          <w:rFonts w:hint="eastAsia"/>
          <w:highlight w:val="yellow"/>
        </w:rPr>
        <w:t>[33]</w:t>
      </w:r>
      <w:r>
        <w:rPr>
          <w:rFonts w:hint="eastAsia"/>
          <w:highlight w:val="yellow"/>
        </w:rPr>
        <w:t>。Xie等通过整合专利摘要、权利要求书及专利附图特征，利用跨模态对齐技术实现了对多源异构信息的协同表征，显著提升了识别精度</w:t>
      </w:r>
      <w:r>
        <w:rPr>
          <w:rStyle w:val="33"/>
          <w:rFonts w:hint="eastAsia"/>
          <w:highlight w:val="yellow"/>
        </w:rPr>
        <w:t>[12]</w:t>
      </w:r>
      <w:r>
        <w:rPr>
          <w:rFonts w:hint="eastAsia"/>
          <w:highlight w:val="yellow"/>
        </w:rPr>
        <w:t>。PatentSBERTa利用增强的SBERT架构提升了专利间的语义距离计算精度，为处理多标签分类任务提供了稳健的向量空间支撑</w:t>
      </w:r>
      <w:r>
        <w:rPr>
          <w:rStyle w:val="33"/>
          <w:rFonts w:hint="eastAsia"/>
          <w:highlight w:val="yellow"/>
        </w:rPr>
        <w:t>[27]</w:t>
      </w:r>
      <w:r>
        <w:rPr>
          <w:rFonts w:hint="eastAsia"/>
          <w:highlight w:val="yellow"/>
        </w:rPr>
        <w:t>。针对医疗等具有高度专业壁垒的垂直领域，RAMHA等通过在Transformer架构中集成适配器模块，在保留预训练模型通用语义的同时，以低参数代价完成对特定领域逻辑的精准迁移</w:t>
      </w:r>
      <w:r>
        <w:rPr>
          <w:rStyle w:val="33"/>
          <w:rFonts w:hint="eastAsia"/>
          <w:highlight w:val="yellow"/>
        </w:rPr>
        <w:t>[34]</w:t>
      </w:r>
      <w:r>
        <w:rPr>
          <w:rFonts w:hint="eastAsia"/>
          <w:highlight w:val="yellow"/>
        </w:rPr>
        <w:t>。这些成果为探索医疗器械专利向《医疗器械分类目录》的跨体系映射研究奠定了技术基础。</w:t>
      </w:r>
    </w:p>
    <w:p w14:paraId="06A31B54">
      <w:pPr>
        <w:ind w:firstLine="480"/>
        <w:rPr>
          <w:highlight w:val="yellow"/>
        </w:rPr>
      </w:pPr>
      <w:r>
        <w:rPr>
          <w:rFonts w:hint="eastAsia"/>
          <w:highlight w:val="yellow"/>
        </w:rPr>
        <w:t>（2）当前存在的问题</w:t>
      </w:r>
    </w:p>
    <w:p w14:paraId="3A5C219C">
      <w:pPr>
        <w:ind w:firstLine="480"/>
        <w:rPr>
          <w:highlight w:val="yellow"/>
        </w:rPr>
      </w:pPr>
      <w:r>
        <w:rPr>
          <w:rFonts w:hint="eastAsia"/>
          <w:highlight w:val="yellow"/>
        </w:rPr>
        <w:t>尽管专利分类技术日益成熟，但针对《医疗器械分类目录》的医疗器械专利自动映射研究仍属空白，并且存在以下亟待解决的技术问题：</w:t>
      </w:r>
    </w:p>
    <w:p w14:paraId="7B822B12">
      <w:pPr>
        <w:ind w:firstLine="480"/>
        <w:rPr>
          <w:highlight w:val="yellow"/>
        </w:rPr>
      </w:pPr>
      <w:r>
        <w:rPr>
          <w:rFonts w:hint="eastAsia"/>
          <w:highlight w:val="yellow"/>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4BBB43BB">
      <w:pPr>
        <w:ind w:firstLine="480"/>
        <w:rPr>
          <w:highlight w:val="yellow"/>
        </w:rPr>
      </w:pPr>
      <w:r>
        <w:rPr>
          <w:rFonts w:hint="eastAsia"/>
          <w:highlight w:val="yellow"/>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w:t>
      </w:r>
      <w:r>
        <w:rPr>
          <w:rFonts w:hint="eastAsia"/>
          <w:highlight w:val="yellow"/>
          <w:lang w:val="en-US" w:eastAsia="zh-CN"/>
        </w:rPr>
        <w:t>医疗器械领域知识所代表的</w:t>
      </w:r>
      <w:r>
        <w:rPr>
          <w:rFonts w:hint="eastAsia"/>
          <w:highlight w:val="yellow"/>
        </w:rPr>
        <w:t>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6A222FE1">
      <w:pPr>
        <w:ind w:firstLine="480"/>
        <w:rPr>
          <w:highlight w:val="yellow"/>
        </w:rPr>
      </w:pPr>
      <w:r>
        <w:rPr>
          <w:rFonts w:hint="eastAsia"/>
          <w:highlight w:val="yellow"/>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3C93A780">
      <w:pPr>
        <w:pStyle w:val="3"/>
        <w:numPr>
          <w:ilvl w:val="1"/>
          <w:numId w:val="1"/>
        </w:numPr>
        <w:tabs>
          <w:tab w:val="clear" w:pos="420"/>
        </w:tabs>
        <w:rPr>
          <w:color w:val="auto"/>
          <w:highlight w:val="yellow"/>
        </w:rPr>
      </w:pPr>
      <w:bookmarkStart w:id="29" w:name="_Toc216114468"/>
      <w:bookmarkStart w:id="30" w:name="_Toc229086853"/>
      <w:bookmarkStart w:id="31" w:name="_Toc22027"/>
      <w:r>
        <w:rPr>
          <w:rFonts w:hint="eastAsia"/>
          <w:color w:val="auto"/>
          <w:highlight w:val="yellow"/>
        </w:rPr>
        <w:t>研究内容及流程</w:t>
      </w:r>
      <w:bookmarkEnd w:id="29"/>
      <w:bookmarkEnd w:id="30"/>
      <w:bookmarkEnd w:id="31"/>
    </w:p>
    <w:p w14:paraId="078DAE66">
      <w:pPr>
        <w:ind w:firstLine="480"/>
        <w:rPr>
          <w:color w:val="auto"/>
          <w:highlight w:val="yellow"/>
        </w:rPr>
      </w:pPr>
      <w:r>
        <w:rPr>
          <w:rFonts w:hint="eastAsia"/>
          <w:color w:val="auto"/>
          <w:highlight w:val="yellow"/>
        </w:rPr>
        <w:t>针对现有研究存在的不足，本文以主IPC分类号属于A61B的医疗器械相关发明专利为研究对象，围绕《医疗器械分类目录》一级产品类别开展自动分类研究。与IPC或CPC体系内部的专利分类不同，分类任务需要将以技术原理为主要依据的专利文本映射到以临床用途、产品属性和监管逻辑为主要依据的医疗器械目录类别。由于两类分类体系在分类目标和判定依据上存在显著的差异，二者之间难以通过简单的规则实现直接关联。因此，本文主要围绕原始标签存在噪声、跨体系语义映射困难以及模型应用效果验证等问题展开研究。</w:t>
      </w:r>
    </w:p>
    <w:p w14:paraId="61682AD0">
      <w:pPr>
        <w:pStyle w:val="4"/>
        <w:numPr>
          <w:ilvl w:val="2"/>
          <w:numId w:val="1"/>
        </w:numPr>
        <w:tabs>
          <w:tab w:val="clear" w:pos="420"/>
        </w:tabs>
        <w:rPr>
          <w:color w:val="auto"/>
          <w:highlight w:val="yellow"/>
        </w:rPr>
      </w:pPr>
      <w:bookmarkStart w:id="32" w:name="_Toc229086854"/>
      <w:bookmarkStart w:id="33" w:name="_Toc15723"/>
      <w:r>
        <w:rPr>
          <w:rFonts w:hint="eastAsia"/>
          <w:color w:val="auto"/>
          <w:highlight w:val="yellow"/>
        </w:rPr>
        <w:t>研究内容</w:t>
      </w:r>
      <w:bookmarkEnd w:id="32"/>
      <w:bookmarkEnd w:id="33"/>
    </w:p>
    <w:p w14:paraId="743F4A65">
      <w:pPr>
        <w:ind w:firstLine="420" w:firstLineChars="0"/>
        <w:rPr>
          <w:color w:val="auto"/>
          <w:highlight w:val="yellow"/>
        </w:rPr>
      </w:pPr>
      <w:r>
        <w:rPr>
          <w:rFonts w:hint="eastAsia"/>
          <w:color w:val="auto"/>
          <w:highlight w:val="yellow"/>
        </w:rPr>
        <w:t>本文主要开展以下三方面研究工作：</w:t>
      </w:r>
    </w:p>
    <w:p w14:paraId="3B1606EB">
      <w:pPr>
        <w:numPr>
          <w:ilvl w:val="0"/>
          <w:numId w:val="2"/>
        </w:numPr>
        <w:ind w:firstLine="420" w:firstLineChars="0"/>
        <w:rPr>
          <w:color w:val="auto"/>
          <w:highlight w:val="yellow"/>
        </w:rPr>
      </w:pPr>
      <w:r>
        <w:rPr>
          <w:rFonts w:hint="eastAsia"/>
          <w:color w:val="auto"/>
          <w:highlight w:val="yellow"/>
        </w:rPr>
        <w:t>面向弱标签条件的医疗器械专利数据治理与标签质量控制</w:t>
      </w:r>
    </w:p>
    <w:p w14:paraId="57143385">
      <w:pPr>
        <w:ind w:firstLine="480"/>
        <w:rPr>
          <w:color w:val="auto"/>
          <w:highlight w:val="yellow"/>
        </w:rPr>
      </w:pPr>
      <w:r>
        <w:rPr>
          <w:rFonts w:hint="eastAsia"/>
          <w:color w:val="auto"/>
          <w:highlight w:val="yellow"/>
        </w:rPr>
        <w:t>目前，在专利数据中，尚没有公开的，直接面向《医疗器械分类目录》的高质量标注语料。而完全依赖具有专业知识背景的专家进行人工校对难以覆盖大规模专利样本。为缓解这一问题，本文从智慧芽专利数据库</w:t>
      </w:r>
      <w:r>
        <w:rPr>
          <w:rStyle w:val="33"/>
          <w:rFonts w:hint="eastAsia"/>
          <w:color w:val="auto"/>
          <w:highlight w:val="yellow"/>
        </w:rPr>
        <w:t>[35]</w:t>
      </w:r>
      <w:r>
        <w:rPr>
          <w:rFonts w:hint="eastAsia"/>
          <w:color w:val="auto"/>
          <w:highlight w:val="yellow"/>
        </w:rPr>
        <w:t>获取主IPC分类号属于A61B的医疗器械相关发明专利数据，并依据授权状态、附图、一级产品类别标签和文本完整性等条件进行筛选与清洗。在此基础上，构建专家校对数据集，用于评价自动标注结果和分析标签质量。随后，引入Qwen模型、Dify工作流、《医疗器械分类目录》和《医疗器械分类规则》构建自动标注流程，并通过原始标签与自动标注标签的一致性分析、抽样验证和TOST等价性检验筛选高置信训练样本，以降低噪声标签对模型训练的影响。</w:t>
      </w:r>
    </w:p>
    <w:p w14:paraId="3D096077">
      <w:pPr>
        <w:numPr>
          <w:ilvl w:val="0"/>
          <w:numId w:val="2"/>
        </w:numPr>
        <w:ind w:firstLine="420" w:firstLineChars="0"/>
        <w:rPr>
          <w:color w:val="auto"/>
          <w:highlight w:val="yellow"/>
        </w:rPr>
      </w:pPr>
      <w:r>
        <w:rPr>
          <w:rFonts w:hint="eastAsia"/>
          <w:color w:val="auto"/>
          <w:highlight w:val="yellow"/>
        </w:rPr>
        <w:t>面向跨体系映射的医疗器械专利语义表征与分类模型构建</w:t>
      </w:r>
    </w:p>
    <w:p w14:paraId="2BC68555">
      <w:pPr>
        <w:ind w:firstLine="420" w:firstLineChars="0"/>
        <w:rPr>
          <w:color w:val="auto"/>
          <w:highlight w:val="yellow"/>
        </w:rPr>
      </w:pPr>
      <w:r>
        <w:rPr>
          <w:rFonts w:hint="eastAsia"/>
          <w:color w:val="auto"/>
          <w:highlight w:val="yellow"/>
        </w:rPr>
        <w:t>本文研究的分类目标不是专利技术体系内部的类别细分，而是将医疗器械专利映射到《医疗器械分类目录》中的22个一级产品类别。由于两套体系的分类依据不同，模型难以仅依赖关键词或浅层文本相似度完成判断。针对专利摘要术语密集、类别边界交叉等特点，本文构建BERT-TextCNN分类模型，以Chinese-RoBERTa-WWM-Ext提取上下文语义表示，并通过TextCNN捕获局部短语、关键术语和类别判别特征。本文通过模型对比实验、消融实验和外部验证，分析模型的分类效果、结构贡献和泛化能力。</w:t>
      </w:r>
    </w:p>
    <w:p w14:paraId="79F5C805">
      <w:pPr>
        <w:numPr>
          <w:ilvl w:val="0"/>
          <w:numId w:val="2"/>
        </w:numPr>
        <w:ind w:firstLine="420" w:firstLineChars="0"/>
        <w:rPr>
          <w:color w:val="auto"/>
          <w:highlight w:val="yellow"/>
        </w:rPr>
      </w:pPr>
      <w:r>
        <w:rPr>
          <w:rFonts w:hint="eastAsia"/>
          <w:color w:val="auto"/>
          <w:highlight w:val="yellow"/>
        </w:rPr>
        <w:t>面向实际分类场景的模型接入与应用验证</w:t>
      </w:r>
    </w:p>
    <w:p w14:paraId="65076638">
      <w:pPr>
        <w:ind w:firstLine="420" w:firstLineChars="0"/>
        <w:rPr>
          <w:color w:val="auto"/>
          <w:highlight w:val="yellow"/>
        </w:rPr>
      </w:pPr>
      <w:r>
        <w:rPr>
          <w:rFonts w:hint="eastAsia"/>
          <w:color w:val="auto"/>
          <w:highlight w:val="yellow"/>
        </w:rPr>
        <w:t>医疗器械专利分类在实际使用中涉及单条查询、批量处理、结果留存和结果导出等操作。为验证分类模型的应用可用性，本文设计并实现医疗器械专利自动分类原型系统。系统采用Vue前端、Spring Boot后端、Flask推理服务和MySQL数据库，支持单条分类、批量分类、历史查询、结果导出和类别概率可视化等功能。系统部分并非将通用B/S架构开发作为主要创新，而是作为模型接入和应用验证的载体，用于检验分类模型在实际专利分类流程中的使用效果，并为研究成果后续服务产业实际需求奠定基础。</w:t>
      </w:r>
    </w:p>
    <w:p w14:paraId="67E95CAA">
      <w:pPr>
        <w:pStyle w:val="4"/>
        <w:numPr>
          <w:ilvl w:val="2"/>
          <w:numId w:val="1"/>
        </w:numPr>
        <w:tabs>
          <w:tab w:val="clear" w:pos="420"/>
        </w:tabs>
        <w:rPr>
          <w:rFonts w:eastAsia="宋体"/>
          <w:color w:val="auto"/>
          <w:highlight w:val="yellow"/>
        </w:rPr>
      </w:pPr>
      <w:bookmarkStart w:id="34" w:name="_Toc229086855"/>
      <w:bookmarkStart w:id="35" w:name="_Toc1072"/>
      <w:r>
        <w:rPr>
          <w:rFonts w:hint="eastAsia"/>
          <w:color w:val="auto"/>
          <w:highlight w:val="yellow"/>
        </w:rPr>
        <w:t>研究流程</w:t>
      </w:r>
      <w:bookmarkEnd w:id="34"/>
      <w:bookmarkEnd w:id="35"/>
    </w:p>
    <w:p w14:paraId="7E94DC4A">
      <w:pPr>
        <w:ind w:firstLine="480"/>
        <w:rPr>
          <w:color w:val="auto"/>
          <w:highlight w:val="yellow"/>
        </w:rPr>
      </w:pPr>
      <w:r>
        <w:rPr>
          <w:rFonts w:hint="eastAsia"/>
          <w:color w:val="auto"/>
          <w:highlight w:val="yellow"/>
        </w:rPr>
        <w:t>本文研究流程围绕数据质量控制、跨体系分类建模以及模型验证与应用三个环节展开，如图1-1所示。数据质量控制为模型训练提供监督信号，分类模型承担从专利技术文本到监管目录类别的映射任务，实验验证和系统应用则用于检验方法的有效性与可用性。</w:t>
      </w:r>
    </w:p>
    <w:p w14:paraId="2FD410B9">
      <w:pPr>
        <w:pStyle w:val="25"/>
        <w:rPr>
          <w:rFonts w:hint="default" w:eastAsia="宋体"/>
          <w:color w:val="auto"/>
          <w:highlight w:val="yellow"/>
        </w:rPr>
      </w:pPr>
      <w:r>
        <w:rPr>
          <w:rFonts w:eastAsia="宋体"/>
          <w:color w:val="auto"/>
          <w:highlight w:val="yellow"/>
        </w:rPr>
        <w:drawing>
          <wp:inline distT="0" distB="0" distL="114300" distR="114300">
            <wp:extent cx="5271135" cy="3876040"/>
            <wp:effectExtent l="0" t="0" r="7620" b="10160"/>
            <wp:docPr id="9" name="图片 9" descr="academic_styled_flowchart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academic_styled_flowchart_v1"/>
                    <pic:cNvPicPr>
                      <a:picLocks noChangeAspect="1"/>
                    </pic:cNvPicPr>
                  </pic:nvPicPr>
                  <pic:blipFill>
                    <a:blip r:embed="rId35"/>
                    <a:stretch>
                      <a:fillRect/>
                    </a:stretch>
                  </pic:blipFill>
                  <pic:spPr>
                    <a:xfrm>
                      <a:off x="0" y="0"/>
                      <a:ext cx="5271135" cy="3876040"/>
                    </a:xfrm>
                    <a:prstGeom prst="rect">
                      <a:avLst/>
                    </a:prstGeom>
                  </pic:spPr>
                </pic:pic>
              </a:graphicData>
            </a:graphic>
          </wp:inline>
        </w:drawing>
      </w:r>
    </w:p>
    <w:p w14:paraId="75925D33">
      <w:pPr>
        <w:pStyle w:val="25"/>
        <w:rPr>
          <w:rFonts w:hint="default"/>
          <w:color w:val="auto"/>
          <w:highlight w:val="yellow"/>
        </w:rPr>
      </w:pPr>
      <w:r>
        <w:rPr>
          <w:color w:val="auto"/>
          <w:highlight w:val="yellow"/>
        </w:rPr>
        <w:t>图1-1  研究流程</w:t>
      </w:r>
    </w:p>
    <w:p w14:paraId="0B0E5F1F">
      <w:pPr>
        <w:ind w:firstLine="480"/>
        <w:rPr>
          <w:rFonts w:cs="Times New Roman"/>
          <w:bCs/>
          <w:color w:val="auto"/>
          <w:highlight w:val="yellow"/>
        </w:rPr>
      </w:pPr>
      <w:r>
        <w:rPr>
          <w:rFonts w:hint="eastAsia" w:cs="Times New Roman"/>
          <w:bCs/>
          <w:color w:val="auto"/>
          <w:highlight w:val="yellow"/>
        </w:rPr>
        <w:t>在数据质量控制环节，以智慧芽专利数据库中的A61B类发明专利为候选数据来源，经过条件筛选、申请号去重和文本清洗后形成候选专利数据集。随后，通过分层抽样构建专家校对数据集D2，并基于Qwen模型和Dify</w:t>
      </w:r>
      <w:r>
        <w:rPr>
          <w:rStyle w:val="33"/>
          <w:rFonts w:hint="eastAsia"/>
          <w:color w:val="auto"/>
          <w:highlight w:val="yellow"/>
        </w:rPr>
        <w:t>[32]</w:t>
      </w:r>
      <w:r>
        <w:rPr>
          <w:rFonts w:hint="eastAsia" w:cs="Times New Roman"/>
          <w:bCs/>
          <w:color w:val="auto"/>
          <w:highlight w:val="yellow"/>
        </w:rPr>
        <w:t>平台搭建引入《医疗器械分类目录》和《医疗器械分类规则》等领域知识的自动标注工作流。通过比较原始标签与自动标注标签的一致性，结合抽样验证和TOST等价性检验筛选高置信样本，并对少数难学习类别进行定向数据增强，最终形成高置信训练数据集。</w:t>
      </w:r>
    </w:p>
    <w:p w14:paraId="4163E9D3">
      <w:pPr>
        <w:ind w:firstLine="480"/>
        <w:rPr>
          <w:rFonts w:cs="Times New Roman"/>
          <w:bCs/>
          <w:color w:val="auto"/>
          <w:highlight w:val="yellow"/>
        </w:rPr>
      </w:pPr>
      <w:r>
        <w:rPr>
          <w:rFonts w:hint="eastAsia" w:cs="Times New Roman"/>
          <w:bCs/>
          <w:color w:val="auto"/>
          <w:highlight w:val="yellow"/>
        </w:rPr>
        <w:t>在跨体系分类建模环节，以高置信训练数据集中的专利摘要文本作为输入，构建BERT-TextCNN分类模型。模型先由Chinese-RoBERTa-WWM-Ext获得上下文语义表示，再由TextCNN提取局部术语特征，融合后完成《医疗器械分类目录》22个一级产品类别的分类预测。</w:t>
      </w:r>
    </w:p>
    <w:p w14:paraId="310E1B05">
      <w:pPr>
        <w:ind w:firstLine="480"/>
        <w:rPr>
          <w:rFonts w:cs="Times New Roman"/>
          <w:bCs/>
          <w:color w:val="auto"/>
        </w:rPr>
      </w:pPr>
      <w:r>
        <w:rPr>
          <w:rFonts w:hint="eastAsia" w:cs="Times New Roman"/>
          <w:bCs/>
          <w:color w:val="auto"/>
          <w:highlight w:val="yellow"/>
        </w:rPr>
        <w:t>在模型验证与应用环节，通过模型对比实验、消融实验和外部验证评估分类模型，并将训练得到的分类模型接入原型系统，通过单条分类、批量分类、历史查询、结果导出和类别概率可视化等功能验证模型在实际分类场景中的应用效果。</w:t>
      </w:r>
    </w:p>
    <w:p w14:paraId="052F60B8">
      <w:pPr>
        <w:pStyle w:val="3"/>
        <w:numPr>
          <w:ilvl w:val="1"/>
          <w:numId w:val="1"/>
        </w:numPr>
        <w:tabs>
          <w:tab w:val="clear" w:pos="420"/>
        </w:tabs>
        <w:rPr>
          <w:color w:val="auto"/>
        </w:rPr>
      </w:pPr>
      <w:bookmarkStart w:id="36" w:name="_Toc216114469"/>
      <w:bookmarkStart w:id="37" w:name="_Toc229086856"/>
      <w:bookmarkStart w:id="38" w:name="_Toc29471"/>
      <w:r>
        <w:rPr>
          <w:rFonts w:hint="eastAsia"/>
          <w:color w:val="auto"/>
        </w:rPr>
        <w:t>论文</w:t>
      </w:r>
      <w:bookmarkEnd w:id="36"/>
      <w:r>
        <w:rPr>
          <w:rFonts w:hint="eastAsia"/>
          <w:color w:val="auto"/>
        </w:rPr>
        <w:t>结构</w:t>
      </w:r>
      <w:bookmarkEnd w:id="37"/>
      <w:bookmarkEnd w:id="38"/>
    </w:p>
    <w:p w14:paraId="059E146A">
      <w:pPr>
        <w:bidi w:val="0"/>
      </w:pPr>
      <w:r>
        <w:rPr>
          <w:rFonts w:hint="eastAsia"/>
        </w:rPr>
        <w:t>本文共分为六章，各章节安排如下：</w:t>
      </w:r>
    </w:p>
    <w:p w14:paraId="1C81E85F">
      <w:pPr>
        <w:bidi w:val="0"/>
      </w:pPr>
      <w:r>
        <w:rPr>
          <w:rFonts w:hint="eastAsia"/>
        </w:rPr>
        <w:t>第一章为绪论，主要介绍研究背景与意义、国内外研究现状、研究内容、研究流程和论文结构。</w:t>
      </w:r>
    </w:p>
    <w:p w14:paraId="3EBC5163">
      <w:pPr>
        <w:bidi w:val="0"/>
      </w:pPr>
      <w:r>
        <w:rPr>
          <w:rFonts w:hint="eastAsia"/>
        </w:rPr>
        <w:t>第二章为相关理论与技术概述，主要介绍专利数据特征与医疗器械监管体系、自动标注数据质量控制方法、语义表征方法与分类模型的演进、大语言模型与知识增强技术。</w:t>
      </w:r>
    </w:p>
    <w:p w14:paraId="598B2ABD">
      <w:pPr>
        <w:bidi w:val="0"/>
      </w:pPr>
      <w:r>
        <w:rPr>
          <w:rFonts w:hint="eastAsia"/>
        </w:rPr>
        <w:t>第三章为数据集与预处理，主要说明候选专利数据的筛选与清洗、专家校对数据集构建、自动标注流程、置信度过滤、案例分析和定向数据增强过程。</w:t>
      </w:r>
    </w:p>
    <w:p w14:paraId="4AF38474">
      <w:pPr>
        <w:bidi w:val="0"/>
      </w:pPr>
      <w:r>
        <w:rPr>
          <w:rFonts w:hint="eastAsia"/>
        </w:rPr>
        <w:t>第四章为分类模型设计与评估，主要介绍传统机器学习模型和BERT-TextCNN模型的构建，并通过模型对比实验、消融实验和外部验证评估模型性能。</w:t>
      </w:r>
    </w:p>
    <w:p w14:paraId="7B2D3047">
      <w:pPr>
        <w:bidi w:val="0"/>
      </w:pPr>
      <w:r>
        <w:rPr>
          <w:rFonts w:hint="eastAsia"/>
        </w:rPr>
        <w:t>第五章为系统设计与实现，主要介绍医疗器械专利自动分类系统的需求分析、系统架构、数据库设计、核心功能实现以及系统测试与验证。</w:t>
      </w:r>
    </w:p>
    <w:p w14:paraId="0FA20157">
      <w:pPr>
        <w:bidi w:val="0"/>
        <w:rPr>
          <w:color w:val="FF0000"/>
        </w:rPr>
        <w:sectPr>
          <w:footerReference r:id="rId22" w:type="default"/>
          <w:footerReference r:id="rId23" w:type="even"/>
          <w:pgSz w:w="11906" w:h="16838"/>
          <w:pgMar w:top="1440" w:right="1800" w:bottom="1440" w:left="1800" w:header="851" w:footer="992" w:gutter="0"/>
          <w:pgNumType w:start="1"/>
          <w:cols w:space="0" w:num="1"/>
          <w:docGrid w:type="lines" w:linePitch="312" w:charSpace="0"/>
        </w:sectPr>
      </w:pPr>
      <w:r>
        <w:rPr>
          <w:rFonts w:hint="eastAsia"/>
        </w:rPr>
        <w:t>第六章为总结与展望，主要总结全文工作和创新点，分析当前研究不足，并提出后续研究方向</w:t>
      </w:r>
      <w:r>
        <w:rPr>
          <w:rFonts w:hint="eastAsia"/>
          <w:color w:val="FF0000"/>
        </w:rPr>
        <w:t>。</w:t>
      </w:r>
    </w:p>
    <w:p w14:paraId="551A2FA9">
      <w:pPr>
        <w:pStyle w:val="2"/>
        <w:numPr>
          <w:ilvl w:val="0"/>
          <w:numId w:val="1"/>
        </w:numPr>
        <w:tabs>
          <w:tab w:val="clear" w:pos="0"/>
        </w:tabs>
      </w:pPr>
      <w:bookmarkStart w:id="39" w:name="_Toc229086857"/>
      <w:bookmarkStart w:id="40" w:name="_Toc216114470"/>
      <w:bookmarkStart w:id="41" w:name="_Toc28358"/>
      <w:r>
        <w:rPr>
          <w:rFonts w:hint="eastAsia"/>
        </w:rPr>
        <w:t>医疗器械专利分类模型相关理论基础</w:t>
      </w:r>
      <w:bookmarkEnd w:id="39"/>
      <w:bookmarkEnd w:id="40"/>
      <w:bookmarkEnd w:id="41"/>
    </w:p>
    <w:p w14:paraId="68A3440E">
      <w:pPr>
        <w:ind w:firstLine="480"/>
        <w:rPr>
          <w:color w:val="auto"/>
        </w:rPr>
      </w:pPr>
      <w:r>
        <w:rPr>
          <w:rFonts w:hint="eastAsia"/>
          <w:color w:val="auto"/>
        </w:rPr>
        <w:t>本章围绕医疗器械专利自动分类任务展开相关理论与技术分析，内容包括专利文本特征与监管分类体系、弱标签数据质量控制、语义表征模型、大语言模型知识增强标注方法以及层次文本分类技术。上述内容分别对应本文研究中的跨体系映射、原始标签噪声控制、分类模型构建和后续细粒度分类扩展问题。</w:t>
      </w:r>
      <w:bookmarkStart w:id="42" w:name="_Toc216116676"/>
      <w:bookmarkEnd w:id="42"/>
      <w:bookmarkStart w:id="43" w:name="_Toc216114471"/>
      <w:bookmarkEnd w:id="43"/>
      <w:bookmarkStart w:id="44" w:name="_Toc216117035"/>
      <w:bookmarkEnd w:id="44"/>
      <w:bookmarkStart w:id="45" w:name="_Toc216115271"/>
      <w:bookmarkEnd w:id="45"/>
      <w:bookmarkStart w:id="46" w:name="_Toc216115272"/>
      <w:bookmarkEnd w:id="46"/>
      <w:bookmarkStart w:id="47" w:name="_Toc216116605"/>
      <w:bookmarkEnd w:id="47"/>
      <w:bookmarkStart w:id="48" w:name="_Toc216114472"/>
      <w:bookmarkEnd w:id="48"/>
      <w:bookmarkStart w:id="49" w:name="_Toc216116677"/>
      <w:bookmarkEnd w:id="49"/>
      <w:bookmarkStart w:id="50" w:name="_Toc216114631"/>
      <w:bookmarkEnd w:id="50"/>
      <w:bookmarkStart w:id="51" w:name="_Toc216115341"/>
      <w:bookmarkEnd w:id="51"/>
      <w:bookmarkStart w:id="52" w:name="_Toc216114329"/>
      <w:bookmarkEnd w:id="52"/>
      <w:bookmarkStart w:id="53" w:name="_Toc216114401"/>
      <w:bookmarkEnd w:id="53"/>
      <w:bookmarkStart w:id="54" w:name="_Toc216115340"/>
      <w:bookmarkEnd w:id="54"/>
      <w:bookmarkStart w:id="55" w:name="_Toc216117034"/>
      <w:bookmarkEnd w:id="55"/>
      <w:bookmarkStart w:id="56" w:name="_Toc216116604"/>
      <w:bookmarkEnd w:id="56"/>
      <w:bookmarkStart w:id="57" w:name="_Toc216114330"/>
      <w:bookmarkEnd w:id="57"/>
      <w:bookmarkStart w:id="58" w:name="_Toc216114632"/>
      <w:bookmarkEnd w:id="58"/>
      <w:bookmarkStart w:id="59" w:name="_Toc216114400"/>
      <w:bookmarkEnd w:id="59"/>
    </w:p>
    <w:p w14:paraId="5A76A8DF">
      <w:pPr>
        <w:pStyle w:val="3"/>
        <w:numPr>
          <w:ilvl w:val="1"/>
          <w:numId w:val="1"/>
        </w:numPr>
        <w:tabs>
          <w:tab w:val="clear" w:pos="420"/>
        </w:tabs>
      </w:pPr>
      <w:bookmarkStart w:id="60" w:name="_Toc229086858"/>
      <w:bookmarkStart w:id="61" w:name="_Toc11239"/>
      <w:bookmarkStart w:id="62" w:name="_Toc216114474"/>
      <w:r>
        <w:rPr>
          <w:rFonts w:hint="eastAsia"/>
        </w:rPr>
        <w:t>专利数据特征与医疗器械监管体系结构</w:t>
      </w:r>
      <w:bookmarkEnd w:id="60"/>
      <w:bookmarkEnd w:id="61"/>
    </w:p>
    <w:p w14:paraId="15396069">
      <w:pPr>
        <w:pStyle w:val="4"/>
        <w:numPr>
          <w:ilvl w:val="2"/>
          <w:numId w:val="1"/>
        </w:numPr>
        <w:tabs>
          <w:tab w:val="clear" w:pos="420"/>
        </w:tabs>
        <w:rPr>
          <w:rFonts w:eastAsia="宋体"/>
        </w:rPr>
      </w:pPr>
      <w:bookmarkStart w:id="63" w:name="_Toc229086859"/>
      <w:bookmarkStart w:id="64" w:name="_Toc2037"/>
      <w:r>
        <w:rPr>
          <w:rFonts w:hint="eastAsia"/>
        </w:rPr>
        <w:t>专利数据</w:t>
      </w:r>
      <w:bookmarkEnd w:id="63"/>
      <w:bookmarkEnd w:id="64"/>
    </w:p>
    <w:p w14:paraId="5534571D">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53FECB80">
      <w:pPr>
        <w:ind w:firstLine="480"/>
      </w:pPr>
      <w:r>
        <w:rPr>
          <w:rFonts w:hint="eastAsia"/>
        </w:rPr>
        <w:t>一篇中文发明专利主要由以下核心要素组成：</w:t>
      </w:r>
    </w:p>
    <w:p w14:paraId="70D1D0C7">
      <w:pPr>
        <w:numPr>
          <w:ilvl w:val="0"/>
          <w:numId w:val="3"/>
        </w:numPr>
        <w:ind w:firstLine="480"/>
      </w:pPr>
      <w:r>
        <w:t>标题</w:t>
      </w:r>
    </w:p>
    <w:p w14:paraId="3C4355FC">
      <w:pPr>
        <w:ind w:firstLine="480"/>
      </w:pPr>
      <w:r>
        <w:rPr>
          <w:rFonts w:hint="eastAsia"/>
        </w:rPr>
        <w:t>即专利名称，应简洁、明确地反映该发明创造的技术领域以及主要技术特征与创新点等信息。</w:t>
      </w:r>
    </w:p>
    <w:p w14:paraId="7E466967">
      <w:pPr>
        <w:numPr>
          <w:ilvl w:val="0"/>
          <w:numId w:val="3"/>
        </w:numPr>
        <w:ind w:firstLine="480"/>
      </w:pPr>
      <w:r>
        <w:t>摘要</w:t>
      </w:r>
    </w:p>
    <w:p w14:paraId="6E4691D8">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4560E5F">
      <w:pPr>
        <w:numPr>
          <w:ilvl w:val="0"/>
          <w:numId w:val="3"/>
        </w:numPr>
        <w:ind w:firstLine="480"/>
      </w:pPr>
      <w:r>
        <w:t>权利要求书</w:t>
      </w:r>
    </w:p>
    <w:p w14:paraId="14721294">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773F76DA">
      <w:pPr>
        <w:numPr>
          <w:ilvl w:val="0"/>
          <w:numId w:val="3"/>
        </w:numPr>
        <w:ind w:firstLine="480"/>
      </w:pPr>
      <w:r>
        <w:t>说明书</w:t>
      </w:r>
    </w:p>
    <w:p w14:paraId="58BF872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0184331D">
      <w:pPr>
        <w:pStyle w:val="4"/>
        <w:numPr>
          <w:ilvl w:val="2"/>
          <w:numId w:val="1"/>
        </w:numPr>
        <w:tabs>
          <w:tab w:val="clear" w:pos="420"/>
        </w:tabs>
      </w:pPr>
      <w:bookmarkStart w:id="65" w:name="_Toc229086861"/>
      <w:bookmarkStart w:id="66" w:name="_Toc3689"/>
      <w:r>
        <w:rPr>
          <w:rFonts w:hint="eastAsia"/>
        </w:rPr>
        <w:t>专利分类</w:t>
      </w:r>
      <w:bookmarkEnd w:id="62"/>
      <w:r>
        <w:rPr>
          <w:rFonts w:hint="eastAsia"/>
        </w:rPr>
        <w:t>体系</w:t>
      </w:r>
      <w:bookmarkEnd w:id="65"/>
      <w:bookmarkEnd w:id="66"/>
    </w:p>
    <w:p w14:paraId="47A99E66">
      <w:pPr>
        <w:ind w:firstLine="480"/>
      </w:pPr>
      <w:r>
        <w:rPr>
          <w:rFonts w:hint="eastAsia"/>
        </w:rPr>
        <w:t>在医疗器械领域，由于技术的高度交叉性以及监管政策的严格性，理解不同分类体系的逻辑架构对于构建自动分类模型至关重要。</w:t>
      </w:r>
    </w:p>
    <w:p w14:paraId="512E981B">
      <w:pPr>
        <w:numPr>
          <w:ilvl w:val="0"/>
          <w:numId w:val="4"/>
        </w:numPr>
        <w:ind w:firstLine="480"/>
      </w:pPr>
      <w:bookmarkStart w:id="67" w:name="_Toc216114475"/>
      <w:r>
        <w:rPr>
          <w:rFonts w:hint="eastAsia"/>
        </w:rPr>
        <w:t>国际专利分类体系</w:t>
      </w:r>
      <w:bookmarkEnd w:id="67"/>
    </w:p>
    <w:p w14:paraId="038E1C14">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3"/>
        </w:rPr>
        <w:fldChar w:fldCharType="begin"/>
      </w:r>
      <w:r>
        <w:rPr>
          <w:rStyle w:val="33"/>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3"/>
        </w:rPr>
        <w:fldChar w:fldCharType="separate"/>
      </w:r>
      <w:r>
        <w:rPr>
          <w:rStyle w:val="33"/>
        </w:rPr>
        <w:t>[7]</w:t>
      </w:r>
      <w:r>
        <w:rPr>
          <w:rStyle w:val="33"/>
        </w:rPr>
        <w:fldChar w:fldCharType="end"/>
      </w:r>
      <w:r>
        <w:rPr>
          <w:rFonts w:hint="eastAsia"/>
        </w:rPr>
        <w:t>。</w:t>
      </w:r>
    </w:p>
    <w:p w14:paraId="7DD7DDB0">
      <w:pPr>
        <w:ind w:firstLine="480"/>
      </w:pPr>
      <w:r>
        <w:rPr>
          <w:rFonts w:hint="eastAsia"/>
        </w:rPr>
        <w:t>IPC有五个级别，分别是部（Section）、大类（Class）、小类（Subclass）、大组（MainGroup）以及小组（Subgroup）。而IPC分类的原则主要是以功能或者用途，也就是根据发明的技术主题来进行划分。</w:t>
      </w:r>
    </w:p>
    <w:p w14:paraId="6223D2A6">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13550A37">
      <w:pPr>
        <w:pStyle w:val="25"/>
        <w:rPr>
          <w:rFonts w:hint="default"/>
        </w:rPr>
      </w:pPr>
      <w:r>
        <w:t>表2-1  A61B1/005 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456BB8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4075A6A3">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7C86A011">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53B798BF">
            <w:pPr>
              <w:ind w:firstLine="0" w:firstLineChars="0"/>
              <w:jc w:val="center"/>
              <w:rPr>
                <w:sz w:val="21"/>
                <w:szCs w:val="21"/>
              </w:rPr>
            </w:pPr>
            <w:r>
              <w:rPr>
                <w:rFonts w:hint="eastAsia"/>
                <w:sz w:val="21"/>
                <w:szCs w:val="21"/>
              </w:rPr>
              <w:t>含义</w:t>
            </w:r>
          </w:p>
        </w:tc>
      </w:tr>
      <w:tr w14:paraId="79E424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A0028D">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258EB643">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6EF2F66A">
            <w:pPr>
              <w:ind w:firstLine="0" w:firstLineChars="0"/>
              <w:jc w:val="center"/>
              <w:rPr>
                <w:sz w:val="21"/>
                <w:szCs w:val="21"/>
              </w:rPr>
            </w:pPr>
            <w:r>
              <w:rPr>
                <w:rFonts w:hint="eastAsia"/>
                <w:sz w:val="21"/>
                <w:szCs w:val="21"/>
              </w:rPr>
              <w:t>人类生活需要</w:t>
            </w:r>
          </w:p>
        </w:tc>
      </w:tr>
      <w:tr w14:paraId="3E0E736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4060483B">
            <w:pPr>
              <w:ind w:firstLine="0" w:firstLineChars="0"/>
              <w:jc w:val="center"/>
              <w:rPr>
                <w:sz w:val="21"/>
                <w:szCs w:val="21"/>
              </w:rPr>
            </w:pPr>
            <w:r>
              <w:rPr>
                <w:rFonts w:hint="eastAsia"/>
                <w:sz w:val="21"/>
                <w:szCs w:val="21"/>
              </w:rPr>
              <w:t>大类</w:t>
            </w:r>
          </w:p>
        </w:tc>
        <w:tc>
          <w:tcPr>
            <w:tcW w:w="1873" w:type="dxa"/>
            <w:tcBorders>
              <w:top w:val="nil"/>
              <w:bottom w:val="nil"/>
            </w:tcBorders>
          </w:tcPr>
          <w:p w14:paraId="48BFE69C">
            <w:pPr>
              <w:ind w:firstLine="0" w:firstLineChars="0"/>
              <w:jc w:val="center"/>
              <w:rPr>
                <w:sz w:val="21"/>
                <w:szCs w:val="21"/>
              </w:rPr>
            </w:pPr>
            <w:r>
              <w:rPr>
                <w:rFonts w:hint="eastAsia"/>
                <w:sz w:val="21"/>
                <w:szCs w:val="21"/>
              </w:rPr>
              <w:t>A61</w:t>
            </w:r>
          </w:p>
        </w:tc>
        <w:tc>
          <w:tcPr>
            <w:tcW w:w="5378" w:type="dxa"/>
            <w:tcBorders>
              <w:top w:val="nil"/>
              <w:bottom w:val="nil"/>
            </w:tcBorders>
          </w:tcPr>
          <w:p w14:paraId="04FECD16">
            <w:pPr>
              <w:ind w:firstLine="0" w:firstLineChars="0"/>
              <w:jc w:val="center"/>
              <w:rPr>
                <w:sz w:val="21"/>
                <w:szCs w:val="21"/>
              </w:rPr>
            </w:pPr>
            <w:r>
              <w:rPr>
                <w:sz w:val="21"/>
                <w:szCs w:val="21"/>
              </w:rPr>
              <w:t>医学或兽医学；卫生学</w:t>
            </w:r>
          </w:p>
        </w:tc>
      </w:tr>
      <w:tr w14:paraId="64E3BB9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4B6CEE0F">
            <w:pPr>
              <w:ind w:firstLine="0" w:firstLineChars="0"/>
              <w:jc w:val="center"/>
              <w:rPr>
                <w:sz w:val="21"/>
                <w:szCs w:val="21"/>
              </w:rPr>
            </w:pPr>
            <w:r>
              <w:rPr>
                <w:rFonts w:hint="eastAsia"/>
                <w:sz w:val="21"/>
                <w:szCs w:val="21"/>
              </w:rPr>
              <w:t>小类</w:t>
            </w:r>
          </w:p>
        </w:tc>
        <w:tc>
          <w:tcPr>
            <w:tcW w:w="1873" w:type="dxa"/>
            <w:tcBorders>
              <w:top w:val="nil"/>
              <w:bottom w:val="nil"/>
            </w:tcBorders>
          </w:tcPr>
          <w:p w14:paraId="2CF59A87">
            <w:pPr>
              <w:ind w:firstLine="0" w:firstLineChars="0"/>
              <w:jc w:val="center"/>
              <w:rPr>
                <w:sz w:val="21"/>
                <w:szCs w:val="21"/>
              </w:rPr>
            </w:pPr>
            <w:r>
              <w:rPr>
                <w:rFonts w:hint="eastAsia"/>
                <w:sz w:val="21"/>
                <w:szCs w:val="21"/>
              </w:rPr>
              <w:t>A61B</w:t>
            </w:r>
          </w:p>
        </w:tc>
        <w:tc>
          <w:tcPr>
            <w:tcW w:w="5378" w:type="dxa"/>
            <w:tcBorders>
              <w:top w:val="nil"/>
              <w:bottom w:val="nil"/>
            </w:tcBorders>
          </w:tcPr>
          <w:p w14:paraId="65360827">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1BD4BD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F9FD677">
            <w:pPr>
              <w:ind w:firstLine="0" w:firstLineChars="0"/>
              <w:jc w:val="center"/>
              <w:rPr>
                <w:sz w:val="21"/>
                <w:szCs w:val="21"/>
              </w:rPr>
            </w:pPr>
            <w:r>
              <w:rPr>
                <w:rFonts w:hint="eastAsia"/>
                <w:sz w:val="21"/>
                <w:szCs w:val="21"/>
              </w:rPr>
              <w:t>大组</w:t>
            </w:r>
          </w:p>
        </w:tc>
        <w:tc>
          <w:tcPr>
            <w:tcW w:w="1873" w:type="dxa"/>
            <w:tcBorders>
              <w:top w:val="nil"/>
              <w:bottom w:val="nil"/>
            </w:tcBorders>
          </w:tcPr>
          <w:p w14:paraId="01F34177">
            <w:pPr>
              <w:ind w:firstLine="0" w:firstLineChars="0"/>
              <w:jc w:val="center"/>
              <w:rPr>
                <w:sz w:val="21"/>
                <w:szCs w:val="21"/>
              </w:rPr>
            </w:pPr>
            <w:r>
              <w:rPr>
                <w:rFonts w:hint="eastAsia"/>
                <w:sz w:val="21"/>
                <w:szCs w:val="21"/>
              </w:rPr>
              <w:t>A61B1/00</w:t>
            </w:r>
          </w:p>
        </w:tc>
        <w:tc>
          <w:tcPr>
            <w:tcW w:w="5378" w:type="dxa"/>
            <w:tcBorders>
              <w:top w:val="nil"/>
              <w:bottom w:val="nil"/>
            </w:tcBorders>
          </w:tcPr>
          <w:p w14:paraId="6C23287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4AE8A3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4B7C2DF2">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5FB6FEF">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4A02078E">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59D2B2CA">
      <w:pPr>
        <w:ind w:firstLine="420" w:firstLineChars="0"/>
      </w:pPr>
      <w:r>
        <w:rPr>
          <w:rFonts w:hint="eastAsia"/>
        </w:rPr>
        <w:t>IPC分类的优势在于其通用性和稳定性，但其基于功能的分类逻辑有时难以直接对应医疗器械的临床监管类别。</w:t>
      </w:r>
    </w:p>
    <w:p w14:paraId="0321C495">
      <w:pPr>
        <w:numPr>
          <w:ilvl w:val="0"/>
          <w:numId w:val="4"/>
        </w:numPr>
        <w:ind w:firstLine="480"/>
      </w:pPr>
      <w:r>
        <w:rPr>
          <w:rFonts w:hint="eastAsia"/>
        </w:rPr>
        <w:t>联合专利分类体系</w:t>
      </w:r>
    </w:p>
    <w:p w14:paraId="417F2966">
      <w:pPr>
        <w:ind w:firstLine="480"/>
      </w:pPr>
      <w:r>
        <w:rPr>
          <w:rFonts w:hint="eastAsia"/>
        </w:rPr>
        <w:t>CPC是EPO与美国专利商标局（U.S. Patent and Trademark Office, USPTO）于2013年共同开发的一种分类体系</w:t>
      </w:r>
      <w:r>
        <w:rPr>
          <w:rStyle w:val="33"/>
        </w:rPr>
        <w:fldChar w:fldCharType="begin"/>
      </w:r>
      <w:r>
        <w:rPr>
          <w:rStyle w:val="33"/>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3"/>
        </w:rPr>
        <w:fldChar w:fldCharType="separate"/>
      </w:r>
      <w:r>
        <w:rPr>
          <w:rStyle w:val="33"/>
        </w:rPr>
        <w:t>[8]</w:t>
      </w:r>
      <w:r>
        <w:rPr>
          <w:rStyle w:val="33"/>
        </w:rPr>
        <w:fldChar w:fldCharType="end"/>
      </w:r>
      <w:r>
        <w:rPr>
          <w:rFonts w:hint="eastAsia"/>
        </w:rPr>
        <w:t>。CPC是在IPC的基础上进行大幅度扩充而形成的，目的是为了更好地进行专利检索。</w:t>
      </w:r>
    </w:p>
    <w:p w14:paraId="4663FA69">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048A5C26">
      <w:pPr>
        <w:ind w:firstLine="480"/>
      </w:pPr>
      <w:r>
        <w:rPr>
          <w:rFonts w:hint="eastAsia"/>
        </w:rPr>
        <w:t>这种高精度的分类体系使得CPC在捕捉技术细节方面具有显著优势，但也为分类增加了难度。</w:t>
      </w:r>
    </w:p>
    <w:p w14:paraId="4AFDD4A7">
      <w:pPr>
        <w:pStyle w:val="4"/>
        <w:numPr>
          <w:ilvl w:val="2"/>
          <w:numId w:val="1"/>
        </w:numPr>
        <w:tabs>
          <w:tab w:val="clear" w:pos="420"/>
        </w:tabs>
      </w:pPr>
      <w:bookmarkStart w:id="68" w:name="_Toc216114477"/>
      <w:bookmarkStart w:id="69" w:name="_Toc229086862"/>
      <w:bookmarkStart w:id="70" w:name="_Toc27745"/>
      <w:r>
        <w:rPr>
          <w:rFonts w:hint="eastAsia"/>
        </w:rPr>
        <w:t>医疗器械监管分类体系</w:t>
      </w:r>
      <w:bookmarkEnd w:id="68"/>
      <w:bookmarkEnd w:id="69"/>
      <w:bookmarkEnd w:id="70"/>
    </w:p>
    <w:p w14:paraId="06D3E303">
      <w:pPr>
        <w:ind w:firstLine="480"/>
      </w:pPr>
      <w:r>
        <w:rPr>
          <w:rFonts w:hint="eastAsia"/>
        </w:rPr>
        <w:t>与IPC、CPC关注技术原理不同，NMPA发布的《医疗器械分类目录》是医疗器械注册、生产、经营和使用的法定依据</w:t>
      </w:r>
      <w:r>
        <w:rPr>
          <w:rStyle w:val="33"/>
          <w:rFonts w:hint="eastAsia"/>
        </w:rPr>
        <w:t>[9]</w:t>
      </w:r>
      <w:r>
        <w:rPr>
          <w:rFonts w:hint="eastAsia"/>
        </w:rPr>
        <w:t>。</w:t>
      </w:r>
    </w:p>
    <w:p w14:paraId="09B8A37D">
      <w:pPr>
        <w:ind w:firstLine="480"/>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0B64AB22">
      <w:pPr>
        <w:ind w:firstLine="480"/>
      </w:pPr>
      <w:r>
        <w:rPr>
          <w:rFonts w:hint="eastAsia"/>
        </w:rPr>
        <w:t>为贯彻实施《医疗器械监督管理条例》和《国务院关于改革药品医疗器械审评审批制度的意见》的要求，国家食品药品监督管理总局发布的目录，目录调整工作原则上每年不少于一次</w:t>
      </w:r>
      <w:r>
        <w:rPr>
          <w:rStyle w:val="33"/>
          <w:rFonts w:hint="eastAsia"/>
        </w:rPr>
        <w:t>[37]</w:t>
      </w:r>
      <w:r>
        <w:rPr>
          <w:rFonts w:hint="eastAsia"/>
        </w:rPr>
        <w:t>。</w:t>
      </w:r>
    </w:p>
    <w:p w14:paraId="611692A1">
      <w:pPr>
        <w:ind w:firstLine="480"/>
      </w:pPr>
      <w:r>
        <w:rPr>
          <w:rFonts w:hint="eastAsia"/>
        </w:rPr>
        <w:t>2017年颁布的《医疗器械分类目录》是对原有分类的一个较大调整，在这个新分类中将原来43类简化成22个一级产品类别</w:t>
      </w:r>
      <w:r>
        <w:rPr>
          <w:rStyle w:val="33"/>
          <w:rFonts w:hint="eastAsia"/>
        </w:rPr>
        <w:t>[38]</w:t>
      </w:r>
      <w:r>
        <w:rPr>
          <w:rFonts w:hint="eastAsia"/>
        </w:rPr>
        <w:t>，见表2-2，并有三级层次划分。而这22种一级产品类别是中国医疗器械监管顶层架构，也是本文中所进行自动分类的任务类别。</w:t>
      </w:r>
    </w:p>
    <w:p w14:paraId="345D4792">
      <w:pPr>
        <w:ind w:firstLine="480"/>
      </w:pPr>
    </w:p>
    <w:p w14:paraId="5B6173A0">
      <w:pPr>
        <w:ind w:firstLine="480"/>
      </w:pPr>
    </w:p>
    <w:p w14:paraId="3005FE16">
      <w:pPr>
        <w:pStyle w:val="25"/>
        <w:rPr>
          <w:rFonts w:hint="default"/>
        </w:rPr>
      </w:pPr>
      <w:r>
        <w:t>表2-2  《医疗器械分类目录》一级产品类别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3218F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0F15773">
            <w:pPr>
              <w:pStyle w:val="26"/>
              <w:rPr>
                <w:rFonts w:hint="default"/>
              </w:rPr>
            </w:pPr>
            <w:r>
              <w:t>序号</w:t>
            </w:r>
          </w:p>
        </w:tc>
        <w:tc>
          <w:tcPr>
            <w:tcW w:w="7065" w:type="dxa"/>
            <w:tcBorders>
              <w:top w:val="single" w:color="auto" w:sz="8" w:space="0"/>
              <w:bottom w:val="single" w:color="auto" w:sz="6" w:space="0"/>
            </w:tcBorders>
            <w:vAlign w:val="center"/>
          </w:tcPr>
          <w:p w14:paraId="75B4BF39">
            <w:pPr>
              <w:pStyle w:val="26"/>
              <w:rPr>
                <w:rFonts w:hint="default"/>
              </w:rPr>
            </w:pPr>
            <w:r>
              <w:rPr>
                <w:rFonts w:hint="default"/>
              </w:rPr>
              <w:t>一级序号/产品类别</w:t>
            </w:r>
          </w:p>
        </w:tc>
      </w:tr>
      <w:tr w14:paraId="200B2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02A2476E">
            <w:pPr>
              <w:pStyle w:val="26"/>
              <w:rPr>
                <w:rFonts w:hint="default"/>
              </w:rPr>
            </w:pPr>
            <w:r>
              <w:rPr>
                <w:rFonts w:hint="default"/>
              </w:rPr>
              <w:t>1</w:t>
            </w:r>
          </w:p>
        </w:tc>
        <w:tc>
          <w:tcPr>
            <w:tcW w:w="7065" w:type="dxa"/>
            <w:tcBorders>
              <w:top w:val="single" w:color="auto" w:sz="6" w:space="0"/>
            </w:tcBorders>
            <w:vAlign w:val="center"/>
          </w:tcPr>
          <w:p w14:paraId="269AE9E1">
            <w:pPr>
              <w:pStyle w:val="26"/>
              <w:rPr>
                <w:rFonts w:hint="default"/>
              </w:rPr>
            </w:pPr>
            <w:r>
              <w:rPr>
                <w:rFonts w:hint="default"/>
              </w:rPr>
              <w:t>有源手术器械</w:t>
            </w:r>
          </w:p>
        </w:tc>
      </w:tr>
      <w:tr w14:paraId="0B34E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72E8BFA">
            <w:pPr>
              <w:pStyle w:val="26"/>
              <w:rPr>
                <w:rFonts w:hint="default"/>
              </w:rPr>
            </w:pPr>
            <w:r>
              <w:rPr>
                <w:rFonts w:hint="default"/>
              </w:rPr>
              <w:t>2</w:t>
            </w:r>
          </w:p>
        </w:tc>
        <w:tc>
          <w:tcPr>
            <w:tcW w:w="7065" w:type="dxa"/>
            <w:vAlign w:val="center"/>
          </w:tcPr>
          <w:p w14:paraId="7FBCDB45">
            <w:pPr>
              <w:pStyle w:val="26"/>
              <w:rPr>
                <w:rFonts w:hint="default"/>
              </w:rPr>
            </w:pPr>
            <w:r>
              <w:rPr>
                <w:rFonts w:hint="default"/>
              </w:rPr>
              <w:t>无源手术器械</w:t>
            </w:r>
          </w:p>
        </w:tc>
      </w:tr>
      <w:tr w14:paraId="744FA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71C7AB2">
            <w:pPr>
              <w:pStyle w:val="26"/>
              <w:rPr>
                <w:rFonts w:hint="default"/>
              </w:rPr>
            </w:pPr>
            <w:r>
              <w:rPr>
                <w:rFonts w:hint="default"/>
              </w:rPr>
              <w:t>3</w:t>
            </w:r>
          </w:p>
        </w:tc>
        <w:tc>
          <w:tcPr>
            <w:tcW w:w="7065" w:type="dxa"/>
            <w:vAlign w:val="center"/>
          </w:tcPr>
          <w:p w14:paraId="6A9BC133">
            <w:pPr>
              <w:pStyle w:val="26"/>
              <w:rPr>
                <w:rFonts w:hint="default"/>
              </w:rPr>
            </w:pPr>
            <w:r>
              <w:rPr>
                <w:rFonts w:hint="default"/>
              </w:rPr>
              <w:t>神经和心血管手术器械</w:t>
            </w:r>
          </w:p>
        </w:tc>
      </w:tr>
      <w:tr w14:paraId="38EC1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EBD232A">
            <w:pPr>
              <w:pStyle w:val="26"/>
              <w:rPr>
                <w:rFonts w:hint="default"/>
              </w:rPr>
            </w:pPr>
            <w:r>
              <w:rPr>
                <w:rFonts w:hint="default"/>
              </w:rPr>
              <w:t>4</w:t>
            </w:r>
          </w:p>
        </w:tc>
        <w:tc>
          <w:tcPr>
            <w:tcW w:w="7065" w:type="dxa"/>
            <w:vAlign w:val="center"/>
          </w:tcPr>
          <w:p w14:paraId="28FACF36">
            <w:pPr>
              <w:pStyle w:val="26"/>
              <w:rPr>
                <w:rFonts w:hint="default"/>
              </w:rPr>
            </w:pPr>
            <w:r>
              <w:rPr>
                <w:rFonts w:hint="default"/>
              </w:rPr>
              <w:t>骨科手术器械</w:t>
            </w:r>
          </w:p>
        </w:tc>
      </w:tr>
      <w:tr w14:paraId="773F5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3A1AC4F">
            <w:pPr>
              <w:pStyle w:val="26"/>
              <w:rPr>
                <w:rFonts w:hint="default"/>
              </w:rPr>
            </w:pPr>
            <w:r>
              <w:rPr>
                <w:rFonts w:hint="default"/>
              </w:rPr>
              <w:t>5</w:t>
            </w:r>
          </w:p>
        </w:tc>
        <w:tc>
          <w:tcPr>
            <w:tcW w:w="7065" w:type="dxa"/>
            <w:vAlign w:val="center"/>
          </w:tcPr>
          <w:p w14:paraId="7C5C2D36">
            <w:pPr>
              <w:pStyle w:val="26"/>
              <w:rPr>
                <w:rFonts w:hint="default"/>
              </w:rPr>
            </w:pPr>
            <w:r>
              <w:rPr>
                <w:rFonts w:hint="default"/>
              </w:rPr>
              <w:t>放射治疗器械</w:t>
            </w:r>
          </w:p>
        </w:tc>
      </w:tr>
      <w:tr w14:paraId="2DB10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852051">
            <w:pPr>
              <w:pStyle w:val="26"/>
              <w:rPr>
                <w:rFonts w:hint="default"/>
              </w:rPr>
            </w:pPr>
            <w:r>
              <w:rPr>
                <w:rFonts w:hint="default"/>
              </w:rPr>
              <w:t>6</w:t>
            </w:r>
          </w:p>
        </w:tc>
        <w:tc>
          <w:tcPr>
            <w:tcW w:w="7065" w:type="dxa"/>
            <w:vAlign w:val="center"/>
          </w:tcPr>
          <w:p w14:paraId="12359C12">
            <w:pPr>
              <w:pStyle w:val="26"/>
              <w:rPr>
                <w:rFonts w:hint="default"/>
              </w:rPr>
            </w:pPr>
            <w:r>
              <w:rPr>
                <w:rFonts w:hint="default"/>
              </w:rPr>
              <w:t>医用成像器械</w:t>
            </w:r>
          </w:p>
        </w:tc>
      </w:tr>
      <w:tr w14:paraId="50D29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C5D9D03">
            <w:pPr>
              <w:pStyle w:val="26"/>
              <w:rPr>
                <w:rFonts w:hint="default"/>
              </w:rPr>
            </w:pPr>
            <w:r>
              <w:rPr>
                <w:rFonts w:hint="default"/>
              </w:rPr>
              <w:t>7</w:t>
            </w:r>
          </w:p>
        </w:tc>
        <w:tc>
          <w:tcPr>
            <w:tcW w:w="7065" w:type="dxa"/>
            <w:vAlign w:val="center"/>
          </w:tcPr>
          <w:p w14:paraId="2E5D6AAF">
            <w:pPr>
              <w:pStyle w:val="26"/>
              <w:rPr>
                <w:rFonts w:hint="default"/>
              </w:rPr>
            </w:pPr>
            <w:r>
              <w:rPr>
                <w:rFonts w:hint="default"/>
              </w:rPr>
              <w:t>医用诊察和监护器械</w:t>
            </w:r>
          </w:p>
        </w:tc>
      </w:tr>
      <w:tr w14:paraId="38E34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A504E75">
            <w:pPr>
              <w:pStyle w:val="26"/>
              <w:rPr>
                <w:rFonts w:hint="default"/>
              </w:rPr>
            </w:pPr>
            <w:r>
              <w:rPr>
                <w:rFonts w:hint="default"/>
              </w:rPr>
              <w:t>8</w:t>
            </w:r>
          </w:p>
        </w:tc>
        <w:tc>
          <w:tcPr>
            <w:tcW w:w="7065" w:type="dxa"/>
            <w:vAlign w:val="center"/>
          </w:tcPr>
          <w:p w14:paraId="35DEA16A">
            <w:pPr>
              <w:pStyle w:val="26"/>
              <w:rPr>
                <w:rFonts w:hint="default"/>
              </w:rPr>
            </w:pPr>
            <w:r>
              <w:rPr>
                <w:rFonts w:hint="default"/>
              </w:rPr>
              <w:t>呼吸、麻醉和急救器械</w:t>
            </w:r>
          </w:p>
        </w:tc>
      </w:tr>
      <w:tr w14:paraId="4212C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149AF6E">
            <w:pPr>
              <w:pStyle w:val="26"/>
              <w:rPr>
                <w:rFonts w:hint="default"/>
              </w:rPr>
            </w:pPr>
            <w:r>
              <w:rPr>
                <w:rFonts w:hint="default"/>
              </w:rPr>
              <w:t>9</w:t>
            </w:r>
          </w:p>
        </w:tc>
        <w:tc>
          <w:tcPr>
            <w:tcW w:w="7065" w:type="dxa"/>
            <w:vAlign w:val="center"/>
          </w:tcPr>
          <w:p w14:paraId="02DBB747">
            <w:pPr>
              <w:pStyle w:val="26"/>
              <w:rPr>
                <w:rFonts w:hint="default"/>
              </w:rPr>
            </w:pPr>
            <w:r>
              <w:rPr>
                <w:rFonts w:hint="default"/>
              </w:rPr>
              <w:t>物理治疗器械</w:t>
            </w:r>
          </w:p>
        </w:tc>
      </w:tr>
      <w:tr w14:paraId="27233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581509A">
            <w:pPr>
              <w:pStyle w:val="26"/>
              <w:rPr>
                <w:rFonts w:hint="default"/>
              </w:rPr>
            </w:pPr>
            <w:r>
              <w:rPr>
                <w:rFonts w:hint="default"/>
              </w:rPr>
              <w:t>10</w:t>
            </w:r>
          </w:p>
        </w:tc>
        <w:tc>
          <w:tcPr>
            <w:tcW w:w="7065" w:type="dxa"/>
            <w:vAlign w:val="center"/>
          </w:tcPr>
          <w:p w14:paraId="2CFDFEC3">
            <w:pPr>
              <w:pStyle w:val="26"/>
              <w:rPr>
                <w:rFonts w:hint="default"/>
              </w:rPr>
            </w:pPr>
            <w:r>
              <w:rPr>
                <w:rFonts w:hint="default"/>
              </w:rPr>
              <w:t>输血、透析和体外循环器械</w:t>
            </w:r>
          </w:p>
        </w:tc>
      </w:tr>
      <w:tr w14:paraId="58974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289546">
            <w:pPr>
              <w:pStyle w:val="26"/>
              <w:rPr>
                <w:rFonts w:hint="default"/>
              </w:rPr>
            </w:pPr>
            <w:r>
              <w:rPr>
                <w:rFonts w:hint="default"/>
              </w:rPr>
              <w:t>11</w:t>
            </w:r>
          </w:p>
        </w:tc>
        <w:tc>
          <w:tcPr>
            <w:tcW w:w="7065" w:type="dxa"/>
            <w:vAlign w:val="center"/>
          </w:tcPr>
          <w:p w14:paraId="68F34B29">
            <w:pPr>
              <w:pStyle w:val="26"/>
              <w:rPr>
                <w:rFonts w:hint="default"/>
              </w:rPr>
            </w:pPr>
            <w:r>
              <w:rPr>
                <w:rFonts w:hint="default"/>
              </w:rPr>
              <w:t>医疗器械消毒灭菌器械</w:t>
            </w:r>
          </w:p>
        </w:tc>
      </w:tr>
      <w:tr w14:paraId="5162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FAEE9DF">
            <w:pPr>
              <w:pStyle w:val="26"/>
              <w:rPr>
                <w:rFonts w:hint="default"/>
              </w:rPr>
            </w:pPr>
            <w:r>
              <w:rPr>
                <w:rFonts w:hint="default"/>
              </w:rPr>
              <w:t>12</w:t>
            </w:r>
          </w:p>
        </w:tc>
        <w:tc>
          <w:tcPr>
            <w:tcW w:w="7065" w:type="dxa"/>
            <w:vAlign w:val="center"/>
          </w:tcPr>
          <w:p w14:paraId="344EE2E2">
            <w:pPr>
              <w:pStyle w:val="26"/>
              <w:rPr>
                <w:rFonts w:hint="default"/>
              </w:rPr>
            </w:pPr>
            <w:r>
              <w:rPr>
                <w:rFonts w:hint="default"/>
              </w:rPr>
              <w:t>有源植入器械</w:t>
            </w:r>
          </w:p>
        </w:tc>
      </w:tr>
      <w:tr w14:paraId="44A9B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681A335">
            <w:pPr>
              <w:pStyle w:val="26"/>
              <w:rPr>
                <w:rFonts w:hint="default"/>
              </w:rPr>
            </w:pPr>
            <w:r>
              <w:rPr>
                <w:rFonts w:hint="default"/>
              </w:rPr>
              <w:t>13</w:t>
            </w:r>
          </w:p>
        </w:tc>
        <w:tc>
          <w:tcPr>
            <w:tcW w:w="7065" w:type="dxa"/>
            <w:vAlign w:val="center"/>
          </w:tcPr>
          <w:p w14:paraId="465EFA00">
            <w:pPr>
              <w:pStyle w:val="26"/>
              <w:rPr>
                <w:rFonts w:hint="default"/>
              </w:rPr>
            </w:pPr>
            <w:r>
              <w:rPr>
                <w:rFonts w:hint="default"/>
              </w:rPr>
              <w:t>无源植入器械</w:t>
            </w:r>
          </w:p>
        </w:tc>
      </w:tr>
      <w:tr w14:paraId="10E1D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D2C3D87">
            <w:pPr>
              <w:pStyle w:val="26"/>
              <w:rPr>
                <w:rFonts w:hint="default"/>
              </w:rPr>
            </w:pPr>
            <w:r>
              <w:rPr>
                <w:rFonts w:hint="default"/>
              </w:rPr>
              <w:t>14</w:t>
            </w:r>
          </w:p>
        </w:tc>
        <w:tc>
          <w:tcPr>
            <w:tcW w:w="7065" w:type="dxa"/>
            <w:vAlign w:val="center"/>
          </w:tcPr>
          <w:p w14:paraId="6541302B">
            <w:pPr>
              <w:pStyle w:val="26"/>
              <w:rPr>
                <w:rFonts w:hint="default"/>
              </w:rPr>
            </w:pPr>
            <w:r>
              <w:rPr>
                <w:rFonts w:hint="default"/>
              </w:rPr>
              <w:t>注输、护理和防护器械</w:t>
            </w:r>
          </w:p>
        </w:tc>
      </w:tr>
      <w:tr w14:paraId="2AC3CD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064B54">
            <w:pPr>
              <w:pStyle w:val="26"/>
              <w:rPr>
                <w:rFonts w:hint="default"/>
              </w:rPr>
            </w:pPr>
            <w:r>
              <w:rPr>
                <w:rFonts w:hint="default"/>
              </w:rPr>
              <w:t>15</w:t>
            </w:r>
          </w:p>
        </w:tc>
        <w:tc>
          <w:tcPr>
            <w:tcW w:w="7065" w:type="dxa"/>
            <w:vAlign w:val="center"/>
          </w:tcPr>
          <w:p w14:paraId="0684ABE9">
            <w:pPr>
              <w:pStyle w:val="26"/>
              <w:rPr>
                <w:rFonts w:hint="default"/>
              </w:rPr>
            </w:pPr>
            <w:r>
              <w:rPr>
                <w:rFonts w:hint="default"/>
              </w:rPr>
              <w:t>患者承载器械</w:t>
            </w:r>
          </w:p>
        </w:tc>
      </w:tr>
      <w:tr w14:paraId="452E6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4B6635B">
            <w:pPr>
              <w:pStyle w:val="26"/>
              <w:rPr>
                <w:rFonts w:hint="default"/>
              </w:rPr>
            </w:pPr>
            <w:r>
              <w:rPr>
                <w:rFonts w:hint="default"/>
              </w:rPr>
              <w:t>16</w:t>
            </w:r>
          </w:p>
        </w:tc>
        <w:tc>
          <w:tcPr>
            <w:tcW w:w="7065" w:type="dxa"/>
            <w:vAlign w:val="center"/>
          </w:tcPr>
          <w:p w14:paraId="540E570D">
            <w:pPr>
              <w:pStyle w:val="26"/>
              <w:rPr>
                <w:rFonts w:hint="default"/>
              </w:rPr>
            </w:pPr>
            <w:r>
              <w:rPr>
                <w:rFonts w:hint="default"/>
              </w:rPr>
              <w:t>眼科器械</w:t>
            </w:r>
          </w:p>
        </w:tc>
      </w:tr>
      <w:tr w14:paraId="189E9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F731A8F">
            <w:pPr>
              <w:pStyle w:val="26"/>
              <w:rPr>
                <w:rFonts w:hint="default"/>
              </w:rPr>
            </w:pPr>
            <w:r>
              <w:rPr>
                <w:rFonts w:hint="default"/>
              </w:rPr>
              <w:t>17</w:t>
            </w:r>
          </w:p>
        </w:tc>
        <w:tc>
          <w:tcPr>
            <w:tcW w:w="7065" w:type="dxa"/>
            <w:vAlign w:val="center"/>
          </w:tcPr>
          <w:p w14:paraId="1DCE9108">
            <w:pPr>
              <w:pStyle w:val="26"/>
              <w:rPr>
                <w:rFonts w:hint="default"/>
              </w:rPr>
            </w:pPr>
            <w:r>
              <w:rPr>
                <w:rFonts w:hint="default"/>
              </w:rPr>
              <w:t>口腔科器械</w:t>
            </w:r>
          </w:p>
        </w:tc>
      </w:tr>
      <w:tr w14:paraId="1B509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66389F5">
            <w:pPr>
              <w:pStyle w:val="26"/>
              <w:rPr>
                <w:rFonts w:hint="default"/>
              </w:rPr>
            </w:pPr>
            <w:r>
              <w:rPr>
                <w:rFonts w:hint="default"/>
              </w:rPr>
              <w:t>18</w:t>
            </w:r>
          </w:p>
        </w:tc>
        <w:tc>
          <w:tcPr>
            <w:tcW w:w="7065" w:type="dxa"/>
            <w:vAlign w:val="center"/>
          </w:tcPr>
          <w:p w14:paraId="03B03E3F">
            <w:pPr>
              <w:pStyle w:val="26"/>
              <w:rPr>
                <w:rFonts w:hint="default"/>
              </w:rPr>
            </w:pPr>
            <w:r>
              <w:rPr>
                <w:rFonts w:hint="default"/>
              </w:rPr>
              <w:t>妇产科、辅助生殖和避孕器械</w:t>
            </w:r>
          </w:p>
        </w:tc>
      </w:tr>
      <w:tr w14:paraId="54EB4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E2C1FE8">
            <w:pPr>
              <w:pStyle w:val="26"/>
              <w:rPr>
                <w:rFonts w:hint="default"/>
              </w:rPr>
            </w:pPr>
            <w:r>
              <w:rPr>
                <w:rFonts w:hint="default"/>
              </w:rPr>
              <w:t>19</w:t>
            </w:r>
          </w:p>
        </w:tc>
        <w:tc>
          <w:tcPr>
            <w:tcW w:w="7065" w:type="dxa"/>
            <w:vAlign w:val="center"/>
          </w:tcPr>
          <w:p w14:paraId="7DD0F8F2">
            <w:pPr>
              <w:pStyle w:val="26"/>
              <w:rPr>
                <w:rFonts w:hint="default"/>
              </w:rPr>
            </w:pPr>
            <w:r>
              <w:rPr>
                <w:rFonts w:hint="default"/>
              </w:rPr>
              <w:t>医用康复器械</w:t>
            </w:r>
          </w:p>
        </w:tc>
      </w:tr>
      <w:tr w14:paraId="2B2DD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1A49A63">
            <w:pPr>
              <w:pStyle w:val="26"/>
              <w:rPr>
                <w:rFonts w:hint="default"/>
              </w:rPr>
            </w:pPr>
            <w:r>
              <w:rPr>
                <w:rFonts w:hint="default"/>
              </w:rPr>
              <w:t>20</w:t>
            </w:r>
          </w:p>
        </w:tc>
        <w:tc>
          <w:tcPr>
            <w:tcW w:w="7065" w:type="dxa"/>
            <w:vAlign w:val="center"/>
          </w:tcPr>
          <w:p w14:paraId="02C3C373">
            <w:pPr>
              <w:pStyle w:val="26"/>
              <w:rPr>
                <w:rFonts w:hint="default"/>
              </w:rPr>
            </w:pPr>
            <w:r>
              <w:rPr>
                <w:rFonts w:hint="default"/>
              </w:rPr>
              <w:t>中医器械</w:t>
            </w:r>
          </w:p>
        </w:tc>
      </w:tr>
      <w:tr w14:paraId="2C717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156687">
            <w:pPr>
              <w:pStyle w:val="26"/>
              <w:rPr>
                <w:rFonts w:hint="default"/>
              </w:rPr>
            </w:pPr>
            <w:r>
              <w:rPr>
                <w:rFonts w:hint="default"/>
              </w:rPr>
              <w:t>21</w:t>
            </w:r>
          </w:p>
        </w:tc>
        <w:tc>
          <w:tcPr>
            <w:tcW w:w="7065" w:type="dxa"/>
            <w:vAlign w:val="center"/>
          </w:tcPr>
          <w:p w14:paraId="080B16AC">
            <w:pPr>
              <w:pStyle w:val="26"/>
              <w:rPr>
                <w:rFonts w:hint="default"/>
              </w:rPr>
            </w:pPr>
            <w:r>
              <w:rPr>
                <w:rFonts w:hint="default"/>
              </w:rPr>
              <w:t>医用软件</w:t>
            </w:r>
          </w:p>
        </w:tc>
      </w:tr>
      <w:tr w14:paraId="714B9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191C5E25">
            <w:pPr>
              <w:pStyle w:val="26"/>
              <w:rPr>
                <w:rFonts w:hint="default"/>
              </w:rPr>
            </w:pPr>
            <w:r>
              <w:t>22</w:t>
            </w:r>
          </w:p>
        </w:tc>
        <w:tc>
          <w:tcPr>
            <w:tcW w:w="7065" w:type="dxa"/>
            <w:tcBorders>
              <w:bottom w:val="single" w:color="auto" w:sz="8" w:space="0"/>
            </w:tcBorders>
            <w:vAlign w:val="center"/>
          </w:tcPr>
          <w:p w14:paraId="705468F6">
            <w:pPr>
              <w:pStyle w:val="26"/>
              <w:rPr>
                <w:rFonts w:hint="default"/>
              </w:rPr>
            </w:pPr>
            <w:r>
              <w:t>临床检验器械</w:t>
            </w:r>
          </w:p>
        </w:tc>
      </w:tr>
    </w:tbl>
    <w:p w14:paraId="5A74B737">
      <w:pPr>
        <w:pStyle w:val="4"/>
        <w:numPr>
          <w:ilvl w:val="2"/>
          <w:numId w:val="1"/>
        </w:numPr>
        <w:tabs>
          <w:tab w:val="clear" w:pos="420"/>
        </w:tabs>
        <w:rPr>
          <w:highlight w:val="yellow"/>
        </w:rPr>
      </w:pPr>
      <w:bookmarkStart w:id="71" w:name="_Toc229086864"/>
      <w:bookmarkStart w:id="72" w:name="_Toc31469"/>
      <w:r>
        <w:rPr>
          <w:rFonts w:hint="eastAsia"/>
          <w:highlight w:val="yellow"/>
        </w:rPr>
        <w:t>跨体系语义映射问题定义与分析</w:t>
      </w:r>
      <w:bookmarkEnd w:id="71"/>
      <w:bookmarkEnd w:id="72"/>
    </w:p>
    <w:p w14:paraId="4AA58D6D">
      <w:pPr>
        <w:ind w:firstLine="480"/>
        <w:rPr>
          <w:highlight w:val="yellow"/>
        </w:rPr>
      </w:pPr>
      <w:r>
        <w:rPr>
          <w:rFonts w:hint="eastAsia"/>
          <w:highlight w:val="yellow"/>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4C2F5D46">
      <w:pPr>
        <w:ind w:firstLine="480"/>
        <w:rPr>
          <w:highlight w:val="yellow"/>
        </w:rPr>
      </w:pPr>
      <w:r>
        <w:rPr>
          <w:rFonts w:hint="eastAsia"/>
          <w:highlight w:val="yellow"/>
        </w:rPr>
        <w:t>实现跨域精准映射需在数据治理、自动标注、知识增强和表征学习等多个维度协同突破，确保分类路径在多级监管目录中具备严格的逻辑一致性，从而打通从通用技术语义向垂直监管逻辑的映射路径。</w:t>
      </w:r>
    </w:p>
    <w:p w14:paraId="501A15A1">
      <w:pPr>
        <w:pStyle w:val="3"/>
        <w:numPr>
          <w:ilvl w:val="1"/>
          <w:numId w:val="1"/>
        </w:numPr>
        <w:tabs>
          <w:tab w:val="clear" w:pos="420"/>
        </w:tabs>
        <w:rPr>
          <w:highlight w:val="yellow"/>
        </w:rPr>
      </w:pPr>
      <w:bookmarkStart w:id="73" w:name="_Toc229086865"/>
      <w:bookmarkStart w:id="74" w:name="_Toc8353"/>
      <w:r>
        <w:rPr>
          <w:rFonts w:hint="eastAsia"/>
          <w:highlight w:val="yellow"/>
        </w:rPr>
        <w:t>自动标注数据质量控制方法</w:t>
      </w:r>
      <w:bookmarkEnd w:id="73"/>
      <w:bookmarkEnd w:id="74"/>
    </w:p>
    <w:p w14:paraId="13BC9B1B">
      <w:pPr>
        <w:ind w:firstLine="480"/>
        <w:rPr>
          <w:color w:val="auto"/>
          <w:highlight w:val="yellow"/>
        </w:rPr>
      </w:pPr>
      <w:r>
        <w:rPr>
          <w:rFonts w:hint="eastAsia"/>
          <w:highlight w:val="yellow"/>
        </w:rPr>
        <w:t>由于缺乏标准数据集，医疗器械专利数据自动化标注存在知识幻觉与标签噪声问题。</w:t>
      </w:r>
      <w:r>
        <w:rPr>
          <w:rFonts w:hint="eastAsia"/>
          <w:color w:val="auto"/>
          <w:highlight w:val="yellow"/>
        </w:rPr>
        <w:t>为确保数据质量，本文借鉴置信学习中标签错误检测的思想，并结合一致性筛选与统计等价性检验，为构建高质量数据集提供方法支撑。</w:t>
      </w:r>
    </w:p>
    <w:p w14:paraId="45971793">
      <w:pPr>
        <w:pStyle w:val="4"/>
        <w:numPr>
          <w:ilvl w:val="2"/>
          <w:numId w:val="1"/>
        </w:numPr>
        <w:tabs>
          <w:tab w:val="clear" w:pos="420"/>
        </w:tabs>
        <w:rPr>
          <w:color w:val="auto"/>
          <w:highlight w:val="yellow"/>
        </w:rPr>
      </w:pPr>
      <w:bookmarkStart w:id="75" w:name="_Toc229086866"/>
      <w:bookmarkStart w:id="76" w:name="_Toc7022"/>
      <w:r>
        <w:rPr>
          <w:rFonts w:hint="eastAsia"/>
          <w:color w:val="auto"/>
          <w:highlight w:val="yellow"/>
        </w:rPr>
        <w:t>一致性筛选与标签错误检测</w:t>
      </w:r>
      <w:bookmarkEnd w:id="75"/>
      <w:bookmarkEnd w:id="76"/>
    </w:p>
    <w:p w14:paraId="50704827">
      <w:pPr>
        <w:ind w:firstLine="480"/>
        <w:rPr>
          <w:color w:val="auto"/>
          <w:highlight w:val="yellow"/>
        </w:rPr>
      </w:pPr>
      <w:r>
        <w:rPr>
          <w:rFonts w:hint="eastAsia"/>
          <w:color w:val="auto"/>
          <w:highlight w:val="yellow"/>
        </w:rPr>
        <w:t>在缺少大规模专家标注数据的情况下，训练数据中的噪声标签会直接影响模型学习效果。置信学习相关研究表明，标签质量可以通过给定标签与模型预测结果之间的关系进行估计，从而识别可能存在错误的样本</w:t>
      </w:r>
      <w:r>
        <w:rPr>
          <w:rStyle w:val="33"/>
          <w:rFonts w:hint="eastAsia"/>
          <w:color w:val="auto"/>
          <w:highlight w:val="yellow"/>
        </w:rPr>
        <w:t>[39]</w:t>
      </w:r>
      <w:r>
        <w:rPr>
          <w:rFonts w:hint="eastAsia"/>
          <w:color w:val="auto"/>
          <w:highlight w:val="yellow"/>
        </w:rPr>
        <w:t>。同时，已有研究表明，大语言模型可用于文本标注任务，并在部分场景中取得较高的一致性和准确率</w:t>
      </w:r>
      <w:r>
        <w:rPr>
          <w:rStyle w:val="33"/>
          <w:rFonts w:hint="eastAsia"/>
          <w:color w:val="auto"/>
          <w:highlight w:val="yellow"/>
        </w:rPr>
        <w:t>[40]</w:t>
      </w:r>
      <w:r>
        <w:rPr>
          <w:rFonts w:hint="eastAsia"/>
          <w:color w:val="auto"/>
          <w:highlight w:val="yellow"/>
        </w:rPr>
        <w:t>。</w:t>
      </w:r>
    </w:p>
    <w:p w14:paraId="7E8CF3A1">
      <w:pPr>
        <w:ind w:firstLine="480"/>
        <w:rPr>
          <w:color w:val="auto"/>
          <w:highlight w:val="yellow"/>
        </w:rPr>
      </w:pPr>
      <w:r>
        <w:rPr>
          <w:rFonts w:hint="eastAsia"/>
          <w:color w:val="auto"/>
          <w:highlight w:val="yellow"/>
        </w:rPr>
        <w:t>结合本文任务，本文将原始标签与自动标注工作流输出标签视为两个来源不同的标签信号。原始标签可能受到类别边界模糊、人工判断偏差等因素影响；自动标注标签则可能受到模型理解偏差、摘要信息不足和易混类别判断错误等因素影响。二者错误来源并不完全相同，因此可通过标签一致性对样本质量进行初步判断。</w:t>
      </w:r>
    </w:p>
    <w:p w14:paraId="006B642C">
      <w:pPr>
        <w:ind w:firstLine="480"/>
        <w:rPr>
          <w:color w:val="auto"/>
          <w:highlight w:val="yellow"/>
        </w:rPr>
      </w:pPr>
      <w:r>
        <w:rPr>
          <w:rFonts w:hint="eastAsia"/>
          <w:color w:val="auto"/>
          <w:highlight w:val="yellow"/>
        </w:rPr>
        <w:t>当原始标签与自动标注标签一致时，样本被划为高置信候选；当二者不一致时，样本被划为低置信候选。需要说明的是，一致性筛选只能作为初步质量控制依据，不能直接证明标签一定正确，后续仍需结合抽样校对和统计检验进一步验证。</w:t>
      </w:r>
    </w:p>
    <w:p w14:paraId="32EEA90D">
      <w:pPr>
        <w:pStyle w:val="4"/>
        <w:numPr>
          <w:ilvl w:val="2"/>
          <w:numId w:val="1"/>
        </w:numPr>
        <w:tabs>
          <w:tab w:val="clear" w:pos="420"/>
        </w:tabs>
        <w:rPr>
          <w:highlight w:val="yellow"/>
        </w:rPr>
      </w:pPr>
      <w:bookmarkStart w:id="77" w:name="_Toc229086867"/>
      <w:bookmarkStart w:id="78" w:name="_Toc1913"/>
      <w:r>
        <w:rPr>
          <w:rFonts w:hint="eastAsia"/>
          <w:highlight w:val="yellow"/>
        </w:rPr>
        <w:t>统计等价性检验</w:t>
      </w:r>
      <w:bookmarkEnd w:id="77"/>
      <w:bookmarkEnd w:id="78"/>
    </w:p>
    <w:p w14:paraId="08D832FD">
      <w:pPr>
        <w:ind w:firstLine="480"/>
        <w:rPr>
          <w:highlight w:val="yellow"/>
        </w:rPr>
      </w:pPr>
      <w:r>
        <w:rPr>
          <w:rFonts w:hint="eastAsia"/>
          <w:highlight w:val="yellow"/>
        </w:rPr>
        <w:t>为了对LLM自动标注的弱标签数据质量进行评价，可以采用双单侧等价性检验（Two One-Sided Tests, TOST）作为数据质量检验方法</w:t>
      </w:r>
      <w:r>
        <w:rPr>
          <w:rStyle w:val="33"/>
          <w:rFonts w:hint="eastAsia"/>
          <w:highlight w:val="yellow"/>
        </w:rPr>
        <w:t>[</w:t>
      </w:r>
      <w:r>
        <w:rPr>
          <w:rStyle w:val="33"/>
          <w:highlight w:val="yellow"/>
        </w:rPr>
        <w:t>41]</w:t>
      </w:r>
      <w:r>
        <w:rPr>
          <w:rFonts w:hint="eastAsia"/>
          <w:highlight w:val="yellow"/>
        </w:rPr>
        <w:t>。传统的统计假设检验中，研究者通常试图拒绝原假设，以证明样本间差异的显著性。然而，在数据集质量评估中，目标是证明两个分布足够接近。单纯</w:t>
      </w:r>
      <w:r>
        <w:rPr>
          <w:rFonts w:hint="eastAsia"/>
          <w:i w:val="0"/>
          <w:iCs w:val="0"/>
          <w:highlight w:val="yellow"/>
        </w:rPr>
        <w:t>的</w:t>
      </w:r>
      <m:oMath>
        <m:r>
          <m:rPr>
            <m:nor/>
            <m:sty m:val="p"/>
          </m:rPr>
          <w:rPr>
            <w:rFonts w:hint="default" w:ascii="Times New Roman" w:hAnsi="Times New Roman" w:cs="Times New Roman"/>
            <w:i w:val="0"/>
            <w:iCs w:val="0"/>
            <w:highlight w:val="yellow"/>
          </w:rPr>
          <m:t>p</m:t>
        </m:r>
      </m:oMath>
      <w:r>
        <w:rPr>
          <w:rFonts w:hint="eastAsia"/>
          <w:i w:val="0"/>
          <w:iCs w:val="0"/>
          <w:highlight w:val="yellow"/>
        </w:rPr>
        <w:t>值不</w:t>
      </w:r>
      <w:r>
        <w:rPr>
          <w:rFonts w:hint="eastAsia"/>
          <w:highlight w:val="yellow"/>
        </w:rPr>
        <w:t>显著并不能说明两者无显著差异，也就是统计学上的“无法拒绝原假设并不代表原假设成立”理论。</w:t>
      </w:r>
    </w:p>
    <w:p w14:paraId="6928DC07">
      <w:pPr>
        <w:ind w:firstLine="480"/>
        <w:rPr>
          <w:highlight w:val="yellow"/>
        </w:rPr>
      </w:pPr>
      <w:r>
        <w:rPr>
          <w:rFonts w:hint="eastAsia"/>
          <w:highlight w:val="yellow"/>
        </w:rPr>
        <w:t xml:space="preserve">TOST通过对等价性区间（Equivalence Margin, </w:t>
      </w:r>
      <m:oMath>
        <m:r>
          <m:rPr>
            <m:nor/>
            <m:sty m:val="p"/>
          </m:rPr>
          <w:rPr>
            <w:rFonts w:cs="Times New Roman"/>
            <w:highlight w:val="yellow"/>
          </w:rPr>
          <m:t>Δ</m:t>
        </m:r>
      </m:oMath>
      <w:r>
        <w:rPr>
          <w:rFonts w:hint="eastAsia"/>
          <w:highlight w:val="yellow"/>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Style w:val="33"/>
          <w:rFonts w:hint="eastAsia"/>
          <w:highlight w:val="yellow"/>
        </w:rPr>
        <w:t>[41]</w:t>
      </w:r>
      <w:r>
        <w:rPr>
          <w:rFonts w:hint="eastAsia"/>
          <w:highlight w:val="yellow"/>
        </w:rPr>
        <w:t>：</w:t>
      </w:r>
    </w:p>
    <w:p w14:paraId="5F8DDF01">
      <w:pPr>
        <w:ind w:firstLine="480"/>
        <w:rPr>
          <w:highlight w:val="yellow"/>
        </w:rPr>
      </w:pPr>
      <m:oMathPara>
        <m:oMath>
          <m:eqArr>
            <m:eqArrPr>
              <m:maxDist m:val="1"/>
              <m:ctrlPr>
                <w:rPr>
                  <w:rFonts w:ascii="Cambria Math" w:hAnsi="Cambria Math" w:cs="Times New Roman"/>
                  <w:highlight w:val="yellow"/>
                </w:rPr>
              </m:ctrlPr>
            </m:eqArrPr>
            <m:e>
              <m:sSub>
                <m:sSubPr>
                  <m:ctrlPr>
                    <w:rPr>
                      <w:rFonts w:ascii="Cambria Math" w:hAnsi="Cambria Math" w:cs="Times New Roman"/>
                      <w:highlight w:val="yellow"/>
                    </w:rPr>
                  </m:ctrlPr>
                </m:sSubPr>
                <m:e>
                  <m:r>
                    <m:rPr>
                      <m:nor/>
                      <m:sty m:val="p"/>
                    </m:rPr>
                    <w:rPr>
                      <w:rFonts w:cs="Times New Roman"/>
                      <w:highlight w:val="yellow"/>
                    </w:rPr>
                    <m:t>H</m:t>
                  </m:r>
                  <m:ctrlPr>
                    <w:rPr>
                      <w:rFonts w:ascii="Cambria Math" w:hAnsi="Cambria Math" w:cs="Times New Roman"/>
                      <w:highlight w:val="yellow"/>
                    </w:rPr>
                  </m:ctrlPr>
                </m:e>
                <m:sub>
                  <m:r>
                    <m:rPr>
                      <m:nor/>
                      <m:sty m:val="p"/>
                    </m:rPr>
                    <w:rPr>
                      <w:rFonts w:cs="Times New Roman"/>
                      <w:highlight w:val="yellow"/>
                    </w:rPr>
                    <m:t>0</m:t>
                  </m:r>
                  <m:ctrlPr>
                    <w:rPr>
                      <w:rFonts w:ascii="Cambria Math" w:hAnsi="Cambria Math" w:cs="Times New Roman"/>
                      <w:highlight w:val="yellow"/>
                    </w:rPr>
                  </m:ctrlPr>
                </m:sub>
              </m:sSub>
              <m:r>
                <m:rPr>
                  <m:nor/>
                  <m:sty m:val="p"/>
                </m:rPr>
                <w:rPr>
                  <w:rFonts w:cs="Times New Roman"/>
                  <w:highlight w:val="yellow"/>
                </w:rPr>
                <m:t>:</m:t>
              </m:r>
              <m:d>
                <m:dPr>
                  <m:begChr m:val="|"/>
                  <m:endChr m:val="|"/>
                  <m:ctrlPr>
                    <w:rPr>
                      <w:rFonts w:ascii="Cambria Math" w:hAnsi="Cambria Math" w:cs="Times New Roman"/>
                      <w:highlight w:val="yellow"/>
                    </w:rPr>
                  </m:ctrlPr>
                </m:dPr>
                <m:e>
                  <m:sSub>
                    <m:sSubPr>
                      <m:ctrlPr>
                        <w:rPr>
                          <w:rFonts w:ascii="Cambria Math" w:hAnsi="Cambria Math" w:cs="Times New Roman"/>
                          <w:highlight w:val="yellow"/>
                        </w:rPr>
                      </m:ctrlPr>
                    </m:sSubPr>
                    <m:e>
                      <m:r>
                        <m:rPr>
                          <m:nor/>
                          <m:sty m:val="p"/>
                        </m:rPr>
                        <w:rPr>
                          <w:rFonts w:cs="Times New Roman"/>
                          <w:highlight w:val="yellow"/>
                        </w:rPr>
                        <m:t>μ</m:t>
                      </m:r>
                      <m:ctrlPr>
                        <w:rPr>
                          <w:rFonts w:ascii="Cambria Math" w:hAnsi="Cambria Math" w:cs="Times New Roman"/>
                          <w:highlight w:val="yellow"/>
                        </w:rPr>
                      </m:ctrlPr>
                    </m:e>
                    <m:sub>
                      <m:r>
                        <m:rPr>
                          <m:nor/>
                          <m:sty m:val="p"/>
                        </m:rPr>
                        <w:rPr>
                          <w:rFonts w:cs="Times New Roman"/>
                          <w:highlight w:val="yellow"/>
                        </w:rPr>
                        <m:t>1</m:t>
                      </m:r>
                      <m:ctrlPr>
                        <w:rPr>
                          <w:rFonts w:ascii="Cambria Math" w:hAnsi="Cambria Math" w:cs="Times New Roman"/>
                          <w:highlight w:val="yellow"/>
                        </w:rPr>
                      </m:ctrlPr>
                    </m:sub>
                  </m:sSub>
                  <m:r>
                    <m:rPr>
                      <m:nor/>
                      <m:sty m:val="p"/>
                    </m:rPr>
                    <w:rPr>
                      <w:rFonts w:cs="Times New Roman"/>
                      <w:highlight w:val="yellow"/>
                    </w:rPr>
                    <m:t>-</m:t>
                  </m:r>
                  <m:sSub>
                    <m:sSubPr>
                      <m:ctrlPr>
                        <w:rPr>
                          <w:rFonts w:ascii="Cambria Math" w:hAnsi="Cambria Math" w:cs="Times New Roman"/>
                          <w:highlight w:val="yellow"/>
                        </w:rPr>
                      </m:ctrlPr>
                    </m:sSubPr>
                    <m:e>
                      <m:r>
                        <m:rPr>
                          <m:nor/>
                          <m:sty m:val="p"/>
                        </m:rPr>
                        <w:rPr>
                          <w:rFonts w:cs="Times New Roman"/>
                          <w:highlight w:val="yellow"/>
                        </w:rPr>
                        <m:t>μ</m:t>
                      </m:r>
                      <m:ctrlPr>
                        <w:rPr>
                          <w:rFonts w:ascii="Cambria Math" w:hAnsi="Cambria Math" w:cs="Times New Roman"/>
                          <w:highlight w:val="yellow"/>
                        </w:rPr>
                      </m:ctrlPr>
                    </m:e>
                    <m:sub>
                      <m:r>
                        <m:rPr>
                          <m:nor/>
                          <m:sty m:val="p"/>
                        </m:rPr>
                        <w:rPr>
                          <w:rFonts w:cs="Times New Roman"/>
                          <w:highlight w:val="yellow"/>
                        </w:rPr>
                        <m:t>2</m:t>
                      </m:r>
                      <m:ctrlPr>
                        <w:rPr>
                          <w:rFonts w:ascii="Cambria Math" w:hAnsi="Cambria Math" w:cs="Times New Roman"/>
                          <w:highlight w:val="yellow"/>
                        </w:rPr>
                      </m:ctrlPr>
                    </m:sub>
                  </m:sSub>
                  <m:ctrlPr>
                    <w:rPr>
                      <w:rFonts w:ascii="Cambria Math" w:hAnsi="Cambria Math" w:cs="Times New Roman"/>
                      <w:highlight w:val="yellow"/>
                    </w:rPr>
                  </m:ctrlPr>
                </m:e>
              </m:d>
              <m:r>
                <m:rPr>
                  <m:nor/>
                  <m:sty m:val="p"/>
                </m:rPr>
                <w:rPr>
                  <w:rFonts w:cs="Times New Roman"/>
                  <w:highlight w:val="yellow"/>
                </w:rPr>
                <m:t>≥Δ</m:t>
              </m:r>
              <m:r>
                <m:rPr>
                  <m:sty m:val="p"/>
                </m:rPr>
                <w:rPr>
                  <w:rFonts w:ascii="Cambria Math" w:hAnsi="Cambria Math" w:cs="Times New Roman"/>
                  <w:highlight w:val="yellow"/>
                </w:rPr>
                <m:t>#</m:t>
              </m:r>
              <m:d>
                <m:dPr>
                  <m:ctrlPr>
                    <w:rPr>
                      <w:rFonts w:ascii="Cambria Math" w:hAnsi="Cambria Math" w:cs="Times New Roman"/>
                      <w:highlight w:val="yellow"/>
                    </w:rPr>
                  </m:ctrlPr>
                </m:dPr>
                <m:e>
                  <m:r>
                    <m:rPr>
                      <m:nor/>
                      <m:sty m:val="p"/>
                    </m:rPr>
                    <w:rPr>
                      <w:rFonts w:cs="Times New Roman"/>
                      <w:highlight w:val="yellow"/>
                    </w:rPr>
                    <m:t>2-1</m:t>
                  </m:r>
                  <m:ctrlPr>
                    <w:rPr>
                      <w:rFonts w:ascii="Cambria Math" w:hAnsi="Cambria Math" w:cs="Times New Roman"/>
                      <w:highlight w:val="yellow"/>
                    </w:rPr>
                  </m:ctrlPr>
                </m:e>
              </m:d>
              <m:ctrlPr>
                <w:rPr>
                  <w:rFonts w:ascii="Cambria Math" w:hAnsi="Cambria Math" w:cs="Times New Roman"/>
                  <w:highlight w:val="yellow"/>
                </w:rPr>
              </m:ctrlPr>
            </m:e>
          </m:eqArr>
        </m:oMath>
      </m:oMathPara>
    </w:p>
    <w:p w14:paraId="60B12571">
      <w:pPr>
        <w:ind w:firstLine="480"/>
        <w:rPr>
          <w:highlight w:val="yellow"/>
        </w:rPr>
      </w:pPr>
      <m:oMathPara>
        <m:oMath>
          <m:eqArr>
            <m:eqArrPr>
              <m:maxDist m:val="1"/>
              <m:ctrlPr>
                <w:rPr>
                  <w:rFonts w:ascii="Cambria Math" w:hAnsi="Cambria Math" w:cs="Times New Roman"/>
                  <w:highlight w:val="yellow"/>
                </w:rPr>
              </m:ctrlPr>
            </m:eqArrPr>
            <m:e>
              <m:sSub>
                <m:sSubPr>
                  <m:ctrlPr>
                    <w:rPr>
                      <w:rFonts w:ascii="Cambria Math" w:hAnsi="Cambria Math" w:cs="Times New Roman"/>
                      <w:highlight w:val="yellow"/>
                    </w:rPr>
                  </m:ctrlPr>
                </m:sSubPr>
                <m:e>
                  <m:r>
                    <m:rPr>
                      <m:nor/>
                      <m:sty m:val="p"/>
                    </m:rPr>
                    <w:rPr>
                      <w:rFonts w:cs="Times New Roman"/>
                      <w:highlight w:val="yellow"/>
                    </w:rPr>
                    <m:t>H</m:t>
                  </m:r>
                  <m:ctrlPr>
                    <w:rPr>
                      <w:rFonts w:ascii="Cambria Math" w:hAnsi="Cambria Math" w:cs="Times New Roman"/>
                      <w:highlight w:val="yellow"/>
                    </w:rPr>
                  </m:ctrlPr>
                </m:e>
                <m:sub>
                  <m:r>
                    <m:rPr>
                      <m:nor/>
                      <m:sty m:val="p"/>
                    </m:rPr>
                    <w:rPr>
                      <w:rFonts w:cs="Times New Roman"/>
                      <w:highlight w:val="yellow"/>
                    </w:rPr>
                    <m:t>1</m:t>
                  </m:r>
                  <m:ctrlPr>
                    <w:rPr>
                      <w:rFonts w:ascii="Cambria Math" w:hAnsi="Cambria Math" w:cs="Times New Roman"/>
                      <w:highlight w:val="yellow"/>
                    </w:rPr>
                  </m:ctrlPr>
                </m:sub>
              </m:sSub>
              <m:r>
                <m:rPr>
                  <m:nor/>
                  <m:sty m:val="p"/>
                </m:rPr>
                <w:rPr>
                  <w:rFonts w:cs="Times New Roman"/>
                  <w:highlight w:val="yellow"/>
                </w:rPr>
                <m:t>:</m:t>
              </m:r>
              <m:d>
                <m:dPr>
                  <m:begChr m:val="|"/>
                  <m:endChr m:val="|"/>
                  <m:ctrlPr>
                    <w:rPr>
                      <w:rFonts w:ascii="Cambria Math" w:hAnsi="Cambria Math" w:cs="Times New Roman"/>
                      <w:highlight w:val="yellow"/>
                    </w:rPr>
                  </m:ctrlPr>
                </m:dPr>
                <m:e>
                  <m:sSub>
                    <m:sSubPr>
                      <m:ctrlPr>
                        <w:rPr>
                          <w:rFonts w:ascii="Cambria Math" w:hAnsi="Cambria Math" w:cs="Times New Roman"/>
                          <w:highlight w:val="yellow"/>
                        </w:rPr>
                      </m:ctrlPr>
                    </m:sSubPr>
                    <m:e>
                      <m:r>
                        <m:rPr>
                          <m:nor/>
                          <m:sty m:val="p"/>
                        </m:rPr>
                        <w:rPr>
                          <w:rFonts w:cs="Times New Roman"/>
                          <w:highlight w:val="yellow"/>
                        </w:rPr>
                        <m:t>μ</m:t>
                      </m:r>
                      <m:ctrlPr>
                        <w:rPr>
                          <w:rFonts w:ascii="Cambria Math" w:hAnsi="Cambria Math" w:cs="Times New Roman"/>
                          <w:highlight w:val="yellow"/>
                        </w:rPr>
                      </m:ctrlPr>
                    </m:e>
                    <m:sub>
                      <m:r>
                        <m:rPr>
                          <m:nor/>
                          <m:sty m:val="p"/>
                        </m:rPr>
                        <w:rPr>
                          <w:rFonts w:cs="Times New Roman"/>
                          <w:highlight w:val="yellow"/>
                        </w:rPr>
                        <m:t>1</m:t>
                      </m:r>
                      <m:ctrlPr>
                        <w:rPr>
                          <w:rFonts w:ascii="Cambria Math" w:hAnsi="Cambria Math" w:cs="Times New Roman"/>
                          <w:highlight w:val="yellow"/>
                        </w:rPr>
                      </m:ctrlPr>
                    </m:sub>
                  </m:sSub>
                  <m:r>
                    <m:rPr>
                      <m:nor/>
                      <m:sty m:val="p"/>
                    </m:rPr>
                    <w:rPr>
                      <w:rFonts w:cs="Times New Roman"/>
                      <w:highlight w:val="yellow"/>
                    </w:rPr>
                    <m:t>-</m:t>
                  </m:r>
                  <m:sSub>
                    <m:sSubPr>
                      <m:ctrlPr>
                        <w:rPr>
                          <w:rFonts w:ascii="Cambria Math" w:hAnsi="Cambria Math" w:cs="Times New Roman"/>
                          <w:highlight w:val="yellow"/>
                        </w:rPr>
                      </m:ctrlPr>
                    </m:sSubPr>
                    <m:e>
                      <m:r>
                        <m:rPr>
                          <m:nor/>
                          <m:sty m:val="p"/>
                        </m:rPr>
                        <w:rPr>
                          <w:rFonts w:cs="Times New Roman"/>
                          <w:highlight w:val="yellow"/>
                        </w:rPr>
                        <m:t>μ</m:t>
                      </m:r>
                      <m:ctrlPr>
                        <w:rPr>
                          <w:rFonts w:ascii="Cambria Math" w:hAnsi="Cambria Math" w:cs="Times New Roman"/>
                          <w:highlight w:val="yellow"/>
                        </w:rPr>
                      </m:ctrlPr>
                    </m:e>
                    <m:sub>
                      <m:r>
                        <m:rPr>
                          <m:nor/>
                          <m:sty m:val="p"/>
                        </m:rPr>
                        <w:rPr>
                          <w:rFonts w:cs="Times New Roman"/>
                          <w:highlight w:val="yellow"/>
                        </w:rPr>
                        <m:t>2</m:t>
                      </m:r>
                      <m:ctrlPr>
                        <w:rPr>
                          <w:rFonts w:ascii="Cambria Math" w:hAnsi="Cambria Math" w:cs="Times New Roman"/>
                          <w:highlight w:val="yellow"/>
                        </w:rPr>
                      </m:ctrlPr>
                    </m:sub>
                  </m:sSub>
                  <m:ctrlPr>
                    <w:rPr>
                      <w:rFonts w:ascii="Cambria Math" w:hAnsi="Cambria Math" w:cs="Times New Roman"/>
                      <w:highlight w:val="yellow"/>
                    </w:rPr>
                  </m:ctrlPr>
                </m:e>
              </m:d>
              <m:r>
                <m:rPr>
                  <m:nor/>
                  <m:sty m:val="p"/>
                </m:rPr>
                <w:rPr>
                  <w:rFonts w:cs="Times New Roman"/>
                  <w:highlight w:val="yellow"/>
                </w:rPr>
                <m:t>&lt;Δ</m:t>
              </m:r>
              <m:r>
                <m:rPr>
                  <m:sty m:val="p"/>
                </m:rPr>
                <w:rPr>
                  <w:rFonts w:ascii="Cambria Math" w:hAnsi="Cambria Math" w:cs="Times New Roman"/>
                  <w:highlight w:val="yellow"/>
                </w:rPr>
                <m:t>#</m:t>
              </m:r>
              <m:d>
                <m:dPr>
                  <m:ctrlPr>
                    <w:rPr>
                      <w:rFonts w:ascii="Cambria Math" w:hAnsi="Cambria Math" w:cs="Times New Roman"/>
                      <w:highlight w:val="yellow"/>
                    </w:rPr>
                  </m:ctrlPr>
                </m:dPr>
                <m:e>
                  <m:r>
                    <m:rPr>
                      <m:nor/>
                      <m:sty m:val="p"/>
                    </m:rPr>
                    <w:rPr>
                      <w:rFonts w:cs="Times New Roman"/>
                      <w:highlight w:val="yellow"/>
                    </w:rPr>
                    <m:t>2-2</m:t>
                  </m:r>
                  <m:ctrlPr>
                    <w:rPr>
                      <w:rFonts w:ascii="Cambria Math" w:hAnsi="Cambria Math" w:cs="Times New Roman"/>
                      <w:highlight w:val="yellow"/>
                    </w:rPr>
                  </m:ctrlPr>
                </m:e>
              </m:d>
              <m:ctrlPr>
                <w:rPr>
                  <w:rFonts w:ascii="Cambria Math" w:hAnsi="Cambria Math" w:cs="Times New Roman"/>
                  <w:highlight w:val="yellow"/>
                </w:rPr>
              </m:ctrlPr>
            </m:e>
          </m:eqArr>
        </m:oMath>
      </m:oMathPara>
    </w:p>
    <w:p w14:paraId="06F65877">
      <w:pPr>
        <w:ind w:firstLine="480"/>
        <w:rPr>
          <w:highlight w:val="yellow"/>
        </w:rPr>
      </w:pPr>
      <w:r>
        <w:rPr>
          <w:rFonts w:hint="eastAsia"/>
          <w:highlight w:val="yellow"/>
        </w:rPr>
        <w:t>其中，</w:t>
      </w:r>
      <m:oMath>
        <m:sSub>
          <m:sSubPr>
            <m:ctrlPr>
              <w:rPr>
                <w:rFonts w:ascii="Cambria Math" w:hAnsi="Cambria Math"/>
                <w:highlight w:val="yellow"/>
              </w:rPr>
            </m:ctrlPr>
          </m:sSubPr>
          <m:e>
            <m:r>
              <m:rPr>
                <m:sty m:val="p"/>
              </m:rPr>
              <w:rPr>
                <w:rFonts w:ascii="Cambria Math" w:hAnsi="Cambria Math"/>
                <w:highlight w:val="yellow"/>
              </w:rPr>
              <m:t>μ</m:t>
            </m:r>
            <m:ctrlPr>
              <w:rPr>
                <w:rFonts w:ascii="Cambria Math" w:hAnsi="Cambria Math"/>
                <w:highlight w:val="yellow"/>
              </w:rPr>
            </m:ctrlPr>
          </m:e>
          <m:sub>
            <m:r>
              <m:rPr>
                <m:sty m:val="p"/>
              </m:rPr>
              <w:rPr>
                <w:rFonts w:ascii="Cambria Math" w:hAnsi="Cambria Math"/>
                <w:highlight w:val="yellow"/>
              </w:rPr>
              <m:t>1</m:t>
            </m:r>
            <m:ctrlPr>
              <w:rPr>
                <w:rFonts w:ascii="Cambria Math" w:hAnsi="Cambria Math"/>
                <w:highlight w:val="yellow"/>
              </w:rPr>
            </m:ctrlPr>
          </m:sub>
        </m:sSub>
      </m:oMath>
      <w:r>
        <w:rPr>
          <w:rFonts w:hint="eastAsia"/>
          <w:highlight w:val="yellow"/>
        </w:rPr>
        <w:t xml:space="preserve">与 </w:t>
      </w:r>
      <m:oMath>
        <m:sSub>
          <m:sSubPr>
            <m:ctrlPr>
              <w:rPr>
                <w:rFonts w:ascii="Cambria Math" w:hAnsi="Cambria Math"/>
                <w:highlight w:val="yellow"/>
              </w:rPr>
            </m:ctrlPr>
          </m:sSubPr>
          <m:e>
            <m:r>
              <m:rPr>
                <m:sty m:val="p"/>
              </m:rPr>
              <w:rPr>
                <w:rFonts w:ascii="Cambria Math" w:hAnsi="Cambria Math"/>
                <w:highlight w:val="yellow"/>
              </w:rPr>
              <m:t>μ</m:t>
            </m:r>
            <m:ctrlPr>
              <w:rPr>
                <w:rFonts w:ascii="Cambria Math" w:hAnsi="Cambria Math"/>
                <w:highlight w:val="yellow"/>
              </w:rPr>
            </m:ctrlPr>
          </m:e>
          <m:sub>
            <m:r>
              <m:rPr>
                <m:sty m:val="p"/>
              </m:rPr>
              <w:rPr>
                <w:rFonts w:ascii="Cambria Math" w:hAnsi="Cambria Math"/>
                <w:highlight w:val="yellow"/>
              </w:rPr>
              <m:t>2</m:t>
            </m:r>
            <m:ctrlPr>
              <w:rPr>
                <w:rFonts w:ascii="Cambria Math" w:hAnsi="Cambria Math"/>
                <w:highlight w:val="yellow"/>
              </w:rPr>
            </m:ctrlPr>
          </m:sub>
        </m:sSub>
      </m:oMath>
      <w:r>
        <w:rPr>
          <w:rFonts w:hint="eastAsia"/>
          <w:highlight w:val="yellow"/>
        </w:rPr>
        <w:t>分别代表不同标注来源的准确率基准与观测值。当且仅当两者差异的置信区间完全落在</w:t>
      </w:r>
      <m:oMath>
        <m:r>
          <m:rPr>
            <m:nor/>
            <m:sty m:val="p"/>
          </m:rPr>
          <w:rPr>
            <w:rFonts w:cs="Times New Roman"/>
            <w:highlight w:val="yellow"/>
          </w:rPr>
          <m:t>(-Δ,Δ)</m:t>
        </m:r>
      </m:oMath>
      <w:r>
        <w:rPr>
          <w:rFonts w:hint="eastAsia"/>
          <w:highlight w:val="yellow"/>
        </w:rPr>
        <w:t>这一等价区间内时，方可拒绝原假设</w:t>
      </w:r>
      <m:oMath>
        <m:sSub>
          <m:sSubPr>
            <m:ctrlPr>
              <w:rPr>
                <w:rFonts w:ascii="Cambria Math" w:hAnsi="Cambria Math"/>
                <w:i/>
                <w:highlight w:val="yellow"/>
              </w:rPr>
            </m:ctrlPr>
          </m:sSubPr>
          <m:e>
            <m:r>
              <m:rPr/>
              <w:rPr>
                <w:rFonts w:ascii="Cambria Math" w:hAnsi="Cambria Math"/>
                <w:highlight w:val="yellow"/>
              </w:rPr>
              <m:t>H</m:t>
            </m:r>
            <m:ctrlPr>
              <w:rPr>
                <w:rFonts w:ascii="Cambria Math" w:hAnsi="Cambria Math"/>
                <w:i/>
                <w:highlight w:val="yellow"/>
              </w:rPr>
            </m:ctrlPr>
          </m:e>
          <m:sub>
            <m:r>
              <m:rPr/>
              <w:rPr>
                <w:rFonts w:ascii="Cambria Math" w:hAnsi="Cambria Math"/>
                <w:highlight w:val="yellow"/>
              </w:rPr>
              <m:t>0</m:t>
            </m:r>
            <m:ctrlPr>
              <w:rPr>
                <w:rFonts w:ascii="Cambria Math" w:hAnsi="Cambria Math"/>
                <w:i/>
                <w:highlight w:val="yellow"/>
              </w:rPr>
            </m:ctrlPr>
          </m:sub>
        </m:sSub>
      </m:oMath>
      <w:r>
        <w:rPr>
          <w:rFonts w:hint="eastAsia"/>
          <w:highlight w:val="yellow"/>
        </w:rPr>
        <w:t>，认定自动标注数据集在质量层面与专家标注数据集具有统计学意义上的等价性。</w:t>
      </w:r>
    </w:p>
    <w:p w14:paraId="33AC7CBC">
      <w:pPr>
        <w:pStyle w:val="3"/>
        <w:numPr>
          <w:ilvl w:val="1"/>
          <w:numId w:val="1"/>
        </w:numPr>
        <w:tabs>
          <w:tab w:val="clear" w:pos="420"/>
        </w:tabs>
        <w:rPr>
          <w:highlight w:val="yellow"/>
        </w:rPr>
      </w:pPr>
      <w:bookmarkStart w:id="79" w:name="_Toc229086868"/>
      <w:bookmarkStart w:id="80" w:name="_Toc3445"/>
      <w:r>
        <w:rPr>
          <w:rFonts w:hint="eastAsia"/>
          <w:highlight w:val="yellow"/>
        </w:rPr>
        <w:t>语义表征与分类模型</w:t>
      </w:r>
      <w:bookmarkEnd w:id="79"/>
      <w:bookmarkEnd w:id="80"/>
    </w:p>
    <w:p w14:paraId="7B3A1847">
      <w:pPr>
        <w:ind w:firstLine="480"/>
        <w:rPr>
          <w:highlight w:val="yellow"/>
        </w:rPr>
      </w:pPr>
      <w:r>
        <w:rPr>
          <w:rFonts w:hint="eastAsia"/>
          <w:highlight w:val="yellow"/>
        </w:rPr>
        <w:t>文本分类技术经历了从统计学特征到深度语义表征的演进历程。针对医疗器械专利这一垂直领域的特殊性，分析各阶段主流模型在本研究任务中的适配性与局限性，为后续模型的构建奠定理论基础。</w:t>
      </w:r>
    </w:p>
    <w:p w14:paraId="7EC24FC7">
      <w:pPr>
        <w:pStyle w:val="4"/>
        <w:numPr>
          <w:ilvl w:val="2"/>
          <w:numId w:val="1"/>
        </w:numPr>
        <w:tabs>
          <w:tab w:val="clear" w:pos="420"/>
        </w:tabs>
      </w:pPr>
      <w:bookmarkStart w:id="81" w:name="_Toc229086869"/>
      <w:bookmarkStart w:id="82" w:name="_Toc16089"/>
      <w:r>
        <w:rPr>
          <w:rFonts w:hint="eastAsia"/>
        </w:rPr>
        <w:t>传统机器学习模型</w:t>
      </w:r>
      <w:bookmarkEnd w:id="81"/>
      <w:bookmarkEnd w:id="82"/>
    </w:p>
    <w:p w14:paraId="7F7B8C63">
      <w:pPr>
        <w:ind w:firstLine="480"/>
        <w:rPr>
          <w:color w:val="auto"/>
        </w:rPr>
      </w:pPr>
      <w:r>
        <w:rPr>
          <w:rFonts w:hint="eastAsia"/>
          <w:color w:val="auto"/>
        </w:rPr>
        <w:t>传统机器学习模型通常以TF-IDF、N-gram等统计特征作为输入，再通过分类器完成文本类别预测。这类方法结构清晰、训练成本较低。但在医疗器械专利分类任务中，统计特征难以表达专业术语之间的语义关系，也难以处理专利技术描述与监管目录类别之间的跨体系对应关系。因此，传统机器学习模型仅作为与本文构建的分类模型进行性能对比的基线模型。</w:t>
      </w:r>
    </w:p>
    <w:p w14:paraId="41C59EFC">
      <w:pPr>
        <w:numPr>
          <w:ilvl w:val="0"/>
          <w:numId w:val="5"/>
        </w:numPr>
        <w:ind w:firstLine="480" w:firstLineChars="0"/>
      </w:pPr>
      <w:r>
        <w:rPr>
          <w:rFonts w:hint="eastAsia"/>
        </w:rPr>
        <w:t>逻辑回归（LR）</w:t>
      </w:r>
    </w:p>
    <w:p w14:paraId="55710E79">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6D452B7E">
      <w:pPr>
        <w:numPr>
          <w:ilvl w:val="0"/>
          <w:numId w:val="5"/>
        </w:numPr>
        <w:ind w:firstLine="480" w:firstLineChars="0"/>
      </w:pPr>
      <w:r>
        <w:rPr>
          <w:rFonts w:hint="eastAsia"/>
        </w:rPr>
        <w:t>K最近邻（KNN）</w:t>
      </w:r>
    </w:p>
    <w:p w14:paraId="11A2846D">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22BF029F">
      <w:pPr>
        <w:numPr>
          <w:ilvl w:val="0"/>
          <w:numId w:val="5"/>
        </w:numPr>
        <w:ind w:firstLine="480" w:firstLineChars="0"/>
      </w:pPr>
      <w:r>
        <w:rPr>
          <w:rFonts w:hint="eastAsia"/>
        </w:rPr>
        <w:t>随机森林（RF）</w:t>
      </w:r>
    </w:p>
    <w:p w14:paraId="14D44A02">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2F27E3B4">
      <w:pPr>
        <w:numPr>
          <w:ilvl w:val="0"/>
          <w:numId w:val="5"/>
        </w:numPr>
        <w:ind w:firstLine="480" w:firstLineChars="0"/>
      </w:pPr>
      <w:r>
        <w:rPr>
          <w:rFonts w:hint="eastAsia"/>
        </w:rPr>
        <w:t>XGBoost</w:t>
      </w:r>
    </w:p>
    <w:p w14:paraId="285733FA">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471D184">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iCs/>
                    </w:rPr>
                    <m:t>i</m:t>
                  </m:r>
                  <m:ctrlPr>
                    <w:rPr>
                      <w:rFonts w:ascii="Cambria Math" w:hAnsi="Cambria Math" w:cs="Times New Roman"/>
                      <w:iCs/>
                    </w:rPr>
                  </m:ctrlPr>
                </m:sub>
              </m:sSub>
              <m:r>
                <m:rPr>
                  <m:nor/>
                  <m:sty m:val="p"/>
                </m:rPr>
                <w:rPr>
                  <w:rFonts w:cs="Times New Roman"/>
                  <w:iCs/>
                </w:rPr>
                <m:t>=</m:t>
              </m:r>
              <m:nary>
                <m:naryPr>
                  <m:chr m:val="∑"/>
                  <m:limLoc m:val="undOvr"/>
                  <m:ctrlPr>
                    <w:rPr>
                      <w:rFonts w:ascii="Cambria Math" w:hAnsi="Cambria Math" w:cs="Times New Roman"/>
                      <w:iCs/>
                    </w:rPr>
                  </m:ctrlPr>
                </m:naryPr>
                <m:sub>
                  <m:r>
                    <m:rPr>
                      <m:nor/>
                      <m:sty m:val="p"/>
                    </m:rPr>
                    <w:rPr>
                      <w:rFonts w:cs="Times New Roman"/>
                      <w:iCs/>
                    </w:rPr>
                    <m:t>k=1</m:t>
                  </m:r>
                  <m:ctrlPr>
                    <w:rPr>
                      <w:rFonts w:ascii="Cambria Math" w:hAnsi="Cambria Math" w:cs="Times New Roman"/>
                      <w:iCs/>
                    </w:rPr>
                  </m:ctrlPr>
                </m:sub>
                <m:sup>
                  <m:r>
                    <m:rPr>
                      <m:nor/>
                      <m:sty m:val="p"/>
                    </m:rPr>
                    <w:rPr>
                      <w:rFonts w:cs="Times New Roman"/>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iCs/>
                        </w:rPr>
                        <m:t>f</m:t>
                      </m:r>
                      <m:ctrlPr>
                        <w:rPr>
                          <w:rFonts w:ascii="Cambria Math" w:hAnsi="Cambria Math" w:cs="Times New Roman"/>
                          <w:iCs/>
                        </w:rPr>
                      </m:ctrlPr>
                    </m:e>
                    <m:sub>
                      <m:r>
                        <m:rPr>
                          <m:nor/>
                          <m:sty m:val="p"/>
                        </m:rPr>
                        <w:rPr>
                          <w:rFonts w:cs="Times New Roman"/>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iCs/>
                        </w:rPr>
                        <m:t>x</m:t>
                      </m:r>
                      <m:ctrlPr>
                        <w:rPr>
                          <w:rFonts w:ascii="Cambria Math" w:hAnsi="Cambria Math" w:cs="Times New Roman"/>
                          <w:iCs/>
                        </w:rPr>
                      </m:ctrlPr>
                    </m:e>
                    <m:sub>
                      <m:r>
                        <m:rPr>
                          <m:nor/>
                          <m:sty m:val="p"/>
                        </m:rPr>
                        <w:rPr>
                          <w:rFonts w:cs="Times New Roman"/>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iCs/>
                </w:rPr>
                <m:t>,</m:t>
              </m:r>
              <m:sSub>
                <m:sSubPr>
                  <m:ctrlPr>
                    <w:rPr>
                      <w:rFonts w:ascii="Cambria Math" w:hAnsi="Cambria Math" w:cs="Times New Roman"/>
                      <w:iCs/>
                    </w:rPr>
                  </m:ctrlPr>
                </m:sSubPr>
                <m:e>
                  <m:r>
                    <m:rPr>
                      <m:nor/>
                      <m:sty m:val="p"/>
                    </m:rPr>
                    <w:rPr>
                      <w:rFonts w:cs="Times New Roman"/>
                      <w:iCs/>
                    </w:rPr>
                    <m:t>f</m:t>
                  </m:r>
                  <m:ctrlPr>
                    <w:rPr>
                      <w:rFonts w:ascii="Cambria Math" w:hAnsi="Cambria Math" w:cs="Times New Roman"/>
                      <w:iCs/>
                    </w:rPr>
                  </m:ctrlPr>
                </m:e>
                <m:sub>
                  <m:r>
                    <m:rPr>
                      <m:nor/>
                      <m:sty m:val="p"/>
                    </m:rPr>
                    <w:rPr>
                      <w:rFonts w:cs="Times New Roman"/>
                      <w:iCs/>
                    </w:rPr>
                    <m:t>k</m:t>
                  </m:r>
                  <m:ctrlPr>
                    <w:rPr>
                      <w:rFonts w:ascii="Cambria Math" w:hAnsi="Cambria Math" w:cs="Times New Roman"/>
                      <w:iCs/>
                    </w:rPr>
                  </m:ctrlPr>
                </m:sub>
              </m:sSub>
              <m:r>
                <m:rPr>
                  <m:nor/>
                  <m:sty m:val="p"/>
                </m:rPr>
                <w:rPr>
                  <w:rFonts w:cs="Times New Roman"/>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iCs/>
                    </w:rPr>
                    <m:t>2-</m:t>
                  </m:r>
                  <m:r>
                    <m:rPr>
                      <m:nor/>
                      <m:sty m:val="p"/>
                    </m:rPr>
                    <w:rPr>
                      <w:rFonts w:hint="eastAsia" w:cs="Times New Roman"/>
                      <w:iCs/>
                    </w:rPr>
                    <m:t>3</m:t>
                  </m:r>
                  <m:ctrlPr>
                    <w:rPr>
                      <w:rFonts w:ascii="Cambria Math" w:hAnsi="Cambria Math" w:cs="Times New Roman"/>
                      <w:iCs/>
                    </w:rPr>
                  </m:ctrlPr>
                </m:e>
              </m:d>
              <m:ctrlPr>
                <w:rPr>
                  <w:rFonts w:ascii="Cambria Math" w:hAnsi="Cambria Math" w:eastAsia="sans-serif" w:cs="Times New Roman"/>
                  <w:iCs/>
                </w:rPr>
              </m:ctrlPr>
            </m:e>
          </m:eqArr>
        </m:oMath>
      </m:oMathPara>
    </w:p>
    <w:p w14:paraId="0D7F8AAD">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iCs/>
          </w:rPr>
          <m:t>F</m:t>
        </m:r>
      </m:oMath>
      <w:r>
        <w:rPr>
          <w:rFonts w:hint="eastAsia" w:ascii="宋体" w:hAnsi="宋体" w:cs="宋体"/>
        </w:rPr>
        <w:t>是回归树空间</w:t>
      </w:r>
      <w:r>
        <w:rPr>
          <w:rFonts w:hint="eastAsia" w:hAnsi="Cambria Math" w:eastAsia="MS Mincho"/>
        </w:rPr>
        <w:t>。</w:t>
      </w:r>
    </w:p>
    <w:p w14:paraId="70F7BA87">
      <w:pPr>
        <w:ind w:firstLine="480"/>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文本语义表征时存在明显局限。</w:t>
      </w:r>
    </w:p>
    <w:p w14:paraId="6ABBC946">
      <w:pPr>
        <w:pStyle w:val="4"/>
        <w:numPr>
          <w:ilvl w:val="2"/>
          <w:numId w:val="1"/>
        </w:numPr>
        <w:tabs>
          <w:tab w:val="clear" w:pos="420"/>
        </w:tabs>
      </w:pPr>
      <w:bookmarkStart w:id="83" w:name="_Toc229086870"/>
      <w:bookmarkStart w:id="84" w:name="_Toc15248"/>
      <w:r>
        <w:rPr>
          <w:rFonts w:hint="eastAsia"/>
        </w:rPr>
        <w:t>基于深度学习与预训练模型的语义表征</w:t>
      </w:r>
      <w:bookmarkEnd w:id="83"/>
      <w:bookmarkEnd w:id="84"/>
    </w:p>
    <w:p w14:paraId="41256290">
      <w:pPr>
        <w:ind w:firstLine="480"/>
      </w:pPr>
      <w:r>
        <w:rPr>
          <w:rFonts w:hint="eastAsia"/>
        </w:rPr>
        <w:t>深度学习发展特别是卷积神经网络、Transformer被应用到自然语言处理中对于文本分类也有很大促进作用。这类方法能够学习文本的低维稠密表示，并捕获局部短语或上下文语义信息，为跨体系映射中的文本表征提供了基础。但分类体系差异仍需结合任务数据和领域知识进一步处理。</w:t>
      </w:r>
    </w:p>
    <w:p w14:paraId="524309E0">
      <w:pPr>
        <w:pStyle w:val="25"/>
        <w:bidi w:val="0"/>
      </w:pPr>
      <w:r>
        <w:drawing>
          <wp:inline distT="0" distB="0" distL="114300" distR="114300">
            <wp:extent cx="3726815" cy="2967990"/>
            <wp:effectExtent l="0" t="0" r="8255" b="635"/>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3726815" cy="2967990"/>
                    </a:xfrm>
                    <a:prstGeom prst="rect">
                      <a:avLst/>
                    </a:prstGeom>
                    <a:noFill/>
                    <a:ln w="9525">
                      <a:noFill/>
                    </a:ln>
                  </pic:spPr>
                </pic:pic>
              </a:graphicData>
            </a:graphic>
          </wp:inline>
        </w:drawing>
      </w:r>
    </w:p>
    <w:p w14:paraId="70DEAEDD">
      <w:pPr>
        <w:pStyle w:val="25"/>
        <w:rPr>
          <w:rFonts w:hint="default"/>
        </w:rPr>
      </w:pPr>
      <w:r>
        <w:t>图2-1  TextCNN</w:t>
      </w:r>
    </w:p>
    <w:p w14:paraId="29E741FB">
      <w:pPr>
        <w:numPr>
          <w:ilvl w:val="0"/>
          <w:numId w:val="6"/>
        </w:numPr>
        <w:ind w:firstLine="480" w:firstLineChars="0"/>
      </w:pPr>
      <w:r>
        <w:rPr>
          <w:rFonts w:hint="eastAsia"/>
        </w:rPr>
        <w:t>基于TextCNN的局部语义表征</w:t>
      </w:r>
    </w:p>
    <w:p w14:paraId="27DB1107">
      <w:pPr>
        <w:ind w:firstLine="480"/>
      </w:pPr>
      <w:r>
        <w:rPr>
          <w:rFonts w:hint="eastAsia"/>
        </w:rPr>
        <w:t>TextCNN是Kim于2014年提出的将卷积神经网络应用于文本分类的一种方法，证明了卷积对于学习短语级别的语义有效</w:t>
      </w:r>
      <w:r>
        <w:rPr>
          <w:rStyle w:val="33"/>
        </w:rPr>
        <w:fldChar w:fldCharType="begin"/>
      </w:r>
      <w:r>
        <w:rPr>
          <w:rStyle w:val="33"/>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3"/>
        </w:rPr>
        <w:fldChar w:fldCharType="separate"/>
      </w:r>
      <w:r>
        <w:rPr>
          <w:rStyle w:val="33"/>
        </w:rPr>
        <w:t>[18]</w:t>
      </w:r>
      <w:r>
        <w:rPr>
          <w:rStyle w:val="33"/>
        </w:rPr>
        <w:fldChar w:fldCharType="end"/>
      </w:r>
      <w:r>
        <w:rPr>
          <w:rFonts w:hint="eastAsia"/>
        </w:rPr>
        <w:t>。如图2-1所示，它包括输入层、卷积层、池化层以及输出层。</w:t>
      </w:r>
    </w:p>
    <w:p w14:paraId="1A290107">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rPr>
          <m:t>n×k</m:t>
        </m:r>
      </m:oMath>
      <w:r>
        <w:rPr>
          <w:rFonts w:hint="eastAsia"/>
        </w:rPr>
        <w:t>的词向量矩阵来表示。在卷积层使用多个不同高度</w:t>
      </w:r>
      <m:oMath>
        <m:r>
          <m:rPr>
            <m:nor/>
            <m:sty m:val="p"/>
          </m:rPr>
          <w:rPr>
            <w:rFonts w:cs="Times New Roman"/>
          </w:rPr>
          <m:t>h</m:t>
        </m:r>
      </m:oMath>
      <w:r>
        <w:rPr>
          <w:rFonts w:hint="eastAsia"/>
        </w:rPr>
        <w:t>的卷积核，例如</w:t>
      </w:r>
      <m:oMath>
        <m:r>
          <m:rPr>
            <m:nor/>
            <m:sty m:val="p"/>
          </m:rPr>
          <w:rPr>
            <w:rFonts w:cs="Times New Roman"/>
          </w:rPr>
          <m:t>h∈{2,3,4,5,6}</m:t>
        </m:r>
      </m:oMath>
      <w:r>
        <w:rPr>
          <w:rFonts w:hint="eastAsia"/>
        </w:rPr>
        <w:t>，沿着词序方向移动得到不同大小的N-gram特征，在池化层一般使用最大池化，对于每一个特征图求最大值：</w:t>
      </w:r>
    </w:p>
    <w:p w14:paraId="321927F6">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rPr>
                <m:t xml:space="preserve"> </m:t>
              </m:r>
              <m:r>
                <m:rPr>
                  <m:nor/>
                  <m:sty m:val="p"/>
                </m:rPr>
                <w:rPr>
                  <w:rFonts w:eastAsia="sans-serif" w:cs="Times New Roman"/>
                </w:rPr>
                <m:t>=</m:t>
              </m:r>
              <m:func>
                <m:funcPr>
                  <m:ctrlPr>
                    <w:rPr>
                      <w:rFonts w:ascii="Cambria Math" w:hAnsi="Cambria Math" w:eastAsia="sans-serif" w:cs="Times New Roman"/>
                    </w:rPr>
                  </m:ctrlPr>
                </m:funcPr>
                <m:fName>
                  <m:r>
                    <m:rPr>
                      <m:nor/>
                      <m:sty m:val="p"/>
                    </m:rPr>
                    <w:rPr>
                      <w:rFonts w:eastAsia="sans-serif" w:cs="Times New Roman"/>
                    </w:rPr>
                    <m:t>max</m:t>
                  </m:r>
                  <m:ctrlPr>
                    <w:rPr>
                      <w:rFonts w:ascii="Cambria Math" w:hAnsi="Cambria Math" w:eastAsia="sans-serif" w:cs="Times New Roman"/>
                    </w:rPr>
                  </m:ctrlPr>
                </m:fName>
                <m:e>
                  <m:r>
                    <m:rPr>
                      <m:nor/>
                      <m:sty m:val="p"/>
                    </m:rPr>
                    <w:rPr>
                      <w:rFonts w:hint="eastAsia" w:ascii="Cambria Math" w:hAnsi="Cambria Math" w:cs="Times New Roman"/>
                    </w:rPr>
                    <m:t>{</m:t>
                  </m:r>
                  <m:r>
                    <m:rPr>
                      <m:nor/>
                      <m:sty m:val="p"/>
                    </m:rPr>
                    <w:rPr>
                      <w:rFonts w:eastAsia="sans-serif" w:cs="Times New Roman"/>
                    </w:rPr>
                    <m:t>c</m:t>
                  </m:r>
                  <m:r>
                    <m:rPr>
                      <m:nor/>
                      <m:sty m:val="p"/>
                    </m:rPr>
                    <w:rPr>
                      <w:rFonts w:hint="eastAsia" w:cs="Times New Roman"/>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rPr>
                    <m:t>2-</m:t>
                  </m:r>
                  <m:r>
                    <m:rPr>
                      <m:nor/>
                      <m:sty m:val="p"/>
                    </m:rPr>
                    <w:rPr>
                      <w:rFonts w:hint="eastAsia" w:cs="Times New Roma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0A1EC79C">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59DC6AD6">
      <w:pPr>
        <w:ind w:firstLine="480"/>
      </w:pPr>
      <w:r>
        <w:rPr>
          <w:rFonts w:hint="eastAsia"/>
        </w:rPr>
        <w:t>TextCNN是常用的N-gram特征提取器，具有较好的并行性和较低的时间复杂度。在医疗器械专利文本中包含如“有源手术器械”、“超声换能器”或“血管支架”等专业术语，这些短语特征通常是界定分类的核心依据。TextCNN利用多尺度卷积核可以有效提取这些具有强判别性的局部语义特征，然而，受限于卷积感受野的固定宽度，在处理复杂的长程语义时仍存在局限性。</w:t>
      </w:r>
    </w:p>
    <w:p w14:paraId="77FB724C">
      <w:pPr>
        <w:numPr>
          <w:ilvl w:val="0"/>
          <w:numId w:val="6"/>
        </w:numPr>
        <w:ind w:firstLine="480" w:firstLineChars="0"/>
      </w:pPr>
      <w:r>
        <w:rPr>
          <w:rFonts w:hint="eastAsia"/>
        </w:rPr>
        <w:t>基于预训练模型的全局语义表征</w:t>
      </w:r>
    </w:p>
    <w:p w14:paraId="045CD6A8">
      <w:pPr>
        <w:ind w:firstLine="480"/>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3"/>
        </w:rPr>
        <w:fldChar w:fldCharType="begin"/>
      </w:r>
      <w:r>
        <w:rPr>
          <w:rStyle w:val="33"/>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3"/>
        </w:rPr>
        <w:fldChar w:fldCharType="separate"/>
      </w:r>
      <w:r>
        <w:rPr>
          <w:rStyle w:val="33"/>
        </w:rPr>
        <w:t>[20]</w:t>
      </w:r>
      <w:r>
        <w:rPr>
          <w:rStyle w:val="33"/>
        </w:rPr>
        <w:fldChar w:fldCharType="end"/>
      </w:r>
      <w:r>
        <w:rPr>
          <w:rFonts w:hint="eastAsia"/>
        </w:rPr>
        <w:t>。</w:t>
      </w:r>
    </w:p>
    <w:p w14:paraId="78A3A70C">
      <w:pPr>
        <w:ind w:firstLine="480"/>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p>
    <w:p w14:paraId="394C6428">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iCs/>
                </w:rPr>
                <m:t>Attention</m:t>
              </m:r>
              <m:d>
                <m:dPr>
                  <m:ctrlPr>
                    <w:rPr>
                      <w:rFonts w:ascii="Cambria Math" w:hAnsi="Cambria Math" w:eastAsia="sans-serif" w:cs="Times New Roman"/>
                      <w:iCs/>
                    </w:rPr>
                  </m:ctrlPr>
                </m:dPr>
                <m:e>
                  <m:r>
                    <m:rPr>
                      <m:nor/>
                      <m:sty m:val="p"/>
                    </m:rPr>
                    <w:rPr>
                      <w:rFonts w:eastAsia="sans-serif" w:cs="Times New Roman"/>
                      <w:iCs/>
                    </w:rPr>
                    <m:t>Q,K,V</m:t>
                  </m:r>
                  <m:ctrlPr>
                    <w:rPr>
                      <w:rFonts w:ascii="Cambria Math" w:hAnsi="Cambria Math" w:eastAsia="sans-serif" w:cs="Times New Roman"/>
                      <w:iCs/>
                    </w:rPr>
                  </m:ctrlPr>
                </m:e>
              </m:d>
              <m:r>
                <m:rPr>
                  <m:nor/>
                  <m:sty m:val="p"/>
                </m:rPr>
                <w:rPr>
                  <w:rFonts w:eastAsia="sans-serif" w:cs="Times New Roman"/>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iCs/>
                        </w:rPr>
                        <m:t>Q</m:t>
                      </m:r>
                      <m:sSup>
                        <m:sSupPr>
                          <m:ctrlPr>
                            <w:rPr>
                              <w:rFonts w:ascii="Cambria Math" w:hAnsi="Cambria Math" w:eastAsia="sans-serif" w:cs="Times New Roman"/>
                              <w:iCs/>
                            </w:rPr>
                          </m:ctrlPr>
                        </m:sSupPr>
                        <m:e>
                          <m:r>
                            <m:rPr>
                              <m:nor/>
                              <m:sty m:val="p"/>
                            </m:rPr>
                            <w:rPr>
                              <w:rFonts w:eastAsia="sans-serif" w:cs="Times New Roman"/>
                              <w:iCs/>
                            </w:rPr>
                            <m:t>K</m:t>
                          </m:r>
                          <m:ctrlPr>
                            <w:rPr>
                              <w:rFonts w:ascii="Cambria Math" w:hAnsi="Cambria Math" w:eastAsia="sans-serif" w:cs="Times New Roman"/>
                              <w:iCs/>
                            </w:rPr>
                          </m:ctrlPr>
                        </m:e>
                        <m:sup>
                          <m:r>
                            <m:rPr>
                              <m:nor/>
                              <m:sty m:val="p"/>
                            </m:rPr>
                            <w:rPr>
                              <w:rFonts w:eastAsia="sans-serif" w:cs="Times New Roman"/>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iCs/>
                                </w:rPr>
                                <m:t>d</m:t>
                              </m:r>
                              <m:ctrlPr>
                                <w:rPr>
                                  <w:rFonts w:ascii="Cambria Math" w:hAnsi="Cambria Math" w:eastAsia="sans-serif" w:cs="Times New Roman"/>
                                  <w:iCs/>
                                </w:rPr>
                              </m:ctrlPr>
                            </m:e>
                            <m:sub>
                              <m:r>
                                <m:rPr>
                                  <m:nor/>
                                  <m:sty m:val="p"/>
                                </m:rPr>
                                <w:rPr>
                                  <w:rFonts w:eastAsia="sans-serif" w:cs="Times New Roman"/>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iCs/>
                    </w:rPr>
                    <m:t>2-</m:t>
                  </m:r>
                  <m:r>
                    <m:rPr>
                      <m:nor/>
                      <m:sty m:val="p"/>
                    </m:rPr>
                    <w:rPr>
                      <w:rFonts w:hint="eastAsia" w:cs="Times New Roman"/>
                      <w:iCs/>
                    </w:rPr>
                    <m:t>5</m:t>
                  </m:r>
                  <m:ctrlPr>
                    <w:rPr>
                      <w:rFonts w:ascii="Cambria Math" w:hAnsi="Cambria Math" w:cs="Times New Roman"/>
                      <w:iCs/>
                    </w:rPr>
                  </m:ctrlPr>
                </m:e>
              </m:d>
              <m:ctrlPr>
                <w:rPr>
                  <w:rFonts w:ascii="Cambria Math" w:hAnsi="Cambria Math" w:eastAsia="sans-serif" w:cs="Times New Roman"/>
                  <w:iCs/>
                </w:rPr>
              </m:ctrlPr>
            </m:e>
          </m:eqArr>
        </m:oMath>
      </m:oMathPara>
    </w:p>
    <w:p w14:paraId="42AB227B">
      <w:pPr>
        <w:ind w:firstLine="480"/>
      </w:pPr>
      <w:r>
        <w:rPr>
          <w:rFonts w:hint="eastAsia"/>
        </w:rPr>
        <w:t>其中</w:t>
      </w:r>
      <m:oMath>
        <m:r>
          <m:rPr>
            <m:nor/>
            <m:sty m:val="p"/>
          </m:rPr>
          <w:rPr>
            <w:rFonts w:cs="Times New Roman"/>
            <w:iCs/>
          </w:rPr>
          <m:t>Q</m:t>
        </m:r>
      </m:oMath>
      <w:r>
        <w:rPr>
          <w:rFonts w:hint="eastAsia"/>
          <w:iCs/>
        </w:rPr>
        <w:t>、</w:t>
      </w:r>
      <m:oMath>
        <m:r>
          <m:rPr>
            <m:nor/>
            <m:sty m:val="p"/>
          </m:rPr>
          <w:rPr>
            <w:rFonts w:cs="Times New Roman"/>
            <w:iCs/>
          </w:rPr>
          <m:t>K</m:t>
        </m:r>
      </m:oMath>
      <w:r>
        <w:rPr>
          <w:rFonts w:hint="eastAsia"/>
          <w:iCs/>
        </w:rPr>
        <w:t>、</w:t>
      </w:r>
      <m:oMath>
        <m:r>
          <m:rPr>
            <m:nor/>
            <m:sty m:val="p"/>
          </m:rPr>
          <w:rPr>
            <w:rFonts w:cs="Times New Roman"/>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rPr>
              <m:t>d</m:t>
            </m:r>
            <m:ctrlPr>
              <w:rPr>
                <w:rFonts w:ascii="Cambria Math" w:hAnsi="Cambria Math" w:cs="Times New Roman"/>
              </w:rPr>
            </m:ctrlPr>
          </m:e>
          <m:sub>
            <m:r>
              <m:rPr>
                <m:nor/>
                <m:sty m:val="p"/>
              </m:rPr>
              <w:rPr>
                <w:rFonts w:cs="Times New Roman"/>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iCs/>
          </w:rPr>
          <m:t>Q</m:t>
        </m:r>
      </m:oMath>
      <w:r>
        <w:rPr>
          <w:rFonts w:hint="eastAsia"/>
          <w:iCs/>
        </w:rPr>
        <w:t>、</w:t>
      </w:r>
      <m:oMath>
        <m:r>
          <m:rPr>
            <m:nor/>
            <m:sty m:val="p"/>
          </m:rPr>
          <w:rPr>
            <w:rFonts w:cs="Times New Roman"/>
            <w:iCs/>
          </w:rPr>
          <m:t>K</m:t>
        </m:r>
      </m:oMath>
      <w:r>
        <w:rPr>
          <w:rFonts w:hint="eastAsia"/>
          <w:iCs/>
        </w:rPr>
        <w:t>、</w:t>
      </w:r>
      <m:oMath>
        <m:r>
          <m:rPr>
            <m:nor/>
            <m:sty m:val="p"/>
          </m:rPr>
          <w:rPr>
            <w:rFonts w:cs="Times New Roman"/>
            <w:iCs/>
          </w:rPr>
          <m:t>V</m:t>
        </m:r>
      </m:oMath>
      <w:r>
        <w:rPr>
          <w:rFonts w:hint="eastAsia"/>
          <w:iCs/>
        </w:rPr>
        <w:t>成若干</w:t>
      </w:r>
      <w:r>
        <w:rPr>
          <w:rFonts w:hint="eastAsia"/>
        </w:rPr>
        <w:t>组并行计算而让网络可以同时学习到各种类型的语义联系。</w:t>
      </w:r>
    </w:p>
    <w:p w14:paraId="3A569B41">
      <w:pPr>
        <w:pStyle w:val="25"/>
        <w:rPr>
          <w:rFonts w:hint="default"/>
        </w:rPr>
      </w:pPr>
      <w:r>
        <w:drawing>
          <wp:inline distT="0" distB="0" distL="114300" distR="114300">
            <wp:extent cx="5272405" cy="237045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rcRect t="3151" b="4218"/>
                    <a:stretch>
                      <a:fillRect/>
                    </a:stretch>
                  </pic:blipFill>
                  <pic:spPr>
                    <a:xfrm>
                      <a:off x="0" y="0"/>
                      <a:ext cx="5272405" cy="2370455"/>
                    </a:xfrm>
                    <a:prstGeom prst="rect">
                      <a:avLst/>
                    </a:prstGeom>
                  </pic:spPr>
                </pic:pic>
              </a:graphicData>
            </a:graphic>
          </wp:inline>
        </w:drawing>
      </w:r>
    </w:p>
    <w:p w14:paraId="278EECE6">
      <w:pPr>
        <w:pStyle w:val="25"/>
        <w:rPr>
          <w:rFonts w:hint="default"/>
        </w:rPr>
      </w:pPr>
      <w:r>
        <w:t>图2-2  自注意力机制</w:t>
      </w:r>
    </w:p>
    <w:p w14:paraId="3122F6B1">
      <w:pPr>
        <w:ind w:firstLine="480"/>
      </w:pPr>
      <w:r>
        <w:rPr>
          <w:rFonts w:hint="eastAsia"/>
        </w:rPr>
        <w:t>在BERT基础上，研究者提出了多种改进模型以进一步提升中文建模能力。本文主要使用bert-base-chinese</w:t>
      </w:r>
      <w:r>
        <w:rPr>
          <w:rStyle w:val="33"/>
          <w:rFonts w:hint="eastAsia"/>
        </w:rPr>
        <w:t>[46]</w:t>
      </w:r>
      <w:r>
        <w:rPr>
          <w:rFonts w:hint="eastAsia"/>
        </w:rPr>
        <w:t>、chinese-roberta-wwm-ext</w:t>
      </w:r>
      <w:r>
        <w:rPr>
          <w:rStyle w:val="33"/>
          <w:rFonts w:hint="eastAsia"/>
        </w:rPr>
        <w:t>[47]</w:t>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w:t>
      </w:r>
      <w:r>
        <w:rPr>
          <w:rFonts w:hint="eastAsia" w:cs="Times New Roman"/>
          <w:kern w:val="0"/>
          <w:sz w:val="21"/>
          <w:vertAlign w:val="superscript"/>
        </w:rPr>
        <w:t>48</w:t>
      </w:r>
      <w:r>
        <w:rPr>
          <w:rFonts w:cs="Times New Roman"/>
          <w:kern w:val="0"/>
          <w:sz w:val="21"/>
          <w:vertAlign w:val="superscript"/>
        </w:rPr>
        <w:t>]</w:t>
      </w:r>
      <w:r>
        <w:rPr>
          <w:rStyle w:val="32"/>
        </w:rPr>
        <w:fldChar w:fldCharType="end"/>
      </w:r>
      <w:r>
        <w:rPr>
          <w:rFonts w:hint="eastAsia"/>
        </w:rPr>
        <w:t>这三个模型进行了研究，它们各自的特点如表2-3所示。</w:t>
      </w:r>
    </w:p>
    <w:p w14:paraId="255EB48D">
      <w:pPr>
        <w:pStyle w:val="25"/>
        <w:rPr>
          <w:rFonts w:hint="default"/>
        </w:rPr>
      </w:pPr>
      <w:r>
        <w:t>表2-3  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370AF8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3D414D4E">
            <w:pPr>
              <w:pStyle w:val="26"/>
              <w:rPr>
                <w:rFonts w:hint="default"/>
              </w:rPr>
            </w:pPr>
            <w:r>
              <w:t>模型</w:t>
            </w:r>
          </w:p>
        </w:tc>
        <w:tc>
          <w:tcPr>
            <w:tcW w:w="2445" w:type="dxa"/>
            <w:tcBorders>
              <w:bottom w:val="single" w:color="auto" w:sz="6" w:space="0"/>
              <w:tl2br w:val="nil"/>
              <w:tr2bl w:val="nil"/>
            </w:tcBorders>
            <w:vAlign w:val="center"/>
          </w:tcPr>
          <w:p w14:paraId="0D3F7923">
            <w:pPr>
              <w:pStyle w:val="26"/>
              <w:rPr>
                <w:rFonts w:hint="default"/>
              </w:rPr>
            </w:pPr>
            <w:r>
              <w:t>bert-base-chinese</w:t>
            </w:r>
          </w:p>
        </w:tc>
        <w:tc>
          <w:tcPr>
            <w:tcW w:w="2481" w:type="dxa"/>
            <w:tcBorders>
              <w:bottom w:val="single" w:color="auto" w:sz="6" w:space="0"/>
              <w:tl2br w:val="nil"/>
              <w:tr2bl w:val="nil"/>
            </w:tcBorders>
            <w:vAlign w:val="center"/>
          </w:tcPr>
          <w:p w14:paraId="5716F859">
            <w:pPr>
              <w:pStyle w:val="26"/>
              <w:rPr>
                <w:rFonts w:hint="default"/>
              </w:rPr>
            </w:pPr>
            <w:r>
              <w:t>chinese-roberta-wwm-ext</w:t>
            </w:r>
          </w:p>
        </w:tc>
        <w:tc>
          <w:tcPr>
            <w:tcW w:w="2121" w:type="dxa"/>
            <w:tcBorders>
              <w:bottom w:val="single" w:color="auto" w:sz="6" w:space="0"/>
              <w:tl2br w:val="nil"/>
              <w:tr2bl w:val="nil"/>
            </w:tcBorders>
            <w:vAlign w:val="center"/>
          </w:tcPr>
          <w:p w14:paraId="274256DC">
            <w:pPr>
              <w:pStyle w:val="26"/>
              <w:rPr>
                <w:rFonts w:hint="default"/>
              </w:rPr>
            </w:pPr>
            <w:r>
              <w:t>chinese-macbert-base</w:t>
            </w:r>
          </w:p>
        </w:tc>
      </w:tr>
      <w:tr w14:paraId="26B1D2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3AE4C5FE">
            <w:pPr>
              <w:pStyle w:val="26"/>
              <w:rPr>
                <w:rFonts w:hint="default"/>
              </w:rPr>
            </w:pPr>
            <w:r>
              <w:rPr>
                <w:rFonts w:hint="default"/>
              </w:rPr>
              <w:t>发布机构</w:t>
            </w:r>
          </w:p>
        </w:tc>
        <w:tc>
          <w:tcPr>
            <w:tcW w:w="2445" w:type="dxa"/>
            <w:tcBorders>
              <w:top w:val="single" w:color="auto" w:sz="6" w:space="0"/>
            </w:tcBorders>
            <w:vAlign w:val="center"/>
          </w:tcPr>
          <w:p w14:paraId="758C6C33">
            <w:pPr>
              <w:pStyle w:val="26"/>
              <w:rPr>
                <w:rFonts w:hint="default"/>
              </w:rPr>
            </w:pPr>
            <w:r>
              <w:rPr>
                <w:rFonts w:hint="default"/>
              </w:rPr>
              <w:t>Google</w:t>
            </w:r>
          </w:p>
        </w:tc>
        <w:tc>
          <w:tcPr>
            <w:tcW w:w="2481" w:type="dxa"/>
            <w:tcBorders>
              <w:top w:val="single" w:color="auto" w:sz="6" w:space="0"/>
            </w:tcBorders>
            <w:vAlign w:val="center"/>
          </w:tcPr>
          <w:p w14:paraId="271FD2F2">
            <w:pPr>
              <w:pStyle w:val="26"/>
              <w:rPr>
                <w:rFonts w:hint="default"/>
              </w:rPr>
            </w:pPr>
            <w:r>
              <w:rPr>
                <w:rFonts w:hint="default"/>
              </w:rPr>
              <w:t>HFL</w:t>
            </w:r>
          </w:p>
        </w:tc>
        <w:tc>
          <w:tcPr>
            <w:tcW w:w="2121" w:type="dxa"/>
            <w:tcBorders>
              <w:top w:val="single" w:color="auto" w:sz="6" w:space="0"/>
            </w:tcBorders>
            <w:vAlign w:val="center"/>
          </w:tcPr>
          <w:p w14:paraId="0AEC4F7B">
            <w:pPr>
              <w:pStyle w:val="26"/>
              <w:rPr>
                <w:rFonts w:hint="default"/>
              </w:rPr>
            </w:pPr>
            <w:r>
              <w:rPr>
                <w:rFonts w:hint="default"/>
              </w:rPr>
              <w:t>HFL</w:t>
            </w:r>
          </w:p>
        </w:tc>
      </w:tr>
      <w:tr w14:paraId="3E37C8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0EEC7BD6">
            <w:pPr>
              <w:pStyle w:val="26"/>
              <w:rPr>
                <w:rFonts w:hint="default"/>
              </w:rPr>
            </w:pPr>
            <w:r>
              <w:rPr>
                <w:rFonts w:hint="default"/>
              </w:rPr>
              <w:t>模型体量</w:t>
            </w:r>
          </w:p>
        </w:tc>
        <w:tc>
          <w:tcPr>
            <w:tcW w:w="2445" w:type="dxa"/>
            <w:tcBorders>
              <w:tl2br w:val="nil"/>
              <w:tr2bl w:val="nil"/>
            </w:tcBorders>
            <w:vAlign w:val="center"/>
          </w:tcPr>
          <w:p w14:paraId="215788AD">
            <w:pPr>
              <w:pStyle w:val="26"/>
              <w:rPr>
                <w:rFonts w:hint="default"/>
              </w:rPr>
            </w:pPr>
            <w:r>
              <w:rPr>
                <w:rFonts w:hint="default"/>
              </w:rPr>
              <w:t>12层，768隐藏维度</w:t>
            </w:r>
          </w:p>
        </w:tc>
        <w:tc>
          <w:tcPr>
            <w:tcW w:w="2481" w:type="dxa"/>
            <w:tcBorders>
              <w:tl2br w:val="nil"/>
              <w:tr2bl w:val="nil"/>
            </w:tcBorders>
            <w:vAlign w:val="center"/>
          </w:tcPr>
          <w:p w14:paraId="362316B6">
            <w:pPr>
              <w:pStyle w:val="26"/>
              <w:rPr>
                <w:rFonts w:hint="default"/>
              </w:rPr>
            </w:pPr>
            <w:r>
              <w:rPr>
                <w:rFonts w:hint="default"/>
              </w:rPr>
              <w:t>同左</w:t>
            </w:r>
          </w:p>
        </w:tc>
        <w:tc>
          <w:tcPr>
            <w:tcW w:w="2121" w:type="dxa"/>
            <w:tcBorders>
              <w:tl2br w:val="nil"/>
              <w:tr2bl w:val="nil"/>
            </w:tcBorders>
            <w:vAlign w:val="center"/>
          </w:tcPr>
          <w:p w14:paraId="7B2B10FE">
            <w:pPr>
              <w:pStyle w:val="26"/>
              <w:rPr>
                <w:rFonts w:hint="default"/>
              </w:rPr>
            </w:pPr>
            <w:r>
              <w:rPr>
                <w:rFonts w:hint="default"/>
              </w:rPr>
              <w:t>同左</w:t>
            </w:r>
          </w:p>
        </w:tc>
      </w:tr>
      <w:tr w14:paraId="614401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026439">
            <w:pPr>
              <w:pStyle w:val="26"/>
              <w:rPr>
                <w:rFonts w:hint="default"/>
              </w:rPr>
            </w:pPr>
            <w:r>
              <w:rPr>
                <w:rFonts w:hint="default"/>
              </w:rPr>
              <w:t>字表</w:t>
            </w:r>
          </w:p>
        </w:tc>
        <w:tc>
          <w:tcPr>
            <w:tcW w:w="2445" w:type="dxa"/>
            <w:tcBorders>
              <w:tl2br w:val="nil"/>
              <w:tr2bl w:val="nil"/>
            </w:tcBorders>
            <w:vAlign w:val="center"/>
          </w:tcPr>
          <w:p w14:paraId="5FCBE62D">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C4A35C6">
            <w:pPr>
              <w:pStyle w:val="26"/>
              <w:rPr>
                <w:rFonts w:hint="default"/>
              </w:rPr>
            </w:pPr>
            <w:r>
              <w:rPr>
                <w:rFonts w:hint="default"/>
              </w:rPr>
              <w:t>同左</w:t>
            </w:r>
          </w:p>
        </w:tc>
        <w:tc>
          <w:tcPr>
            <w:tcW w:w="2121" w:type="dxa"/>
            <w:tcBorders>
              <w:tl2br w:val="nil"/>
              <w:tr2bl w:val="nil"/>
            </w:tcBorders>
            <w:vAlign w:val="center"/>
          </w:tcPr>
          <w:p w14:paraId="35FDB636">
            <w:pPr>
              <w:pStyle w:val="26"/>
              <w:rPr>
                <w:rFonts w:hint="default"/>
              </w:rPr>
            </w:pPr>
            <w:r>
              <w:rPr>
                <w:rFonts w:hint="default"/>
              </w:rPr>
              <w:t>同左</w:t>
            </w:r>
          </w:p>
        </w:tc>
      </w:tr>
      <w:tr w14:paraId="228A9F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0906A4B7">
            <w:pPr>
              <w:pStyle w:val="26"/>
              <w:rPr>
                <w:rFonts w:hint="default"/>
              </w:rPr>
            </w:pPr>
            <w:r>
              <w:rPr>
                <w:rFonts w:hint="default"/>
              </w:rPr>
              <w:t>训练语料</w:t>
            </w:r>
          </w:p>
        </w:tc>
        <w:tc>
          <w:tcPr>
            <w:tcW w:w="2445" w:type="dxa"/>
            <w:tcBorders>
              <w:tl2br w:val="nil"/>
              <w:tr2bl w:val="nil"/>
            </w:tcBorders>
            <w:vAlign w:val="center"/>
          </w:tcPr>
          <w:p w14:paraId="5EE9C8A3">
            <w:pPr>
              <w:pStyle w:val="26"/>
              <w:rPr>
                <w:rFonts w:hint="default"/>
              </w:rPr>
            </w:pPr>
            <w:r>
              <w:rPr>
                <w:rFonts w:hint="default"/>
              </w:rPr>
              <w:t>中文Wikipedia</w:t>
            </w:r>
          </w:p>
        </w:tc>
        <w:tc>
          <w:tcPr>
            <w:tcW w:w="2481" w:type="dxa"/>
            <w:tcBorders>
              <w:tl2br w:val="nil"/>
              <w:tr2bl w:val="nil"/>
            </w:tcBorders>
            <w:vAlign w:val="center"/>
          </w:tcPr>
          <w:p w14:paraId="49C2EBFB">
            <w:pPr>
              <w:pStyle w:val="26"/>
              <w:rPr>
                <w:rFonts w:hint="default"/>
              </w:rPr>
            </w:pPr>
            <w:r>
              <w:rPr>
                <w:rFonts w:hint="default"/>
              </w:rPr>
              <w:t>中文Wikipedia+扩展语料</w:t>
            </w:r>
          </w:p>
        </w:tc>
        <w:tc>
          <w:tcPr>
            <w:tcW w:w="2121" w:type="dxa"/>
            <w:tcBorders>
              <w:tl2br w:val="nil"/>
              <w:tr2bl w:val="nil"/>
            </w:tcBorders>
            <w:vAlign w:val="center"/>
          </w:tcPr>
          <w:p w14:paraId="55E3E30F">
            <w:pPr>
              <w:pStyle w:val="26"/>
              <w:rPr>
                <w:rFonts w:hint="default"/>
              </w:rPr>
            </w:pPr>
            <w:r>
              <w:rPr>
                <w:rFonts w:hint="default"/>
              </w:rPr>
              <w:t>中文Wiki+CLUE语料+新闻等通用语料</w:t>
            </w:r>
          </w:p>
        </w:tc>
      </w:tr>
      <w:tr w14:paraId="4E3349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B0FFE90">
            <w:pPr>
              <w:pStyle w:val="26"/>
              <w:rPr>
                <w:rFonts w:hint="default"/>
              </w:rPr>
            </w:pPr>
            <w:r>
              <w:rPr>
                <w:rFonts w:hint="default"/>
              </w:rPr>
              <w:t>预训练策略</w:t>
            </w:r>
          </w:p>
        </w:tc>
        <w:tc>
          <w:tcPr>
            <w:tcW w:w="2445" w:type="dxa"/>
            <w:tcBorders>
              <w:tl2br w:val="nil"/>
              <w:tr2bl w:val="nil"/>
            </w:tcBorders>
            <w:vAlign w:val="center"/>
          </w:tcPr>
          <w:p w14:paraId="6FA59CFF">
            <w:pPr>
              <w:pStyle w:val="26"/>
              <w:rPr>
                <w:rFonts w:hint="default"/>
              </w:rPr>
            </w:pPr>
            <w:r>
              <w:rPr>
                <w:rFonts w:hint="default"/>
              </w:rPr>
              <w:t>MLM+NSP</w:t>
            </w:r>
          </w:p>
        </w:tc>
        <w:tc>
          <w:tcPr>
            <w:tcW w:w="2481" w:type="dxa"/>
            <w:tcBorders>
              <w:tl2br w:val="nil"/>
              <w:tr2bl w:val="nil"/>
            </w:tcBorders>
            <w:vAlign w:val="center"/>
          </w:tcPr>
          <w:p w14:paraId="3F84D5CD">
            <w:pPr>
              <w:pStyle w:val="26"/>
              <w:rPr>
                <w:rFonts w:hint="default"/>
              </w:rPr>
            </w:pPr>
            <w:r>
              <w:rPr>
                <w:rFonts w:hint="default"/>
              </w:rPr>
              <w:t>MLM+WWM,去除NSP</w:t>
            </w:r>
          </w:p>
        </w:tc>
        <w:tc>
          <w:tcPr>
            <w:tcW w:w="2121" w:type="dxa"/>
            <w:tcBorders>
              <w:tl2br w:val="nil"/>
              <w:tr2bl w:val="nil"/>
            </w:tcBorders>
            <w:vAlign w:val="center"/>
          </w:tcPr>
          <w:p w14:paraId="660AFA5A">
            <w:pPr>
              <w:pStyle w:val="26"/>
              <w:rPr>
                <w:rFonts w:hint="default"/>
              </w:rPr>
            </w:pPr>
            <w:r>
              <w:rPr>
                <w:rFonts w:hint="default"/>
              </w:rPr>
              <w:t>MAC+SOP+WWM</w:t>
            </w:r>
          </w:p>
        </w:tc>
      </w:tr>
    </w:tbl>
    <w:p w14:paraId="209A8869">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Style w:val="33"/>
          <w:rFonts w:hint="eastAsia"/>
        </w:rPr>
        <w:t>[</w:t>
      </w:r>
      <w:r>
        <w:rPr>
          <w:rStyle w:val="33"/>
        </w:rPr>
        <w:t>20, 49]</w:t>
      </w:r>
      <w:r>
        <w:t>。WWM以词为最小掩码单位，对同一词中的所有字同时进行遮蔽，使模型在预测时更加依赖完整词级语义，从而提升对专业术语和固定搭配的建模能力。</w:t>
      </w:r>
    </w:p>
    <w:p w14:paraId="636FEF39">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Style w:val="33"/>
          <w:rFonts w:hint="eastAsia"/>
        </w:rPr>
        <w:t>[49]</w:t>
      </w:r>
      <w:r>
        <w:t>。同时，MacBERT采用Sentence Order Prediction（SOP）任务替代NSP，通过判断句子顺序是否正确来建模篇章连贯性，更有利于学习长文本中的逻辑顺序关系。</w:t>
      </w:r>
    </w:p>
    <w:p w14:paraId="583937B2">
      <w:pPr>
        <w:numPr>
          <w:ilvl w:val="0"/>
          <w:numId w:val="6"/>
        </w:numPr>
        <w:ind w:firstLine="480" w:firstLineChars="0"/>
        <w:rPr>
          <w:color w:val="auto"/>
          <w:highlight w:val="yellow"/>
        </w:rPr>
      </w:pPr>
      <w:r>
        <w:rPr>
          <w:rFonts w:hint="eastAsia"/>
          <w:color w:val="auto"/>
          <w:highlight w:val="yellow"/>
        </w:rPr>
        <w:t>专利领域专用预训练模型</w:t>
      </w:r>
    </w:p>
    <w:p w14:paraId="261A8746">
      <w:pPr>
        <w:ind w:firstLine="480"/>
        <w:rPr>
          <w:color w:val="auto"/>
          <w:highlight w:val="yellow"/>
        </w:rPr>
      </w:pPr>
      <w:r>
        <w:rPr>
          <w:rFonts w:hint="eastAsia"/>
          <w:color w:val="auto"/>
          <w:highlight w:val="yellow"/>
        </w:rPr>
        <w:t>通用预训练模型的词表主要基于维基百科等通用语料库构建，在面对专利中的高度专业化学术语时，常出现词表外（Out-of-Vocabulary, OOV）问题。因此，研究者构建了针对专利语料的专用预训练模型，其中以PatentBERT与PatentSBERTa最具代表性。</w:t>
      </w:r>
    </w:p>
    <w:p w14:paraId="62C45993">
      <w:pPr>
        <w:ind w:firstLine="480"/>
        <w:rPr>
          <w:color w:val="auto"/>
          <w:highlight w:val="yellow"/>
        </w:rPr>
      </w:pPr>
      <w:r>
        <w:rPr>
          <w:rFonts w:hint="eastAsia"/>
          <w:color w:val="auto"/>
          <w:highlight w:val="yellow"/>
        </w:rPr>
        <w:t>PatentBERT是由Lee等人提出的专门针对专利分类任务优化的预训练架构，通过在专利语料上重新构建词表，有效提升了模型对技术文本的表征精度</w:t>
      </w:r>
      <w:r>
        <w:rPr>
          <w:rStyle w:val="33"/>
          <w:rFonts w:hint="eastAsia"/>
          <w:color w:val="auto"/>
          <w:highlight w:val="yellow"/>
        </w:rPr>
        <w:t>[26]</w:t>
      </w:r>
      <w:r>
        <w:rPr>
          <w:rFonts w:hint="eastAsia"/>
          <w:color w:val="auto"/>
          <w:highlight w:val="yellow"/>
        </w:rPr>
        <w:t>。模型在预训练阶段通过MLM任务学习专利特有的上下文关联，通过对大量技术权利要求书的学习，PatentBERT能够建立起技术术语与法律效力之间的语义映射。</w:t>
      </w:r>
    </w:p>
    <w:p w14:paraId="21AD51BE">
      <w:pPr>
        <w:ind w:firstLine="480"/>
        <w:rPr>
          <w:color w:val="auto"/>
          <w:highlight w:val="yellow"/>
        </w:rPr>
      </w:pPr>
      <w:r>
        <w:rPr>
          <w:rFonts w:hint="eastAsia"/>
          <w:color w:val="auto"/>
          <w:highlight w:val="yellow"/>
        </w:rPr>
        <w:t>PatentSBERTa由Bekamiri等人提出，该方法利用增强的SBERT生成专利文本向量，用于计算专利之间的语义距离，并进一步结合近邻方法完成CPC分类和语义检索任务</w:t>
      </w:r>
      <w:r>
        <w:rPr>
          <w:rStyle w:val="33"/>
          <w:rFonts w:hint="eastAsia"/>
          <w:color w:val="auto"/>
          <w:highlight w:val="yellow"/>
        </w:rPr>
        <w:t>[27]</w:t>
      </w:r>
      <w:r>
        <w:rPr>
          <w:rFonts w:hint="eastAsia"/>
          <w:color w:val="auto"/>
          <w:highlight w:val="yellow"/>
        </w:rPr>
        <w:t>。与直接进行类别预测的模型不同，PatentSBERTa更强调专利文本之间的相似度建模，适合用于专利距离计算、语义检索和基于相似样本的分类场景。</w:t>
      </w:r>
    </w:p>
    <w:p w14:paraId="1125AABC">
      <w:pPr>
        <w:ind w:firstLine="480"/>
        <w:rPr>
          <w:color w:val="auto"/>
          <w:highlight w:val="yellow"/>
        </w:rPr>
      </w:pPr>
      <w:r>
        <w:rPr>
          <w:rFonts w:hint="eastAsia"/>
          <w:color w:val="auto"/>
          <w:highlight w:val="yellow"/>
        </w:rPr>
        <w:t>PatentBERT和PatentSBERTa等方法能够增强模型对专利技术语义的表示能力，但它们主要面向IPC、CPC等通用专利分类或专利相似度任务。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具有代表性的专利表示与分类模型与本文构建的BERT-TextCNN模型进行性能对比，以检验全局语义表示与局部短语特征结合后在本文任务中的适用性。</w:t>
      </w:r>
    </w:p>
    <w:p w14:paraId="6D13B76D">
      <w:pPr>
        <w:pStyle w:val="3"/>
        <w:numPr>
          <w:ilvl w:val="1"/>
          <w:numId w:val="1"/>
        </w:numPr>
        <w:tabs>
          <w:tab w:val="clear" w:pos="420"/>
        </w:tabs>
      </w:pPr>
      <w:bookmarkStart w:id="85" w:name="_Toc26311"/>
      <w:bookmarkStart w:id="86" w:name="_Toc229086871"/>
      <w:bookmarkStart w:id="87" w:name="_Toc16886"/>
      <w:r>
        <w:rPr>
          <w:rFonts w:hint="eastAsia"/>
        </w:rPr>
        <w:t>大语言模型与知识增强技术</w:t>
      </w:r>
      <w:bookmarkEnd w:id="85"/>
      <w:bookmarkEnd w:id="86"/>
      <w:bookmarkEnd w:id="87"/>
    </w:p>
    <w:p w14:paraId="2870B53A">
      <w:pPr>
        <w:ind w:firstLine="480"/>
      </w:pPr>
      <w:r>
        <w:rPr>
          <w:rFonts w:hint="eastAsia"/>
        </w:rPr>
        <w:t>预训练模型可以提升专利文本的语义表征能力，但难以直接解决医疗器械垂直领域标注数据不足和人工标注成本较高的问题，LLM与知识增强技术的兴起，为实现跨体系语义映射中的自动化标注提供了新的技术路径。</w:t>
      </w:r>
    </w:p>
    <w:p w14:paraId="06E549D1">
      <w:pPr>
        <w:ind w:firstLine="480"/>
      </w:pPr>
      <w:r>
        <w:rPr>
          <w:rFonts w:hint="eastAsia"/>
        </w:rPr>
        <w:t>与BERT侧重于特征编码不同，LLM在少量样本学习、逻辑推理以及对长文档的深度理解等方面表现出卓越的性能。通过引入RAG，将非参数化的</w:t>
      </w:r>
      <w:r>
        <w:rPr>
          <w:rFonts w:hint="eastAsia"/>
          <w:lang w:val="en-US" w:eastAsia="zh-CN"/>
        </w:rPr>
        <w:t>领域知识引入</w:t>
      </w:r>
      <w:r>
        <w:rPr>
          <w:rFonts w:hint="eastAsia"/>
        </w:rPr>
        <w:t>生成过程，可以为跨体系映射的实现提供具备高置信级别与法定合规性的高质量监督信号。</w:t>
      </w:r>
    </w:p>
    <w:p w14:paraId="254D7EF0">
      <w:pPr>
        <w:pStyle w:val="4"/>
        <w:numPr>
          <w:ilvl w:val="2"/>
          <w:numId w:val="1"/>
        </w:numPr>
        <w:tabs>
          <w:tab w:val="clear" w:pos="420"/>
        </w:tabs>
      </w:pPr>
      <w:bookmarkStart w:id="88" w:name="_Toc216114485"/>
      <w:bookmarkStart w:id="89" w:name="_Toc2212"/>
      <w:bookmarkStart w:id="90" w:name="_Toc229086872"/>
      <w:bookmarkStart w:id="91" w:name="_Toc27541"/>
      <w:r>
        <w:rPr>
          <w:rFonts w:hint="eastAsia"/>
        </w:rPr>
        <w:t>基于</w:t>
      </w:r>
      <w:r>
        <w:t>Q</w:t>
      </w:r>
      <w:r>
        <w:rPr>
          <w:rFonts w:hint="eastAsia"/>
        </w:rPr>
        <w:t>wen</w:t>
      </w:r>
      <w:bookmarkEnd w:id="88"/>
      <w:bookmarkEnd w:id="89"/>
      <w:r>
        <w:rPr>
          <w:rFonts w:hint="eastAsia"/>
        </w:rPr>
        <w:t>的数据标注推理</w:t>
      </w:r>
      <w:bookmarkEnd w:id="90"/>
      <w:bookmarkEnd w:id="91"/>
    </w:p>
    <w:p w14:paraId="290B96E1">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Style w:val="33"/>
          <w:rFonts w:hint="eastAsia"/>
        </w:rPr>
        <w:t>[23]</w:t>
      </w:r>
      <w:r>
        <w:rPr>
          <w:rFonts w:hint="eastAsia"/>
        </w:rPr>
        <w:t>。</w:t>
      </w:r>
    </w:p>
    <w:p w14:paraId="3CA7F979">
      <w:pPr>
        <w:ind w:firstLine="480"/>
        <w:rPr>
          <w:highlight w:val="yellow"/>
        </w:rPr>
      </w:pPr>
      <w:r>
        <w:rPr>
          <w:rFonts w:hint="eastAsia"/>
          <w:highlight w:val="yellow"/>
        </w:rPr>
        <w:t>医疗器械专利自动分类</w:t>
      </w:r>
      <w:r>
        <w:rPr>
          <w:rFonts w:hint="eastAsia"/>
          <w:highlight w:val="yellow"/>
          <w:lang w:val="en-US" w:eastAsia="zh-CN"/>
        </w:rPr>
        <w:t>是</w:t>
      </w:r>
      <w:r>
        <w:rPr>
          <w:rFonts w:hint="eastAsia"/>
          <w:highlight w:val="yellow"/>
        </w:rPr>
        <w:t>一个严谨的逻辑推理过程。Qwen3通过构建思维链，能够模拟行业专家的判定路径（识别技术特征—关联临床用途—匹配分类目录），从而显著提升自动标注的逻辑一致性。由于医疗器械专利摘要中常同时包含技术结构、用途场景和产品属性等信息，自动标注过程需要模型具备较强的语义理解和规则匹配能力。Qwen3在指令理解和推理生成方面具有较好表现，可用于辅助识别摘要中的关键技术特征，并结合分类目录知识生成初步标签。</w:t>
      </w:r>
    </w:p>
    <w:p w14:paraId="131A7897">
      <w:pPr>
        <w:pStyle w:val="4"/>
        <w:numPr>
          <w:ilvl w:val="2"/>
          <w:numId w:val="1"/>
        </w:numPr>
        <w:tabs>
          <w:tab w:val="clear" w:pos="420"/>
        </w:tabs>
      </w:pPr>
      <w:bookmarkStart w:id="92" w:name="_Toc229086873"/>
      <w:bookmarkStart w:id="93" w:name="_Toc24816"/>
      <w:r>
        <w:rPr>
          <w:rFonts w:hint="eastAsia"/>
        </w:rPr>
        <w:t>RAG检索增强</w:t>
      </w:r>
      <w:bookmarkEnd w:id="92"/>
      <w:bookmarkEnd w:id="93"/>
    </w:p>
    <w:p w14:paraId="79910654">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4BACBDAD">
      <w:pPr>
        <w:ind w:firstLine="480"/>
      </w:pPr>
      <w:r>
        <w:rPr>
          <w:rFonts w:hint="eastAsia"/>
        </w:rPr>
        <w:t>《医疗器械分类目录》具有高度的法定权威性并且处于常动态调整中。LLM内部的参数化知识往往无法实时覆盖最新的法规条文。RAG将非参数化的外部知识库（Knowledge Base）与参数化的生成模型结合，其工作流程如图 2-3 所示。</w:t>
      </w:r>
    </w:p>
    <w:p w14:paraId="3CF564BF">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2D26D77E">
      <w:pPr>
        <w:pStyle w:val="25"/>
        <w:rPr>
          <w:rFonts w:hint="default"/>
        </w:rPr>
      </w:pPr>
      <w:r>
        <w:t>图2-3  RAG流程</w:t>
      </w:r>
    </w:p>
    <w:p w14:paraId="4625CA06">
      <w:pPr>
        <w:ind w:firstLine="480"/>
        <w:rPr>
          <w:color w:val="auto"/>
          <w:highlight w:val="yellow"/>
        </w:rPr>
      </w:pPr>
      <w:r>
        <w:rPr>
          <w:rFonts w:hint="eastAsia"/>
          <w:color w:val="auto"/>
          <w:highlight w:val="yellow"/>
        </w:rPr>
        <w:t>RAG通过编码器将领域知识文本转化为向量表示，在标注查询阶段为LLM提供外部知识依据，使模</w:t>
      </w:r>
      <w:bookmarkStart w:id="278" w:name="_GoBack"/>
      <w:bookmarkEnd w:id="278"/>
      <w:r>
        <w:rPr>
          <w:rFonts w:hint="eastAsia"/>
          <w:color w:val="auto"/>
          <w:highlight w:val="yellow"/>
        </w:rPr>
        <w:t>型判断能够更多参考现行分类规则和目录条目。这种方式可以在一定程度上缓解自动标注过程中的知识过时和语义漂移问题，但标注结果仍需结合专家校对和统计检验进行质量控制。</w:t>
      </w:r>
    </w:p>
    <w:p w14:paraId="32C42C6F">
      <w:pPr>
        <w:pStyle w:val="4"/>
        <w:numPr>
          <w:ilvl w:val="2"/>
          <w:numId w:val="1"/>
        </w:numPr>
        <w:tabs>
          <w:tab w:val="clear" w:pos="420"/>
        </w:tabs>
      </w:pPr>
      <w:bookmarkStart w:id="94" w:name="_Toc18233"/>
      <w:bookmarkStart w:id="95" w:name="_Toc229086874"/>
      <w:bookmarkStart w:id="96" w:name="_Toc28710"/>
      <w:r>
        <w:rPr>
          <w:rFonts w:hint="eastAsia"/>
        </w:rPr>
        <w:t>基于</w:t>
      </w:r>
      <w:r>
        <w:t>D</w:t>
      </w:r>
      <w:r>
        <w:rPr>
          <w:rFonts w:hint="eastAsia"/>
        </w:rPr>
        <w:t>ify</w:t>
      </w:r>
      <w:bookmarkEnd w:id="94"/>
      <w:r>
        <w:rPr>
          <w:rFonts w:hint="eastAsia"/>
        </w:rPr>
        <w:t>的标注工程化</w:t>
      </w:r>
      <w:bookmarkEnd w:id="95"/>
      <w:bookmarkEnd w:id="96"/>
    </w:p>
    <w:p w14:paraId="2AE97983">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59E7729A">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F2459E2">
      <w:pPr>
        <w:pStyle w:val="25"/>
        <w:rPr>
          <w:rFonts w:hint="default"/>
        </w:rPr>
      </w:pPr>
      <w:r>
        <w:t>图2-4  Dify架构图</w:t>
      </w:r>
    </w:p>
    <w:p w14:paraId="50990812">
      <w:pPr>
        <w:ind w:firstLine="480"/>
        <w:rPr>
          <w:highlight w:val="yellow"/>
        </w:rPr>
      </w:pPr>
      <w:r>
        <w:rPr>
          <w:rFonts w:hint="eastAsia"/>
          <w:highlight w:val="yellow"/>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这种流程化标注方式可以提高批量标注效率，并使分类规则、目录知识和纠错条件在不同样本上保持相对一致。需要说明的是，Dify工作流本身并不能保证标签完全正确，其输出仍需经过专家校对、一致性分析和统计检验后，才能作为模型训练数据使用。</w:t>
      </w:r>
    </w:p>
    <w:p w14:paraId="19D773A2">
      <w:pPr>
        <w:pStyle w:val="3"/>
        <w:numPr>
          <w:ilvl w:val="1"/>
          <w:numId w:val="1"/>
        </w:numPr>
        <w:tabs>
          <w:tab w:val="clear" w:pos="420"/>
        </w:tabs>
      </w:pPr>
      <w:bookmarkStart w:id="97" w:name="_Toc229086875"/>
      <w:bookmarkStart w:id="98" w:name="_Toc25315"/>
      <w:r>
        <w:rPr>
          <w:rFonts w:hint="eastAsia"/>
        </w:rPr>
        <w:t>层次文本分类模型</w:t>
      </w:r>
      <w:bookmarkEnd w:id="97"/>
      <w:bookmarkEnd w:id="98"/>
    </w:p>
    <w:p w14:paraId="797BC033">
      <w:pPr>
        <w:ind w:firstLine="480"/>
        <w:rPr>
          <w:highlight w:val="yellow"/>
        </w:rPr>
      </w:pPr>
      <w:r>
        <w:rPr>
          <w:rFonts w:hint="eastAsia"/>
          <w:highlight w:val="yellow"/>
        </w:rPr>
        <w:t>《医疗器械分类目录》具有较清晰的三级层级结构，层次文本分类（Hierarchical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1B896721">
      <w:pPr>
        <w:pStyle w:val="4"/>
        <w:numPr>
          <w:ilvl w:val="2"/>
          <w:numId w:val="1"/>
        </w:numPr>
        <w:tabs>
          <w:tab w:val="clear" w:pos="420"/>
        </w:tabs>
        <w:rPr>
          <w:highlight w:val="yellow"/>
        </w:rPr>
      </w:pPr>
      <w:bookmarkStart w:id="99" w:name="_Toc229086876"/>
      <w:bookmarkStart w:id="100" w:name="_Toc7937"/>
      <w:r>
        <w:rPr>
          <w:highlight w:val="yellow"/>
        </w:rPr>
        <w:t>HiTIN</w:t>
      </w:r>
      <w:r>
        <w:rPr>
          <w:rFonts w:hint="eastAsia"/>
          <w:highlight w:val="yellow"/>
        </w:rPr>
        <w:t>模型</w:t>
      </w:r>
      <w:bookmarkEnd w:id="99"/>
      <w:bookmarkEnd w:id="100"/>
    </w:p>
    <w:p w14:paraId="0146278C">
      <w:pPr>
        <w:ind w:firstLine="480"/>
        <w:rPr>
          <w:highlight w:val="yellow"/>
        </w:rPr>
      </w:pPr>
      <w:r>
        <w:rPr>
          <w:rFonts w:hint="eastAsia"/>
          <w:highlight w:val="yellow"/>
        </w:rPr>
        <w:t>HiTIN（Hierarchy-aware Transformer with Interaction and Notification）是 2023 年提出的一种深度融合层次结构信息的Transformer变体</w:t>
      </w:r>
      <w:r>
        <w:rPr>
          <w:rStyle w:val="33"/>
          <w:rFonts w:hint="eastAsia"/>
          <w:highlight w:val="yellow"/>
        </w:rPr>
        <w:t>[30]</w:t>
      </w:r>
      <w:r>
        <w:rPr>
          <w:rFonts w:hint="eastAsia"/>
          <w:highlight w:val="yellow"/>
        </w:rPr>
        <w:t>。HiTIN引入层级交互与结构通知，解决了传统模型在处理深度层级时出现的语义稀释问题。</w:t>
      </w:r>
    </w:p>
    <w:p w14:paraId="7B67CF11">
      <w:pPr>
        <w:ind w:firstLine="480"/>
        <w:rPr>
          <w:highlight w:val="yellow"/>
        </w:rPr>
      </w:pPr>
      <w:r>
        <w:rPr>
          <w:rFonts w:hint="eastAsia"/>
          <w:highlight w:val="yellow"/>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587FBBA2">
      <w:pPr>
        <w:ind w:firstLine="480"/>
        <w:rPr>
          <w:highlight w:val="yellow"/>
        </w:rPr>
      </w:pPr>
      <w:r>
        <w:rPr>
          <w:rFonts w:hint="eastAsia"/>
          <w:highlight w:val="yellow"/>
        </w:rPr>
        <w:t>HiTIN的通知机制利用底层的预测结果反向校准高层的分布。基于双向特征传递，模型能够学习到更加严密的逻辑一致性，避免出现上一层级预测正确、下一层级预测结果矛盾的问题。</w:t>
      </w:r>
    </w:p>
    <w:p w14:paraId="374E0FFE">
      <w:pPr>
        <w:pStyle w:val="4"/>
        <w:numPr>
          <w:ilvl w:val="2"/>
          <w:numId w:val="1"/>
        </w:numPr>
        <w:tabs>
          <w:tab w:val="clear" w:pos="420"/>
        </w:tabs>
        <w:rPr>
          <w:highlight w:val="yellow"/>
        </w:rPr>
      </w:pPr>
      <w:bookmarkStart w:id="101" w:name="_Toc229086877"/>
      <w:bookmarkStart w:id="102" w:name="_Toc3419"/>
      <w:r>
        <w:rPr>
          <w:rFonts w:hint="eastAsia"/>
          <w:highlight w:val="yellow"/>
        </w:rPr>
        <w:t>HGCLR模型</w:t>
      </w:r>
      <w:bookmarkEnd w:id="101"/>
      <w:bookmarkEnd w:id="102"/>
    </w:p>
    <w:p w14:paraId="48C84A75">
      <w:pPr>
        <w:ind w:firstLine="480"/>
        <w:rPr>
          <w:highlight w:val="yellow"/>
        </w:rPr>
      </w:pPr>
      <w:r>
        <w:rPr>
          <w:rFonts w:hint="eastAsia"/>
          <w:highlight w:val="yellow"/>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Style w:val="33"/>
          <w:rFonts w:hint="eastAsia"/>
          <w:highlight w:val="yellow"/>
        </w:rPr>
        <w:t>[50]</w:t>
      </w:r>
      <w:r>
        <w:rPr>
          <w:rFonts w:hint="eastAsia"/>
          <w:highlight w:val="yellow"/>
        </w:rPr>
        <w:t>。</w:t>
      </w:r>
    </w:p>
    <w:p w14:paraId="46DD3369">
      <w:pPr>
        <w:ind w:firstLine="480"/>
        <w:rPr>
          <w:highlight w:val="yellow"/>
        </w:rPr>
      </w:pPr>
      <w:r>
        <w:rPr>
          <w:rFonts w:hint="eastAsia"/>
          <w:highlight w:val="yellow"/>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2F0A12DF">
      <w:pPr>
        <w:ind w:firstLine="480"/>
        <w:rPr>
          <w:highlight w:val="yellow"/>
        </w:rPr>
      </w:pPr>
      <w:r>
        <w:rPr>
          <w:rFonts w:hint="eastAsia"/>
          <w:highlight w:val="yellow"/>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二级、三级目录的层次化分类则作为后续研究方向展开。</w:t>
      </w:r>
    </w:p>
    <w:p w14:paraId="3082B2AE">
      <w:pPr>
        <w:ind w:firstLine="480"/>
      </w:pPr>
      <w:r>
        <w:rPr>
          <w:rFonts w:hint="eastAsia"/>
        </w:rPr>
        <w:br w:type="page"/>
      </w:r>
    </w:p>
    <w:p w14:paraId="210D837F">
      <w:pPr>
        <w:pStyle w:val="2"/>
        <w:numPr>
          <w:ilvl w:val="0"/>
          <w:numId w:val="1"/>
        </w:numPr>
        <w:tabs>
          <w:tab w:val="clear" w:pos="0"/>
        </w:tabs>
      </w:pPr>
      <w:bookmarkStart w:id="103" w:name="_Toc216114489"/>
      <w:bookmarkStart w:id="104" w:name="_Toc229086878"/>
      <w:bookmarkStart w:id="105" w:name="_Toc31522"/>
      <w:r>
        <w:rPr>
          <w:rFonts w:hint="eastAsia"/>
        </w:rPr>
        <w:t>数据集与预处理</w:t>
      </w:r>
      <w:bookmarkEnd w:id="103"/>
      <w:bookmarkEnd w:id="104"/>
      <w:bookmarkEnd w:id="105"/>
      <w:bookmarkStart w:id="106" w:name="_Toc216115288"/>
      <w:bookmarkEnd w:id="106"/>
      <w:bookmarkStart w:id="107" w:name="_Toc216114490"/>
      <w:bookmarkEnd w:id="107"/>
      <w:bookmarkStart w:id="108" w:name="_Toc216114350"/>
      <w:bookmarkEnd w:id="108"/>
      <w:bookmarkStart w:id="109" w:name="_Toc216116696"/>
      <w:bookmarkEnd w:id="109"/>
      <w:bookmarkStart w:id="110" w:name="_Toc216114650"/>
      <w:bookmarkEnd w:id="110"/>
      <w:bookmarkStart w:id="111" w:name="_Toc216114421"/>
      <w:bookmarkEnd w:id="111"/>
      <w:bookmarkStart w:id="112" w:name="_Toc216116698"/>
      <w:bookmarkEnd w:id="112"/>
      <w:bookmarkStart w:id="113" w:name="_Toc216117056"/>
      <w:bookmarkEnd w:id="113"/>
      <w:bookmarkStart w:id="114" w:name="_Toc216115290"/>
      <w:bookmarkEnd w:id="114"/>
      <w:bookmarkStart w:id="115" w:name="_Toc216117054"/>
      <w:bookmarkEnd w:id="115"/>
      <w:bookmarkStart w:id="116" w:name="_Toc216114419"/>
      <w:bookmarkEnd w:id="116"/>
      <w:bookmarkStart w:id="117" w:name="_Toc216114492"/>
      <w:bookmarkEnd w:id="117"/>
      <w:bookmarkStart w:id="118" w:name="_Toc216116626"/>
      <w:bookmarkEnd w:id="118"/>
      <w:bookmarkStart w:id="119" w:name="_Toc216114348"/>
      <w:bookmarkEnd w:id="119"/>
      <w:bookmarkStart w:id="120" w:name="_Toc216115359"/>
      <w:bookmarkEnd w:id="120"/>
      <w:bookmarkStart w:id="121" w:name="_Toc216116624"/>
      <w:bookmarkEnd w:id="121"/>
      <w:bookmarkStart w:id="122" w:name="_Toc216115357"/>
      <w:bookmarkEnd w:id="122"/>
      <w:bookmarkStart w:id="123" w:name="_Toc216114652"/>
      <w:bookmarkEnd w:id="123"/>
    </w:p>
    <w:p w14:paraId="1E7A6127">
      <w:pPr>
        <w:ind w:firstLine="480"/>
      </w:pPr>
      <w:r>
        <w:rPr>
          <w:rFonts w:hint="eastAsia"/>
        </w:rPr>
        <w:t>专利分类模型的性能，很大程度上受制于数据本身。本章围绕医疗器械发明专利分类任务构建训练数据集，目标是得到一份覆盖《医疗器械分类目录》22个一级产品类别且质量经过校验的数据集。</w:t>
      </w:r>
    </w:p>
    <w:p w14:paraId="57EDC99E">
      <w:pPr>
        <w:ind w:firstLine="480"/>
        <w:rPr>
          <w:highlight w:val="yellow"/>
        </w:rPr>
      </w:pPr>
      <w:r>
        <w:rPr>
          <w:rFonts w:hint="eastAsia"/>
          <w:highlight w:val="yellow"/>
        </w:rPr>
        <w:t>本章的基本思路如下，先依据IPC分类表确定医疗器械专利的数据范围，并据此制定检索式；随后按授权状态、附图、标签和文本完整性进行筛选，按照申请号去重，得到包含58495条数据的数据集D1。在此基础上，本文抽取1104条样本构建专家校对数据集D2，用于评估不同自动标注方法，D1中的剩余数据计为数据集D3。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585C91EE">
      <w:pPr>
        <w:pStyle w:val="3"/>
        <w:numPr>
          <w:ilvl w:val="1"/>
          <w:numId w:val="1"/>
        </w:numPr>
        <w:tabs>
          <w:tab w:val="clear" w:pos="420"/>
        </w:tabs>
      </w:pPr>
      <w:bookmarkStart w:id="124" w:name="_Toc216114494"/>
      <w:bookmarkStart w:id="125" w:name="_Toc229086879"/>
      <w:bookmarkStart w:id="126" w:name="_Toc25725"/>
      <w:r>
        <w:rPr>
          <w:rFonts w:hint="eastAsia"/>
        </w:rPr>
        <w:t>数据集介绍</w:t>
      </w:r>
      <w:bookmarkEnd w:id="124"/>
      <w:bookmarkEnd w:id="125"/>
      <w:bookmarkEnd w:id="126"/>
    </w:p>
    <w:p w14:paraId="72574800">
      <w:pPr>
        <w:ind w:firstLine="480"/>
        <w:rPr>
          <w:highlight w:val="yellow"/>
        </w:rPr>
      </w:pPr>
      <w:r>
        <w:rPr>
          <w:rFonts w:hint="eastAsia"/>
          <w:highlight w:val="yellow"/>
        </w:rPr>
        <w:t>本研究的数据来源于智慧芽专利数据库</w:t>
      </w:r>
      <w:r>
        <w:rPr>
          <w:highlight w:val="yellow"/>
        </w:rPr>
        <w:fldChar w:fldCharType="begin"/>
      </w:r>
      <w:r>
        <w:rPr>
          <w:highlight w:val="yellow"/>
        </w:rPr>
        <w:instrText xml:space="preserve"> ADDIN ZOTERO_ITEM CSL_CITATION {"citationID":"a9R1ZAiN","properties":{"formattedCitation":"\\super [62]\\nosupersub{}","plainCitation":"[62]","noteIndex":0},"citationItems":[{"id":177,"uris":["http://zotero.org/users/local/2JDDwpa7/items/FWUWJZEM"],"item</w:instrText>
      </w:r>
      <w:r>
        <w:rPr>
          <w:rFonts w:hint="eastAsia"/>
          <w:highlight w:val="yellow"/>
        </w:rPr>
        <w:instrText xml:space="preserve">Data":{"id":177,"type":"webpage","title":"分类目录库","URL":"https://app.nifdc.org.cn/biaogzx/dataGk.do?formAction=listFlmlk","accessed":{"date-parts":[["2026",3,17]]}}}],"schema":"https://github.com/citation-style-language/schema/raw/master/csl-citation.json"</w:instrText>
      </w:r>
      <w:r>
        <w:rPr>
          <w:highlight w:val="yellow"/>
        </w:rPr>
        <w:instrText xml:space="preserve">} </w:instrText>
      </w:r>
      <w:r>
        <w:rPr>
          <w:highlight w:val="yellow"/>
        </w:rPr>
        <w:fldChar w:fldCharType="separate"/>
      </w:r>
      <w:r>
        <w:rPr>
          <w:rFonts w:cs="Times New Roman"/>
          <w:kern w:val="0"/>
          <w:highlight w:val="yellow"/>
          <w:vertAlign w:val="superscript"/>
        </w:rPr>
        <w:t>[</w:t>
      </w:r>
      <w:r>
        <w:rPr>
          <w:rFonts w:hint="eastAsia" w:cs="Times New Roman"/>
          <w:kern w:val="0"/>
          <w:highlight w:val="yellow"/>
          <w:vertAlign w:val="superscript"/>
        </w:rPr>
        <w:t>35</w:t>
      </w:r>
      <w:r>
        <w:rPr>
          <w:rFonts w:cs="Times New Roman"/>
          <w:kern w:val="0"/>
          <w:highlight w:val="yellow"/>
          <w:vertAlign w:val="superscript"/>
        </w:rPr>
        <w:t>]</w:t>
      </w:r>
      <w:r>
        <w:rPr>
          <w:highlight w:val="yellow"/>
        </w:rPr>
        <w:fldChar w:fldCharType="end"/>
      </w:r>
      <w:r>
        <w:rPr>
          <w:rFonts w:hint="eastAsia"/>
          <w:highlight w:val="yellow"/>
        </w:rPr>
        <w:t>。为了聚焦医疗器械发明专利，本文依据IPC分类表确定检索范围，图3-1给出了IPC分类表A部中A61B相关内容的节选。</w:t>
      </w:r>
    </w:p>
    <w:p w14:paraId="19722176">
      <w:pPr>
        <w:ind w:firstLine="480"/>
        <w:rPr>
          <w:highlight w:val="yellow"/>
        </w:rPr>
      </w:pPr>
      <w:r>
        <w:rPr>
          <w:rFonts w:hint="eastAsia"/>
          <w:highlight w:val="yellow"/>
        </w:rPr>
        <w:t>基于图内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A7A7047">
      <w:pPr>
        <w:ind w:firstLine="480"/>
        <w:rPr>
          <w:color w:val="FF0000"/>
        </w:rPr>
      </w:pPr>
      <w:r>
        <w:rPr>
          <w:rFonts w:hint="eastAsia"/>
          <w:highlight w:val="yellow"/>
        </w:rPr>
        <w:t>本文检索式设定为APD:[ * TO 20231231] AND MIPC:(A61B NOT A61B16)。其中，APD用于限定申请日期不晚于2023年12月31日，MIPC用于限定主要IPC分类号。检索式中排除A61B16，是因为该组虽然属于A61B小类，但未出现在医疗器械分组中，和本文以医疗器械一级产品类别为目标的分类任务不一致</w:t>
      </w:r>
      <w:r>
        <w:rPr>
          <w:rFonts w:hint="eastAsia"/>
          <w:color w:val="FF0000"/>
        </w:rPr>
        <w:t>。</w:t>
      </w:r>
    </w:p>
    <w:p w14:paraId="5632276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5D1EDC42">
      <w:pPr>
        <w:pStyle w:val="25"/>
        <w:rPr>
          <w:rFonts w:hint="default"/>
        </w:rPr>
      </w:pPr>
      <w:r>
        <w:t>图3-1  2024年IPC分类表A部节选</w:t>
      </w:r>
    </w:p>
    <w:p w14:paraId="03F4A626">
      <w:pPr>
        <w:ind w:firstLine="480"/>
      </w:pPr>
      <w:r>
        <w:rPr>
          <w:rFonts w:hint="eastAsia"/>
        </w:rPr>
        <w:t>为保证数据可用性和文本完整性，本文规定数据集D1</w:t>
      </w:r>
      <w:r>
        <w:rPr>
          <w:rFonts w:hint="eastAsia" w:hAnsi="Cambria Math"/>
          <w:iCs/>
        </w:rPr>
        <w:t>的筛选标准</w:t>
      </w:r>
      <w:r>
        <w:rPr>
          <w:rFonts w:hint="eastAsia"/>
        </w:rPr>
        <w:t>为</w:t>
      </w:r>
      <w:r>
        <w:t>：</w:t>
      </w:r>
    </w:p>
    <w:p w14:paraId="5B96AEEF">
      <w:pPr>
        <w:numPr>
          <w:ilvl w:val="0"/>
          <w:numId w:val="7"/>
        </w:numPr>
        <w:ind w:firstLine="480"/>
      </w:pPr>
      <w:r>
        <w:t>已授权</w:t>
      </w:r>
    </w:p>
    <w:p w14:paraId="3EC1EA54">
      <w:pPr>
        <w:ind w:firstLine="480"/>
      </w:pPr>
      <w:r>
        <w:rPr>
          <w:rFonts w:hint="eastAsia"/>
        </w:rPr>
        <w:t>保留法律状态为授权的有效专利，保证技术方案的可行性及专利文本质量。</w:t>
      </w:r>
    </w:p>
    <w:p w14:paraId="30477ABF">
      <w:pPr>
        <w:numPr>
          <w:ilvl w:val="0"/>
          <w:numId w:val="7"/>
        </w:numPr>
        <w:ind w:firstLine="480"/>
      </w:pPr>
      <w:r>
        <w:t>有附图</w:t>
      </w:r>
    </w:p>
    <w:p w14:paraId="413CD03F">
      <w:pPr>
        <w:ind w:firstLine="480"/>
      </w:pPr>
      <w:r>
        <w:rPr>
          <w:rFonts w:hint="eastAsia"/>
        </w:rPr>
        <w:t>保留包含说明书附图的专利，在本文以文本为主的情况下，附图为多模态扩展的基础，对后续工作有益</w:t>
      </w:r>
      <w:r>
        <w:t>。</w:t>
      </w:r>
    </w:p>
    <w:p w14:paraId="550DD914">
      <w:pPr>
        <w:numPr>
          <w:ilvl w:val="0"/>
          <w:numId w:val="7"/>
        </w:numPr>
        <w:ind w:firstLine="480"/>
      </w:pPr>
      <w:r>
        <w:rPr>
          <w:rFonts w:hint="eastAsia"/>
        </w:rPr>
        <w:t>存在一级产品类别</w:t>
      </w:r>
      <w:r>
        <w:t>标签</w:t>
      </w:r>
    </w:p>
    <w:p w14:paraId="0F4DA617">
      <w:pPr>
        <w:ind w:firstLine="480"/>
      </w:pPr>
      <w:r>
        <w:rPr>
          <w:rFonts w:hint="eastAsia"/>
        </w:rPr>
        <w:t>在从智慧芽专利平台收集数据后，已经用于日常的研究。因此，部分数据存在《医疗器械分类目录》的一级产品类别标签，但存在标签质量较低的问题。</w:t>
      </w:r>
    </w:p>
    <w:p w14:paraId="30E98152">
      <w:pPr>
        <w:numPr>
          <w:ilvl w:val="0"/>
          <w:numId w:val="7"/>
        </w:numPr>
        <w:ind w:firstLine="480"/>
      </w:pPr>
      <w:r>
        <w:rPr>
          <w:rFonts w:hint="eastAsia"/>
        </w:rPr>
        <w:t>文本未缺失</w:t>
      </w:r>
    </w:p>
    <w:p w14:paraId="0912ECC7">
      <w:pPr>
        <w:ind w:firstLine="420" w:firstLineChars="0"/>
      </w:pPr>
      <w:r>
        <w:rPr>
          <w:rFonts w:hint="eastAsia"/>
        </w:rPr>
        <w:t>针对文本的分类研究，文本存在缺失时，是无法纳入的，因为它无法通过插值等手段来填充。在智慧芽专利平台中，缺失文本一般用“-”占位，本文对包含该占位符的数据进行了过滤。</w:t>
      </w:r>
    </w:p>
    <w:p w14:paraId="3612346F">
      <w:pPr>
        <w:ind w:firstLine="480"/>
        <w:rPr>
          <w:highlight w:val="yellow"/>
        </w:rPr>
      </w:pPr>
      <w:r>
        <w:rPr>
          <w:rFonts w:hint="eastAsia"/>
          <w:highlight w:val="yellow"/>
        </w:rPr>
        <w:t>完成筛选后，文本依据申请号对数据进行去重，因为申请号能够对应一件专利申请记录，按申请号去重后可避免同一专利重复进入训练集。</w:t>
      </w:r>
    </w:p>
    <w:p w14:paraId="73724B41">
      <w:pPr>
        <w:ind w:firstLine="480"/>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02BE0104">
      <w:pPr>
        <w:ind w:firstLine="480"/>
      </w:pPr>
      <w:r>
        <w:rPr>
          <w:rFonts w:hint="eastAsia"/>
        </w:rPr>
        <w:t>（1）去除HTML标签</w:t>
      </w:r>
    </w:p>
    <w:p w14:paraId="4E39A86E">
      <w:pPr>
        <w:ind w:firstLine="480"/>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14FF63B9">
      <w:pPr>
        <w:ind w:firstLine="480"/>
      </w:pPr>
      <w:r>
        <w:rPr>
          <w:rFonts w:hint="eastAsia"/>
        </w:rPr>
        <w:t>（2）去除不可见字符</w:t>
      </w:r>
    </w:p>
    <w:p w14:paraId="24A17FEF">
      <w:pPr>
        <w:ind w:firstLine="480"/>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62B5B17D">
      <w:pPr>
        <w:ind w:firstLine="480"/>
      </w:pPr>
      <w:r>
        <w:rPr>
          <w:rFonts w:hint="eastAsia"/>
        </w:rPr>
        <w:t>（3）标点统一</w:t>
      </w:r>
    </w:p>
    <w:p w14:paraId="6F66F50E">
      <w:pPr>
        <w:ind w:firstLine="480"/>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5BD40276">
      <w:pPr>
        <w:ind w:firstLine="480"/>
      </w:pPr>
      <w:r>
        <w:rPr>
          <w:rFonts w:hint="eastAsia"/>
        </w:rPr>
        <w:t>（4）空格处理</w:t>
      </w:r>
    </w:p>
    <w:p w14:paraId="6F6F43C1">
      <w:pPr>
        <w:ind w:firstLine="480"/>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1A87299E">
      <w:pPr>
        <w:ind w:firstLine="480"/>
      </w:pPr>
      <w:r>
        <w:rPr>
          <w:rFonts w:hint="eastAsia"/>
        </w:rPr>
        <w:t>经过上述筛选、去重和清洗后</w:t>
      </w:r>
      <w:r>
        <w:t>，数据集</w:t>
      </w:r>
      <w:r>
        <w:rPr>
          <w:rFonts w:hint="eastAsia"/>
        </w:rPr>
        <w:t>D1</w:t>
      </w:r>
      <w:r>
        <w:t>共包含58495条专利数据。</w:t>
      </w:r>
      <w:r>
        <w:rPr>
          <w:rFonts w:hint="eastAsia"/>
        </w:rPr>
        <w:t>随后通过标注与置信度过滤，最终保留34431条高质量标注数据，经少数类增强后，第四章用于训练的数据总量为34493条，各一级产品类别的最终分布如表3-1所示。</w:t>
      </w:r>
    </w:p>
    <w:p w14:paraId="4E545875">
      <w:pPr>
        <w:ind w:firstLine="480"/>
      </w:pPr>
    </w:p>
    <w:p w14:paraId="63EC5EA2">
      <w:pPr>
        <w:ind w:firstLine="480"/>
      </w:pPr>
    </w:p>
    <w:p w14:paraId="7DF74B42">
      <w:pPr>
        <w:pStyle w:val="25"/>
        <w:rPr>
          <w:rFonts w:hint="default"/>
        </w:rPr>
      </w:pPr>
      <w:r>
        <w:t>表3-1  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09"/>
        <w:gridCol w:w="1808"/>
        <w:gridCol w:w="1551"/>
        <w:gridCol w:w="1551"/>
      </w:tblGrid>
      <w:tr w14:paraId="542AA4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130F1E16">
            <w:pPr>
              <w:pStyle w:val="26"/>
              <w:rPr>
                <w:rFonts w:hint="default"/>
              </w:rPr>
            </w:pPr>
            <w:r>
              <w:rPr>
                <w:rFonts w:hint="default"/>
              </w:rPr>
              <w:t>一级产品类别</w:t>
            </w:r>
          </w:p>
        </w:tc>
        <w:tc>
          <w:tcPr>
            <w:tcW w:w="1061" w:type="pct"/>
            <w:tcBorders>
              <w:bottom w:val="single" w:color="auto" w:sz="6" w:space="0"/>
            </w:tcBorders>
            <w:shd w:val="clear" w:color="auto" w:fill="FFFFFF"/>
            <w:vAlign w:val="center"/>
          </w:tcPr>
          <w:p w14:paraId="4601F640">
            <w:pPr>
              <w:pStyle w:val="26"/>
              <w:rPr>
                <w:rFonts w:hint="default"/>
              </w:rPr>
            </w:pPr>
            <w:r>
              <w:rPr>
                <w:rFonts w:hint="default"/>
              </w:rPr>
              <w:t>样本量</w:t>
            </w:r>
          </w:p>
        </w:tc>
        <w:tc>
          <w:tcPr>
            <w:tcW w:w="910" w:type="pct"/>
            <w:tcBorders>
              <w:bottom w:val="single" w:color="auto" w:sz="6" w:space="0"/>
            </w:tcBorders>
            <w:shd w:val="clear" w:color="auto" w:fill="FFFFFF"/>
            <w:vAlign w:val="center"/>
          </w:tcPr>
          <w:p w14:paraId="5450E14C">
            <w:pPr>
              <w:pStyle w:val="26"/>
              <w:rPr>
                <w:rFonts w:hint="default"/>
              </w:rPr>
            </w:pPr>
            <w:r>
              <w:rPr>
                <w:rFonts w:hint="default"/>
              </w:rPr>
              <w:t>增强样本量</w:t>
            </w:r>
          </w:p>
        </w:tc>
        <w:tc>
          <w:tcPr>
            <w:tcW w:w="910" w:type="pct"/>
            <w:tcBorders>
              <w:bottom w:val="single" w:color="auto" w:sz="6" w:space="0"/>
            </w:tcBorders>
            <w:shd w:val="clear" w:color="auto" w:fill="FFFFFF"/>
            <w:vAlign w:val="center"/>
          </w:tcPr>
          <w:p w14:paraId="3DDFF79A">
            <w:pPr>
              <w:pStyle w:val="26"/>
              <w:rPr>
                <w:rFonts w:hint="default"/>
              </w:rPr>
            </w:pPr>
            <w:r>
              <w:rPr>
                <w:rFonts w:hint="default"/>
              </w:rPr>
              <w:t>最终样本量</w:t>
            </w:r>
          </w:p>
        </w:tc>
      </w:tr>
      <w:tr w14:paraId="324CDF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tcPr>
          <w:p w14:paraId="02F06053">
            <w:pPr>
              <w:pStyle w:val="26"/>
              <w:rPr>
                <w:rFonts w:hint="default"/>
              </w:rPr>
            </w:pPr>
            <w:r>
              <w:rPr>
                <w:rFonts w:hint="default"/>
              </w:rPr>
              <w:t>医用成像器械</w:t>
            </w:r>
          </w:p>
        </w:tc>
        <w:tc>
          <w:tcPr>
            <w:tcW w:w="1061" w:type="pct"/>
            <w:tcBorders>
              <w:top w:val="single" w:color="auto" w:sz="6" w:space="0"/>
              <w:tl2br w:val="nil"/>
              <w:tr2bl w:val="nil"/>
            </w:tcBorders>
            <w:shd w:val="clear" w:color="auto" w:fill="FFFFFF"/>
          </w:tcPr>
          <w:p w14:paraId="5AAC1024">
            <w:pPr>
              <w:pStyle w:val="26"/>
              <w:rPr>
                <w:rFonts w:hint="default"/>
              </w:rPr>
            </w:pPr>
            <w:r>
              <w:rPr>
                <w:rFonts w:hint="default"/>
              </w:rPr>
              <w:t>9732</w:t>
            </w:r>
          </w:p>
        </w:tc>
        <w:tc>
          <w:tcPr>
            <w:tcW w:w="910" w:type="pct"/>
            <w:tcBorders>
              <w:top w:val="single" w:color="auto" w:sz="6" w:space="0"/>
              <w:tl2br w:val="nil"/>
              <w:tr2bl w:val="nil"/>
            </w:tcBorders>
            <w:shd w:val="clear" w:color="auto" w:fill="FFFFFF"/>
          </w:tcPr>
          <w:p w14:paraId="15F41391">
            <w:pPr>
              <w:pStyle w:val="26"/>
              <w:rPr>
                <w:rFonts w:hint="default"/>
              </w:rPr>
            </w:pPr>
            <w:r>
              <w:rPr>
                <w:rFonts w:hint="default"/>
              </w:rPr>
              <w:t>0</w:t>
            </w:r>
          </w:p>
        </w:tc>
        <w:tc>
          <w:tcPr>
            <w:tcW w:w="910" w:type="pct"/>
            <w:tcBorders>
              <w:top w:val="single" w:color="auto" w:sz="6" w:space="0"/>
              <w:tl2br w:val="nil"/>
              <w:tr2bl w:val="nil"/>
            </w:tcBorders>
            <w:shd w:val="clear" w:color="auto" w:fill="FFFFFF"/>
          </w:tcPr>
          <w:p w14:paraId="4F9F6E07">
            <w:pPr>
              <w:pStyle w:val="26"/>
              <w:rPr>
                <w:rFonts w:hint="default"/>
              </w:rPr>
            </w:pPr>
            <w:r>
              <w:rPr>
                <w:rFonts w:hint="default"/>
              </w:rPr>
              <w:t>9732</w:t>
            </w:r>
          </w:p>
        </w:tc>
      </w:tr>
      <w:tr w14:paraId="57BE3C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4A368732">
            <w:pPr>
              <w:pStyle w:val="26"/>
              <w:rPr>
                <w:rFonts w:hint="default"/>
              </w:rPr>
            </w:pPr>
            <w:r>
              <w:rPr>
                <w:rFonts w:hint="default"/>
              </w:rPr>
              <w:t>医用诊察和监护器械</w:t>
            </w:r>
          </w:p>
        </w:tc>
        <w:tc>
          <w:tcPr>
            <w:tcW w:w="1061" w:type="pct"/>
            <w:tcBorders>
              <w:tl2br w:val="nil"/>
              <w:tr2bl w:val="nil"/>
            </w:tcBorders>
            <w:shd w:val="clear" w:color="auto" w:fill="FFFFFF"/>
          </w:tcPr>
          <w:p w14:paraId="28ED60AF">
            <w:pPr>
              <w:pStyle w:val="26"/>
              <w:rPr>
                <w:rFonts w:hint="default"/>
              </w:rPr>
            </w:pPr>
            <w:r>
              <w:rPr>
                <w:rFonts w:hint="default"/>
              </w:rPr>
              <w:t>6115</w:t>
            </w:r>
          </w:p>
        </w:tc>
        <w:tc>
          <w:tcPr>
            <w:tcW w:w="910" w:type="pct"/>
            <w:tcBorders>
              <w:tl2br w:val="nil"/>
              <w:tr2bl w:val="nil"/>
            </w:tcBorders>
            <w:shd w:val="clear" w:color="auto" w:fill="FFFFFF"/>
          </w:tcPr>
          <w:p w14:paraId="35A2D30C">
            <w:pPr>
              <w:pStyle w:val="26"/>
              <w:rPr>
                <w:rFonts w:hint="default"/>
              </w:rPr>
            </w:pPr>
            <w:r>
              <w:rPr>
                <w:rFonts w:hint="default"/>
              </w:rPr>
              <w:t>0</w:t>
            </w:r>
          </w:p>
        </w:tc>
        <w:tc>
          <w:tcPr>
            <w:tcW w:w="910" w:type="pct"/>
            <w:tcBorders>
              <w:tl2br w:val="nil"/>
              <w:tr2bl w:val="nil"/>
            </w:tcBorders>
            <w:shd w:val="clear" w:color="auto" w:fill="FFFFFF"/>
          </w:tcPr>
          <w:p w14:paraId="4287330C">
            <w:pPr>
              <w:pStyle w:val="26"/>
              <w:rPr>
                <w:rFonts w:hint="default"/>
              </w:rPr>
            </w:pPr>
            <w:r>
              <w:rPr>
                <w:rFonts w:hint="default"/>
              </w:rPr>
              <w:t>6115</w:t>
            </w:r>
          </w:p>
        </w:tc>
      </w:tr>
      <w:tr w14:paraId="0DF80C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471" w:hRule="atLeast"/>
        </w:trPr>
        <w:tc>
          <w:tcPr>
            <w:tcW w:w="2118" w:type="pct"/>
            <w:tcBorders>
              <w:tl2br w:val="nil"/>
              <w:tr2bl w:val="nil"/>
            </w:tcBorders>
            <w:shd w:val="clear" w:color="auto" w:fill="FFFFFF"/>
          </w:tcPr>
          <w:p w14:paraId="381D7513">
            <w:pPr>
              <w:pStyle w:val="26"/>
              <w:rPr>
                <w:rFonts w:hint="default"/>
              </w:rPr>
            </w:pPr>
            <w:r>
              <w:rPr>
                <w:rFonts w:hint="default"/>
              </w:rPr>
              <w:t>无源手术器械</w:t>
            </w:r>
          </w:p>
        </w:tc>
        <w:tc>
          <w:tcPr>
            <w:tcW w:w="1061" w:type="pct"/>
            <w:tcBorders>
              <w:tl2br w:val="nil"/>
              <w:tr2bl w:val="nil"/>
            </w:tcBorders>
            <w:shd w:val="clear" w:color="auto" w:fill="FFFFFF"/>
          </w:tcPr>
          <w:p w14:paraId="5D213ED4">
            <w:pPr>
              <w:pStyle w:val="26"/>
              <w:rPr>
                <w:rFonts w:hint="default"/>
              </w:rPr>
            </w:pPr>
            <w:r>
              <w:rPr>
                <w:rFonts w:hint="default"/>
              </w:rPr>
              <w:t>4288</w:t>
            </w:r>
          </w:p>
        </w:tc>
        <w:tc>
          <w:tcPr>
            <w:tcW w:w="910" w:type="pct"/>
            <w:tcBorders>
              <w:tl2br w:val="nil"/>
              <w:tr2bl w:val="nil"/>
            </w:tcBorders>
            <w:shd w:val="clear" w:color="auto" w:fill="FFFFFF"/>
          </w:tcPr>
          <w:p w14:paraId="5F743E8E">
            <w:pPr>
              <w:pStyle w:val="26"/>
              <w:rPr>
                <w:rFonts w:hint="default"/>
              </w:rPr>
            </w:pPr>
            <w:r>
              <w:rPr>
                <w:rFonts w:hint="default"/>
              </w:rPr>
              <w:t>0</w:t>
            </w:r>
          </w:p>
        </w:tc>
        <w:tc>
          <w:tcPr>
            <w:tcW w:w="910" w:type="pct"/>
            <w:tcBorders>
              <w:tl2br w:val="nil"/>
              <w:tr2bl w:val="nil"/>
            </w:tcBorders>
            <w:shd w:val="clear" w:color="auto" w:fill="FFFFFF"/>
          </w:tcPr>
          <w:p w14:paraId="0990AAE0">
            <w:pPr>
              <w:pStyle w:val="26"/>
              <w:rPr>
                <w:rFonts w:hint="default"/>
              </w:rPr>
            </w:pPr>
            <w:r>
              <w:rPr>
                <w:rFonts w:hint="default"/>
              </w:rPr>
              <w:t>4288</w:t>
            </w:r>
          </w:p>
        </w:tc>
      </w:tr>
      <w:tr w14:paraId="74E44C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7FFD816C">
            <w:pPr>
              <w:pStyle w:val="26"/>
              <w:rPr>
                <w:rFonts w:hint="default"/>
              </w:rPr>
            </w:pPr>
            <w:r>
              <w:rPr>
                <w:rFonts w:hint="default"/>
              </w:rPr>
              <w:t>骨科手术器械</w:t>
            </w:r>
          </w:p>
        </w:tc>
        <w:tc>
          <w:tcPr>
            <w:tcW w:w="1061" w:type="pct"/>
            <w:tcBorders>
              <w:tl2br w:val="nil"/>
              <w:tr2bl w:val="nil"/>
            </w:tcBorders>
            <w:shd w:val="clear" w:color="auto" w:fill="FFFFFF"/>
          </w:tcPr>
          <w:p w14:paraId="3B5B120F">
            <w:pPr>
              <w:pStyle w:val="26"/>
              <w:rPr>
                <w:rFonts w:hint="default"/>
              </w:rPr>
            </w:pPr>
            <w:r>
              <w:rPr>
                <w:rFonts w:hint="default"/>
              </w:rPr>
              <w:t>2992</w:t>
            </w:r>
          </w:p>
        </w:tc>
        <w:tc>
          <w:tcPr>
            <w:tcW w:w="910" w:type="pct"/>
            <w:tcBorders>
              <w:tl2br w:val="nil"/>
              <w:tr2bl w:val="nil"/>
            </w:tcBorders>
            <w:shd w:val="clear" w:color="auto" w:fill="FFFFFF"/>
          </w:tcPr>
          <w:p w14:paraId="2FD08CD0">
            <w:pPr>
              <w:pStyle w:val="26"/>
              <w:rPr>
                <w:rFonts w:hint="default"/>
              </w:rPr>
            </w:pPr>
            <w:r>
              <w:rPr>
                <w:rFonts w:hint="default"/>
              </w:rPr>
              <w:t>0</w:t>
            </w:r>
          </w:p>
        </w:tc>
        <w:tc>
          <w:tcPr>
            <w:tcW w:w="910" w:type="pct"/>
            <w:tcBorders>
              <w:tl2br w:val="nil"/>
              <w:tr2bl w:val="nil"/>
            </w:tcBorders>
            <w:shd w:val="clear" w:color="auto" w:fill="FFFFFF"/>
          </w:tcPr>
          <w:p w14:paraId="6EB6C65A">
            <w:pPr>
              <w:pStyle w:val="26"/>
              <w:rPr>
                <w:rFonts w:hint="default"/>
              </w:rPr>
            </w:pPr>
            <w:r>
              <w:rPr>
                <w:rFonts w:hint="default"/>
              </w:rPr>
              <w:t>2992</w:t>
            </w:r>
          </w:p>
        </w:tc>
      </w:tr>
      <w:tr w14:paraId="294655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75623F4A">
            <w:pPr>
              <w:pStyle w:val="26"/>
              <w:rPr>
                <w:rFonts w:hint="default"/>
              </w:rPr>
            </w:pPr>
            <w:r>
              <w:rPr>
                <w:rFonts w:hint="default"/>
              </w:rPr>
              <w:t>有源手术器械</w:t>
            </w:r>
          </w:p>
        </w:tc>
        <w:tc>
          <w:tcPr>
            <w:tcW w:w="1061" w:type="pct"/>
            <w:tcBorders>
              <w:tl2br w:val="nil"/>
              <w:tr2bl w:val="nil"/>
            </w:tcBorders>
            <w:shd w:val="clear" w:color="auto" w:fill="FFFFFF"/>
          </w:tcPr>
          <w:p w14:paraId="5522E15C">
            <w:pPr>
              <w:pStyle w:val="26"/>
              <w:rPr>
                <w:rFonts w:hint="default"/>
              </w:rPr>
            </w:pPr>
            <w:r>
              <w:rPr>
                <w:rFonts w:hint="default"/>
              </w:rPr>
              <w:t>2949</w:t>
            </w:r>
          </w:p>
        </w:tc>
        <w:tc>
          <w:tcPr>
            <w:tcW w:w="910" w:type="pct"/>
            <w:tcBorders>
              <w:tl2br w:val="nil"/>
              <w:tr2bl w:val="nil"/>
            </w:tcBorders>
            <w:shd w:val="clear" w:color="auto" w:fill="FFFFFF"/>
          </w:tcPr>
          <w:p w14:paraId="362C5A6B">
            <w:pPr>
              <w:pStyle w:val="26"/>
              <w:rPr>
                <w:rFonts w:hint="default"/>
              </w:rPr>
            </w:pPr>
            <w:r>
              <w:rPr>
                <w:rFonts w:hint="default"/>
              </w:rPr>
              <w:t>0</w:t>
            </w:r>
          </w:p>
        </w:tc>
        <w:tc>
          <w:tcPr>
            <w:tcW w:w="910" w:type="pct"/>
            <w:tcBorders>
              <w:tl2br w:val="nil"/>
              <w:tr2bl w:val="nil"/>
            </w:tcBorders>
            <w:shd w:val="clear" w:color="auto" w:fill="FFFFFF"/>
          </w:tcPr>
          <w:p w14:paraId="5E958619">
            <w:pPr>
              <w:pStyle w:val="26"/>
              <w:rPr>
                <w:rFonts w:hint="default"/>
              </w:rPr>
            </w:pPr>
            <w:r>
              <w:rPr>
                <w:rFonts w:hint="default"/>
              </w:rPr>
              <w:t>2949</w:t>
            </w:r>
          </w:p>
        </w:tc>
      </w:tr>
      <w:tr w14:paraId="7B020F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trHeight w:val="471" w:hRule="atLeast"/>
        </w:trPr>
        <w:tc>
          <w:tcPr>
            <w:tcW w:w="2118" w:type="pct"/>
            <w:tcBorders>
              <w:tl2br w:val="nil"/>
              <w:tr2bl w:val="nil"/>
            </w:tcBorders>
            <w:shd w:val="clear" w:color="auto" w:fill="FFFFFF"/>
          </w:tcPr>
          <w:p w14:paraId="0A380519">
            <w:pPr>
              <w:pStyle w:val="26"/>
              <w:rPr>
                <w:rFonts w:hint="default"/>
              </w:rPr>
            </w:pPr>
            <w:r>
              <w:rPr>
                <w:rFonts w:hint="default"/>
              </w:rPr>
              <w:t>眼科器械</w:t>
            </w:r>
          </w:p>
        </w:tc>
        <w:tc>
          <w:tcPr>
            <w:tcW w:w="1061" w:type="pct"/>
            <w:tcBorders>
              <w:tl2br w:val="nil"/>
              <w:tr2bl w:val="nil"/>
            </w:tcBorders>
            <w:shd w:val="clear" w:color="auto" w:fill="FFFFFF"/>
          </w:tcPr>
          <w:p w14:paraId="22283B9E">
            <w:pPr>
              <w:pStyle w:val="26"/>
              <w:rPr>
                <w:rFonts w:hint="default"/>
              </w:rPr>
            </w:pPr>
            <w:r>
              <w:rPr>
                <w:rFonts w:hint="default"/>
              </w:rPr>
              <w:t>1591</w:t>
            </w:r>
          </w:p>
        </w:tc>
        <w:tc>
          <w:tcPr>
            <w:tcW w:w="910" w:type="pct"/>
            <w:tcBorders>
              <w:tl2br w:val="nil"/>
              <w:tr2bl w:val="nil"/>
            </w:tcBorders>
            <w:shd w:val="clear" w:color="auto" w:fill="FFFFFF"/>
          </w:tcPr>
          <w:p w14:paraId="7C83E454">
            <w:pPr>
              <w:pStyle w:val="26"/>
              <w:rPr>
                <w:rFonts w:hint="default"/>
              </w:rPr>
            </w:pPr>
            <w:r>
              <w:rPr>
                <w:rFonts w:hint="default"/>
              </w:rPr>
              <w:t>0</w:t>
            </w:r>
          </w:p>
        </w:tc>
        <w:tc>
          <w:tcPr>
            <w:tcW w:w="910" w:type="pct"/>
            <w:tcBorders>
              <w:tl2br w:val="nil"/>
              <w:tr2bl w:val="nil"/>
            </w:tcBorders>
            <w:shd w:val="clear" w:color="auto" w:fill="FFFFFF"/>
          </w:tcPr>
          <w:p w14:paraId="6ADB52BD">
            <w:pPr>
              <w:pStyle w:val="26"/>
              <w:rPr>
                <w:rFonts w:hint="default"/>
              </w:rPr>
            </w:pPr>
            <w:r>
              <w:rPr>
                <w:rFonts w:hint="default"/>
              </w:rPr>
              <w:t>1591</w:t>
            </w:r>
          </w:p>
        </w:tc>
      </w:tr>
      <w:tr w14:paraId="6BF12D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92BB247">
            <w:pPr>
              <w:pStyle w:val="26"/>
              <w:rPr>
                <w:rFonts w:hint="default"/>
              </w:rPr>
            </w:pPr>
            <w:r>
              <w:rPr>
                <w:rFonts w:hint="default"/>
              </w:rPr>
              <w:t>注输、护理和防护器械</w:t>
            </w:r>
          </w:p>
        </w:tc>
        <w:tc>
          <w:tcPr>
            <w:tcW w:w="1061" w:type="pct"/>
            <w:tcBorders>
              <w:tl2br w:val="nil"/>
              <w:tr2bl w:val="nil"/>
            </w:tcBorders>
            <w:shd w:val="clear" w:color="auto" w:fill="FFFFFF"/>
          </w:tcPr>
          <w:p w14:paraId="3C631A25">
            <w:pPr>
              <w:pStyle w:val="26"/>
              <w:rPr>
                <w:rFonts w:hint="default"/>
              </w:rPr>
            </w:pPr>
            <w:r>
              <w:rPr>
                <w:rFonts w:hint="default"/>
              </w:rPr>
              <w:t>1063</w:t>
            </w:r>
          </w:p>
        </w:tc>
        <w:tc>
          <w:tcPr>
            <w:tcW w:w="910" w:type="pct"/>
            <w:tcBorders>
              <w:tl2br w:val="nil"/>
              <w:tr2bl w:val="nil"/>
            </w:tcBorders>
            <w:shd w:val="clear" w:color="auto" w:fill="FFFFFF"/>
          </w:tcPr>
          <w:p w14:paraId="40EEDACD">
            <w:pPr>
              <w:pStyle w:val="26"/>
              <w:rPr>
                <w:rFonts w:hint="default"/>
              </w:rPr>
            </w:pPr>
            <w:r>
              <w:rPr>
                <w:rFonts w:hint="default"/>
              </w:rPr>
              <w:t>0</w:t>
            </w:r>
          </w:p>
        </w:tc>
        <w:tc>
          <w:tcPr>
            <w:tcW w:w="910" w:type="pct"/>
            <w:tcBorders>
              <w:tl2br w:val="nil"/>
              <w:tr2bl w:val="nil"/>
            </w:tcBorders>
            <w:shd w:val="clear" w:color="auto" w:fill="FFFFFF"/>
          </w:tcPr>
          <w:p w14:paraId="264CD0C0">
            <w:pPr>
              <w:pStyle w:val="26"/>
              <w:rPr>
                <w:rFonts w:hint="default"/>
              </w:rPr>
            </w:pPr>
            <w:r>
              <w:rPr>
                <w:rFonts w:hint="default"/>
              </w:rPr>
              <w:t>1063</w:t>
            </w:r>
          </w:p>
        </w:tc>
      </w:tr>
      <w:tr w14:paraId="59241D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E62698A">
            <w:pPr>
              <w:pStyle w:val="26"/>
              <w:rPr>
                <w:rFonts w:hint="default"/>
              </w:rPr>
            </w:pPr>
            <w:r>
              <w:rPr>
                <w:rFonts w:hint="default"/>
              </w:rPr>
              <w:t>临床检验器械</w:t>
            </w:r>
          </w:p>
        </w:tc>
        <w:tc>
          <w:tcPr>
            <w:tcW w:w="1061" w:type="pct"/>
            <w:tcBorders>
              <w:tl2br w:val="nil"/>
              <w:tr2bl w:val="nil"/>
            </w:tcBorders>
            <w:shd w:val="clear" w:color="auto" w:fill="FFFFFF"/>
          </w:tcPr>
          <w:p w14:paraId="407792E6">
            <w:pPr>
              <w:pStyle w:val="26"/>
              <w:rPr>
                <w:rFonts w:hint="default"/>
              </w:rPr>
            </w:pPr>
            <w:r>
              <w:rPr>
                <w:rFonts w:hint="default"/>
              </w:rPr>
              <w:t>1002</w:t>
            </w:r>
          </w:p>
        </w:tc>
        <w:tc>
          <w:tcPr>
            <w:tcW w:w="910" w:type="pct"/>
            <w:tcBorders>
              <w:tl2br w:val="nil"/>
              <w:tr2bl w:val="nil"/>
            </w:tcBorders>
            <w:shd w:val="clear" w:color="auto" w:fill="FFFFFF"/>
          </w:tcPr>
          <w:p w14:paraId="464B4B22">
            <w:pPr>
              <w:pStyle w:val="26"/>
              <w:rPr>
                <w:rFonts w:hint="default"/>
              </w:rPr>
            </w:pPr>
            <w:r>
              <w:rPr>
                <w:rFonts w:hint="default"/>
              </w:rPr>
              <w:t>0</w:t>
            </w:r>
          </w:p>
        </w:tc>
        <w:tc>
          <w:tcPr>
            <w:tcW w:w="910" w:type="pct"/>
            <w:tcBorders>
              <w:tl2br w:val="nil"/>
              <w:tr2bl w:val="nil"/>
            </w:tcBorders>
            <w:shd w:val="clear" w:color="auto" w:fill="FFFFFF"/>
          </w:tcPr>
          <w:p w14:paraId="518E3F6D">
            <w:pPr>
              <w:pStyle w:val="26"/>
              <w:rPr>
                <w:rFonts w:hint="default"/>
              </w:rPr>
            </w:pPr>
            <w:r>
              <w:rPr>
                <w:rFonts w:hint="default"/>
              </w:rPr>
              <w:t>1002</w:t>
            </w:r>
          </w:p>
        </w:tc>
      </w:tr>
      <w:tr w14:paraId="1E8943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599BF092">
            <w:pPr>
              <w:pStyle w:val="26"/>
              <w:rPr>
                <w:rFonts w:hint="default"/>
              </w:rPr>
            </w:pPr>
            <w:r>
              <w:rPr>
                <w:rFonts w:hint="default"/>
              </w:rPr>
              <w:t>医用软件</w:t>
            </w:r>
          </w:p>
        </w:tc>
        <w:tc>
          <w:tcPr>
            <w:tcW w:w="1061" w:type="pct"/>
            <w:tcBorders>
              <w:tl2br w:val="nil"/>
              <w:tr2bl w:val="nil"/>
            </w:tcBorders>
            <w:shd w:val="clear" w:color="auto" w:fill="FFFFFF"/>
          </w:tcPr>
          <w:p w14:paraId="4E690015">
            <w:pPr>
              <w:pStyle w:val="26"/>
              <w:rPr>
                <w:rFonts w:hint="default"/>
              </w:rPr>
            </w:pPr>
            <w:r>
              <w:rPr>
                <w:rFonts w:hint="default"/>
              </w:rPr>
              <w:t>911</w:t>
            </w:r>
          </w:p>
        </w:tc>
        <w:tc>
          <w:tcPr>
            <w:tcW w:w="910" w:type="pct"/>
            <w:tcBorders>
              <w:tl2br w:val="nil"/>
              <w:tr2bl w:val="nil"/>
            </w:tcBorders>
            <w:shd w:val="clear" w:color="auto" w:fill="FFFFFF"/>
          </w:tcPr>
          <w:p w14:paraId="2D3506D0">
            <w:pPr>
              <w:pStyle w:val="26"/>
              <w:rPr>
                <w:rFonts w:hint="default"/>
              </w:rPr>
            </w:pPr>
            <w:r>
              <w:rPr>
                <w:rFonts w:hint="default"/>
              </w:rPr>
              <w:t>0</w:t>
            </w:r>
          </w:p>
        </w:tc>
        <w:tc>
          <w:tcPr>
            <w:tcW w:w="910" w:type="pct"/>
            <w:tcBorders>
              <w:tl2br w:val="nil"/>
              <w:tr2bl w:val="nil"/>
            </w:tcBorders>
            <w:shd w:val="clear" w:color="auto" w:fill="FFFFFF"/>
          </w:tcPr>
          <w:p w14:paraId="66532397">
            <w:pPr>
              <w:pStyle w:val="26"/>
              <w:rPr>
                <w:rFonts w:hint="default"/>
              </w:rPr>
            </w:pPr>
            <w:r>
              <w:rPr>
                <w:rFonts w:hint="default"/>
              </w:rPr>
              <w:t>911</w:t>
            </w:r>
          </w:p>
        </w:tc>
      </w:tr>
      <w:tr w14:paraId="1A1F5C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2EAACD1">
            <w:pPr>
              <w:pStyle w:val="26"/>
              <w:rPr>
                <w:rFonts w:hint="default"/>
              </w:rPr>
            </w:pPr>
            <w:r>
              <w:rPr>
                <w:rFonts w:hint="default"/>
              </w:rPr>
              <w:t>无源植入器械</w:t>
            </w:r>
          </w:p>
        </w:tc>
        <w:tc>
          <w:tcPr>
            <w:tcW w:w="1061" w:type="pct"/>
            <w:tcBorders>
              <w:tl2br w:val="nil"/>
              <w:tr2bl w:val="nil"/>
            </w:tcBorders>
            <w:shd w:val="clear" w:color="auto" w:fill="FFFFFF"/>
          </w:tcPr>
          <w:p w14:paraId="4FF499D4">
            <w:pPr>
              <w:pStyle w:val="26"/>
              <w:rPr>
                <w:rFonts w:hint="default"/>
              </w:rPr>
            </w:pPr>
            <w:r>
              <w:rPr>
                <w:rFonts w:hint="default"/>
              </w:rPr>
              <w:t>663</w:t>
            </w:r>
          </w:p>
        </w:tc>
        <w:tc>
          <w:tcPr>
            <w:tcW w:w="910" w:type="pct"/>
            <w:tcBorders>
              <w:tl2br w:val="nil"/>
              <w:tr2bl w:val="nil"/>
            </w:tcBorders>
            <w:shd w:val="clear" w:color="auto" w:fill="FFFFFF"/>
          </w:tcPr>
          <w:p w14:paraId="75BE33ED">
            <w:pPr>
              <w:pStyle w:val="26"/>
              <w:rPr>
                <w:rFonts w:hint="default"/>
              </w:rPr>
            </w:pPr>
            <w:r>
              <w:rPr>
                <w:rFonts w:hint="default"/>
              </w:rPr>
              <w:t>0</w:t>
            </w:r>
          </w:p>
        </w:tc>
        <w:tc>
          <w:tcPr>
            <w:tcW w:w="910" w:type="pct"/>
            <w:tcBorders>
              <w:tl2br w:val="nil"/>
              <w:tr2bl w:val="nil"/>
            </w:tcBorders>
            <w:shd w:val="clear" w:color="auto" w:fill="FFFFFF"/>
          </w:tcPr>
          <w:p w14:paraId="1CDB0A1B">
            <w:pPr>
              <w:pStyle w:val="26"/>
              <w:rPr>
                <w:rFonts w:hint="default"/>
              </w:rPr>
            </w:pPr>
            <w:r>
              <w:rPr>
                <w:rFonts w:hint="default"/>
              </w:rPr>
              <w:t>663</w:t>
            </w:r>
          </w:p>
        </w:tc>
      </w:tr>
      <w:tr w14:paraId="4880F3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403786F4">
            <w:pPr>
              <w:pStyle w:val="26"/>
              <w:rPr>
                <w:rFonts w:hint="default"/>
              </w:rPr>
            </w:pPr>
            <w:r>
              <w:rPr>
                <w:rFonts w:hint="default"/>
              </w:rPr>
              <w:t>神经和心血管手术器械</w:t>
            </w:r>
          </w:p>
        </w:tc>
        <w:tc>
          <w:tcPr>
            <w:tcW w:w="1061" w:type="pct"/>
            <w:tcBorders>
              <w:tl2br w:val="nil"/>
              <w:tr2bl w:val="nil"/>
            </w:tcBorders>
            <w:shd w:val="clear" w:color="auto" w:fill="FFFFFF"/>
          </w:tcPr>
          <w:p w14:paraId="2D4102C0">
            <w:pPr>
              <w:pStyle w:val="26"/>
              <w:rPr>
                <w:rFonts w:hint="default"/>
              </w:rPr>
            </w:pPr>
            <w:r>
              <w:rPr>
                <w:rFonts w:hint="default"/>
              </w:rPr>
              <w:t>616</w:t>
            </w:r>
          </w:p>
        </w:tc>
        <w:tc>
          <w:tcPr>
            <w:tcW w:w="910" w:type="pct"/>
            <w:tcBorders>
              <w:tl2br w:val="nil"/>
              <w:tr2bl w:val="nil"/>
            </w:tcBorders>
            <w:shd w:val="clear" w:color="auto" w:fill="FFFFFF"/>
          </w:tcPr>
          <w:p w14:paraId="32135DDC">
            <w:pPr>
              <w:pStyle w:val="26"/>
              <w:rPr>
                <w:rFonts w:hint="default"/>
              </w:rPr>
            </w:pPr>
            <w:r>
              <w:rPr>
                <w:rFonts w:hint="default"/>
              </w:rPr>
              <w:t>0</w:t>
            </w:r>
          </w:p>
        </w:tc>
        <w:tc>
          <w:tcPr>
            <w:tcW w:w="910" w:type="pct"/>
            <w:tcBorders>
              <w:tl2br w:val="nil"/>
              <w:tr2bl w:val="nil"/>
            </w:tcBorders>
            <w:shd w:val="clear" w:color="auto" w:fill="FFFFFF"/>
          </w:tcPr>
          <w:p w14:paraId="2C04A028">
            <w:pPr>
              <w:pStyle w:val="26"/>
              <w:rPr>
                <w:rFonts w:hint="default"/>
              </w:rPr>
            </w:pPr>
            <w:r>
              <w:rPr>
                <w:rFonts w:hint="default"/>
              </w:rPr>
              <w:t>616</w:t>
            </w:r>
          </w:p>
        </w:tc>
      </w:tr>
      <w:tr w14:paraId="1F2C80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5FECF1C">
            <w:pPr>
              <w:pStyle w:val="26"/>
              <w:rPr>
                <w:rFonts w:hint="default"/>
              </w:rPr>
            </w:pPr>
            <w:r>
              <w:rPr>
                <w:rFonts w:hint="default"/>
              </w:rPr>
              <w:t>妇产科、辅助生殖和避孕器械</w:t>
            </w:r>
          </w:p>
        </w:tc>
        <w:tc>
          <w:tcPr>
            <w:tcW w:w="1061" w:type="pct"/>
            <w:tcBorders>
              <w:tl2br w:val="nil"/>
              <w:tr2bl w:val="nil"/>
            </w:tcBorders>
            <w:shd w:val="clear" w:color="auto" w:fill="FFFFFF"/>
          </w:tcPr>
          <w:p w14:paraId="6B5C2801">
            <w:pPr>
              <w:pStyle w:val="26"/>
              <w:rPr>
                <w:rFonts w:hint="default"/>
              </w:rPr>
            </w:pPr>
            <w:r>
              <w:rPr>
                <w:rFonts w:hint="default"/>
              </w:rPr>
              <w:t>584</w:t>
            </w:r>
          </w:p>
        </w:tc>
        <w:tc>
          <w:tcPr>
            <w:tcW w:w="910" w:type="pct"/>
            <w:tcBorders>
              <w:tl2br w:val="nil"/>
              <w:tr2bl w:val="nil"/>
            </w:tcBorders>
            <w:shd w:val="clear" w:color="auto" w:fill="FFFFFF"/>
          </w:tcPr>
          <w:p w14:paraId="4977AF77">
            <w:pPr>
              <w:pStyle w:val="26"/>
              <w:rPr>
                <w:rFonts w:hint="default"/>
              </w:rPr>
            </w:pPr>
            <w:r>
              <w:rPr>
                <w:rFonts w:hint="default"/>
              </w:rPr>
              <w:t>0</w:t>
            </w:r>
          </w:p>
        </w:tc>
        <w:tc>
          <w:tcPr>
            <w:tcW w:w="910" w:type="pct"/>
            <w:tcBorders>
              <w:tl2br w:val="nil"/>
              <w:tr2bl w:val="nil"/>
            </w:tcBorders>
            <w:shd w:val="clear" w:color="auto" w:fill="FFFFFF"/>
          </w:tcPr>
          <w:p w14:paraId="0F9340E0">
            <w:pPr>
              <w:pStyle w:val="26"/>
              <w:rPr>
                <w:rFonts w:hint="default"/>
              </w:rPr>
            </w:pPr>
            <w:r>
              <w:rPr>
                <w:rFonts w:hint="default"/>
              </w:rPr>
              <w:t>584</w:t>
            </w:r>
          </w:p>
        </w:tc>
      </w:tr>
      <w:tr w14:paraId="50F119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094218C2">
            <w:pPr>
              <w:pStyle w:val="26"/>
              <w:rPr>
                <w:rFonts w:hint="default"/>
              </w:rPr>
            </w:pPr>
            <w:r>
              <w:rPr>
                <w:rFonts w:hint="default"/>
              </w:rPr>
              <w:t>口腔科器械</w:t>
            </w:r>
          </w:p>
        </w:tc>
        <w:tc>
          <w:tcPr>
            <w:tcW w:w="1061" w:type="pct"/>
            <w:tcBorders>
              <w:tl2br w:val="nil"/>
              <w:tr2bl w:val="nil"/>
            </w:tcBorders>
            <w:shd w:val="clear" w:color="auto" w:fill="FFFFFF"/>
          </w:tcPr>
          <w:p w14:paraId="47BC92B5">
            <w:pPr>
              <w:pStyle w:val="26"/>
              <w:rPr>
                <w:rFonts w:hint="default"/>
              </w:rPr>
            </w:pPr>
            <w:r>
              <w:rPr>
                <w:rFonts w:hint="default"/>
              </w:rPr>
              <w:t>308</w:t>
            </w:r>
          </w:p>
        </w:tc>
        <w:tc>
          <w:tcPr>
            <w:tcW w:w="910" w:type="pct"/>
            <w:tcBorders>
              <w:tl2br w:val="nil"/>
              <w:tr2bl w:val="nil"/>
            </w:tcBorders>
            <w:shd w:val="clear" w:color="auto" w:fill="FFFFFF"/>
          </w:tcPr>
          <w:p w14:paraId="2855077E">
            <w:pPr>
              <w:pStyle w:val="26"/>
              <w:rPr>
                <w:rFonts w:hint="default"/>
              </w:rPr>
            </w:pPr>
            <w:r>
              <w:rPr>
                <w:rFonts w:hint="default"/>
              </w:rPr>
              <w:t>0</w:t>
            </w:r>
          </w:p>
        </w:tc>
        <w:tc>
          <w:tcPr>
            <w:tcW w:w="910" w:type="pct"/>
            <w:tcBorders>
              <w:tl2br w:val="nil"/>
              <w:tr2bl w:val="nil"/>
            </w:tcBorders>
            <w:shd w:val="clear" w:color="auto" w:fill="FFFFFF"/>
          </w:tcPr>
          <w:p w14:paraId="610D292A">
            <w:pPr>
              <w:pStyle w:val="26"/>
              <w:rPr>
                <w:rFonts w:hint="default"/>
              </w:rPr>
            </w:pPr>
            <w:r>
              <w:rPr>
                <w:rFonts w:hint="default"/>
              </w:rPr>
              <w:t>308</w:t>
            </w:r>
          </w:p>
        </w:tc>
      </w:tr>
      <w:tr w14:paraId="483480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4C6D581D">
            <w:pPr>
              <w:pStyle w:val="26"/>
              <w:rPr>
                <w:rFonts w:hint="default"/>
              </w:rPr>
            </w:pPr>
            <w:r>
              <w:rPr>
                <w:rFonts w:hint="default"/>
              </w:rPr>
              <w:t>物理治疗器械</w:t>
            </w:r>
          </w:p>
        </w:tc>
        <w:tc>
          <w:tcPr>
            <w:tcW w:w="1061" w:type="pct"/>
            <w:tcBorders>
              <w:tl2br w:val="nil"/>
              <w:tr2bl w:val="nil"/>
            </w:tcBorders>
            <w:shd w:val="clear" w:color="auto" w:fill="FFFFFF"/>
          </w:tcPr>
          <w:p w14:paraId="19DA24FB">
            <w:pPr>
              <w:pStyle w:val="26"/>
              <w:rPr>
                <w:rFonts w:hint="default"/>
              </w:rPr>
            </w:pPr>
            <w:r>
              <w:rPr>
                <w:rFonts w:hint="default"/>
              </w:rPr>
              <w:t>282</w:t>
            </w:r>
          </w:p>
        </w:tc>
        <w:tc>
          <w:tcPr>
            <w:tcW w:w="910" w:type="pct"/>
            <w:tcBorders>
              <w:tl2br w:val="nil"/>
              <w:tr2bl w:val="nil"/>
            </w:tcBorders>
            <w:shd w:val="clear" w:color="auto" w:fill="FFFFFF"/>
          </w:tcPr>
          <w:p w14:paraId="60C97FDB">
            <w:pPr>
              <w:pStyle w:val="26"/>
              <w:rPr>
                <w:rFonts w:hint="default"/>
              </w:rPr>
            </w:pPr>
            <w:r>
              <w:rPr>
                <w:rFonts w:hint="default"/>
              </w:rPr>
              <w:t>0</w:t>
            </w:r>
          </w:p>
        </w:tc>
        <w:tc>
          <w:tcPr>
            <w:tcW w:w="910" w:type="pct"/>
            <w:tcBorders>
              <w:tl2br w:val="nil"/>
              <w:tr2bl w:val="nil"/>
            </w:tcBorders>
            <w:shd w:val="clear" w:color="auto" w:fill="FFFFFF"/>
          </w:tcPr>
          <w:p w14:paraId="2D3AEA1F">
            <w:pPr>
              <w:pStyle w:val="26"/>
              <w:rPr>
                <w:rFonts w:hint="default"/>
              </w:rPr>
            </w:pPr>
            <w:r>
              <w:rPr>
                <w:rFonts w:hint="default"/>
              </w:rPr>
              <w:t>282</w:t>
            </w:r>
          </w:p>
        </w:tc>
      </w:tr>
      <w:tr w14:paraId="453FC9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2140F482">
            <w:pPr>
              <w:pStyle w:val="26"/>
              <w:rPr>
                <w:rFonts w:hint="default"/>
              </w:rPr>
            </w:pPr>
            <w:r>
              <w:rPr>
                <w:rFonts w:hint="default"/>
              </w:rPr>
              <w:t>中医器械</w:t>
            </w:r>
          </w:p>
        </w:tc>
        <w:tc>
          <w:tcPr>
            <w:tcW w:w="1061" w:type="pct"/>
            <w:tcBorders>
              <w:tl2br w:val="nil"/>
              <w:tr2bl w:val="nil"/>
            </w:tcBorders>
            <w:shd w:val="clear" w:color="auto" w:fill="FFFFFF"/>
          </w:tcPr>
          <w:p w14:paraId="53F0DE9D">
            <w:pPr>
              <w:pStyle w:val="26"/>
              <w:rPr>
                <w:rFonts w:hint="default"/>
              </w:rPr>
            </w:pPr>
            <w:r>
              <w:rPr>
                <w:rFonts w:hint="default"/>
              </w:rPr>
              <w:t>263</w:t>
            </w:r>
          </w:p>
        </w:tc>
        <w:tc>
          <w:tcPr>
            <w:tcW w:w="910" w:type="pct"/>
            <w:tcBorders>
              <w:tl2br w:val="nil"/>
              <w:tr2bl w:val="nil"/>
            </w:tcBorders>
            <w:shd w:val="clear" w:color="auto" w:fill="FFFFFF"/>
          </w:tcPr>
          <w:p w14:paraId="5A992080">
            <w:pPr>
              <w:pStyle w:val="26"/>
              <w:rPr>
                <w:rFonts w:hint="default"/>
              </w:rPr>
            </w:pPr>
            <w:r>
              <w:rPr>
                <w:rFonts w:hint="default"/>
              </w:rPr>
              <w:t>0</w:t>
            </w:r>
          </w:p>
        </w:tc>
        <w:tc>
          <w:tcPr>
            <w:tcW w:w="910" w:type="pct"/>
            <w:tcBorders>
              <w:tl2br w:val="nil"/>
              <w:tr2bl w:val="nil"/>
            </w:tcBorders>
            <w:shd w:val="clear" w:color="auto" w:fill="FFFFFF"/>
          </w:tcPr>
          <w:p w14:paraId="3F80A4D1">
            <w:pPr>
              <w:pStyle w:val="26"/>
              <w:rPr>
                <w:rFonts w:hint="default"/>
              </w:rPr>
            </w:pPr>
            <w:r>
              <w:rPr>
                <w:rFonts w:hint="default"/>
              </w:rPr>
              <w:t>263</w:t>
            </w:r>
          </w:p>
        </w:tc>
      </w:tr>
      <w:tr w14:paraId="188DE1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3B1C8352">
            <w:pPr>
              <w:pStyle w:val="26"/>
              <w:rPr>
                <w:rFonts w:hint="default"/>
              </w:rPr>
            </w:pPr>
            <w:r>
              <w:rPr>
                <w:rFonts w:hint="default"/>
              </w:rPr>
              <w:t>呼吸、麻醉和急救器械</w:t>
            </w:r>
          </w:p>
        </w:tc>
        <w:tc>
          <w:tcPr>
            <w:tcW w:w="1061" w:type="pct"/>
            <w:tcBorders>
              <w:tl2br w:val="nil"/>
              <w:tr2bl w:val="nil"/>
            </w:tcBorders>
            <w:shd w:val="clear" w:color="auto" w:fill="FFFFFF"/>
          </w:tcPr>
          <w:p w14:paraId="4FE6C3C5">
            <w:pPr>
              <w:pStyle w:val="26"/>
              <w:rPr>
                <w:rFonts w:hint="default"/>
              </w:rPr>
            </w:pPr>
            <w:r>
              <w:rPr>
                <w:rFonts w:hint="default"/>
              </w:rPr>
              <w:t>220</w:t>
            </w:r>
          </w:p>
        </w:tc>
        <w:tc>
          <w:tcPr>
            <w:tcW w:w="910" w:type="pct"/>
            <w:tcBorders>
              <w:tl2br w:val="nil"/>
              <w:tr2bl w:val="nil"/>
            </w:tcBorders>
            <w:shd w:val="clear" w:color="auto" w:fill="FFFFFF"/>
          </w:tcPr>
          <w:p w14:paraId="62F13461">
            <w:pPr>
              <w:pStyle w:val="26"/>
              <w:rPr>
                <w:rFonts w:hint="default"/>
              </w:rPr>
            </w:pPr>
            <w:r>
              <w:rPr>
                <w:rFonts w:hint="default"/>
              </w:rPr>
              <w:t>0</w:t>
            </w:r>
          </w:p>
        </w:tc>
        <w:tc>
          <w:tcPr>
            <w:tcW w:w="910" w:type="pct"/>
            <w:tcBorders>
              <w:tl2br w:val="nil"/>
              <w:tr2bl w:val="nil"/>
            </w:tcBorders>
            <w:shd w:val="clear" w:color="auto" w:fill="FFFFFF"/>
          </w:tcPr>
          <w:p w14:paraId="5A7368F2">
            <w:pPr>
              <w:pStyle w:val="26"/>
              <w:rPr>
                <w:rFonts w:hint="default"/>
              </w:rPr>
            </w:pPr>
            <w:r>
              <w:rPr>
                <w:rFonts w:hint="default"/>
              </w:rPr>
              <w:t>220</w:t>
            </w:r>
          </w:p>
        </w:tc>
      </w:tr>
      <w:tr w14:paraId="58DC96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6101629">
            <w:pPr>
              <w:pStyle w:val="26"/>
              <w:rPr>
                <w:rFonts w:hint="default"/>
              </w:rPr>
            </w:pPr>
            <w:r>
              <w:rPr>
                <w:rFonts w:hint="default"/>
              </w:rPr>
              <w:t>医用康复器械</w:t>
            </w:r>
          </w:p>
        </w:tc>
        <w:tc>
          <w:tcPr>
            <w:tcW w:w="1061" w:type="pct"/>
            <w:tcBorders>
              <w:tl2br w:val="nil"/>
              <w:tr2bl w:val="nil"/>
            </w:tcBorders>
            <w:shd w:val="clear" w:color="auto" w:fill="FFFFFF"/>
          </w:tcPr>
          <w:p w14:paraId="022EDAA5">
            <w:pPr>
              <w:pStyle w:val="26"/>
              <w:rPr>
                <w:rFonts w:hint="default"/>
              </w:rPr>
            </w:pPr>
            <w:r>
              <w:rPr>
                <w:rFonts w:hint="default"/>
              </w:rPr>
              <w:t>220</w:t>
            </w:r>
          </w:p>
        </w:tc>
        <w:tc>
          <w:tcPr>
            <w:tcW w:w="910" w:type="pct"/>
            <w:tcBorders>
              <w:tl2br w:val="nil"/>
              <w:tr2bl w:val="nil"/>
            </w:tcBorders>
            <w:shd w:val="clear" w:color="auto" w:fill="FFFFFF"/>
          </w:tcPr>
          <w:p w14:paraId="5A86A4D0">
            <w:pPr>
              <w:pStyle w:val="26"/>
              <w:rPr>
                <w:rFonts w:hint="default"/>
              </w:rPr>
            </w:pPr>
            <w:r>
              <w:rPr>
                <w:rFonts w:hint="default"/>
              </w:rPr>
              <w:t>0</w:t>
            </w:r>
          </w:p>
        </w:tc>
        <w:tc>
          <w:tcPr>
            <w:tcW w:w="910" w:type="pct"/>
            <w:tcBorders>
              <w:tl2br w:val="nil"/>
              <w:tr2bl w:val="nil"/>
            </w:tcBorders>
            <w:shd w:val="clear" w:color="auto" w:fill="FFFFFF"/>
          </w:tcPr>
          <w:p w14:paraId="7A6D943B">
            <w:pPr>
              <w:pStyle w:val="26"/>
              <w:rPr>
                <w:rFonts w:hint="default"/>
              </w:rPr>
            </w:pPr>
            <w:r>
              <w:rPr>
                <w:rFonts w:hint="default"/>
              </w:rPr>
              <w:t>220</w:t>
            </w:r>
          </w:p>
        </w:tc>
      </w:tr>
      <w:tr w14:paraId="19BB04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2173F797">
            <w:pPr>
              <w:pStyle w:val="26"/>
              <w:rPr>
                <w:rFonts w:hint="default"/>
              </w:rPr>
            </w:pPr>
            <w:r>
              <w:rPr>
                <w:rFonts w:hint="default"/>
              </w:rPr>
              <w:t>放射治疗器械</w:t>
            </w:r>
          </w:p>
        </w:tc>
        <w:tc>
          <w:tcPr>
            <w:tcW w:w="1061" w:type="pct"/>
            <w:tcBorders>
              <w:tl2br w:val="nil"/>
              <w:tr2bl w:val="nil"/>
            </w:tcBorders>
            <w:shd w:val="clear" w:color="auto" w:fill="FFFFFF"/>
          </w:tcPr>
          <w:p w14:paraId="78EE110D">
            <w:pPr>
              <w:pStyle w:val="26"/>
              <w:rPr>
                <w:rFonts w:hint="default"/>
              </w:rPr>
            </w:pPr>
            <w:r>
              <w:rPr>
                <w:rFonts w:hint="default"/>
              </w:rPr>
              <w:t>203</w:t>
            </w:r>
          </w:p>
        </w:tc>
        <w:tc>
          <w:tcPr>
            <w:tcW w:w="910" w:type="pct"/>
            <w:tcBorders>
              <w:tl2br w:val="nil"/>
              <w:tr2bl w:val="nil"/>
            </w:tcBorders>
            <w:shd w:val="clear" w:color="auto" w:fill="FFFFFF"/>
          </w:tcPr>
          <w:p w14:paraId="60111E93">
            <w:pPr>
              <w:pStyle w:val="26"/>
              <w:rPr>
                <w:rFonts w:hint="default"/>
              </w:rPr>
            </w:pPr>
            <w:r>
              <w:rPr>
                <w:rFonts w:hint="default"/>
              </w:rPr>
              <w:t>0</w:t>
            </w:r>
          </w:p>
        </w:tc>
        <w:tc>
          <w:tcPr>
            <w:tcW w:w="910" w:type="pct"/>
            <w:tcBorders>
              <w:tl2br w:val="nil"/>
              <w:tr2bl w:val="nil"/>
            </w:tcBorders>
            <w:shd w:val="clear" w:color="auto" w:fill="FFFFFF"/>
          </w:tcPr>
          <w:p w14:paraId="0BCEDB2D">
            <w:pPr>
              <w:pStyle w:val="26"/>
              <w:rPr>
                <w:rFonts w:hint="default"/>
              </w:rPr>
            </w:pPr>
            <w:r>
              <w:rPr>
                <w:rFonts w:hint="default"/>
              </w:rPr>
              <w:t>203</w:t>
            </w:r>
          </w:p>
        </w:tc>
      </w:tr>
      <w:tr w14:paraId="23AC86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36B3C979">
            <w:pPr>
              <w:pStyle w:val="26"/>
              <w:rPr>
                <w:rFonts w:hint="default"/>
              </w:rPr>
            </w:pPr>
            <w:r>
              <w:rPr>
                <w:rFonts w:hint="default"/>
              </w:rPr>
              <w:t>有源植入器械</w:t>
            </w:r>
          </w:p>
        </w:tc>
        <w:tc>
          <w:tcPr>
            <w:tcW w:w="1061" w:type="pct"/>
            <w:tcBorders>
              <w:tl2br w:val="nil"/>
              <w:tr2bl w:val="nil"/>
            </w:tcBorders>
            <w:shd w:val="clear" w:color="auto" w:fill="FFFFFF"/>
          </w:tcPr>
          <w:p w14:paraId="2A44E5C0">
            <w:pPr>
              <w:pStyle w:val="26"/>
              <w:rPr>
                <w:rFonts w:hint="default"/>
              </w:rPr>
            </w:pPr>
            <w:r>
              <w:rPr>
                <w:rFonts w:hint="default"/>
              </w:rPr>
              <w:t>193</w:t>
            </w:r>
          </w:p>
        </w:tc>
        <w:tc>
          <w:tcPr>
            <w:tcW w:w="910" w:type="pct"/>
            <w:tcBorders>
              <w:tl2br w:val="nil"/>
              <w:tr2bl w:val="nil"/>
            </w:tcBorders>
            <w:shd w:val="clear" w:color="auto" w:fill="FFFFFF"/>
          </w:tcPr>
          <w:p w14:paraId="302EB278">
            <w:pPr>
              <w:pStyle w:val="26"/>
              <w:rPr>
                <w:rFonts w:hint="default"/>
              </w:rPr>
            </w:pPr>
            <w:r>
              <w:rPr>
                <w:rFonts w:hint="default"/>
              </w:rPr>
              <w:t>0</w:t>
            </w:r>
          </w:p>
        </w:tc>
        <w:tc>
          <w:tcPr>
            <w:tcW w:w="910" w:type="pct"/>
            <w:tcBorders>
              <w:tl2br w:val="nil"/>
              <w:tr2bl w:val="nil"/>
            </w:tcBorders>
            <w:shd w:val="clear" w:color="auto" w:fill="FFFFFF"/>
          </w:tcPr>
          <w:p w14:paraId="0A817685">
            <w:pPr>
              <w:pStyle w:val="26"/>
              <w:rPr>
                <w:rFonts w:hint="default"/>
              </w:rPr>
            </w:pPr>
            <w:r>
              <w:rPr>
                <w:rFonts w:hint="default"/>
              </w:rPr>
              <w:t>193</w:t>
            </w:r>
          </w:p>
        </w:tc>
      </w:tr>
      <w:tr w14:paraId="5C0857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2CAC550A">
            <w:pPr>
              <w:pStyle w:val="26"/>
              <w:rPr>
                <w:rFonts w:hint="default"/>
              </w:rPr>
            </w:pPr>
            <w:r>
              <w:rPr>
                <w:rFonts w:hint="default"/>
              </w:rPr>
              <w:t>患者承载器械</w:t>
            </w:r>
          </w:p>
        </w:tc>
        <w:tc>
          <w:tcPr>
            <w:tcW w:w="1061" w:type="pct"/>
            <w:tcBorders>
              <w:tl2br w:val="nil"/>
              <w:tr2bl w:val="nil"/>
            </w:tcBorders>
            <w:shd w:val="clear" w:color="auto" w:fill="FFFFFF"/>
          </w:tcPr>
          <w:p w14:paraId="6A4728A3">
            <w:pPr>
              <w:pStyle w:val="26"/>
              <w:rPr>
                <w:rFonts w:hint="default"/>
              </w:rPr>
            </w:pPr>
            <w:r>
              <w:rPr>
                <w:rFonts w:hint="default"/>
              </w:rPr>
              <w:t>107</w:t>
            </w:r>
          </w:p>
        </w:tc>
        <w:tc>
          <w:tcPr>
            <w:tcW w:w="910" w:type="pct"/>
            <w:tcBorders>
              <w:tl2br w:val="nil"/>
              <w:tr2bl w:val="nil"/>
            </w:tcBorders>
            <w:shd w:val="clear" w:color="auto" w:fill="FFFFFF"/>
          </w:tcPr>
          <w:p w14:paraId="46EEE469">
            <w:pPr>
              <w:pStyle w:val="26"/>
              <w:rPr>
                <w:rFonts w:hint="default"/>
              </w:rPr>
            </w:pPr>
            <w:r>
              <w:rPr>
                <w:rFonts w:hint="default"/>
              </w:rPr>
              <w:t>0</w:t>
            </w:r>
          </w:p>
        </w:tc>
        <w:tc>
          <w:tcPr>
            <w:tcW w:w="910" w:type="pct"/>
            <w:tcBorders>
              <w:tl2br w:val="nil"/>
              <w:tr2bl w:val="nil"/>
            </w:tcBorders>
            <w:shd w:val="clear" w:color="auto" w:fill="FFFFFF"/>
          </w:tcPr>
          <w:p w14:paraId="55BD58E6">
            <w:pPr>
              <w:pStyle w:val="26"/>
              <w:rPr>
                <w:rFonts w:hint="default"/>
              </w:rPr>
            </w:pPr>
            <w:r>
              <w:rPr>
                <w:rFonts w:hint="default"/>
              </w:rPr>
              <w:t>107</w:t>
            </w:r>
          </w:p>
        </w:tc>
      </w:tr>
      <w:tr w14:paraId="32DFFE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471980A9">
            <w:pPr>
              <w:pStyle w:val="26"/>
              <w:rPr>
                <w:rFonts w:hint="default"/>
              </w:rPr>
            </w:pPr>
            <w:r>
              <w:rPr>
                <w:rFonts w:hint="default"/>
              </w:rPr>
              <w:t>医疗器械消毒灭菌器械</w:t>
            </w:r>
          </w:p>
        </w:tc>
        <w:tc>
          <w:tcPr>
            <w:tcW w:w="1061" w:type="pct"/>
            <w:tcBorders>
              <w:tl2br w:val="nil"/>
              <w:tr2bl w:val="nil"/>
            </w:tcBorders>
            <w:shd w:val="clear" w:color="auto" w:fill="FFFFFF"/>
          </w:tcPr>
          <w:p w14:paraId="3869BF4B">
            <w:pPr>
              <w:pStyle w:val="26"/>
              <w:rPr>
                <w:rFonts w:hint="default"/>
              </w:rPr>
            </w:pPr>
            <w:r>
              <w:rPr>
                <w:rFonts w:hint="default"/>
              </w:rPr>
              <w:t>98</w:t>
            </w:r>
          </w:p>
        </w:tc>
        <w:tc>
          <w:tcPr>
            <w:tcW w:w="910" w:type="pct"/>
            <w:tcBorders>
              <w:tl2br w:val="nil"/>
              <w:tr2bl w:val="nil"/>
            </w:tcBorders>
            <w:shd w:val="clear" w:color="auto" w:fill="FFFFFF"/>
          </w:tcPr>
          <w:p w14:paraId="4BDC694D">
            <w:pPr>
              <w:pStyle w:val="26"/>
              <w:rPr>
                <w:rFonts w:hint="default"/>
              </w:rPr>
            </w:pPr>
            <w:r>
              <w:rPr>
                <w:rFonts w:hint="default"/>
              </w:rPr>
              <w:t>0</w:t>
            </w:r>
          </w:p>
        </w:tc>
        <w:tc>
          <w:tcPr>
            <w:tcW w:w="910" w:type="pct"/>
            <w:tcBorders>
              <w:tl2br w:val="nil"/>
              <w:tr2bl w:val="nil"/>
            </w:tcBorders>
            <w:shd w:val="clear" w:color="auto" w:fill="FFFFFF"/>
          </w:tcPr>
          <w:p w14:paraId="61C08CA2">
            <w:pPr>
              <w:pStyle w:val="26"/>
              <w:rPr>
                <w:rFonts w:hint="default"/>
              </w:rPr>
            </w:pPr>
            <w:r>
              <w:rPr>
                <w:rFonts w:hint="default"/>
              </w:rPr>
              <w:t>98</w:t>
            </w:r>
          </w:p>
        </w:tc>
      </w:tr>
      <w:tr w14:paraId="7FFBA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5638A09C">
            <w:pPr>
              <w:pStyle w:val="26"/>
              <w:rPr>
                <w:rFonts w:hint="default"/>
              </w:rPr>
            </w:pPr>
            <w:r>
              <w:rPr>
                <w:rFonts w:hint="default"/>
              </w:rPr>
              <w:t>输血、透析和体外循环器械</w:t>
            </w:r>
          </w:p>
        </w:tc>
        <w:tc>
          <w:tcPr>
            <w:tcW w:w="1061" w:type="pct"/>
            <w:tcBorders>
              <w:tl2br w:val="nil"/>
              <w:tr2bl w:val="nil"/>
            </w:tcBorders>
            <w:shd w:val="clear" w:color="auto" w:fill="FFFFFF"/>
          </w:tcPr>
          <w:p w14:paraId="55766201">
            <w:pPr>
              <w:pStyle w:val="26"/>
              <w:rPr>
                <w:rFonts w:hint="default"/>
              </w:rPr>
            </w:pPr>
            <w:r>
              <w:rPr>
                <w:rFonts w:hint="default"/>
              </w:rPr>
              <w:t>31</w:t>
            </w:r>
          </w:p>
        </w:tc>
        <w:tc>
          <w:tcPr>
            <w:tcW w:w="910" w:type="pct"/>
            <w:tcBorders>
              <w:tl2br w:val="nil"/>
              <w:tr2bl w:val="nil"/>
            </w:tcBorders>
            <w:shd w:val="clear" w:color="auto" w:fill="FFFFFF"/>
          </w:tcPr>
          <w:p w14:paraId="399A9854">
            <w:pPr>
              <w:pStyle w:val="26"/>
              <w:rPr>
                <w:rFonts w:hint="default"/>
              </w:rPr>
            </w:pPr>
            <w:r>
              <w:rPr>
                <w:rFonts w:hint="default"/>
              </w:rPr>
              <w:t>62</w:t>
            </w:r>
          </w:p>
        </w:tc>
        <w:tc>
          <w:tcPr>
            <w:tcW w:w="910" w:type="pct"/>
            <w:tcBorders>
              <w:tl2br w:val="nil"/>
              <w:tr2bl w:val="nil"/>
            </w:tcBorders>
            <w:shd w:val="clear" w:color="auto" w:fill="FFFFFF"/>
          </w:tcPr>
          <w:p w14:paraId="7AD2B1CB">
            <w:pPr>
              <w:pStyle w:val="26"/>
              <w:rPr>
                <w:rFonts w:hint="default"/>
              </w:rPr>
            </w:pPr>
            <w:r>
              <w:rPr>
                <w:rFonts w:hint="default"/>
              </w:rPr>
              <w:t>93</w:t>
            </w:r>
          </w:p>
        </w:tc>
      </w:tr>
      <w:tr w14:paraId="544296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7513098B">
            <w:pPr>
              <w:pStyle w:val="26"/>
              <w:rPr>
                <w:rFonts w:hint="default"/>
              </w:rPr>
            </w:pPr>
            <w:r>
              <w:rPr>
                <w:rFonts w:hint="default"/>
              </w:rPr>
              <w:t>合计</w:t>
            </w:r>
          </w:p>
        </w:tc>
        <w:tc>
          <w:tcPr>
            <w:tcW w:w="1061" w:type="pct"/>
            <w:tcBorders>
              <w:tl2br w:val="nil"/>
              <w:tr2bl w:val="nil"/>
            </w:tcBorders>
            <w:shd w:val="clear" w:color="auto" w:fill="FFFFFF"/>
          </w:tcPr>
          <w:p w14:paraId="766216FF">
            <w:pPr>
              <w:pStyle w:val="26"/>
              <w:rPr>
                <w:rFonts w:hint="default"/>
              </w:rPr>
            </w:pPr>
            <w:r>
              <w:rPr>
                <w:rFonts w:hint="default"/>
              </w:rPr>
              <w:t>34431</w:t>
            </w:r>
          </w:p>
        </w:tc>
        <w:tc>
          <w:tcPr>
            <w:tcW w:w="910" w:type="pct"/>
            <w:tcBorders>
              <w:tl2br w:val="nil"/>
              <w:tr2bl w:val="nil"/>
            </w:tcBorders>
            <w:shd w:val="clear" w:color="auto" w:fill="FFFFFF"/>
          </w:tcPr>
          <w:p w14:paraId="2C193E6E">
            <w:pPr>
              <w:pStyle w:val="26"/>
              <w:rPr>
                <w:rFonts w:hint="default"/>
              </w:rPr>
            </w:pPr>
            <w:r>
              <w:rPr>
                <w:rFonts w:hint="default"/>
              </w:rPr>
              <w:t>62</w:t>
            </w:r>
          </w:p>
        </w:tc>
        <w:tc>
          <w:tcPr>
            <w:tcW w:w="910" w:type="pct"/>
            <w:tcBorders>
              <w:tl2br w:val="nil"/>
              <w:tr2bl w:val="nil"/>
            </w:tcBorders>
            <w:shd w:val="clear" w:color="auto" w:fill="FFFFFF"/>
          </w:tcPr>
          <w:p w14:paraId="5F7CDD4C">
            <w:pPr>
              <w:pStyle w:val="26"/>
              <w:rPr>
                <w:rFonts w:hint="default"/>
              </w:rPr>
            </w:pPr>
            <w:r>
              <w:rPr>
                <w:rFonts w:hint="default"/>
              </w:rPr>
              <w:t>34493</w:t>
            </w:r>
          </w:p>
        </w:tc>
      </w:tr>
    </w:tbl>
    <w:p w14:paraId="1996BFA6">
      <w:pPr>
        <w:pStyle w:val="25"/>
        <w:rPr>
          <w:rFonts w:hint="default"/>
        </w:rPr>
      </w:pPr>
    </w:p>
    <w:p w14:paraId="4742F2A9">
      <w:pPr>
        <w:pStyle w:val="3"/>
        <w:numPr>
          <w:ilvl w:val="1"/>
          <w:numId w:val="1"/>
        </w:numPr>
        <w:tabs>
          <w:tab w:val="clear" w:pos="420"/>
        </w:tabs>
        <w:rPr>
          <w:rFonts w:eastAsia="宋体"/>
        </w:rPr>
      </w:pPr>
      <w:bookmarkStart w:id="127" w:name="_Toc229086880"/>
      <w:bookmarkStart w:id="128" w:name="_Toc14542"/>
      <w:r>
        <w:rPr>
          <w:rFonts w:hint="eastAsia"/>
        </w:rPr>
        <w:t>专家标注数据集构建</w:t>
      </w:r>
      <w:bookmarkEnd w:id="127"/>
      <w:bookmarkEnd w:id="128"/>
    </w:p>
    <w:p w14:paraId="6E640F70">
      <w:pPr>
        <w:ind w:firstLine="480"/>
      </w:pPr>
      <w:r>
        <w:rPr>
          <w:rFonts w:hint="eastAsia"/>
        </w:rPr>
        <w:t>数据集D1的原始标签存在质量波动，不能直接作为全量数据的最终真值。本文从58495条原始候选数据中抽取1104条样本，构建专家校对数据集D2。D2承担两个作用，一是作为自动标注方法的评价基准，二是作为后续置信度划分和过滤策略的统计依据。</w:t>
      </w:r>
    </w:p>
    <w:p w14:paraId="0FB137EC">
      <w:pPr>
        <w:pStyle w:val="4"/>
        <w:numPr>
          <w:ilvl w:val="2"/>
          <w:numId w:val="1"/>
        </w:numPr>
        <w:tabs>
          <w:tab w:val="clear" w:pos="420"/>
        </w:tabs>
      </w:pPr>
      <w:bookmarkStart w:id="129" w:name="_Toc229086881"/>
      <w:bookmarkStart w:id="130" w:name="_Toc216114497"/>
      <w:bookmarkStart w:id="131" w:name="_Toc216114498"/>
      <w:bookmarkStart w:id="132" w:name="_Toc20837"/>
      <w:r>
        <w:rPr>
          <w:rFonts w:hint="eastAsia"/>
        </w:rPr>
        <w:t>二级标签获取</w:t>
      </w:r>
      <w:bookmarkEnd w:id="129"/>
      <w:bookmarkEnd w:id="130"/>
      <w:bookmarkEnd w:id="131"/>
      <w:bookmarkEnd w:id="132"/>
    </w:p>
    <w:p w14:paraId="1CBB1282">
      <w:pPr>
        <w:ind w:firstLine="480"/>
      </w:pPr>
      <w:r>
        <w:rPr>
          <w:rFonts w:hint="eastAsia"/>
        </w:rPr>
        <w:t>数据集D1</w:t>
      </w:r>
      <w:r>
        <w:rPr>
          <w:rFonts w:hint="eastAsia" w:hAnsi="Cambria Math"/>
        </w:rPr>
        <w:t>仅有产品的第一级产品类别标签而无第二级产品类别标签，为了实现准确的二层分层抽样，在此之前需要先获得这些数据的第二级产品类标签。因此本文用《医疗器械分类目录》训练多个分类器，对数据集D1</w:t>
      </w:r>
      <w:r>
        <w:rPr>
          <w:rFonts w:hint="eastAsia"/>
        </w:rPr>
        <w:t>的摘要进行预测从而大致得到它们对应的第二级产品类标签。</w:t>
      </w:r>
    </w:p>
    <w:p w14:paraId="4FC1BA6D">
      <w:pPr>
        <w:ind w:firstLine="480"/>
      </w:pPr>
      <w:r>
        <w:rPr>
          <w:rFonts w:hint="eastAsia"/>
        </w:rPr>
        <w:t>本文所使用《医疗器械分类目录》来源于中国食品药品检定研究院公开数据</w:t>
      </w:r>
      <w:r>
        <w:rPr>
          <w:rStyle w:val="33"/>
        </w:rPr>
        <w:fldChar w:fldCharType="begin"/>
      </w:r>
      <w:r>
        <w:rPr>
          <w:rStyle w:val="33"/>
        </w:rPr>
        <w:instrText xml:space="preserve"> ADDIN ZOTERO_ITEM CSL_CITATION {"citationID":"VDVb5WlU","properties":{"formattedCitation":"\\super [62]\\nosupersub{}","plainCitation":"[62]","noteIndex":0},"citationItems":[{"id":177,"uris":["http://zotero.org/users/local/2JDDwpa7/items/FWUWJZEM"],"item</w:instrText>
      </w:r>
      <w:r>
        <w:rPr>
          <w:rStyle w:val="33"/>
          <w:rFonts w:hint="eastAsia"/>
        </w:rPr>
        <w:instrText xml:space="preserve">Data":{"id":177,"type":"webpage","title":"分类目录库","URL":"https://app.nifdc.org.cn/biaogzx/dataGk.do?formAction=listFlmlk","accessed":{"date-parts":[["2026",3,17]]}}}],"schema":"https://github.com/citation-style-language/schema/raw/master/csl-citation.json"</w:instrText>
      </w:r>
      <w:r>
        <w:rPr>
          <w:rStyle w:val="33"/>
        </w:rPr>
        <w:instrText xml:space="preserve">} </w:instrText>
      </w:r>
      <w:r>
        <w:rPr>
          <w:rStyle w:val="33"/>
        </w:rPr>
        <w:fldChar w:fldCharType="separate"/>
      </w:r>
      <w:r>
        <w:rPr>
          <w:rStyle w:val="33"/>
        </w:rPr>
        <w:t>[</w:t>
      </w:r>
      <w:r>
        <w:rPr>
          <w:rStyle w:val="33"/>
          <w:rFonts w:hint="eastAsia"/>
        </w:rPr>
        <w:t>38</w:t>
      </w:r>
      <w:r>
        <w:rPr>
          <w:rStyle w:val="33"/>
        </w:rPr>
        <w:t>]</w:t>
      </w:r>
      <w:r>
        <w:rPr>
          <w:rStyle w:val="33"/>
        </w:rPr>
        <w:fldChar w:fldCharType="end"/>
      </w:r>
      <w:r>
        <w:rPr>
          <w:rFonts w:hint="eastAsia"/>
        </w:rPr>
        <w:t>，网站的查询接口参数为“20240618”，预计是2024年6月18日版本，共有206个二级产品类别，1701条记录。</w:t>
      </w:r>
    </w:p>
    <w:p w14:paraId="5619C016">
      <w:pPr>
        <w:ind w:firstLine="480"/>
      </w:pPr>
      <w:r>
        <w:rPr>
          <w:rFonts w:hint="eastAsia"/>
        </w:rPr>
        <w:t>目录中单条数据的字段构成如表3-2所示。为实现语义与摘要的对齐，本文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34EAF9B0">
      <w:pPr>
        <w:ind w:firstLine="420" w:firstLineChars="0"/>
      </w:pPr>
      <w:r>
        <w:rPr>
          <w:rFonts w:hint="eastAsia"/>
        </w:rPr>
        <w:t>基于《医疗器械分类目录》中每个一级产品类别的数据，本文分别训练了LR、KNN、RF、XGBoost和MLP五种模型，具体流程如图3-2所示。</w:t>
      </w:r>
    </w:p>
    <w:p w14:paraId="193C6968">
      <w:r>
        <w:rPr>
          <w:rFonts w:hint="eastAsia"/>
        </w:rPr>
        <w:t>首先，使用bge-large-zh-v1.5</w:t>
      </w:r>
      <w:r>
        <w:rPr>
          <w:rStyle w:val="33"/>
        </w:rPr>
        <w:fldChar w:fldCharType="begin"/>
      </w:r>
      <w:r>
        <w:rPr>
          <w:rStyle w:val="33"/>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3"/>
        </w:rPr>
        <w:fldChar w:fldCharType="separate"/>
      </w:r>
      <w:r>
        <w:rPr>
          <w:rStyle w:val="33"/>
        </w:rPr>
        <w:t>[</w:t>
      </w:r>
      <w:r>
        <w:rPr>
          <w:rStyle w:val="33"/>
          <w:rFonts w:hint="eastAsia"/>
        </w:rPr>
        <w:t>51</w:t>
      </w:r>
      <w:r>
        <w:rPr>
          <w:rStyle w:val="33"/>
        </w:rPr>
        <w:t>]</w:t>
      </w:r>
      <w:r>
        <w:rPr>
          <w:rStyle w:val="33"/>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D1的摘要进行预测，得到二级产品类别。</w:t>
      </w:r>
    </w:p>
    <w:p w14:paraId="3DA472FA">
      <w:pPr>
        <w:pStyle w:val="25"/>
        <w:rPr>
          <w:rFonts w:hint="default"/>
        </w:rPr>
      </w:pPr>
      <w:r>
        <w:t>表3-2  《医疗器械分类目录》的字段和值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8B4A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68DBC380">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51E7E7CE">
            <w:pPr>
              <w:pStyle w:val="26"/>
              <w:rPr>
                <w:rFonts w:hint="default"/>
              </w:rPr>
            </w:pPr>
            <w:r>
              <w:t>值</w:t>
            </w:r>
          </w:p>
        </w:tc>
      </w:tr>
      <w:tr w14:paraId="74DCB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6C3E0D4">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3394F737">
            <w:pPr>
              <w:pStyle w:val="26"/>
              <w:rPr>
                <w:rFonts w:hint="default"/>
              </w:rPr>
            </w:pPr>
            <w:r>
              <w:t>01有源手术器械</w:t>
            </w:r>
          </w:p>
        </w:tc>
      </w:tr>
      <w:tr w14:paraId="5C4F8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524F24FA">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414A5945">
            <w:pPr>
              <w:pStyle w:val="26"/>
              <w:rPr>
                <w:rFonts w:hint="default"/>
              </w:rPr>
            </w:pPr>
            <w:r>
              <w:t>01超声手术设备及附件</w:t>
            </w:r>
          </w:p>
        </w:tc>
      </w:tr>
      <w:tr w14:paraId="2EB0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72D67B2F">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29409C15">
            <w:pPr>
              <w:pStyle w:val="26"/>
              <w:rPr>
                <w:rFonts w:hint="default"/>
              </w:rPr>
            </w:pPr>
            <w:r>
              <w:t>01.1超声手术设备</w:t>
            </w:r>
          </w:p>
        </w:tc>
      </w:tr>
      <w:tr w14:paraId="7E4BE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84D87AF">
            <w:pPr>
              <w:pStyle w:val="26"/>
              <w:rPr>
                <w:rFonts w:hint="default"/>
              </w:rPr>
            </w:pPr>
            <w:r>
              <w:t>产品描述</w:t>
            </w:r>
          </w:p>
        </w:tc>
        <w:tc>
          <w:tcPr>
            <w:tcW w:w="4261" w:type="dxa"/>
            <w:tcBorders>
              <w:top w:val="nil"/>
              <w:left w:val="nil"/>
              <w:bottom w:val="nil"/>
              <w:right w:val="nil"/>
            </w:tcBorders>
            <w:shd w:val="clear" w:color="auto" w:fill="auto"/>
            <w:vAlign w:val="center"/>
          </w:tcPr>
          <w:p w14:paraId="615B1545">
            <w:pPr>
              <w:pStyle w:val="26"/>
              <w:rPr>
                <w:rFonts w:hint="default"/>
              </w:rPr>
            </w:pPr>
            <w:r>
              <w:t>通常由超声波发生器和带有外科尖端的手持部件组成，手持部件通常由一个换能器、一个连接构件和一个治疗头尖端组成。</w:t>
            </w:r>
          </w:p>
        </w:tc>
      </w:tr>
      <w:tr w14:paraId="0E910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15B3971">
            <w:pPr>
              <w:pStyle w:val="26"/>
              <w:rPr>
                <w:rFonts w:hint="default"/>
              </w:rPr>
            </w:pPr>
            <w:r>
              <w:t>预期用途</w:t>
            </w:r>
          </w:p>
        </w:tc>
        <w:tc>
          <w:tcPr>
            <w:tcW w:w="4261" w:type="dxa"/>
            <w:tcBorders>
              <w:top w:val="nil"/>
              <w:left w:val="nil"/>
              <w:bottom w:val="nil"/>
              <w:right w:val="nil"/>
            </w:tcBorders>
            <w:shd w:val="clear" w:color="auto" w:fill="auto"/>
            <w:vAlign w:val="center"/>
          </w:tcPr>
          <w:p w14:paraId="63B76B02">
            <w:pPr>
              <w:pStyle w:val="26"/>
              <w:rPr>
                <w:rFonts w:hint="default"/>
              </w:rPr>
            </w:pPr>
            <w:r>
              <w:t>用于软组织的切割、止血、整形。</w:t>
            </w:r>
          </w:p>
        </w:tc>
      </w:tr>
      <w:tr w14:paraId="64F4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CA37C71">
            <w:pPr>
              <w:pStyle w:val="26"/>
              <w:rPr>
                <w:rFonts w:hint="default"/>
              </w:rPr>
            </w:pPr>
            <w:r>
              <w:t>品名举例</w:t>
            </w:r>
          </w:p>
        </w:tc>
        <w:tc>
          <w:tcPr>
            <w:tcW w:w="4261" w:type="dxa"/>
            <w:tcBorders>
              <w:top w:val="nil"/>
              <w:left w:val="nil"/>
              <w:bottom w:val="nil"/>
              <w:right w:val="nil"/>
            </w:tcBorders>
            <w:shd w:val="clear" w:color="auto" w:fill="auto"/>
            <w:vAlign w:val="center"/>
          </w:tcPr>
          <w:p w14:paraId="56E9DDF4">
            <w:pPr>
              <w:pStyle w:val="26"/>
              <w:rPr>
                <w:rFonts w:hint="default"/>
              </w:rPr>
            </w:pPr>
            <w:r>
              <w:t>软组织超声手术仪、外科超声手术系统、超声手术系统、超声切割止血刀系统、软组织超声手术系统、超声手术刀、超声刀系统</w:t>
            </w:r>
          </w:p>
        </w:tc>
      </w:tr>
      <w:tr w14:paraId="3A68A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1EFD14A9">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6E0E6C96">
            <w:pPr>
              <w:pStyle w:val="26"/>
              <w:rPr>
                <w:rFonts w:hint="default"/>
              </w:rPr>
            </w:pPr>
            <w:r>
              <w:t>Ⅲ</w:t>
            </w:r>
          </w:p>
        </w:tc>
      </w:tr>
    </w:tbl>
    <w:p w14:paraId="5B7B1BC3">
      <w:pPr>
        <w:ind w:firstLine="0" w:firstLineChars="0"/>
        <w:jc w:val="center"/>
      </w:pPr>
    </w:p>
    <w:p w14:paraId="1CE4E534">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1439BBCF">
      <w:pPr>
        <w:pStyle w:val="25"/>
        <w:rPr>
          <w:rFonts w:hint="default"/>
        </w:rPr>
      </w:pPr>
      <w:r>
        <w:t>图3-2  二级产品类别分类模型</w:t>
      </w:r>
    </w:p>
    <w:p w14:paraId="7C624D86">
      <w:pPr>
        <w:ind w:firstLine="420" w:firstLineChars="0"/>
      </w:pPr>
      <w:r>
        <w:rPr>
          <w:rFonts w:hint="eastAsia"/>
        </w:rPr>
        <w:t>模型具体的结果如表3-3所示，</w:t>
      </w:r>
      <m:oMath>
        <m:r>
          <m:rPr>
            <m:nor/>
            <m:sty m:val="p"/>
          </m:rPr>
          <w:rPr>
            <w:rFonts w:cs="Times New Roman"/>
            <w:iCs/>
          </w:rPr>
          <m:t>Count</m:t>
        </m:r>
      </m:oMath>
      <w:r>
        <w:rPr>
          <w:rFonts w:hint="eastAsia"/>
          <w:iCs/>
        </w:rPr>
        <w:t>代</w:t>
      </w:r>
      <w:r>
        <w:rPr>
          <w:rFonts w:hint="eastAsia"/>
        </w:rPr>
        <w:t>表模型在数据集D1上预测出的二级产品类别数量，</w:t>
      </w:r>
      <m:oMath>
        <m:r>
          <m:rPr>
            <m:nor/>
            <m:sty m:val="p"/>
          </m:rPr>
          <w:rPr>
            <w:rFonts w:cs="Times New Roman"/>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62451A18">
      <w:pPr>
        <w:pStyle w:val="25"/>
        <w:rPr>
          <w:rFonts w:hint="default"/>
        </w:rPr>
      </w:pPr>
      <w:r>
        <w:t>表3-3  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3F8C5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1006F3D9">
            <w:pPr>
              <w:pStyle w:val="26"/>
              <w:rPr>
                <w:rFonts w:hint="default"/>
              </w:rPr>
            </w:pPr>
            <w:r>
              <w:t>模型</w:t>
            </w:r>
          </w:p>
        </w:tc>
        <w:tc>
          <w:tcPr>
            <w:tcW w:w="3428" w:type="dxa"/>
            <w:tcBorders>
              <w:top w:val="single" w:color="auto" w:sz="8" w:space="0"/>
              <w:left w:val="nil"/>
              <w:bottom w:val="single" w:color="auto" w:sz="6" w:space="0"/>
              <w:right w:val="nil"/>
            </w:tcBorders>
          </w:tcPr>
          <w:p w14:paraId="75C5793C">
            <w:pPr>
              <w:pStyle w:val="26"/>
              <w:rPr>
                <w:rFonts w:hint="default"/>
                <w:iCs/>
              </w:rPr>
            </w:pPr>
            <m:oMathPara>
              <m:oMath>
                <m:r>
                  <m:rPr>
                    <m:nor/>
                    <m:sty m:val="p"/>
                  </m:rPr>
                  <w:rPr>
                    <w:rFonts w:hint="default" w:cs="Times New Roman"/>
                    <w:iCs/>
                  </w:rPr>
                  <m:t>Count</m:t>
                </m:r>
              </m:oMath>
            </m:oMathPara>
          </w:p>
        </w:tc>
        <w:tc>
          <w:tcPr>
            <w:tcW w:w="2841" w:type="dxa"/>
            <w:tcBorders>
              <w:top w:val="single" w:color="auto" w:sz="8" w:space="0"/>
              <w:left w:val="nil"/>
              <w:bottom w:val="single" w:color="auto" w:sz="6" w:space="0"/>
              <w:right w:val="nil"/>
            </w:tcBorders>
          </w:tcPr>
          <w:p w14:paraId="33C8F5D9">
            <w:pPr>
              <w:pStyle w:val="26"/>
              <w:rPr>
                <w:rFonts w:hint="default"/>
                <w:iCs/>
              </w:rPr>
            </w:pPr>
            <m:oMathPara>
              <m:oMath>
                <m:r>
                  <m:rPr>
                    <m:nor/>
                    <m:sty m:val="p"/>
                  </m:rPr>
                  <w:rPr>
                    <w:rFonts w:hint="default" w:cs="Times New Roman"/>
                    <w:iCs/>
                  </w:rPr>
                  <m:t>Value</m:t>
                </m:r>
              </m:oMath>
            </m:oMathPara>
          </w:p>
        </w:tc>
      </w:tr>
      <w:tr w14:paraId="50A7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0578EF98">
            <w:pPr>
              <w:pStyle w:val="26"/>
              <w:rPr>
                <w:rFonts w:hint="default"/>
              </w:rPr>
            </w:pPr>
            <w:r>
              <w:t>LR</w:t>
            </w:r>
          </w:p>
        </w:tc>
        <w:tc>
          <w:tcPr>
            <w:tcW w:w="3428" w:type="dxa"/>
            <w:tcBorders>
              <w:top w:val="single" w:color="auto" w:sz="6" w:space="0"/>
              <w:left w:val="nil"/>
              <w:bottom w:val="nil"/>
              <w:right w:val="nil"/>
            </w:tcBorders>
          </w:tcPr>
          <w:p w14:paraId="0B8C4C33">
            <w:pPr>
              <w:pStyle w:val="26"/>
              <w:rPr>
                <w:rFonts w:hint="default"/>
              </w:rPr>
            </w:pPr>
            <w:r>
              <w:t>198</w:t>
            </w:r>
          </w:p>
        </w:tc>
        <w:tc>
          <w:tcPr>
            <w:tcW w:w="2841" w:type="dxa"/>
            <w:tcBorders>
              <w:top w:val="single" w:color="auto" w:sz="6" w:space="0"/>
              <w:left w:val="nil"/>
              <w:bottom w:val="nil"/>
              <w:right w:val="nil"/>
            </w:tcBorders>
          </w:tcPr>
          <w:p w14:paraId="2053F9ED">
            <w:pPr>
              <w:pStyle w:val="26"/>
              <w:rPr>
                <w:rFonts w:hint="default"/>
              </w:rPr>
            </w:pPr>
            <w:r>
              <w:rPr>
                <w:rFonts w:hint="default"/>
              </w:rPr>
              <w:t>0.9090</w:t>
            </w:r>
          </w:p>
        </w:tc>
      </w:tr>
      <w:tr w14:paraId="63823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4C5D8C05">
            <w:pPr>
              <w:pStyle w:val="26"/>
              <w:rPr>
                <w:rFonts w:hint="default"/>
              </w:rPr>
            </w:pPr>
            <w:r>
              <w:t>KNN</w:t>
            </w:r>
          </w:p>
        </w:tc>
        <w:tc>
          <w:tcPr>
            <w:tcW w:w="3428" w:type="dxa"/>
            <w:tcBorders>
              <w:top w:val="nil"/>
              <w:left w:val="nil"/>
              <w:bottom w:val="nil"/>
              <w:right w:val="nil"/>
            </w:tcBorders>
          </w:tcPr>
          <w:p w14:paraId="3BD187A4">
            <w:pPr>
              <w:pStyle w:val="26"/>
              <w:rPr>
                <w:rFonts w:hint="default"/>
              </w:rPr>
            </w:pPr>
            <w:r>
              <w:rPr>
                <w:b/>
                <w:bCs/>
              </w:rPr>
              <w:t>206</w:t>
            </w:r>
          </w:p>
        </w:tc>
        <w:tc>
          <w:tcPr>
            <w:tcW w:w="2841" w:type="dxa"/>
            <w:tcBorders>
              <w:top w:val="nil"/>
              <w:left w:val="nil"/>
              <w:bottom w:val="nil"/>
              <w:right w:val="nil"/>
            </w:tcBorders>
          </w:tcPr>
          <w:p w14:paraId="704D60AA">
            <w:pPr>
              <w:pStyle w:val="26"/>
              <w:rPr>
                <w:rFonts w:hint="default"/>
              </w:rPr>
            </w:pPr>
            <w:r>
              <w:rPr>
                <w:rFonts w:hint="default"/>
              </w:rPr>
              <w:t>0.8882</w:t>
            </w:r>
          </w:p>
        </w:tc>
      </w:tr>
      <w:tr w14:paraId="19E8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1632F8A0">
            <w:pPr>
              <w:pStyle w:val="26"/>
              <w:rPr>
                <w:rFonts w:hint="default"/>
              </w:rPr>
            </w:pPr>
            <w:r>
              <w:t>RF</w:t>
            </w:r>
          </w:p>
        </w:tc>
        <w:tc>
          <w:tcPr>
            <w:tcW w:w="3428" w:type="dxa"/>
            <w:tcBorders>
              <w:top w:val="nil"/>
              <w:left w:val="nil"/>
              <w:bottom w:val="nil"/>
              <w:right w:val="nil"/>
            </w:tcBorders>
          </w:tcPr>
          <w:p w14:paraId="3C78BD49">
            <w:pPr>
              <w:pStyle w:val="26"/>
              <w:rPr>
                <w:rFonts w:hint="default"/>
              </w:rPr>
            </w:pPr>
            <w:r>
              <w:t>200</w:t>
            </w:r>
          </w:p>
        </w:tc>
        <w:tc>
          <w:tcPr>
            <w:tcW w:w="2841" w:type="dxa"/>
            <w:tcBorders>
              <w:top w:val="nil"/>
              <w:left w:val="nil"/>
              <w:bottom w:val="nil"/>
              <w:right w:val="nil"/>
            </w:tcBorders>
          </w:tcPr>
          <w:p w14:paraId="7F0264F8">
            <w:pPr>
              <w:pStyle w:val="26"/>
              <w:rPr>
                <w:rFonts w:hint="default"/>
              </w:rPr>
            </w:pPr>
            <w:r>
              <w:rPr>
                <w:rFonts w:hint="default"/>
              </w:rPr>
              <w:t>0.8476</w:t>
            </w:r>
          </w:p>
        </w:tc>
      </w:tr>
      <w:tr w14:paraId="3DC6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06C0A141">
            <w:pPr>
              <w:pStyle w:val="26"/>
              <w:rPr>
                <w:rFonts w:hint="default"/>
              </w:rPr>
            </w:pPr>
            <w:r>
              <w:t>XGBoost</w:t>
            </w:r>
          </w:p>
        </w:tc>
        <w:tc>
          <w:tcPr>
            <w:tcW w:w="3428" w:type="dxa"/>
            <w:tcBorders>
              <w:top w:val="nil"/>
              <w:left w:val="nil"/>
              <w:bottom w:val="nil"/>
              <w:right w:val="nil"/>
            </w:tcBorders>
          </w:tcPr>
          <w:p w14:paraId="26F6F536">
            <w:pPr>
              <w:pStyle w:val="26"/>
              <w:rPr>
                <w:rFonts w:hint="default"/>
              </w:rPr>
            </w:pPr>
            <w:r>
              <w:t>201</w:t>
            </w:r>
          </w:p>
        </w:tc>
        <w:tc>
          <w:tcPr>
            <w:tcW w:w="2841" w:type="dxa"/>
            <w:tcBorders>
              <w:top w:val="nil"/>
              <w:left w:val="nil"/>
              <w:bottom w:val="nil"/>
              <w:right w:val="nil"/>
            </w:tcBorders>
          </w:tcPr>
          <w:p w14:paraId="6B29CDBD">
            <w:pPr>
              <w:pStyle w:val="26"/>
              <w:rPr>
                <w:rFonts w:hint="default"/>
              </w:rPr>
            </w:pPr>
            <w:r>
              <w:rPr>
                <w:rFonts w:hint="default"/>
              </w:rPr>
              <w:t>0.7593</w:t>
            </w:r>
          </w:p>
        </w:tc>
      </w:tr>
      <w:tr w14:paraId="4E094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D489D51">
            <w:pPr>
              <w:pStyle w:val="26"/>
              <w:rPr>
                <w:rFonts w:hint="default"/>
              </w:rPr>
            </w:pPr>
            <w:r>
              <w:t>M</w:t>
            </w:r>
            <w:r>
              <w:rPr>
                <w:rFonts w:hint="default"/>
              </w:rPr>
              <w:t>LP</w:t>
            </w:r>
          </w:p>
        </w:tc>
        <w:tc>
          <w:tcPr>
            <w:tcW w:w="3428" w:type="dxa"/>
            <w:tcBorders>
              <w:top w:val="nil"/>
              <w:left w:val="nil"/>
              <w:bottom w:val="single" w:color="auto" w:sz="8" w:space="0"/>
              <w:right w:val="nil"/>
            </w:tcBorders>
          </w:tcPr>
          <w:p w14:paraId="35C7DC88">
            <w:pPr>
              <w:pStyle w:val="26"/>
              <w:rPr>
                <w:rFonts w:hint="default"/>
              </w:rPr>
            </w:pPr>
            <w:r>
              <w:t>203</w:t>
            </w:r>
          </w:p>
        </w:tc>
        <w:tc>
          <w:tcPr>
            <w:tcW w:w="2841" w:type="dxa"/>
            <w:tcBorders>
              <w:top w:val="nil"/>
              <w:left w:val="nil"/>
              <w:bottom w:val="single" w:color="auto" w:sz="8" w:space="0"/>
              <w:right w:val="nil"/>
            </w:tcBorders>
          </w:tcPr>
          <w:p w14:paraId="4F641869">
            <w:pPr>
              <w:pStyle w:val="26"/>
              <w:rPr>
                <w:rFonts w:hint="default"/>
              </w:rPr>
            </w:pPr>
            <w:r>
              <w:rPr>
                <w:rFonts w:hint="default"/>
                <w:b/>
                <w:bCs/>
              </w:rPr>
              <w:t>0.9378</w:t>
            </w:r>
          </w:p>
        </w:tc>
      </w:tr>
    </w:tbl>
    <w:p w14:paraId="54FBF9FD">
      <w:pPr>
        <w:ind w:firstLine="420" w:firstLineChars="0"/>
      </w:pPr>
      <m:oMath>
        <m:r>
          <m:rPr>
            <m:nor/>
            <m:sty m:val="p"/>
          </m:rPr>
          <w:rPr>
            <w:rFonts w:cs="Times New Roman"/>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D1上能识别所有的二级产品，因此它在类别的覆盖率上有较大优势。</w:t>
      </w:r>
    </w:p>
    <w:p w14:paraId="61B22FAE">
      <w:pPr>
        <w:ind w:firstLine="420" w:firstLineChars="0"/>
      </w:pPr>
      <w:r>
        <w:rPr>
          <w:rFonts w:hint="eastAsia"/>
        </w:rPr>
        <w:t>而</w:t>
      </w:r>
      <m:oMath>
        <m:r>
          <m:rPr>
            <m:nor/>
            <m:sty m:val="p"/>
          </m:rPr>
          <w:rPr>
            <w:rFonts w:cs="Times New Roman"/>
            <w:iCs/>
          </w:rPr>
          <m:t>Valu</m:t>
        </m:r>
        <m:r>
          <m:rPr>
            <m:nor/>
            <m:sty m:val="p"/>
          </m:rPr>
          <w:rPr>
            <w:rFonts w:hint="eastAsia" w:ascii="Cambria Math" w:cs="Times New Roman"/>
            <w:iCs/>
          </w:rPr>
          <m:t>e</m:t>
        </m:r>
      </m:oMath>
      <w:r>
        <w:rPr>
          <w:rFonts w:hint="eastAsia"/>
          <w:iCs/>
        </w:rPr>
        <w:t>衡量的</w:t>
      </w:r>
      <w:r>
        <w:rPr>
          <w:rFonts w:hint="eastAsia"/>
        </w:rPr>
        <w:t>是以最差类别性能来评价模型的精确率，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0BDC1F13">
      <w:pPr>
        <w:ind w:firstLine="420" w:firstLineChars="0"/>
      </w:pPr>
      <m:oMath>
        <m:r>
          <m:rPr>
            <m:nor/>
            <m:sty m:val="p"/>
          </m:rPr>
          <w:rPr>
            <w:rFonts w:cs="Times New Roman"/>
            <w:iCs/>
          </w:rPr>
          <m:t>Count</m:t>
        </m:r>
      </m:oMath>
      <w:r>
        <w:rPr>
          <w:rFonts w:hint="eastAsia"/>
          <w:iCs/>
        </w:rPr>
        <w:t>和</w:t>
      </w:r>
      <m:oMath>
        <m:r>
          <m:rPr>
            <m:nor/>
            <m:sty m:val="p"/>
          </m:rPr>
          <w:rPr>
            <w:rFonts w:cs="Times New Roman"/>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16A0CEDB">
      <w:pPr>
        <w:pStyle w:val="4"/>
        <w:numPr>
          <w:ilvl w:val="2"/>
          <w:numId w:val="1"/>
        </w:numPr>
        <w:tabs>
          <w:tab w:val="clear" w:pos="420"/>
        </w:tabs>
      </w:pPr>
      <w:bookmarkStart w:id="133" w:name="_Toc229086882"/>
      <w:bookmarkStart w:id="134" w:name="_Toc13041"/>
      <w:r>
        <w:rPr>
          <w:rFonts w:hint="eastAsia"/>
        </w:rPr>
        <w:t>抽样设计</w:t>
      </w:r>
      <w:bookmarkEnd w:id="133"/>
      <w:bookmarkEnd w:id="134"/>
    </w:p>
    <w:p w14:paraId="322C6ED1">
      <w:pPr>
        <w:ind w:firstLine="480"/>
        <w:rPr>
          <w:rFonts w:hint="eastAsia"/>
        </w:rPr>
      </w:pPr>
      <w:r>
        <w:rPr>
          <w:rFonts w:hint="eastAsia"/>
        </w:rPr>
        <w:t>为了使子集D2能较好反映整个数据集D1的分布特征，本文对数据集进行了一级类目分层、二级类目自适应抽取的方法进行抽样。对于每一个一级类目中的数据子集，本文提出了一个既有基本比例又有最低限度抽取以及总体数量保证补充的自适应方法来兼顾各个小类目的代表性的同时保证总的样本数量足够大。</w:t>
      </w:r>
    </w:p>
    <w:p w14:paraId="2E0AA13D">
      <w:pPr>
        <w:ind w:firstLine="480"/>
        <w:rPr>
          <w:rFonts w:hint="eastAsia"/>
        </w:rPr>
      </w:pPr>
    </w:p>
    <w:p w14:paraId="3474BA60">
      <w:pPr>
        <w:pStyle w:val="25"/>
        <w:rPr>
          <w:rFonts w:hint="default"/>
        </w:rPr>
      </w:pPr>
      <w:r>
        <w:t>算法3-1  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1CF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auto" w:sz="8" w:space="0"/>
              <w:left w:val="nil"/>
              <w:bottom w:val="nil"/>
              <w:right w:val="nil"/>
            </w:tcBorders>
          </w:tcPr>
          <w:p w14:paraId="4530E561">
            <w:pPr>
              <w:pStyle w:val="26"/>
              <w:jc w:val="left"/>
              <w:rPr>
                <w:rFonts w:hint="default"/>
              </w:rPr>
            </w:pPr>
            <w:r>
              <w:t>Adaptive Stratified Sampling with Minimum Constraint</w:t>
            </w:r>
          </w:p>
          <w:p w14:paraId="66D0233F">
            <w:pPr>
              <w:pStyle w:val="26"/>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1B63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B922AE3">
            <w:pPr>
              <w:pStyle w:val="26"/>
              <w:numPr>
                <w:ilvl w:val="0"/>
                <w:numId w:val="8"/>
              </w:numPr>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D590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5751EF4">
            <w:pPr>
              <w:pStyle w:val="26"/>
              <w:numPr>
                <w:ilvl w:val="0"/>
                <w:numId w:val="8"/>
              </w:numPr>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4BA6F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84DCBB8">
            <w:pPr>
              <w:pStyle w:val="26"/>
              <w:numPr>
                <w:ilvl w:val="0"/>
                <w:numId w:val="8"/>
              </w:numPr>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56BC4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64B70D">
            <w:pPr>
              <w:pStyle w:val="26"/>
              <w:numPr>
                <w:ilvl w:val="0"/>
                <w:numId w:val="8"/>
              </w:numPr>
              <w:jc w:val="left"/>
              <w:rPr>
                <w:rFonts w:hint="default"/>
              </w:rPr>
            </w:pPr>
            <w:r>
              <w:t xml:space="preserve">    if </w:t>
            </w:r>
            <m:oMath>
              <m:r>
                <m:rPr>
                  <m:nor/>
                  <m:sty m:val="p"/>
                </m:rPr>
                <w:rPr>
                  <w:rFonts w:hint="default" w:cs="Times New Roman"/>
                  <w:b w:val="0"/>
                  <w:i w:val="0"/>
                </w:rPr>
                <m:t>N≤τ</m:t>
              </m:r>
            </m:oMath>
            <w:r>
              <w:t xml:space="preserve"> then</w:t>
            </w:r>
          </w:p>
        </w:tc>
      </w:tr>
      <w:tr w14:paraId="70121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1AD2BBB">
            <w:pPr>
              <w:pStyle w:val="26"/>
              <w:numPr>
                <w:ilvl w:val="0"/>
                <w:numId w:val="8"/>
              </w:numPr>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C1F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D185C0">
            <w:pPr>
              <w:pStyle w:val="26"/>
              <w:numPr>
                <w:ilvl w:val="0"/>
                <w:numId w:val="8"/>
              </w:numPr>
              <w:jc w:val="left"/>
              <w:rPr>
                <w:rFonts w:hint="default"/>
              </w:rPr>
            </w:pPr>
            <w:r>
              <w:t xml:space="preserve">    else</w:t>
            </w:r>
          </w:p>
        </w:tc>
      </w:tr>
      <w:tr w14:paraId="6D01E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F56B6DC">
            <w:pPr>
              <w:pStyle w:val="26"/>
              <w:numPr>
                <w:ilvl w:val="0"/>
                <w:numId w:val="8"/>
              </w:numPr>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36883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E62D51E">
            <w:pPr>
              <w:pStyle w:val="26"/>
              <w:numPr>
                <w:ilvl w:val="0"/>
                <w:numId w:val="8"/>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459E1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F86C42">
            <w:pPr>
              <w:pStyle w:val="26"/>
              <w:numPr>
                <w:ilvl w:val="0"/>
                <w:numId w:val="8"/>
              </w:numPr>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7069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6891C49">
            <w:pPr>
              <w:pStyle w:val="26"/>
              <w:numPr>
                <w:ilvl w:val="0"/>
                <w:numId w:val="8"/>
              </w:numPr>
              <w:jc w:val="left"/>
              <w:rPr>
                <w:rFonts w:hint="default"/>
              </w:rPr>
            </w:pPr>
            <w:r>
              <w:t xml:space="preserve">   end if</w:t>
            </w:r>
          </w:p>
        </w:tc>
      </w:tr>
      <w:tr w14:paraId="1288D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163CCCC">
            <w:pPr>
              <w:pStyle w:val="26"/>
              <w:numPr>
                <w:ilvl w:val="0"/>
                <w:numId w:val="8"/>
              </w:numPr>
              <w:jc w:val="left"/>
              <w:rPr>
                <w:rFonts w:hint="default"/>
              </w:rPr>
            </w:pPr>
            <w:r>
              <w:t>end for</w:t>
            </w:r>
          </w:p>
        </w:tc>
      </w:tr>
      <w:tr w14:paraId="1003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0D501F9">
            <w:pPr>
              <w:pStyle w:val="26"/>
              <w:numPr>
                <w:ilvl w:val="0"/>
                <w:numId w:val="8"/>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4946D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29DB458">
            <w:pPr>
              <w:pStyle w:val="26"/>
              <w:numPr>
                <w:ilvl w:val="0"/>
                <w:numId w:val="8"/>
              </w:numPr>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52D44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743A144">
            <w:pPr>
              <w:pStyle w:val="26"/>
              <w:numPr>
                <w:ilvl w:val="0"/>
                <w:numId w:val="8"/>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7516E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6F61217">
            <w:pPr>
              <w:pStyle w:val="26"/>
              <w:numPr>
                <w:ilvl w:val="0"/>
                <w:numId w:val="8"/>
              </w:numPr>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488C1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0116F94">
            <w:pPr>
              <w:pStyle w:val="26"/>
              <w:numPr>
                <w:ilvl w:val="0"/>
                <w:numId w:val="8"/>
              </w:numPr>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12EEE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D096450">
            <w:pPr>
              <w:pStyle w:val="26"/>
              <w:numPr>
                <w:ilvl w:val="0"/>
                <w:numId w:val="8"/>
              </w:numPr>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07E49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4988DD2">
            <w:pPr>
              <w:pStyle w:val="26"/>
              <w:numPr>
                <w:ilvl w:val="0"/>
                <w:numId w:val="8"/>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C7B0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A331101">
            <w:pPr>
              <w:pStyle w:val="26"/>
              <w:numPr>
                <w:ilvl w:val="0"/>
                <w:numId w:val="8"/>
              </w:numPr>
              <w:jc w:val="left"/>
              <w:rPr>
                <w:rFonts w:hint="default"/>
              </w:rPr>
            </w:pPr>
            <w:r>
              <w:t>else</w:t>
            </w:r>
          </w:p>
        </w:tc>
      </w:tr>
      <w:tr w14:paraId="1C5B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6C4E809C">
            <w:pPr>
              <w:pStyle w:val="26"/>
              <w:numPr>
                <w:ilvl w:val="0"/>
                <w:numId w:val="8"/>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5E000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B684DEA">
            <w:pPr>
              <w:pStyle w:val="26"/>
              <w:numPr>
                <w:ilvl w:val="0"/>
                <w:numId w:val="8"/>
              </w:numPr>
              <w:jc w:val="left"/>
              <w:rPr>
                <w:rFonts w:hint="default"/>
              </w:rPr>
            </w:pPr>
            <w:r>
              <w:t>end if</w:t>
            </w:r>
          </w:p>
        </w:tc>
      </w:tr>
      <w:tr w14:paraId="7F74D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0CA0B090">
            <w:pPr>
              <w:pStyle w:val="26"/>
              <w:numPr>
                <w:ilvl w:val="0"/>
                <w:numId w:val="8"/>
              </w:numPr>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372D596D">
      <w:pPr>
        <w:ind w:firstLine="480"/>
        <w:rPr>
          <w:rFonts w:hint="eastAsia"/>
        </w:rPr>
      </w:pPr>
    </w:p>
    <w:p w14:paraId="6DA417CC">
      <w:pPr>
        <w:numPr>
          <w:ilvl w:val="0"/>
          <w:numId w:val="9"/>
        </w:numPr>
        <w:ind w:firstLine="480"/>
      </w:pPr>
      <w:r>
        <w:rPr>
          <w:rFonts w:hint="eastAsia"/>
        </w:rPr>
        <w:t>基础比例与最小阈值抽样</w:t>
      </w:r>
    </w:p>
    <w:p w14:paraId="4B31DF13">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rPr>
              <m:t>C</m:t>
            </m:r>
            <m:ctrlPr>
              <w:rPr>
                <w:rFonts w:ascii="Cambria Math" w:hAnsi="Cambria Math" w:cs="Times New Roman"/>
              </w:rPr>
            </m:ctrlPr>
          </m:e>
          <m:sub>
            <m:r>
              <m:rPr>
                <m:nor/>
                <m:sty m:val="p"/>
              </m:rPr>
              <w:rPr>
                <w:rFonts w:cs="Times New Roman"/>
              </w:rPr>
              <m:t>sec</m:t>
            </m:r>
            <m:ctrlPr>
              <w:rPr>
                <w:rFonts w:ascii="Cambria Math" w:hAnsi="Cambria Math" w:cs="Times New Roman"/>
              </w:rPr>
            </m:ctrlPr>
          </m:sub>
        </m:sSub>
      </m:oMath>
      <w:r>
        <w:rPr>
          <w:rFonts w:hint="eastAsia"/>
        </w:rPr>
        <w:t>。由于长尾类别在固定比例下采样的时候容易导致此类别样本数量不足，因此本文设置了一个最小样本数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i</m:t>
            </m:r>
            <m:ctrlPr>
              <w:rPr>
                <w:rFonts w:ascii="Cambria Math" w:hAnsi="Cambria Math" w:cs="Times New Roman"/>
              </w:rPr>
            </m:ctrlPr>
          </m:sub>
        </m:sSub>
        <m:r>
          <m:rPr>
            <m:nor/>
            <m:sty m:val="p"/>
          </m:rPr>
          <w:rPr>
            <w:rFonts w:cs="Times New Roman"/>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prop</m:t>
            </m:r>
            <m:ctrlPr>
              <w:rPr>
                <w:rFonts w:ascii="Cambria Math" w:hAnsi="Cambria Math" w:cs="Times New Roman"/>
              </w:rPr>
            </m:ctrlPr>
          </m:sub>
        </m:sSub>
        <m:r>
          <m:rPr>
            <m:nor/>
            <m:sty m:val="p"/>
          </m:rPr>
          <w:rPr>
            <w:rFonts w:cs="Times New Roman"/>
          </w:rPr>
          <m:t>=</m:t>
        </m:r>
        <m:r>
          <m:rPr>
            <m:nor/>
            <m:sty m:val="p"/>
          </m:rPr>
          <w:rPr>
            <w:rFonts w:ascii="Cambria" w:hAnsi="Cambria" w:cs="Cambria"/>
          </w:rPr>
          <m:t>⌈</m:t>
        </m:r>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i</m:t>
            </m:r>
            <m:ctrlPr>
              <w:rPr>
                <w:rFonts w:ascii="Cambria Math" w:hAnsi="Cambria Math" w:cs="Times New Roman"/>
              </w:rPr>
            </m:ctrlPr>
          </m:sub>
        </m:sSub>
        <m:r>
          <m:rPr>
            <m:nor/>
            <m:sty m:val="p"/>
          </m:rPr>
          <w:rPr>
            <w:rFonts w:cs="Times New Roman"/>
          </w:rPr>
          <m:t>×α</m:t>
        </m:r>
        <m:r>
          <m:rPr>
            <m:nor/>
            <m:sty m:val="p"/>
          </m:rPr>
          <w:rPr>
            <w:rFonts w:ascii="Cambria" w:hAnsi="Cambria" w:cs="Cambria"/>
          </w:rPr>
          <m:t>⌉</m:t>
        </m:r>
      </m:oMath>
      <w:r>
        <w:rPr>
          <w:rFonts w:hint="eastAsia"/>
        </w:rPr>
        <w:t>，最后选取的数量为</w:t>
      </w:r>
      <m:oMath>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final</m:t>
            </m:r>
            <m:ctrlPr>
              <w:rPr>
                <w:rFonts w:ascii="Cambria Math" w:hAnsi="Cambria Math" w:cs="Times New Roman"/>
              </w:rPr>
            </m:ctrlPr>
          </m:sub>
        </m:sSub>
        <m:r>
          <m:rPr>
            <m:nor/>
            <m:sty m:val="p"/>
          </m:rPr>
          <w:rPr>
            <w:rFonts w:cs="Times New Roman"/>
          </w:rPr>
          <m:t>=</m:t>
        </m:r>
        <m:func>
          <m:funcPr>
            <m:ctrlPr>
              <w:rPr>
                <w:rFonts w:ascii="Cambria Math" w:hAnsi="Cambria Math" w:cs="Times New Roman"/>
              </w:rPr>
            </m:ctrlPr>
          </m:funcPr>
          <m:fName>
            <m:r>
              <m:rPr>
                <m:nor/>
                <m:sty m:val="p"/>
              </m:rPr>
              <w:rPr>
                <w:rFonts w:cs="Times New Roman"/>
              </w:rPr>
              <m:t>max</m:t>
            </m:r>
            <m:ctrlPr>
              <w:rPr>
                <w:rFonts w:ascii="Cambria Math" w:hAnsi="Cambria Math" w:cs="Times New Roman"/>
              </w:rPr>
            </m:ctrlPr>
          </m:fName>
          <m:e>
            <m:r>
              <m:rPr>
                <m:nor/>
                <m:sty m:val="p"/>
              </m:rPr>
              <w:rPr>
                <w:rFonts w:cs="Times New Roman"/>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prop</m:t>
            </m:r>
            <m:ctrlPr>
              <w:rPr>
                <w:rFonts w:ascii="Cambria Math" w:hAnsi="Cambria Math" w:cs="Times New Roman"/>
              </w:rPr>
            </m:ctrlPr>
          </m:sub>
        </m:sSub>
        <m:r>
          <m:rPr>
            <m:nor/>
            <m:sty m:val="p"/>
          </m:rPr>
          <w:rPr>
            <w:rFonts w:cs="Times New Roman"/>
          </w:rPr>
          <m:t>,τ)</m:t>
        </m:r>
      </m:oMath>
      <w:r>
        <w:rPr>
          <w:rFonts w:hint="eastAsia" w:hAnsi="Cambria Math"/>
        </w:rPr>
        <w:t>，</w:t>
      </w:r>
      <w:r>
        <w:rPr>
          <w:rFonts w:hint="eastAsia"/>
        </w:rPr>
        <w:t>这样可以保证主要类别的比例被放大，但是长尾类别的曝光度最小。</w:t>
      </w:r>
    </w:p>
    <w:p w14:paraId="5347C061">
      <w:pPr>
        <w:numPr>
          <w:ilvl w:val="0"/>
          <w:numId w:val="9"/>
        </w:numPr>
        <w:ind w:firstLine="480"/>
      </w:pPr>
      <w:r>
        <w:rPr>
          <w:rFonts w:hint="eastAsia"/>
        </w:rPr>
        <w:t>总量保底填充</w:t>
      </w:r>
    </w:p>
    <w:p w14:paraId="02AC3956">
      <w:pPr>
        <w:ind w:firstLine="420" w:firstLineChars="0"/>
      </w:pPr>
      <w:r>
        <w:rPr>
          <w:rFonts w:hint="eastAsia"/>
        </w:rPr>
        <w:t>基础抽样结束后，程序判断已抽取样本总数</w:t>
      </w:r>
      <m:oMath>
        <m:r>
          <m:rPr>
            <m:nor/>
            <m:sty m:val="p"/>
          </m:rPr>
          <w:rPr>
            <w:rFonts w:cs="Times New Roman"/>
          </w:rPr>
          <m:t>S</m:t>
        </m:r>
      </m:oMath>
      <w:r>
        <w:rPr>
          <w:rFonts w:hint="eastAsia"/>
        </w:rPr>
        <w:t>是否小于所需的最小数量</w:t>
      </w:r>
      <m:oMath>
        <m:r>
          <m:rPr>
            <m:nor/>
            <m:sty m:val="p"/>
          </m:rPr>
          <w:rPr>
            <w:rFonts w:cs="Times New Roman"/>
          </w:rPr>
          <m:t>M</m:t>
        </m:r>
      </m:oMath>
      <w:r>
        <w:rPr>
          <w:rFonts w:hint="eastAsia"/>
        </w:rPr>
        <w:t>。若</w:t>
      </w:r>
      <m:oMath>
        <m:r>
          <m:rPr>
            <m:nor/>
            <m:sty m:val="p"/>
          </m:rPr>
          <w:rPr>
            <w:rFonts w:cs="Times New Roman"/>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rPr>
          <m:t>K=M-S</m:t>
        </m:r>
      </m:oMath>
      <w:r>
        <w:rPr>
          <w:rFonts w:hint="eastAsia"/>
        </w:rPr>
        <w:t>，然后按照剩余数据中的各类别所占的比例为其分配相应的补充数量，最后将补充样本与基础样本合并得到最终的抽样结果。该抽样算法的伪代码见算法3-1。</w:t>
      </w:r>
    </w:p>
    <w:p w14:paraId="6927BA2A">
      <w:pPr>
        <w:ind w:firstLine="480" w:firstLineChars="200"/>
      </w:pPr>
      <w:r>
        <w:rPr>
          <w:rFonts w:hint="eastAsia" w:ascii="宋体" w:hAnsi="宋体" w:cs="宋体"/>
        </w:rPr>
        <w:t>综合考虑专家标注成本与评估结果的统计可靠性，本文将抽样算法中的参数设置为</w:t>
      </w:r>
      <m:oMath>
        <m:r>
          <m:rPr>
            <m:nor/>
            <m:sty m:val="p"/>
          </m:rPr>
          <w:rPr>
            <w:rFonts w:cs="Times New Roman"/>
          </w:rPr>
          <m:t>α=0.012</m:t>
        </m:r>
      </m:oMath>
      <w:r>
        <w:rPr>
          <w:rFonts w:hint="eastAsia" w:ascii="宋体" w:hAnsi="宋体" w:cs="宋体"/>
        </w:rPr>
        <w:t>、</w:t>
      </w:r>
      <m:oMath>
        <m:r>
          <m:rPr>
            <m:nor/>
            <m:sty m:val="p"/>
          </m:rPr>
          <w:rPr>
            <w:rFonts w:cs="Times New Roman"/>
          </w:rPr>
          <m:t>τ=2</m:t>
        </m:r>
      </m:oMath>
      <w:r>
        <w:rPr>
          <w:rFonts w:hint="eastAsia" w:hAnsi="Cambria Math"/>
        </w:rPr>
        <w:t>和</w:t>
      </w:r>
      <m:oMath>
        <m:r>
          <m:rPr>
            <m:nor/>
            <m:sty m:val="p"/>
          </m:rPr>
          <w:rPr>
            <w:rFonts w:cs="Times New Roman"/>
          </w:rPr>
          <m:t>M=30</m:t>
        </m:r>
      </m:oMath>
      <w:r>
        <w:rPr>
          <w:rFonts w:hint="eastAsia" w:hAnsi="Cambria Math"/>
        </w:rPr>
        <w:t>，最终</w:t>
      </w:r>
      <w:r>
        <w:rPr>
          <w:rFonts w:hint="eastAsia" w:ascii="宋体" w:hAnsi="宋体" w:cs="宋体"/>
        </w:rPr>
        <w:t>获得的</w:t>
      </w:r>
      <w:r>
        <w:rPr>
          <w:rFonts w:hint="eastAsia" w:hAnsi="Cambria Math"/>
        </w:rPr>
        <w:t>子集D2数据总量为1104条。</w:t>
      </w:r>
    </w:p>
    <w:p w14:paraId="64B66CC7">
      <w:pPr>
        <w:pStyle w:val="4"/>
        <w:numPr>
          <w:ilvl w:val="2"/>
          <w:numId w:val="1"/>
        </w:numPr>
      </w:pPr>
      <w:bookmarkStart w:id="135" w:name="_Toc216114499"/>
      <w:bookmarkStart w:id="136" w:name="_Toc229086883"/>
      <w:bookmarkStart w:id="137" w:name="_Toc2185"/>
      <w:r>
        <w:rPr>
          <w:rFonts w:hint="eastAsia"/>
        </w:rPr>
        <w:t>抽样结果评估</w:t>
      </w:r>
      <w:bookmarkEnd w:id="135"/>
      <w:bookmarkEnd w:id="136"/>
      <w:bookmarkEnd w:id="137"/>
    </w:p>
    <w:p w14:paraId="4577F0D3">
      <w:pPr>
        <w:ind w:firstLine="480"/>
      </w:pPr>
      <w:r>
        <w:rPr>
          <w:rFonts w:hint="eastAsia"/>
        </w:rPr>
        <w:t>为定量评估抽样结果的分布一致性，本研究采用JS散度来衡量子集D2和数据集D1在类内相似度上的差异。</w:t>
      </w:r>
    </w:p>
    <w:p w14:paraId="255EA306">
      <w:pPr>
        <w:ind w:firstLine="480"/>
      </w:pPr>
      <w:r>
        <w:rPr>
          <w:rFonts w:hint="eastAsia"/>
        </w:rPr>
        <w:t>本文引入类内相似度指标定量刻画不同类别样本在语义空间中的聚集程度.设数据集中共有</w:t>
      </w:r>
      <m:oMath>
        <m:r>
          <m:rPr>
            <m:nor/>
            <m:sty m:val="p"/>
          </m:rPr>
          <w:rPr>
            <w:rFonts w:cs="Times New Roman"/>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rPr>
              <m:t>D</m:t>
            </m:r>
            <m:ctrlPr>
              <w:rPr>
                <w:rFonts w:ascii="Cambria Math" w:hAnsi="Cambria Math" w:cs="Times New Roman"/>
              </w:rPr>
            </m:ctrlPr>
          </m:e>
          <m:sub>
            <m:r>
              <m:rPr>
                <m:nor/>
                <m:sty m:val="p"/>
              </m:rPr>
              <w:rPr>
                <w:rFonts w:cs="Times New Roman"/>
              </w:rPr>
              <m:t>c</m:t>
            </m:r>
            <m:ctrlPr>
              <w:rPr>
                <w:rFonts w:ascii="Cambria Math" w:hAnsi="Cambria Math" w:cs="Times New Roman"/>
              </w:rPr>
            </m:ctrlPr>
          </m:sub>
        </m:sSub>
        <m:r>
          <m:rPr>
            <m:nor/>
            <m:sty m:val="p"/>
          </m:rPr>
          <w:rPr>
            <w:rFonts w:cs="Times New Roman"/>
          </w:rPr>
          <m:t>={</m:t>
        </m:r>
        <m:sSubSup>
          <m:sSubSupPr>
            <m:ctrlPr>
              <w:rPr>
                <w:rFonts w:ascii="Cambria Math" w:hAnsi="Cambria Math" w:cs="Times New Roman"/>
              </w:rPr>
            </m:ctrlPr>
          </m:sSubSupPr>
          <m:e>
            <m:r>
              <m:rPr>
                <m:nor/>
                <m:sty m:val="p"/>
              </m:rPr>
              <w:rPr>
                <w:rFonts w:cs="Times New Roman"/>
              </w:rPr>
              <m:t>x</m:t>
            </m:r>
            <m:ctrlPr>
              <w:rPr>
                <w:rFonts w:ascii="Cambria Math" w:hAnsi="Cambria Math" w:cs="Times New Roman"/>
              </w:rPr>
            </m:ctrlPr>
          </m:e>
          <m:sub>
            <m:r>
              <m:rPr>
                <m:nor/>
                <m:sty m:val="p"/>
              </m:rPr>
              <w:rPr>
                <w:rFonts w:cs="Times New Roman"/>
              </w:rPr>
              <m:t>1</m:t>
            </m:r>
            <m:ctrlPr>
              <w:rPr>
                <w:rFonts w:ascii="Cambria Math" w:hAnsi="Cambria Math" w:cs="Times New Roman"/>
              </w:rPr>
            </m:ctrlPr>
          </m:sub>
          <m:sup>
            <m:r>
              <m:rPr>
                <m:nor/>
                <m:sty m:val="p"/>
              </m:rPr>
              <w:rPr>
                <w:rFonts w:cs="Times New Roman"/>
              </w:rPr>
              <m:t>c</m:t>
            </m:r>
            <m:ctrlPr>
              <w:rPr>
                <w:rFonts w:ascii="Cambria Math" w:hAnsi="Cambria Math" w:cs="Times New Roman"/>
              </w:rPr>
            </m:ctrlPr>
          </m:sup>
        </m:sSubSup>
        <m:r>
          <m:rPr>
            <m:nor/>
            <m:sty m:val="p"/>
          </m:rPr>
          <w:rPr>
            <w:rFonts w:cs="Times New Roman"/>
          </w:rPr>
          <m:t>,</m:t>
        </m:r>
        <m:sSubSup>
          <m:sSubSupPr>
            <m:ctrlPr>
              <w:rPr>
                <w:rFonts w:ascii="Cambria Math" w:hAnsi="Cambria Math" w:cs="Times New Roman"/>
              </w:rPr>
            </m:ctrlPr>
          </m:sSubSupPr>
          <m:e>
            <m:r>
              <m:rPr>
                <m:nor/>
                <m:sty m:val="p"/>
              </m:rPr>
              <w:rPr>
                <w:rFonts w:cs="Times New Roman"/>
              </w:rPr>
              <m:t>x</m:t>
            </m:r>
            <m:ctrlPr>
              <w:rPr>
                <w:rFonts w:ascii="Cambria Math" w:hAnsi="Cambria Math" w:cs="Times New Roman"/>
              </w:rPr>
            </m:ctrlPr>
          </m:e>
          <m:sub>
            <m:r>
              <m:rPr>
                <m:nor/>
                <m:sty m:val="p"/>
              </m:rPr>
              <w:rPr>
                <w:rFonts w:cs="Times New Roman"/>
              </w:rPr>
              <m:t>2</m:t>
            </m:r>
            <m:ctrlPr>
              <w:rPr>
                <w:rFonts w:ascii="Cambria Math" w:hAnsi="Cambria Math" w:cs="Times New Roman"/>
              </w:rPr>
            </m:ctrlPr>
          </m:sub>
          <m:sup>
            <m:r>
              <m:rPr>
                <m:nor/>
                <m:sty m:val="p"/>
              </m:rPr>
              <w:rPr>
                <w:rFonts w:cs="Times New Roman"/>
              </w:rPr>
              <m:t>c</m:t>
            </m:r>
            <m:ctrlPr>
              <w:rPr>
                <w:rFonts w:ascii="Cambria Math" w:hAnsi="Cambria Math" w:cs="Times New Roman"/>
              </w:rPr>
            </m:ctrlPr>
          </m:sup>
        </m:sSubSup>
        <m:r>
          <m:rPr>
            <m:nor/>
            <m:sty m:val="p"/>
          </m:rPr>
          <w:rPr>
            <w:rFonts w:cs="Times New Roman"/>
          </w:rPr>
          <m:t>,…,</m:t>
        </m:r>
        <m:sSubSup>
          <m:sSubSupPr>
            <m:ctrlPr>
              <w:rPr>
                <w:rFonts w:ascii="Cambria Math" w:hAnsi="Cambria Math" w:cs="Times New Roman"/>
              </w:rPr>
            </m:ctrlPr>
          </m:sSubSupPr>
          <m:e>
            <m:r>
              <m:rPr>
                <m:nor/>
                <m:sty m:val="p"/>
              </m:rPr>
              <w:rPr>
                <w:rFonts w:cs="Times New Roman"/>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rPr>
              <m:t>c</m:t>
            </m:r>
            <m:ctrlPr>
              <w:rPr>
                <w:rFonts w:ascii="Cambria Math" w:hAnsi="Cambria Math" w:cs="Times New Roman"/>
              </w:rPr>
            </m:ctrlPr>
          </m:sup>
        </m:sSubSup>
        <m:r>
          <m:rPr>
            <m:nor/>
            <m:sty m:val="p"/>
          </m:rPr>
          <w:rPr>
            <w:rFonts w:cs="Times New Roman"/>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rPr>
          <m:t>c</m:t>
        </m:r>
      </m:oMath>
      <w:r>
        <w:rPr>
          <w:rFonts w:hint="eastAsia"/>
        </w:rPr>
        <w:t>类的第</w:t>
      </w:r>
      <m:oMath>
        <m:r>
          <m:rPr>
            <m:nor/>
            <m:sty m:val="p"/>
          </m:rPr>
          <w:rPr>
            <w:rFonts w:cs="Times New Roman"/>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rPr>
              <m:t>x</m:t>
            </m:r>
            <m:ctrlPr>
              <w:rPr>
                <w:rFonts w:ascii="Cambria Math" w:hAnsi="Cambria Math" w:cs="Times New Roman"/>
              </w:rPr>
            </m:ctrlPr>
          </m:e>
          <m:sub>
            <m:r>
              <m:rPr>
                <m:nor/>
                <m:sty m:val="p"/>
              </m:rPr>
              <w:rPr>
                <w:rFonts w:cs="Times New Roman"/>
              </w:rPr>
              <m:t>i</m:t>
            </m:r>
            <m:ctrlPr>
              <w:rPr>
                <w:rFonts w:ascii="Cambria Math" w:hAnsi="Cambria Math" w:cs="Times New Roman"/>
              </w:rPr>
            </m:ctrlPr>
          </m:sub>
          <m:sup>
            <m:r>
              <m:rPr>
                <m:nor/>
                <m:sty m:val="p"/>
              </m:rPr>
              <w:rPr>
                <w:rFonts w:cs="Times New Roman"/>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rPr>
          <m:t>c'</m:t>
        </m:r>
      </m:oMath>
      <w:r>
        <w:rPr>
          <w:rFonts w:hint="eastAsia"/>
        </w:rPr>
        <w:t>中所有样本向量点积的均值，即：</w:t>
      </w:r>
    </w:p>
    <w:p w14:paraId="3AA0E4E3">
      <w:pPr>
        <w:ind w:firstLine="0" w:firstLineChars="0"/>
        <w:rPr>
          <w:iCs/>
        </w:rPr>
      </w:pPr>
      <m:oMathPara>
        <m:oMath>
          <m:eqArr>
            <m:eqArrPr>
              <m:maxDist m:val="1"/>
              <m:ctrlPr>
                <w:rPr>
                  <w:rFonts w:ascii="Cambria Math" w:hAnsi="Cambria Math" w:cs="Times New Roman"/>
                  <w:iCs/>
                </w:rPr>
              </m:ctrlPr>
            </m:eqArrPr>
            <m:e>
              <m:r>
                <m:rPr>
                  <m:nor/>
                  <m:sty m:val="p"/>
                </m:rPr>
                <w:rPr>
                  <w:rFonts w:cs="Times New Roman"/>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iCs/>
                        </w:rPr>
                        <m:t>x</m:t>
                      </m:r>
                      <m:ctrlPr>
                        <w:rPr>
                          <w:rFonts w:ascii="Cambria Math" w:hAnsi="Cambria Math" w:cs="Times New Roman"/>
                          <w:iCs/>
                        </w:rPr>
                      </m:ctrlPr>
                    </m:e>
                    <m:sub>
                      <m:r>
                        <m:rPr>
                          <m:nor/>
                          <m:sty m:val="p"/>
                        </m:rPr>
                        <w:rPr>
                          <w:rFonts w:cs="Times New Roman"/>
                          <w:iCs/>
                        </w:rPr>
                        <m:t>i</m:t>
                      </m:r>
                      <m:ctrlPr>
                        <w:rPr>
                          <w:rFonts w:ascii="Cambria Math" w:hAnsi="Cambria Math" w:cs="Times New Roman"/>
                          <w:iCs/>
                        </w:rPr>
                      </m:ctrlPr>
                    </m:sub>
                    <m:sup>
                      <m:r>
                        <m:rPr>
                          <m:nor/>
                          <m:sty m:val="p"/>
                        </m:rPr>
                        <w:rPr>
                          <w:rFonts w:cs="Times New Roman"/>
                          <w:iCs/>
                        </w:rPr>
                        <m:t>c</m:t>
                      </m:r>
                      <m:ctrlPr>
                        <w:rPr>
                          <w:rFonts w:ascii="Cambria Math" w:hAnsi="Cambria Math" w:cs="Times New Roman"/>
                          <w:iCs/>
                        </w:rPr>
                      </m:ctrlPr>
                    </m:sup>
                  </m:sSubSup>
                  <m:r>
                    <m:rPr>
                      <m:nor/>
                      <m:sty m:val="p"/>
                    </m:rPr>
                    <w:rPr>
                      <w:rFonts w:cs="Times New Roman"/>
                      <w:iCs/>
                    </w:rPr>
                    <m:t>,</m:t>
                  </m:r>
                  <m:sSup>
                    <m:sSupPr>
                      <m:ctrlPr>
                        <w:rPr>
                          <w:rFonts w:ascii="Cambria Math" w:hAnsi="Cambria Math" w:cs="Times New Roman"/>
                          <w:iCs/>
                        </w:rPr>
                      </m:ctrlPr>
                    </m:sSupPr>
                    <m:e>
                      <m:r>
                        <m:rPr>
                          <m:nor/>
                          <m:sty m:val="p"/>
                        </m:rPr>
                        <w:rPr>
                          <w:rFonts w:cs="Times New Roman"/>
                          <w:iCs/>
                        </w:rPr>
                        <m:t>c</m:t>
                      </m:r>
                      <m:ctrlPr>
                        <w:rPr>
                          <w:rFonts w:ascii="Cambria Math" w:hAnsi="Cambria Math" w:cs="Times New Roman"/>
                          <w:iCs/>
                        </w:rPr>
                      </m:ctrlPr>
                    </m:e>
                    <m:sup>
                      <m:r>
                        <m:rPr>
                          <m:nor/>
                          <m:sty m:val="p"/>
                        </m:rPr>
                        <w:rPr>
                          <w:rFonts w:cs="Times New Roman"/>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iCs/>
                </w:rPr>
                <m:t>=</m:t>
              </m:r>
              <m:f>
                <m:fPr>
                  <m:ctrlPr>
                    <w:rPr>
                      <w:rFonts w:ascii="Cambria Math" w:hAnsi="Cambria Math" w:cs="Times New Roman"/>
                      <w:iCs/>
                    </w:rPr>
                  </m:ctrlPr>
                </m:fPr>
                <m:num>
                  <m:r>
                    <m:rPr>
                      <m:nor/>
                      <m:sty m:val="p"/>
                    </m:rPr>
                    <w:rPr>
                      <w:rFonts w:cs="Times New Roman"/>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iCs/>
                                </w:rPr>
                                <m:t>c</m:t>
                              </m:r>
                              <m:ctrlPr>
                                <w:rPr>
                                  <w:rFonts w:ascii="Cambria Math" w:hAnsi="Cambria Math" w:cs="Times New Roman"/>
                                  <w:iCs/>
                                </w:rPr>
                              </m:ctrlPr>
                            </m:e>
                            <m:sup>
                              <m:r>
                                <m:rPr>
                                  <m:nor/>
                                  <m:sty m:val="p"/>
                                </m:rPr>
                                <w:rPr>
                                  <w:rFonts w:cs="Times New Roman"/>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iCs/>
                        </w:rPr>
                        <m:t>x</m:t>
                      </m:r>
                      <m:ctrlPr>
                        <w:rPr>
                          <w:rFonts w:ascii="Cambria Math" w:hAnsi="Cambria Math" w:cs="Times New Roman"/>
                          <w:iCs/>
                        </w:rPr>
                      </m:ctrlPr>
                    </m:e>
                    <m:sub>
                      <m:r>
                        <m:rPr>
                          <m:nor/>
                          <m:sty m:val="p"/>
                        </m:rPr>
                        <w:rPr>
                          <w:rFonts w:cs="Times New Roman"/>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iCs/>
                            </w:rPr>
                            <m:t>c</m:t>
                          </m:r>
                          <m:ctrlPr>
                            <w:rPr>
                              <w:rFonts w:ascii="Cambria Math" w:hAnsi="Cambria Math" w:cs="Times New Roman"/>
                              <w:iCs/>
                            </w:rPr>
                          </m:ctrlPr>
                        </m:e>
                        <m:sup>
                          <m:r>
                            <m:rPr>
                              <m:nor/>
                              <m:sty m:val="p"/>
                            </m:rPr>
                            <w:rPr>
                              <w:rFonts w:cs="Times New Roman"/>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iCs/>
                    </w:rPr>
                    <m:t>∈</m:t>
                  </m:r>
                  <m:sSub>
                    <m:sSubPr>
                      <m:ctrlPr>
                        <w:rPr>
                          <w:rFonts w:ascii="Cambria Math" w:hAnsi="Cambria Math" w:cs="Times New Roman"/>
                          <w:iCs/>
                        </w:rPr>
                      </m:ctrlPr>
                    </m:sSubPr>
                    <m:e>
                      <m:r>
                        <m:rPr>
                          <m:nor/>
                          <m:sty m:val="p"/>
                        </m:rPr>
                        <w:rPr>
                          <w:rFonts w:cs="Times New Roman"/>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iCs/>
                            </w:rPr>
                            <m:t>c</m:t>
                          </m:r>
                          <m:ctrlPr>
                            <w:rPr>
                              <w:rFonts w:ascii="Cambria Math" w:hAnsi="Cambria Math" w:cs="Times New Roman"/>
                              <w:iCs/>
                            </w:rPr>
                          </m:ctrlPr>
                        </m:e>
                        <m:sup>
                          <m:r>
                            <m:rPr>
                              <m:nor/>
                              <m:sty m:val="p"/>
                            </m:rPr>
                            <w:rPr>
                              <w:rFonts w:cs="Times New Roman"/>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iCs/>
                        </w:rPr>
                        <m:t>x</m:t>
                      </m:r>
                      <m:ctrlPr>
                        <w:rPr>
                          <w:rFonts w:ascii="Cambria Math" w:hAnsi="Cambria Math" w:cs="Times New Roman"/>
                          <w:iCs/>
                        </w:rPr>
                      </m:ctrlPr>
                    </m:e>
                    <m:sub>
                      <m:r>
                        <m:rPr>
                          <m:nor/>
                          <m:sty m:val="p"/>
                        </m:rPr>
                        <w:rPr>
                          <w:rFonts w:cs="Times New Roman"/>
                          <w:iCs/>
                        </w:rPr>
                        <m:t>i</m:t>
                      </m:r>
                      <m:ctrlPr>
                        <w:rPr>
                          <w:rFonts w:ascii="Cambria Math" w:hAnsi="Cambria Math" w:cs="Times New Roman"/>
                          <w:iCs/>
                        </w:rPr>
                      </m:ctrlPr>
                    </m:sub>
                    <m:sup>
                      <m:r>
                        <m:rPr>
                          <m:nor/>
                          <m:sty m:val="p"/>
                        </m:rPr>
                        <w:rPr>
                          <w:rFonts w:cs="Times New Roman"/>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iCs/>
                </w:rPr>
                <m:t>⋅</m:t>
              </m:r>
              <m:sSubSup>
                <m:sSubSupPr>
                  <m:ctrlPr>
                    <w:rPr>
                      <w:rFonts w:ascii="Cambria Math" w:hAnsi="Cambria Math" w:cs="Times New Roman"/>
                      <w:iCs/>
                    </w:rPr>
                  </m:ctrlPr>
                </m:sSubSupPr>
                <m:e>
                  <m:r>
                    <m:rPr>
                      <m:nor/>
                      <m:sty m:val="p"/>
                    </m:rPr>
                    <w:rPr>
                      <w:rFonts w:cs="Times New Roman"/>
                      <w:iCs/>
                    </w:rPr>
                    <m:t>x</m:t>
                  </m:r>
                  <m:ctrlPr>
                    <w:rPr>
                      <w:rFonts w:ascii="Cambria Math" w:hAnsi="Cambria Math" w:cs="Times New Roman"/>
                      <w:iCs/>
                    </w:rPr>
                  </m:ctrlPr>
                </m:e>
                <m:sub>
                  <m:r>
                    <m:rPr>
                      <m:nor/>
                      <m:sty m:val="p"/>
                    </m:rPr>
                    <w:rPr>
                      <w:rFonts w:cs="Times New Roman"/>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iCs/>
                        </w:rPr>
                        <m:t>c</m:t>
                      </m:r>
                      <m:ctrlPr>
                        <w:rPr>
                          <w:rFonts w:ascii="Cambria Math" w:hAnsi="Cambria Math" w:cs="Times New Roman"/>
                          <w:iCs/>
                        </w:rPr>
                      </m:ctrlPr>
                    </m:e>
                    <m:sup>
                      <m:r>
                        <m:rPr>
                          <m:nor/>
                          <m:sty m:val="p"/>
                        </m:rPr>
                        <w:rPr>
                          <w:rFonts w:cs="Times New Roman"/>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iCs/>
                    </w:rPr>
                    <m:t>3-1</m:t>
                  </m:r>
                  <m:ctrlPr>
                    <w:rPr>
                      <w:rFonts w:ascii="Cambria Math" w:hAnsi="Cambria Math" w:cs="Times New Roman"/>
                      <w:iCs/>
                    </w:rPr>
                  </m:ctrlPr>
                </m:e>
              </m:d>
              <m:ctrlPr>
                <w:rPr>
                  <w:rFonts w:ascii="Cambria Math" w:hAnsi="Cambria Math" w:cs="Times New Roman"/>
                  <w:iCs/>
                </w:rPr>
              </m:ctrlPr>
            </m:e>
          </m:eqArr>
        </m:oMath>
      </m:oMathPara>
    </w:p>
    <w:p w14:paraId="4979ABC9">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rPr>
          <m:t>|</m:t>
        </m:r>
        <m:sSub>
          <m:sSubPr>
            <m:ctrlPr>
              <w:rPr>
                <w:rFonts w:ascii="Cambria Math" w:hAnsi="Cambria Math" w:cs="Times New Roman"/>
              </w:rPr>
            </m:ctrlPr>
          </m:sSubPr>
          <m:e>
            <m:r>
              <m:rPr>
                <m:nor/>
                <m:sty m:val="p"/>
              </m:rPr>
              <w:rPr>
                <w:rFonts w:cs="Times New Roman"/>
              </w:rPr>
              <m:t>D</m:t>
            </m:r>
            <m:ctrlPr>
              <w:rPr>
                <w:rFonts w:ascii="Cambria Math" w:hAnsi="Cambria Math" w:cs="Times New Roman"/>
              </w:rPr>
            </m:ctrlPr>
          </m:e>
          <m:sub>
            <m:r>
              <m:rPr>
                <m:nor/>
                <m:sty m:val="p"/>
              </m:rPr>
              <w:rPr>
                <w:rFonts w:cs="Times New Roman"/>
              </w:rPr>
              <m:t>c'</m:t>
            </m:r>
            <m:ctrlPr>
              <w:rPr>
                <w:rFonts w:ascii="Cambria Math" w:hAnsi="Cambria Math" w:cs="Times New Roman"/>
              </w:rPr>
            </m:ctrlPr>
          </m:sub>
        </m:sSub>
        <m:r>
          <m:rPr>
            <m:nor/>
            <m:sty m:val="p"/>
          </m:rPr>
          <w:rPr>
            <w:rFonts w:cs="Times New Roman"/>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rPr>
              <m:t>D</m:t>
            </m:r>
            <m:ctrlPr>
              <w:rPr>
                <w:rFonts w:ascii="Cambria Math" w:hAnsi="Cambria Math" w:cs="Times New Roman"/>
              </w:rPr>
            </m:ctrlPr>
          </m:e>
          <m:sub>
            <m:r>
              <m:rPr>
                <m:nor/>
                <m:sty m:val="p"/>
              </m:rPr>
              <w:rPr>
                <w:rFonts w:cs="Times New Roman"/>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rPr>
          <m:t>c'=c</m:t>
        </m:r>
      </m:oMath>
      <w:r>
        <w:rPr>
          <w:rFonts w:hint="eastAsia" w:hAnsi="Cambria Math"/>
        </w:rPr>
        <w:t>时，</w:t>
      </w:r>
      <m:oMath>
        <m:r>
          <m:rPr>
            <m:nor/>
            <m:sty m:val="p"/>
          </m:rPr>
          <w:rPr>
            <w:rFonts w:cs="Times New Roman"/>
          </w:rPr>
          <m:t>Sim(</m:t>
        </m:r>
        <m:sSubSup>
          <m:sSubSupPr>
            <m:ctrlPr>
              <w:rPr>
                <w:rFonts w:ascii="Cambria Math" w:hAnsi="Cambria Math" w:cs="Times New Roman"/>
              </w:rPr>
            </m:ctrlPr>
          </m:sSubSupPr>
          <m:e>
            <m:r>
              <m:rPr>
                <m:nor/>
                <m:sty m:val="p"/>
              </m:rPr>
              <w:rPr>
                <w:rFonts w:cs="Times New Roman"/>
              </w:rPr>
              <m:t>x</m:t>
            </m:r>
            <m:ctrlPr>
              <w:rPr>
                <w:rFonts w:ascii="Cambria Math" w:hAnsi="Cambria Math" w:cs="Times New Roman"/>
              </w:rPr>
            </m:ctrlPr>
          </m:e>
          <m:sub>
            <m:r>
              <m:rPr>
                <m:nor/>
                <m:sty m:val="p"/>
              </m:rPr>
              <w:rPr>
                <w:rFonts w:cs="Times New Roman"/>
              </w:rPr>
              <m:t>i</m:t>
            </m:r>
            <m:ctrlPr>
              <w:rPr>
                <w:rFonts w:ascii="Cambria Math" w:hAnsi="Cambria Math" w:cs="Times New Roman"/>
              </w:rPr>
            </m:ctrlPr>
          </m:sub>
          <m:sup>
            <m:r>
              <m:rPr>
                <m:nor/>
                <m:sty m:val="p"/>
              </m:rPr>
              <w:rPr>
                <w:rFonts w:cs="Times New Roman"/>
              </w:rPr>
              <m:t>c</m:t>
            </m:r>
            <m:ctrlPr>
              <w:rPr>
                <w:rFonts w:ascii="Cambria Math" w:hAnsi="Cambria Math" w:cs="Times New Roman"/>
              </w:rPr>
            </m:ctrlPr>
          </m:sup>
        </m:sSubSup>
        <m:r>
          <m:rPr>
            <m:nor/>
            <m:sty m:val="p"/>
          </m:rPr>
          <w:rPr>
            <w:rFonts w:cs="Times New Roman"/>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rPr>
              <m:t>x</m:t>
            </m:r>
            <m:ctrlPr>
              <w:rPr>
                <w:rFonts w:ascii="Cambria Math" w:hAnsi="Cambria Math" w:cs="Times New Roman"/>
              </w:rPr>
            </m:ctrlPr>
          </m:e>
          <m:sub>
            <m:r>
              <m:rPr>
                <m:nor/>
                <m:sty m:val="p"/>
              </m:rPr>
              <w:rPr>
                <w:rFonts w:cs="Times New Roman"/>
              </w:rPr>
              <m:t>i</m:t>
            </m:r>
            <m:ctrlPr>
              <w:rPr>
                <w:rFonts w:ascii="Cambria Math" w:hAnsi="Cambria Math" w:cs="Times New Roman"/>
              </w:rPr>
            </m:ctrlPr>
          </m:sub>
          <m:sup>
            <m:r>
              <m:rPr>
                <m:nor/>
                <m:sty m:val="p"/>
              </m:rPr>
              <w:rPr>
                <w:rFonts w:cs="Times New Roman"/>
              </w:rPr>
              <m:t>c</m:t>
            </m:r>
            <m:ctrlPr>
              <w:rPr>
                <w:rFonts w:ascii="Cambria Math" w:hAnsi="Cambria Math" w:cs="Times New Roman"/>
              </w:rPr>
            </m:ctrlPr>
          </m:sup>
        </m:sSubSup>
      </m:oMath>
      <w:r>
        <w:rPr>
          <w:rFonts w:hint="eastAsia" w:hAnsi="Cambria Math"/>
        </w:rPr>
        <w:t>与同类样本在语义空间中的平均紧密度。</w:t>
      </w:r>
    </w:p>
    <w:p w14:paraId="5BC01742">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734925A0">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JS散度取值范围取决于对数底数，本文采用以2为底的对数计算JS散度，JS散度取值范围为[0,1]，其值越小，表示两个分布越相似，即抽样数据在语义结构层面越好地保持了原始数据的分布特征。</w:t>
      </w:r>
    </w:p>
    <w:p w14:paraId="5835657B">
      <w:pPr>
        <w:ind w:firstLine="480"/>
      </w:pPr>
      <w:r>
        <w:rPr>
          <w:rFonts w:hint="eastAsia"/>
        </w:rPr>
        <w:t>本文采用JS散度而不是Kolmogorov-Smirnov检验或者t检验等传统统计显著性检验方法的原因在于：</w:t>
      </w:r>
    </w:p>
    <w:p w14:paraId="1383115A">
      <w:pPr>
        <w:numPr>
          <w:ilvl w:val="0"/>
          <w:numId w:val="10"/>
        </w:numPr>
        <w:ind w:firstLine="480"/>
      </w:pPr>
      <w:r>
        <w:rPr>
          <w:rFonts w:hint="eastAsia"/>
        </w:rPr>
        <w:t>样本独立性假设的违背</w:t>
      </w:r>
    </w:p>
    <w:p w14:paraId="263D723A">
      <w:pPr>
        <w:ind w:firstLine="480"/>
      </w:pPr>
      <w:r>
        <w:rPr>
          <w:rFonts w:hint="eastAsia"/>
        </w:rPr>
        <w:t>传统的统计假设检验一般需要比较的两个样本是相互独立的，在这个实验中，抽样子集D2是总体D1的一个真子集，二者之间有天然的数据重叠以及内在的相关性，不符合两样本假设检验的前提假设，因此不能使用传统的检验方法进行分析。</w:t>
      </w:r>
    </w:p>
    <w:p w14:paraId="1E53EE51">
      <w:pPr>
        <w:numPr>
          <w:ilvl w:val="0"/>
          <w:numId w:val="10"/>
        </w:numPr>
        <w:ind w:firstLine="480"/>
      </w:pPr>
      <w:r>
        <w:rPr>
          <w:rFonts w:hint="eastAsia"/>
        </w:rPr>
        <w:t>大样本下的过度敏感性</w:t>
      </w:r>
    </w:p>
    <w:p w14:paraId="14EA6BB3">
      <w:pPr>
        <w:ind w:firstLine="480"/>
      </w:pPr>
      <w:r>
        <w:rPr>
          <w:rFonts w:hint="eastAsia"/>
        </w:rPr>
        <w:t>全集D1样本容量很大，在这种情况下，传统的统计检验对于很小的变化过于敏感，容易得到统计显著的结果，即</w:t>
      </w:r>
      <m:oMath>
        <m:r>
          <m:rPr>
            <m:nor/>
            <m:sty m:val="p"/>
          </m:rPr>
          <w:rPr>
            <w:rFonts w:cs="Times New Roman"/>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00327671">
      <w:pPr>
        <w:ind w:firstLine="480"/>
      </w:pPr>
      <w:r>
        <w:rPr>
          <w:rFonts w:hint="eastAsia"/>
        </w:rPr>
        <w:t>本论文使用自助法Bootstrap来检验所得到的结果是否是稳健的。即以从KNN以及MLP模型预测出的所有二级产品类别构成集合D1为基础，通过上述方法随机抽取30次，然后求每一次所抽到子集D2与整个集合D1之间的类内相似性分布的JS散度。</w:t>
      </w:r>
    </w:p>
    <w:p w14:paraId="4F2A87A7">
      <w:pPr>
        <w:pStyle w:val="25"/>
        <w:rPr>
          <w:rFonts w:hint="default"/>
        </w:rPr>
      </w:pPr>
      <w:r>
        <w:t>表3-4  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725DAD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2DA2F493">
            <w:pPr>
              <w:pStyle w:val="26"/>
              <w:rPr>
                <w:rFonts w:hint="default"/>
              </w:rPr>
            </w:pPr>
            <w:r>
              <w:t>一级产品类别</w:t>
            </w:r>
          </w:p>
        </w:tc>
        <w:tc>
          <w:tcPr>
            <w:tcW w:w="1405" w:type="dxa"/>
            <w:tcBorders>
              <w:bottom w:val="single" w:color="auto" w:sz="6" w:space="0"/>
              <w:tl2br w:val="nil"/>
              <w:tr2bl w:val="nil"/>
            </w:tcBorders>
            <w:vAlign w:val="center"/>
          </w:tcPr>
          <w:p w14:paraId="5F8D7C40">
            <w:pPr>
              <w:pStyle w:val="26"/>
              <w:rPr>
                <w:rFonts w:hint="default"/>
              </w:rPr>
            </w:pPr>
            <w:r>
              <w:t>Better_Model</w:t>
            </w:r>
          </w:p>
        </w:tc>
        <w:tc>
          <w:tcPr>
            <w:tcW w:w="2039" w:type="dxa"/>
            <w:tcBorders>
              <w:bottom w:val="single" w:color="auto" w:sz="6" w:space="0"/>
              <w:tl2br w:val="nil"/>
              <w:tr2bl w:val="nil"/>
            </w:tcBorders>
            <w:vAlign w:val="center"/>
          </w:tcPr>
          <w:p w14:paraId="51E47CB7">
            <w:pPr>
              <w:pStyle w:val="26"/>
              <w:rPr>
                <w:rFonts w:hint="default"/>
              </w:rPr>
            </w:pPr>
            <w:r>
              <w:t>KNN_JS_Mean</w:t>
            </w:r>
          </w:p>
        </w:tc>
        <w:tc>
          <w:tcPr>
            <w:tcW w:w="1990" w:type="dxa"/>
            <w:tcBorders>
              <w:bottom w:val="single" w:color="auto" w:sz="6" w:space="0"/>
              <w:tl2br w:val="nil"/>
              <w:tr2bl w:val="nil"/>
            </w:tcBorders>
            <w:vAlign w:val="center"/>
          </w:tcPr>
          <w:p w14:paraId="45914DAD">
            <w:pPr>
              <w:pStyle w:val="26"/>
              <w:rPr>
                <w:rFonts w:hint="default"/>
              </w:rPr>
            </w:pPr>
            <w:r>
              <w:t>MLP_JS_Mean</w:t>
            </w:r>
          </w:p>
        </w:tc>
      </w:tr>
      <w:tr w14:paraId="5AC67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ED5140A">
            <w:pPr>
              <w:pStyle w:val="26"/>
              <w:rPr>
                <w:rFonts w:hint="default"/>
              </w:rPr>
            </w:pPr>
            <w:r>
              <w:t>有源手术器械</w:t>
            </w:r>
          </w:p>
        </w:tc>
        <w:tc>
          <w:tcPr>
            <w:tcW w:w="1405" w:type="dxa"/>
            <w:tcBorders>
              <w:top w:val="single" w:color="auto" w:sz="6" w:space="0"/>
            </w:tcBorders>
            <w:vAlign w:val="center"/>
          </w:tcPr>
          <w:p w14:paraId="1F6E7AB5">
            <w:pPr>
              <w:pStyle w:val="26"/>
              <w:rPr>
                <w:rFonts w:hint="default"/>
              </w:rPr>
            </w:pPr>
            <w:r>
              <w:t>mlp</w:t>
            </w:r>
          </w:p>
        </w:tc>
        <w:tc>
          <w:tcPr>
            <w:tcW w:w="2039" w:type="dxa"/>
            <w:tcBorders>
              <w:top w:val="single" w:color="auto" w:sz="6" w:space="0"/>
            </w:tcBorders>
            <w:vAlign w:val="center"/>
          </w:tcPr>
          <w:p w14:paraId="6C6638A2">
            <w:pPr>
              <w:pStyle w:val="26"/>
              <w:rPr>
                <w:rFonts w:hint="default"/>
              </w:rPr>
            </w:pPr>
            <w:r>
              <w:t>0.062541642</w:t>
            </w:r>
          </w:p>
        </w:tc>
        <w:tc>
          <w:tcPr>
            <w:tcW w:w="1990" w:type="dxa"/>
            <w:tcBorders>
              <w:top w:val="single" w:color="auto" w:sz="6" w:space="0"/>
            </w:tcBorders>
            <w:vAlign w:val="center"/>
          </w:tcPr>
          <w:p w14:paraId="2897989D">
            <w:pPr>
              <w:pStyle w:val="26"/>
              <w:rPr>
                <w:rFonts w:hint="default"/>
              </w:rPr>
            </w:pPr>
            <w:r>
              <w:t>0.059463533</w:t>
            </w:r>
          </w:p>
        </w:tc>
      </w:tr>
      <w:tr w14:paraId="0D90A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B1B1225">
            <w:pPr>
              <w:pStyle w:val="26"/>
              <w:rPr>
                <w:rFonts w:hint="default"/>
              </w:rPr>
            </w:pPr>
            <w:r>
              <w:t>医疗器械消毒灭菌器械</w:t>
            </w:r>
          </w:p>
        </w:tc>
        <w:tc>
          <w:tcPr>
            <w:tcW w:w="1405" w:type="dxa"/>
            <w:tcBorders>
              <w:tl2br w:val="nil"/>
              <w:tr2bl w:val="nil"/>
            </w:tcBorders>
            <w:vAlign w:val="center"/>
          </w:tcPr>
          <w:p w14:paraId="2893BF54">
            <w:pPr>
              <w:pStyle w:val="26"/>
              <w:rPr>
                <w:rFonts w:hint="default"/>
              </w:rPr>
            </w:pPr>
            <w:r>
              <w:t>knn</w:t>
            </w:r>
          </w:p>
        </w:tc>
        <w:tc>
          <w:tcPr>
            <w:tcW w:w="2039" w:type="dxa"/>
            <w:tcBorders>
              <w:tl2br w:val="nil"/>
              <w:tr2bl w:val="nil"/>
            </w:tcBorders>
            <w:vAlign w:val="center"/>
          </w:tcPr>
          <w:p w14:paraId="471FC199">
            <w:pPr>
              <w:pStyle w:val="26"/>
              <w:rPr>
                <w:rFonts w:hint="default"/>
              </w:rPr>
            </w:pPr>
            <w:r>
              <w:t>0.161505414</w:t>
            </w:r>
          </w:p>
        </w:tc>
        <w:tc>
          <w:tcPr>
            <w:tcW w:w="1990" w:type="dxa"/>
            <w:tcBorders>
              <w:tl2br w:val="nil"/>
              <w:tr2bl w:val="nil"/>
            </w:tcBorders>
            <w:vAlign w:val="center"/>
          </w:tcPr>
          <w:p w14:paraId="2852DA62">
            <w:pPr>
              <w:pStyle w:val="26"/>
              <w:rPr>
                <w:rFonts w:hint="default"/>
              </w:rPr>
            </w:pPr>
            <w:r>
              <w:t>0.165691608</w:t>
            </w:r>
          </w:p>
        </w:tc>
      </w:tr>
      <w:tr w14:paraId="46800E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1463453">
            <w:pPr>
              <w:pStyle w:val="26"/>
              <w:rPr>
                <w:rFonts w:hint="default"/>
              </w:rPr>
            </w:pPr>
            <w:r>
              <w:t>有源植入器械</w:t>
            </w:r>
          </w:p>
        </w:tc>
        <w:tc>
          <w:tcPr>
            <w:tcW w:w="1405" w:type="dxa"/>
            <w:tcBorders>
              <w:tl2br w:val="nil"/>
              <w:tr2bl w:val="nil"/>
            </w:tcBorders>
            <w:vAlign w:val="center"/>
          </w:tcPr>
          <w:p w14:paraId="7D521689">
            <w:pPr>
              <w:pStyle w:val="26"/>
              <w:rPr>
                <w:rFonts w:hint="default"/>
              </w:rPr>
            </w:pPr>
            <w:r>
              <w:t>mlp</w:t>
            </w:r>
          </w:p>
        </w:tc>
        <w:tc>
          <w:tcPr>
            <w:tcW w:w="2039" w:type="dxa"/>
            <w:tcBorders>
              <w:tl2br w:val="nil"/>
              <w:tr2bl w:val="nil"/>
            </w:tcBorders>
            <w:vAlign w:val="center"/>
          </w:tcPr>
          <w:p w14:paraId="5137836D">
            <w:pPr>
              <w:pStyle w:val="26"/>
              <w:rPr>
                <w:rFonts w:hint="default"/>
              </w:rPr>
            </w:pPr>
            <w:r>
              <w:t>0.194804731</w:t>
            </w:r>
          </w:p>
        </w:tc>
        <w:tc>
          <w:tcPr>
            <w:tcW w:w="1990" w:type="dxa"/>
            <w:tcBorders>
              <w:tl2br w:val="nil"/>
              <w:tr2bl w:val="nil"/>
            </w:tcBorders>
            <w:vAlign w:val="center"/>
          </w:tcPr>
          <w:p w14:paraId="59B9C323">
            <w:pPr>
              <w:pStyle w:val="26"/>
              <w:rPr>
                <w:rFonts w:hint="default"/>
              </w:rPr>
            </w:pPr>
            <w:r>
              <w:t>0.1841721</w:t>
            </w:r>
          </w:p>
        </w:tc>
      </w:tr>
      <w:tr w14:paraId="10D442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A7D79F">
            <w:pPr>
              <w:pStyle w:val="26"/>
              <w:rPr>
                <w:rFonts w:hint="default"/>
              </w:rPr>
            </w:pPr>
            <w:r>
              <w:t>无源植入器械</w:t>
            </w:r>
          </w:p>
        </w:tc>
        <w:tc>
          <w:tcPr>
            <w:tcW w:w="1405" w:type="dxa"/>
            <w:tcBorders>
              <w:tl2br w:val="nil"/>
              <w:tr2bl w:val="nil"/>
            </w:tcBorders>
            <w:vAlign w:val="center"/>
          </w:tcPr>
          <w:p w14:paraId="7707D2DD">
            <w:pPr>
              <w:pStyle w:val="26"/>
              <w:rPr>
                <w:rFonts w:hint="default"/>
              </w:rPr>
            </w:pPr>
            <w:r>
              <w:t>mlp</w:t>
            </w:r>
          </w:p>
        </w:tc>
        <w:tc>
          <w:tcPr>
            <w:tcW w:w="2039" w:type="dxa"/>
            <w:tcBorders>
              <w:tl2br w:val="nil"/>
              <w:tr2bl w:val="nil"/>
            </w:tcBorders>
            <w:vAlign w:val="center"/>
          </w:tcPr>
          <w:p w14:paraId="02315BE7">
            <w:pPr>
              <w:pStyle w:val="26"/>
              <w:rPr>
                <w:rFonts w:hint="default"/>
              </w:rPr>
            </w:pPr>
            <w:r>
              <w:t>0.206948514</w:t>
            </w:r>
          </w:p>
        </w:tc>
        <w:tc>
          <w:tcPr>
            <w:tcW w:w="1990" w:type="dxa"/>
            <w:tcBorders>
              <w:tl2br w:val="nil"/>
              <w:tr2bl w:val="nil"/>
            </w:tcBorders>
            <w:vAlign w:val="center"/>
          </w:tcPr>
          <w:p w14:paraId="3A9F6AE2">
            <w:pPr>
              <w:pStyle w:val="26"/>
              <w:rPr>
                <w:rFonts w:hint="default"/>
              </w:rPr>
            </w:pPr>
            <w:r>
              <w:t>0.184582234</w:t>
            </w:r>
          </w:p>
        </w:tc>
      </w:tr>
      <w:tr w14:paraId="366F9D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FECCDF">
            <w:pPr>
              <w:pStyle w:val="26"/>
              <w:rPr>
                <w:rFonts w:hint="default"/>
              </w:rPr>
            </w:pPr>
            <w:r>
              <w:t>注输、护理和防护器械</w:t>
            </w:r>
          </w:p>
        </w:tc>
        <w:tc>
          <w:tcPr>
            <w:tcW w:w="1405" w:type="dxa"/>
            <w:tcBorders>
              <w:tl2br w:val="nil"/>
              <w:tr2bl w:val="nil"/>
            </w:tcBorders>
            <w:vAlign w:val="center"/>
          </w:tcPr>
          <w:p w14:paraId="7F065A41">
            <w:pPr>
              <w:pStyle w:val="26"/>
              <w:rPr>
                <w:rFonts w:hint="default"/>
              </w:rPr>
            </w:pPr>
            <w:r>
              <w:t>mlp</w:t>
            </w:r>
          </w:p>
        </w:tc>
        <w:tc>
          <w:tcPr>
            <w:tcW w:w="2039" w:type="dxa"/>
            <w:tcBorders>
              <w:tl2br w:val="nil"/>
              <w:tr2bl w:val="nil"/>
            </w:tcBorders>
            <w:vAlign w:val="center"/>
          </w:tcPr>
          <w:p w14:paraId="31C16840">
            <w:pPr>
              <w:pStyle w:val="26"/>
              <w:rPr>
                <w:rFonts w:hint="default"/>
              </w:rPr>
            </w:pPr>
            <w:r>
              <w:t>0.118928966</w:t>
            </w:r>
          </w:p>
        </w:tc>
        <w:tc>
          <w:tcPr>
            <w:tcW w:w="1990" w:type="dxa"/>
            <w:tcBorders>
              <w:tl2br w:val="nil"/>
              <w:tr2bl w:val="nil"/>
            </w:tcBorders>
            <w:vAlign w:val="center"/>
          </w:tcPr>
          <w:p w14:paraId="63C923CF">
            <w:pPr>
              <w:pStyle w:val="26"/>
              <w:rPr>
                <w:rFonts w:hint="default"/>
              </w:rPr>
            </w:pPr>
            <w:r>
              <w:t>0.110467179</w:t>
            </w:r>
          </w:p>
        </w:tc>
      </w:tr>
      <w:tr w14:paraId="5ACCFF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303E1FB">
            <w:pPr>
              <w:pStyle w:val="26"/>
              <w:rPr>
                <w:rFonts w:hint="default"/>
              </w:rPr>
            </w:pPr>
            <w:r>
              <w:t>患者承载器械</w:t>
            </w:r>
          </w:p>
        </w:tc>
        <w:tc>
          <w:tcPr>
            <w:tcW w:w="1405" w:type="dxa"/>
            <w:tcBorders>
              <w:tl2br w:val="nil"/>
              <w:tr2bl w:val="nil"/>
            </w:tcBorders>
            <w:vAlign w:val="center"/>
          </w:tcPr>
          <w:p w14:paraId="77015776">
            <w:pPr>
              <w:pStyle w:val="26"/>
              <w:rPr>
                <w:rFonts w:hint="default"/>
              </w:rPr>
            </w:pPr>
            <w:r>
              <w:t>mlp</w:t>
            </w:r>
          </w:p>
        </w:tc>
        <w:tc>
          <w:tcPr>
            <w:tcW w:w="2039" w:type="dxa"/>
            <w:tcBorders>
              <w:tl2br w:val="nil"/>
              <w:tr2bl w:val="nil"/>
            </w:tcBorders>
            <w:vAlign w:val="center"/>
          </w:tcPr>
          <w:p w14:paraId="09853EAF">
            <w:pPr>
              <w:pStyle w:val="26"/>
              <w:rPr>
                <w:rFonts w:hint="default"/>
              </w:rPr>
            </w:pPr>
            <w:r>
              <w:t>0.16385814</w:t>
            </w:r>
          </w:p>
        </w:tc>
        <w:tc>
          <w:tcPr>
            <w:tcW w:w="1990" w:type="dxa"/>
            <w:tcBorders>
              <w:tl2br w:val="nil"/>
              <w:tr2bl w:val="nil"/>
            </w:tcBorders>
            <w:vAlign w:val="center"/>
          </w:tcPr>
          <w:p w14:paraId="57C279F1">
            <w:pPr>
              <w:pStyle w:val="26"/>
              <w:rPr>
                <w:rFonts w:hint="default"/>
              </w:rPr>
            </w:pPr>
            <w:r>
              <w:t>0.155918799</w:t>
            </w:r>
          </w:p>
        </w:tc>
      </w:tr>
      <w:tr w14:paraId="1880E2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5728907">
            <w:pPr>
              <w:pStyle w:val="26"/>
              <w:rPr>
                <w:rFonts w:hint="default"/>
              </w:rPr>
            </w:pPr>
            <w:r>
              <w:t>眼科器械</w:t>
            </w:r>
          </w:p>
        </w:tc>
        <w:tc>
          <w:tcPr>
            <w:tcW w:w="1405" w:type="dxa"/>
            <w:tcBorders>
              <w:tl2br w:val="nil"/>
              <w:tr2bl w:val="nil"/>
            </w:tcBorders>
            <w:vAlign w:val="center"/>
          </w:tcPr>
          <w:p w14:paraId="15FF7583">
            <w:pPr>
              <w:pStyle w:val="26"/>
              <w:rPr>
                <w:rFonts w:hint="default"/>
              </w:rPr>
            </w:pPr>
            <w:r>
              <w:t>mlp</w:t>
            </w:r>
          </w:p>
        </w:tc>
        <w:tc>
          <w:tcPr>
            <w:tcW w:w="2039" w:type="dxa"/>
            <w:tcBorders>
              <w:tl2br w:val="nil"/>
              <w:tr2bl w:val="nil"/>
            </w:tcBorders>
            <w:vAlign w:val="center"/>
          </w:tcPr>
          <w:p w14:paraId="044BDD43">
            <w:pPr>
              <w:pStyle w:val="26"/>
              <w:rPr>
                <w:rFonts w:hint="default"/>
              </w:rPr>
            </w:pPr>
            <w:r>
              <w:t>0.157853983</w:t>
            </w:r>
          </w:p>
        </w:tc>
        <w:tc>
          <w:tcPr>
            <w:tcW w:w="1990" w:type="dxa"/>
            <w:tcBorders>
              <w:tl2br w:val="nil"/>
              <w:tr2bl w:val="nil"/>
            </w:tcBorders>
            <w:vAlign w:val="center"/>
          </w:tcPr>
          <w:p w14:paraId="6D740F6E">
            <w:pPr>
              <w:pStyle w:val="26"/>
              <w:rPr>
                <w:rFonts w:hint="default"/>
              </w:rPr>
            </w:pPr>
            <w:r>
              <w:t>0.145614531</w:t>
            </w:r>
          </w:p>
        </w:tc>
      </w:tr>
      <w:tr w14:paraId="0939AB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386C57A">
            <w:pPr>
              <w:pStyle w:val="26"/>
              <w:rPr>
                <w:rFonts w:hint="default"/>
              </w:rPr>
            </w:pPr>
            <w:r>
              <w:t>口腔科器械</w:t>
            </w:r>
          </w:p>
        </w:tc>
        <w:tc>
          <w:tcPr>
            <w:tcW w:w="1405" w:type="dxa"/>
            <w:tcBorders>
              <w:tl2br w:val="nil"/>
              <w:tr2bl w:val="nil"/>
            </w:tcBorders>
            <w:vAlign w:val="center"/>
          </w:tcPr>
          <w:p w14:paraId="04528CE0">
            <w:pPr>
              <w:pStyle w:val="26"/>
              <w:rPr>
                <w:rFonts w:hint="default"/>
              </w:rPr>
            </w:pPr>
            <w:r>
              <w:t>mlp</w:t>
            </w:r>
          </w:p>
        </w:tc>
        <w:tc>
          <w:tcPr>
            <w:tcW w:w="2039" w:type="dxa"/>
            <w:tcBorders>
              <w:tl2br w:val="nil"/>
              <w:tr2bl w:val="nil"/>
            </w:tcBorders>
            <w:vAlign w:val="center"/>
          </w:tcPr>
          <w:p w14:paraId="6DF31FA6">
            <w:pPr>
              <w:pStyle w:val="26"/>
              <w:rPr>
                <w:rFonts w:hint="default"/>
              </w:rPr>
            </w:pPr>
            <w:r>
              <w:t>0.168319474</w:t>
            </w:r>
          </w:p>
        </w:tc>
        <w:tc>
          <w:tcPr>
            <w:tcW w:w="1990" w:type="dxa"/>
            <w:tcBorders>
              <w:tl2br w:val="nil"/>
              <w:tr2bl w:val="nil"/>
            </w:tcBorders>
            <w:vAlign w:val="center"/>
          </w:tcPr>
          <w:p w14:paraId="23121EF0">
            <w:pPr>
              <w:pStyle w:val="26"/>
              <w:rPr>
                <w:rFonts w:hint="default"/>
              </w:rPr>
            </w:pPr>
            <w:r>
              <w:t>0.143221929</w:t>
            </w:r>
          </w:p>
        </w:tc>
      </w:tr>
      <w:tr w14:paraId="1CD6DC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485EC5C">
            <w:pPr>
              <w:pStyle w:val="26"/>
              <w:rPr>
                <w:rFonts w:hint="default"/>
              </w:rPr>
            </w:pPr>
            <w:r>
              <w:t>妇产科、辅助生殖和避孕器械</w:t>
            </w:r>
          </w:p>
        </w:tc>
        <w:tc>
          <w:tcPr>
            <w:tcW w:w="1405" w:type="dxa"/>
            <w:tcBorders>
              <w:tl2br w:val="nil"/>
              <w:tr2bl w:val="nil"/>
            </w:tcBorders>
            <w:vAlign w:val="center"/>
          </w:tcPr>
          <w:p w14:paraId="20C9348E">
            <w:pPr>
              <w:pStyle w:val="26"/>
              <w:rPr>
                <w:rFonts w:hint="default"/>
              </w:rPr>
            </w:pPr>
            <w:r>
              <w:t>knn</w:t>
            </w:r>
          </w:p>
        </w:tc>
        <w:tc>
          <w:tcPr>
            <w:tcW w:w="2039" w:type="dxa"/>
            <w:tcBorders>
              <w:tl2br w:val="nil"/>
              <w:tr2bl w:val="nil"/>
            </w:tcBorders>
            <w:vAlign w:val="center"/>
          </w:tcPr>
          <w:p w14:paraId="61F1E8BA">
            <w:pPr>
              <w:pStyle w:val="26"/>
              <w:rPr>
                <w:rFonts w:hint="default"/>
              </w:rPr>
            </w:pPr>
            <w:r>
              <w:t>0.175837643</w:t>
            </w:r>
          </w:p>
        </w:tc>
        <w:tc>
          <w:tcPr>
            <w:tcW w:w="1990" w:type="dxa"/>
            <w:tcBorders>
              <w:tl2br w:val="nil"/>
              <w:tr2bl w:val="nil"/>
            </w:tcBorders>
            <w:vAlign w:val="center"/>
          </w:tcPr>
          <w:p w14:paraId="187A09CE">
            <w:pPr>
              <w:pStyle w:val="26"/>
              <w:rPr>
                <w:rFonts w:hint="default"/>
              </w:rPr>
            </w:pPr>
            <w:r>
              <w:t>0.181431399</w:t>
            </w:r>
          </w:p>
        </w:tc>
      </w:tr>
      <w:tr w14:paraId="71838C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9CF8111">
            <w:pPr>
              <w:pStyle w:val="26"/>
              <w:rPr>
                <w:rFonts w:hint="default"/>
              </w:rPr>
            </w:pPr>
            <w:r>
              <w:t>医用康复器械</w:t>
            </w:r>
          </w:p>
        </w:tc>
        <w:tc>
          <w:tcPr>
            <w:tcW w:w="1405" w:type="dxa"/>
            <w:tcBorders>
              <w:tl2br w:val="nil"/>
              <w:tr2bl w:val="nil"/>
            </w:tcBorders>
            <w:vAlign w:val="center"/>
          </w:tcPr>
          <w:p w14:paraId="2897615D">
            <w:pPr>
              <w:pStyle w:val="26"/>
              <w:rPr>
                <w:rFonts w:hint="default"/>
              </w:rPr>
            </w:pPr>
            <w:r>
              <w:t>knn</w:t>
            </w:r>
          </w:p>
        </w:tc>
        <w:tc>
          <w:tcPr>
            <w:tcW w:w="2039" w:type="dxa"/>
            <w:tcBorders>
              <w:tl2br w:val="nil"/>
              <w:tr2bl w:val="nil"/>
            </w:tcBorders>
            <w:vAlign w:val="center"/>
          </w:tcPr>
          <w:p w14:paraId="527EEDBF">
            <w:pPr>
              <w:pStyle w:val="26"/>
              <w:rPr>
                <w:rFonts w:hint="default"/>
              </w:rPr>
            </w:pPr>
            <w:r>
              <w:t>0.163571089</w:t>
            </w:r>
          </w:p>
        </w:tc>
        <w:tc>
          <w:tcPr>
            <w:tcW w:w="1990" w:type="dxa"/>
            <w:tcBorders>
              <w:tl2br w:val="nil"/>
              <w:tr2bl w:val="nil"/>
            </w:tcBorders>
            <w:vAlign w:val="center"/>
          </w:tcPr>
          <w:p w14:paraId="6A73A4BB">
            <w:pPr>
              <w:pStyle w:val="26"/>
              <w:rPr>
                <w:rFonts w:hint="default"/>
              </w:rPr>
            </w:pPr>
            <w:r>
              <w:t>0.164664325</w:t>
            </w:r>
          </w:p>
        </w:tc>
      </w:tr>
      <w:tr w14:paraId="6912D6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EBD5968">
            <w:pPr>
              <w:pStyle w:val="26"/>
              <w:rPr>
                <w:rFonts w:hint="default"/>
              </w:rPr>
            </w:pPr>
            <w:r>
              <w:t>中医器械</w:t>
            </w:r>
          </w:p>
        </w:tc>
        <w:tc>
          <w:tcPr>
            <w:tcW w:w="1405" w:type="dxa"/>
            <w:tcBorders>
              <w:tl2br w:val="nil"/>
              <w:tr2bl w:val="nil"/>
            </w:tcBorders>
            <w:vAlign w:val="center"/>
          </w:tcPr>
          <w:p w14:paraId="211BC8D2">
            <w:pPr>
              <w:pStyle w:val="26"/>
              <w:rPr>
                <w:rFonts w:hint="default"/>
              </w:rPr>
            </w:pPr>
            <w:r>
              <w:t>mlp</w:t>
            </w:r>
          </w:p>
        </w:tc>
        <w:tc>
          <w:tcPr>
            <w:tcW w:w="2039" w:type="dxa"/>
            <w:tcBorders>
              <w:tl2br w:val="nil"/>
              <w:tr2bl w:val="nil"/>
            </w:tcBorders>
            <w:vAlign w:val="center"/>
          </w:tcPr>
          <w:p w14:paraId="41F3D231">
            <w:pPr>
              <w:pStyle w:val="26"/>
              <w:rPr>
                <w:rFonts w:hint="default"/>
              </w:rPr>
            </w:pPr>
            <w:r>
              <w:t>0.156370375</w:t>
            </w:r>
          </w:p>
        </w:tc>
        <w:tc>
          <w:tcPr>
            <w:tcW w:w="1990" w:type="dxa"/>
            <w:tcBorders>
              <w:tl2br w:val="nil"/>
              <w:tr2bl w:val="nil"/>
            </w:tcBorders>
            <w:vAlign w:val="center"/>
          </w:tcPr>
          <w:p w14:paraId="41D37A97">
            <w:pPr>
              <w:pStyle w:val="26"/>
              <w:rPr>
                <w:rFonts w:hint="default"/>
              </w:rPr>
            </w:pPr>
            <w:r>
              <w:t>0.149115093</w:t>
            </w:r>
          </w:p>
        </w:tc>
      </w:tr>
      <w:tr w14:paraId="1F00D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2AAEA2C">
            <w:pPr>
              <w:pStyle w:val="26"/>
              <w:rPr>
                <w:rFonts w:hint="default"/>
              </w:rPr>
            </w:pPr>
            <w:r>
              <w:t>无源手术器械</w:t>
            </w:r>
          </w:p>
        </w:tc>
        <w:tc>
          <w:tcPr>
            <w:tcW w:w="1405" w:type="dxa"/>
            <w:tcBorders>
              <w:tl2br w:val="nil"/>
              <w:tr2bl w:val="nil"/>
            </w:tcBorders>
            <w:vAlign w:val="center"/>
          </w:tcPr>
          <w:p w14:paraId="41E662F7">
            <w:pPr>
              <w:pStyle w:val="26"/>
              <w:rPr>
                <w:rFonts w:hint="default"/>
              </w:rPr>
            </w:pPr>
            <w:r>
              <w:t>mlp</w:t>
            </w:r>
          </w:p>
        </w:tc>
        <w:tc>
          <w:tcPr>
            <w:tcW w:w="2039" w:type="dxa"/>
            <w:tcBorders>
              <w:tl2br w:val="nil"/>
              <w:tr2bl w:val="nil"/>
            </w:tcBorders>
            <w:vAlign w:val="center"/>
          </w:tcPr>
          <w:p w14:paraId="3E6F746C">
            <w:pPr>
              <w:pStyle w:val="26"/>
              <w:rPr>
                <w:rFonts w:hint="default"/>
              </w:rPr>
            </w:pPr>
            <w:r>
              <w:t>0.05061372</w:t>
            </w:r>
          </w:p>
        </w:tc>
        <w:tc>
          <w:tcPr>
            <w:tcW w:w="1990" w:type="dxa"/>
            <w:tcBorders>
              <w:tl2br w:val="nil"/>
              <w:tr2bl w:val="nil"/>
            </w:tcBorders>
            <w:vAlign w:val="center"/>
          </w:tcPr>
          <w:p w14:paraId="54D23324">
            <w:pPr>
              <w:pStyle w:val="26"/>
              <w:rPr>
                <w:rFonts w:hint="default"/>
              </w:rPr>
            </w:pPr>
            <w:r>
              <w:t>0.046914115</w:t>
            </w:r>
          </w:p>
        </w:tc>
      </w:tr>
      <w:tr w14:paraId="27AF15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9578EF">
            <w:pPr>
              <w:pStyle w:val="26"/>
              <w:rPr>
                <w:rFonts w:hint="default"/>
              </w:rPr>
            </w:pPr>
            <w:r>
              <w:t>医用软件</w:t>
            </w:r>
          </w:p>
        </w:tc>
        <w:tc>
          <w:tcPr>
            <w:tcW w:w="1405" w:type="dxa"/>
            <w:tcBorders>
              <w:tl2br w:val="nil"/>
              <w:tr2bl w:val="nil"/>
            </w:tcBorders>
            <w:vAlign w:val="center"/>
          </w:tcPr>
          <w:p w14:paraId="474D5565">
            <w:pPr>
              <w:pStyle w:val="26"/>
              <w:rPr>
                <w:rFonts w:hint="default"/>
              </w:rPr>
            </w:pPr>
            <w:r>
              <w:t>mlp</w:t>
            </w:r>
          </w:p>
        </w:tc>
        <w:tc>
          <w:tcPr>
            <w:tcW w:w="2039" w:type="dxa"/>
            <w:tcBorders>
              <w:tl2br w:val="nil"/>
              <w:tr2bl w:val="nil"/>
            </w:tcBorders>
            <w:vAlign w:val="center"/>
          </w:tcPr>
          <w:p w14:paraId="7CD1E52B">
            <w:pPr>
              <w:pStyle w:val="26"/>
              <w:rPr>
                <w:rFonts w:hint="default"/>
              </w:rPr>
            </w:pPr>
            <w:r>
              <w:t>0.135186458</w:t>
            </w:r>
          </w:p>
        </w:tc>
        <w:tc>
          <w:tcPr>
            <w:tcW w:w="1990" w:type="dxa"/>
            <w:tcBorders>
              <w:tl2br w:val="nil"/>
              <w:tr2bl w:val="nil"/>
            </w:tcBorders>
            <w:vAlign w:val="center"/>
          </w:tcPr>
          <w:p w14:paraId="1B51AEE4">
            <w:pPr>
              <w:pStyle w:val="26"/>
              <w:rPr>
                <w:rFonts w:hint="default"/>
              </w:rPr>
            </w:pPr>
            <w:r>
              <w:t>0.131656384</w:t>
            </w:r>
          </w:p>
        </w:tc>
      </w:tr>
      <w:tr w14:paraId="5235B0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D8C3F1">
            <w:pPr>
              <w:pStyle w:val="26"/>
              <w:rPr>
                <w:rFonts w:hint="default"/>
              </w:rPr>
            </w:pPr>
            <w:r>
              <w:t>临床检验器械</w:t>
            </w:r>
          </w:p>
        </w:tc>
        <w:tc>
          <w:tcPr>
            <w:tcW w:w="1405" w:type="dxa"/>
            <w:tcBorders>
              <w:tl2br w:val="nil"/>
              <w:tr2bl w:val="nil"/>
            </w:tcBorders>
            <w:vAlign w:val="center"/>
          </w:tcPr>
          <w:p w14:paraId="50E1B25E">
            <w:pPr>
              <w:pStyle w:val="26"/>
              <w:rPr>
                <w:rFonts w:hint="default"/>
              </w:rPr>
            </w:pPr>
            <w:r>
              <w:t>knn</w:t>
            </w:r>
          </w:p>
        </w:tc>
        <w:tc>
          <w:tcPr>
            <w:tcW w:w="2039" w:type="dxa"/>
            <w:tcBorders>
              <w:tl2br w:val="nil"/>
              <w:tr2bl w:val="nil"/>
            </w:tcBorders>
            <w:vAlign w:val="center"/>
          </w:tcPr>
          <w:p w14:paraId="7D84945E">
            <w:pPr>
              <w:pStyle w:val="26"/>
              <w:rPr>
                <w:rFonts w:hint="default"/>
              </w:rPr>
            </w:pPr>
            <w:r>
              <w:t>0.108278277</w:t>
            </w:r>
          </w:p>
        </w:tc>
        <w:tc>
          <w:tcPr>
            <w:tcW w:w="1990" w:type="dxa"/>
            <w:tcBorders>
              <w:tl2br w:val="nil"/>
              <w:tr2bl w:val="nil"/>
            </w:tcBorders>
            <w:vAlign w:val="center"/>
          </w:tcPr>
          <w:p w14:paraId="623CD148">
            <w:pPr>
              <w:pStyle w:val="26"/>
              <w:rPr>
                <w:rFonts w:hint="default"/>
              </w:rPr>
            </w:pPr>
            <w:r>
              <w:t>0.122580652</w:t>
            </w:r>
          </w:p>
        </w:tc>
      </w:tr>
      <w:tr w14:paraId="303398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0B42282">
            <w:pPr>
              <w:pStyle w:val="26"/>
              <w:rPr>
                <w:rFonts w:hint="default"/>
              </w:rPr>
            </w:pPr>
            <w:r>
              <w:t>神经和心血管手术器械</w:t>
            </w:r>
          </w:p>
        </w:tc>
        <w:tc>
          <w:tcPr>
            <w:tcW w:w="1405" w:type="dxa"/>
            <w:tcBorders>
              <w:tl2br w:val="nil"/>
              <w:tr2bl w:val="nil"/>
            </w:tcBorders>
            <w:vAlign w:val="center"/>
          </w:tcPr>
          <w:p w14:paraId="499CBA9B">
            <w:pPr>
              <w:pStyle w:val="26"/>
              <w:rPr>
                <w:rFonts w:hint="default"/>
              </w:rPr>
            </w:pPr>
            <w:r>
              <w:t>knn</w:t>
            </w:r>
          </w:p>
        </w:tc>
        <w:tc>
          <w:tcPr>
            <w:tcW w:w="2039" w:type="dxa"/>
            <w:tcBorders>
              <w:tl2br w:val="nil"/>
              <w:tr2bl w:val="nil"/>
            </w:tcBorders>
            <w:vAlign w:val="center"/>
          </w:tcPr>
          <w:p w14:paraId="1CAF9D02">
            <w:pPr>
              <w:pStyle w:val="26"/>
              <w:rPr>
                <w:rFonts w:hint="default"/>
              </w:rPr>
            </w:pPr>
            <w:r>
              <w:t>0.156878135</w:t>
            </w:r>
          </w:p>
        </w:tc>
        <w:tc>
          <w:tcPr>
            <w:tcW w:w="1990" w:type="dxa"/>
            <w:tcBorders>
              <w:tl2br w:val="nil"/>
              <w:tr2bl w:val="nil"/>
            </w:tcBorders>
            <w:vAlign w:val="center"/>
          </w:tcPr>
          <w:p w14:paraId="18272142">
            <w:pPr>
              <w:pStyle w:val="26"/>
              <w:rPr>
                <w:rFonts w:hint="default"/>
              </w:rPr>
            </w:pPr>
            <w:r>
              <w:t>0.182865774</w:t>
            </w:r>
          </w:p>
        </w:tc>
      </w:tr>
      <w:tr w14:paraId="7E0EBC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vAlign w:val="center"/>
          </w:tcPr>
          <w:p w14:paraId="6EA8EDC7">
            <w:pPr>
              <w:pStyle w:val="26"/>
              <w:ind w:firstLine="0" w:firstLineChars="0"/>
              <w:rPr>
                <w:rFonts w:hint="default" w:ascii="Times New Roman" w:hAnsi="Times New Roman" w:eastAsia="宋体" w:cstheme="minorBidi"/>
                <w:kern w:val="2"/>
                <w:sz w:val="21"/>
                <w:szCs w:val="21"/>
                <w:lang w:val="en-US" w:eastAsia="zh-CN" w:bidi="ar-SA"/>
              </w:rPr>
            </w:pPr>
            <w:r>
              <w:t>骨科手术器械</w:t>
            </w:r>
          </w:p>
        </w:tc>
        <w:tc>
          <w:tcPr>
            <w:tcW w:w="1405" w:type="dxa"/>
            <w:tcBorders>
              <w:tl2br w:val="nil"/>
              <w:tr2bl w:val="nil"/>
            </w:tcBorders>
            <w:shd w:val="clear"/>
            <w:vAlign w:val="center"/>
          </w:tcPr>
          <w:p w14:paraId="2D9A3A9D">
            <w:pPr>
              <w:pStyle w:val="26"/>
              <w:ind w:firstLine="0" w:firstLineChars="0"/>
              <w:rPr>
                <w:rFonts w:hint="default" w:ascii="Times New Roman" w:hAnsi="Times New Roman" w:eastAsia="宋体" w:cstheme="minorBidi"/>
                <w:kern w:val="2"/>
                <w:sz w:val="21"/>
                <w:szCs w:val="21"/>
                <w:lang w:val="en-US" w:eastAsia="zh-CN" w:bidi="ar-SA"/>
              </w:rPr>
            </w:pPr>
            <w:r>
              <w:t>mlp</w:t>
            </w:r>
          </w:p>
        </w:tc>
        <w:tc>
          <w:tcPr>
            <w:tcW w:w="2039" w:type="dxa"/>
            <w:tcBorders>
              <w:tl2br w:val="nil"/>
              <w:tr2bl w:val="nil"/>
            </w:tcBorders>
            <w:shd w:val="clear"/>
            <w:vAlign w:val="center"/>
          </w:tcPr>
          <w:p w14:paraId="508DC9CE">
            <w:pPr>
              <w:pStyle w:val="26"/>
              <w:ind w:firstLine="0" w:firstLineChars="0"/>
              <w:rPr>
                <w:rFonts w:hint="default" w:ascii="Times New Roman" w:hAnsi="Times New Roman" w:eastAsia="宋体" w:cstheme="minorBidi"/>
                <w:kern w:val="2"/>
                <w:sz w:val="21"/>
                <w:szCs w:val="21"/>
                <w:lang w:val="en-US" w:eastAsia="zh-CN" w:bidi="ar-SA"/>
              </w:rPr>
            </w:pPr>
            <w:r>
              <w:t>0.056881381</w:t>
            </w:r>
          </w:p>
        </w:tc>
        <w:tc>
          <w:tcPr>
            <w:tcW w:w="1990" w:type="dxa"/>
            <w:tcBorders>
              <w:tl2br w:val="nil"/>
              <w:tr2bl w:val="nil"/>
            </w:tcBorders>
            <w:shd w:val="clear"/>
            <w:vAlign w:val="center"/>
          </w:tcPr>
          <w:p w14:paraId="44608FC6">
            <w:pPr>
              <w:pStyle w:val="26"/>
              <w:ind w:firstLine="0" w:firstLineChars="0"/>
              <w:rPr>
                <w:rFonts w:hint="default" w:ascii="Times New Roman" w:hAnsi="Times New Roman" w:eastAsia="宋体" w:cstheme="minorBidi"/>
                <w:kern w:val="2"/>
                <w:sz w:val="21"/>
                <w:szCs w:val="21"/>
                <w:lang w:val="en-US" w:eastAsia="zh-CN" w:bidi="ar-SA"/>
              </w:rPr>
            </w:pPr>
            <w:r>
              <w:t>0.052935181</w:t>
            </w:r>
          </w:p>
        </w:tc>
      </w:tr>
      <w:tr w14:paraId="1FAFB4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vAlign w:val="center"/>
          </w:tcPr>
          <w:p w14:paraId="78968B0F">
            <w:pPr>
              <w:pStyle w:val="26"/>
              <w:ind w:firstLine="0" w:firstLineChars="0"/>
              <w:rPr>
                <w:rFonts w:hint="default" w:ascii="Times New Roman" w:hAnsi="Times New Roman" w:eastAsia="宋体" w:cstheme="minorBidi"/>
                <w:kern w:val="2"/>
                <w:sz w:val="21"/>
                <w:szCs w:val="21"/>
                <w:lang w:val="en-US" w:eastAsia="zh-CN" w:bidi="ar-SA"/>
              </w:rPr>
            </w:pPr>
            <w:r>
              <w:t>放射治疗器械</w:t>
            </w:r>
          </w:p>
        </w:tc>
        <w:tc>
          <w:tcPr>
            <w:tcW w:w="1405" w:type="dxa"/>
            <w:tcBorders>
              <w:tl2br w:val="nil"/>
              <w:tr2bl w:val="nil"/>
            </w:tcBorders>
            <w:shd w:val="clear"/>
            <w:vAlign w:val="center"/>
          </w:tcPr>
          <w:p w14:paraId="7EA63D12">
            <w:pPr>
              <w:pStyle w:val="26"/>
              <w:ind w:firstLine="0" w:firstLineChars="0"/>
              <w:rPr>
                <w:rFonts w:hint="default" w:ascii="Times New Roman" w:hAnsi="Times New Roman" w:eastAsia="宋体" w:cstheme="minorBidi"/>
                <w:kern w:val="2"/>
                <w:sz w:val="21"/>
                <w:szCs w:val="21"/>
                <w:lang w:val="en-US" w:eastAsia="zh-CN" w:bidi="ar-SA"/>
              </w:rPr>
            </w:pPr>
            <w:r>
              <w:t>knn</w:t>
            </w:r>
          </w:p>
        </w:tc>
        <w:tc>
          <w:tcPr>
            <w:tcW w:w="2039" w:type="dxa"/>
            <w:tcBorders>
              <w:tl2br w:val="nil"/>
              <w:tr2bl w:val="nil"/>
            </w:tcBorders>
            <w:shd w:val="clear"/>
            <w:vAlign w:val="center"/>
          </w:tcPr>
          <w:p w14:paraId="670883E1">
            <w:pPr>
              <w:pStyle w:val="26"/>
              <w:ind w:firstLine="0" w:firstLineChars="0"/>
              <w:rPr>
                <w:rFonts w:hint="default" w:ascii="Times New Roman" w:hAnsi="Times New Roman" w:eastAsia="宋体" w:cstheme="minorBidi"/>
                <w:kern w:val="2"/>
                <w:sz w:val="21"/>
                <w:szCs w:val="21"/>
                <w:lang w:val="en-US" w:eastAsia="zh-CN" w:bidi="ar-SA"/>
              </w:rPr>
            </w:pPr>
            <w:r>
              <w:t>0.164986065</w:t>
            </w:r>
          </w:p>
        </w:tc>
        <w:tc>
          <w:tcPr>
            <w:tcW w:w="1990" w:type="dxa"/>
            <w:tcBorders>
              <w:tl2br w:val="nil"/>
              <w:tr2bl w:val="nil"/>
            </w:tcBorders>
            <w:shd w:val="clear"/>
            <w:vAlign w:val="center"/>
          </w:tcPr>
          <w:p w14:paraId="49673BE4">
            <w:pPr>
              <w:pStyle w:val="26"/>
              <w:ind w:firstLine="0" w:firstLineChars="0"/>
              <w:rPr>
                <w:rFonts w:hint="default" w:ascii="Times New Roman" w:hAnsi="Times New Roman" w:eastAsia="宋体" w:cstheme="minorBidi"/>
                <w:kern w:val="2"/>
                <w:sz w:val="21"/>
                <w:szCs w:val="21"/>
                <w:lang w:val="en-US" w:eastAsia="zh-CN" w:bidi="ar-SA"/>
              </w:rPr>
            </w:pPr>
            <w:r>
              <w:t>0.178400641</w:t>
            </w:r>
          </w:p>
        </w:tc>
      </w:tr>
      <w:tr w14:paraId="2B8B2A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vAlign w:val="center"/>
          </w:tcPr>
          <w:p w14:paraId="085C613B">
            <w:pPr>
              <w:pStyle w:val="26"/>
              <w:ind w:firstLine="0" w:firstLineChars="0"/>
              <w:rPr>
                <w:rFonts w:hint="default" w:ascii="Times New Roman" w:hAnsi="Times New Roman" w:eastAsia="宋体" w:cstheme="minorBidi"/>
                <w:kern w:val="2"/>
                <w:sz w:val="21"/>
                <w:szCs w:val="21"/>
                <w:lang w:val="en-US" w:eastAsia="zh-CN" w:bidi="ar-SA"/>
              </w:rPr>
            </w:pPr>
            <w:r>
              <w:t>医用成像器械</w:t>
            </w:r>
          </w:p>
        </w:tc>
        <w:tc>
          <w:tcPr>
            <w:tcW w:w="1405" w:type="dxa"/>
            <w:tcBorders>
              <w:tl2br w:val="nil"/>
              <w:tr2bl w:val="nil"/>
            </w:tcBorders>
            <w:shd w:val="clear"/>
            <w:vAlign w:val="center"/>
          </w:tcPr>
          <w:p w14:paraId="3C218291">
            <w:pPr>
              <w:pStyle w:val="26"/>
              <w:ind w:firstLine="0" w:firstLineChars="0"/>
              <w:rPr>
                <w:rFonts w:hint="default" w:ascii="Times New Roman" w:hAnsi="Times New Roman" w:eastAsia="宋体" w:cstheme="minorBidi"/>
                <w:kern w:val="2"/>
                <w:sz w:val="21"/>
                <w:szCs w:val="21"/>
                <w:lang w:val="en-US" w:eastAsia="zh-CN" w:bidi="ar-SA"/>
              </w:rPr>
            </w:pPr>
            <w:r>
              <w:t>knn</w:t>
            </w:r>
          </w:p>
        </w:tc>
        <w:tc>
          <w:tcPr>
            <w:tcW w:w="2039" w:type="dxa"/>
            <w:tcBorders>
              <w:tl2br w:val="nil"/>
              <w:tr2bl w:val="nil"/>
            </w:tcBorders>
            <w:shd w:val="clear"/>
            <w:vAlign w:val="center"/>
          </w:tcPr>
          <w:p w14:paraId="5E495742">
            <w:pPr>
              <w:pStyle w:val="26"/>
              <w:ind w:firstLine="0" w:firstLineChars="0"/>
              <w:rPr>
                <w:rFonts w:hint="default" w:ascii="Times New Roman" w:hAnsi="Times New Roman" w:eastAsia="宋体" w:cstheme="minorBidi"/>
                <w:kern w:val="2"/>
                <w:sz w:val="21"/>
                <w:szCs w:val="21"/>
                <w:lang w:val="en-US" w:eastAsia="zh-CN" w:bidi="ar-SA"/>
              </w:rPr>
            </w:pPr>
            <w:r>
              <w:t>0.029504861</w:t>
            </w:r>
          </w:p>
        </w:tc>
        <w:tc>
          <w:tcPr>
            <w:tcW w:w="1990" w:type="dxa"/>
            <w:tcBorders>
              <w:tl2br w:val="nil"/>
              <w:tr2bl w:val="nil"/>
            </w:tcBorders>
            <w:shd w:val="clear"/>
            <w:vAlign w:val="center"/>
          </w:tcPr>
          <w:p w14:paraId="7F94A9A1">
            <w:pPr>
              <w:pStyle w:val="26"/>
              <w:ind w:firstLine="0" w:firstLineChars="0"/>
              <w:rPr>
                <w:rFonts w:hint="default" w:ascii="Times New Roman" w:hAnsi="Times New Roman" w:eastAsia="宋体" w:cstheme="minorBidi"/>
                <w:kern w:val="2"/>
                <w:sz w:val="21"/>
                <w:szCs w:val="21"/>
                <w:lang w:val="en-US" w:eastAsia="zh-CN" w:bidi="ar-SA"/>
              </w:rPr>
            </w:pPr>
            <w:r>
              <w:t>0.033317317</w:t>
            </w:r>
          </w:p>
        </w:tc>
      </w:tr>
      <w:tr w14:paraId="08C08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vAlign w:val="center"/>
          </w:tcPr>
          <w:p w14:paraId="78F1C63F">
            <w:pPr>
              <w:pStyle w:val="26"/>
              <w:ind w:firstLine="0" w:firstLineChars="0"/>
              <w:rPr>
                <w:rFonts w:hint="default" w:ascii="Times New Roman" w:hAnsi="Times New Roman" w:eastAsia="宋体" w:cstheme="minorBidi"/>
                <w:kern w:val="2"/>
                <w:sz w:val="21"/>
                <w:szCs w:val="21"/>
                <w:lang w:val="en-US" w:eastAsia="zh-CN" w:bidi="ar-SA"/>
              </w:rPr>
            </w:pPr>
            <w:r>
              <w:t>医用诊察和监护器械</w:t>
            </w:r>
          </w:p>
        </w:tc>
        <w:tc>
          <w:tcPr>
            <w:tcW w:w="1405" w:type="dxa"/>
            <w:tcBorders>
              <w:tl2br w:val="nil"/>
              <w:tr2bl w:val="nil"/>
            </w:tcBorders>
            <w:shd w:val="clear"/>
            <w:vAlign w:val="center"/>
          </w:tcPr>
          <w:p w14:paraId="26224D1C">
            <w:pPr>
              <w:pStyle w:val="26"/>
              <w:ind w:firstLine="0" w:firstLineChars="0"/>
              <w:rPr>
                <w:rFonts w:hint="default" w:ascii="Times New Roman" w:hAnsi="Times New Roman" w:eastAsia="宋体" w:cstheme="minorBidi"/>
                <w:kern w:val="2"/>
                <w:sz w:val="21"/>
                <w:szCs w:val="21"/>
                <w:lang w:val="en-US" w:eastAsia="zh-CN" w:bidi="ar-SA"/>
              </w:rPr>
            </w:pPr>
            <w:r>
              <w:t>knn</w:t>
            </w:r>
          </w:p>
        </w:tc>
        <w:tc>
          <w:tcPr>
            <w:tcW w:w="2039" w:type="dxa"/>
            <w:tcBorders>
              <w:tl2br w:val="nil"/>
              <w:tr2bl w:val="nil"/>
            </w:tcBorders>
            <w:shd w:val="clear"/>
            <w:vAlign w:val="center"/>
          </w:tcPr>
          <w:p w14:paraId="36A5B033">
            <w:pPr>
              <w:pStyle w:val="26"/>
              <w:ind w:firstLine="0" w:firstLineChars="0"/>
              <w:rPr>
                <w:rFonts w:hint="default" w:ascii="Times New Roman" w:hAnsi="Times New Roman" w:eastAsia="宋体" w:cstheme="minorBidi"/>
                <w:kern w:val="2"/>
                <w:sz w:val="21"/>
                <w:szCs w:val="21"/>
                <w:lang w:val="en-US" w:eastAsia="zh-CN" w:bidi="ar-SA"/>
              </w:rPr>
            </w:pPr>
            <w:r>
              <w:t>0.044292479</w:t>
            </w:r>
          </w:p>
        </w:tc>
        <w:tc>
          <w:tcPr>
            <w:tcW w:w="1990" w:type="dxa"/>
            <w:tcBorders>
              <w:tl2br w:val="nil"/>
              <w:tr2bl w:val="nil"/>
            </w:tcBorders>
            <w:shd w:val="clear"/>
            <w:vAlign w:val="center"/>
          </w:tcPr>
          <w:p w14:paraId="1CD275DA">
            <w:pPr>
              <w:pStyle w:val="26"/>
              <w:ind w:firstLine="0" w:firstLineChars="0"/>
              <w:rPr>
                <w:rFonts w:hint="default" w:ascii="Times New Roman" w:hAnsi="Times New Roman" w:eastAsia="宋体" w:cstheme="minorBidi"/>
                <w:kern w:val="2"/>
                <w:sz w:val="21"/>
                <w:szCs w:val="21"/>
                <w:lang w:val="en-US" w:eastAsia="zh-CN" w:bidi="ar-SA"/>
              </w:rPr>
            </w:pPr>
            <w:r>
              <w:t>0.045018019</w:t>
            </w:r>
          </w:p>
        </w:tc>
      </w:tr>
      <w:tr w14:paraId="6BE4A2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vAlign w:val="center"/>
          </w:tcPr>
          <w:p w14:paraId="2A536887">
            <w:pPr>
              <w:pStyle w:val="26"/>
              <w:ind w:firstLine="0" w:firstLineChars="0"/>
              <w:rPr>
                <w:rFonts w:hint="default" w:ascii="Times New Roman" w:hAnsi="Times New Roman" w:eastAsia="宋体" w:cstheme="minorBidi"/>
                <w:kern w:val="2"/>
                <w:sz w:val="21"/>
                <w:szCs w:val="21"/>
                <w:lang w:val="en-US" w:eastAsia="zh-CN" w:bidi="ar-SA"/>
              </w:rPr>
            </w:pPr>
            <w:r>
              <w:t>呼吸、麻醉和急救器械</w:t>
            </w:r>
          </w:p>
        </w:tc>
        <w:tc>
          <w:tcPr>
            <w:tcW w:w="1405" w:type="dxa"/>
            <w:tcBorders>
              <w:tl2br w:val="nil"/>
              <w:tr2bl w:val="nil"/>
            </w:tcBorders>
            <w:shd w:val="clear"/>
            <w:vAlign w:val="center"/>
          </w:tcPr>
          <w:p w14:paraId="7840B54C">
            <w:pPr>
              <w:pStyle w:val="26"/>
              <w:ind w:firstLine="0" w:firstLineChars="0"/>
              <w:rPr>
                <w:rFonts w:hint="default" w:ascii="Times New Roman" w:hAnsi="Times New Roman" w:eastAsia="宋体" w:cstheme="minorBidi"/>
                <w:kern w:val="2"/>
                <w:sz w:val="21"/>
                <w:szCs w:val="21"/>
                <w:lang w:val="en-US" w:eastAsia="zh-CN" w:bidi="ar-SA"/>
              </w:rPr>
            </w:pPr>
            <w:r>
              <w:t>mlp</w:t>
            </w:r>
          </w:p>
        </w:tc>
        <w:tc>
          <w:tcPr>
            <w:tcW w:w="2039" w:type="dxa"/>
            <w:tcBorders>
              <w:tl2br w:val="nil"/>
              <w:tr2bl w:val="nil"/>
            </w:tcBorders>
            <w:shd w:val="clear"/>
            <w:vAlign w:val="center"/>
          </w:tcPr>
          <w:p w14:paraId="249D6791">
            <w:pPr>
              <w:pStyle w:val="26"/>
              <w:ind w:firstLine="0" w:firstLineChars="0"/>
              <w:rPr>
                <w:rFonts w:hint="default" w:ascii="Times New Roman" w:hAnsi="Times New Roman" w:eastAsia="宋体" w:cstheme="minorBidi"/>
                <w:kern w:val="2"/>
                <w:sz w:val="21"/>
                <w:szCs w:val="21"/>
                <w:lang w:val="en-US" w:eastAsia="zh-CN" w:bidi="ar-SA"/>
              </w:rPr>
            </w:pPr>
            <w:r>
              <w:t>0.174426776</w:t>
            </w:r>
          </w:p>
        </w:tc>
        <w:tc>
          <w:tcPr>
            <w:tcW w:w="1990" w:type="dxa"/>
            <w:tcBorders>
              <w:tl2br w:val="nil"/>
              <w:tr2bl w:val="nil"/>
            </w:tcBorders>
            <w:shd w:val="clear"/>
            <w:vAlign w:val="center"/>
          </w:tcPr>
          <w:p w14:paraId="04C283CE">
            <w:pPr>
              <w:pStyle w:val="26"/>
              <w:ind w:firstLine="0" w:firstLineChars="0"/>
              <w:rPr>
                <w:rFonts w:hint="default" w:ascii="Times New Roman" w:hAnsi="Times New Roman" w:eastAsia="宋体" w:cstheme="minorBidi"/>
                <w:kern w:val="2"/>
                <w:sz w:val="21"/>
                <w:szCs w:val="21"/>
                <w:lang w:val="en-US" w:eastAsia="zh-CN" w:bidi="ar-SA"/>
              </w:rPr>
            </w:pPr>
            <w:r>
              <w:t>0.167441754</w:t>
            </w:r>
          </w:p>
        </w:tc>
      </w:tr>
      <w:tr w14:paraId="41716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vAlign w:val="center"/>
          </w:tcPr>
          <w:p w14:paraId="52B7B5D2">
            <w:pPr>
              <w:pStyle w:val="26"/>
              <w:ind w:firstLine="0" w:firstLineChars="0"/>
              <w:rPr>
                <w:rFonts w:hint="default" w:ascii="Times New Roman" w:hAnsi="Times New Roman" w:eastAsia="宋体" w:cstheme="minorBidi"/>
                <w:kern w:val="2"/>
                <w:sz w:val="21"/>
                <w:szCs w:val="21"/>
                <w:lang w:val="en-US" w:eastAsia="zh-CN" w:bidi="ar-SA"/>
              </w:rPr>
            </w:pPr>
            <w:r>
              <w:t>物理治疗器械</w:t>
            </w:r>
          </w:p>
        </w:tc>
        <w:tc>
          <w:tcPr>
            <w:tcW w:w="1405" w:type="dxa"/>
            <w:tcBorders>
              <w:tl2br w:val="nil"/>
              <w:tr2bl w:val="nil"/>
            </w:tcBorders>
            <w:shd w:val="clear"/>
            <w:vAlign w:val="center"/>
          </w:tcPr>
          <w:p w14:paraId="210B3FD3">
            <w:pPr>
              <w:pStyle w:val="26"/>
              <w:ind w:firstLine="0" w:firstLineChars="0"/>
              <w:rPr>
                <w:rFonts w:hint="default" w:ascii="Times New Roman" w:hAnsi="Times New Roman" w:eastAsia="宋体" w:cstheme="minorBidi"/>
                <w:kern w:val="2"/>
                <w:sz w:val="21"/>
                <w:szCs w:val="21"/>
                <w:lang w:val="en-US" w:eastAsia="zh-CN" w:bidi="ar-SA"/>
              </w:rPr>
            </w:pPr>
            <w:r>
              <w:t>mlp</w:t>
            </w:r>
          </w:p>
        </w:tc>
        <w:tc>
          <w:tcPr>
            <w:tcW w:w="2039" w:type="dxa"/>
            <w:tcBorders>
              <w:tl2br w:val="nil"/>
              <w:tr2bl w:val="nil"/>
            </w:tcBorders>
            <w:shd w:val="clear"/>
            <w:vAlign w:val="center"/>
          </w:tcPr>
          <w:p w14:paraId="57B45CCF">
            <w:pPr>
              <w:pStyle w:val="26"/>
              <w:ind w:firstLine="0" w:firstLineChars="0"/>
              <w:rPr>
                <w:rFonts w:hint="default" w:ascii="Times New Roman" w:hAnsi="Times New Roman" w:eastAsia="宋体" w:cstheme="minorBidi"/>
                <w:kern w:val="2"/>
                <w:sz w:val="21"/>
                <w:szCs w:val="21"/>
                <w:lang w:val="en-US" w:eastAsia="zh-CN" w:bidi="ar-SA"/>
              </w:rPr>
            </w:pPr>
            <w:r>
              <w:t>0.19472644</w:t>
            </w:r>
          </w:p>
        </w:tc>
        <w:tc>
          <w:tcPr>
            <w:tcW w:w="1990" w:type="dxa"/>
            <w:tcBorders>
              <w:tl2br w:val="nil"/>
              <w:tr2bl w:val="nil"/>
            </w:tcBorders>
            <w:shd w:val="clear"/>
            <w:vAlign w:val="center"/>
          </w:tcPr>
          <w:p w14:paraId="7F8649B9">
            <w:pPr>
              <w:pStyle w:val="26"/>
              <w:ind w:firstLine="0" w:firstLineChars="0"/>
              <w:rPr>
                <w:rFonts w:hint="default" w:ascii="Times New Roman" w:hAnsi="Times New Roman" w:eastAsia="宋体" w:cstheme="minorBidi"/>
                <w:kern w:val="2"/>
                <w:sz w:val="21"/>
                <w:szCs w:val="21"/>
                <w:lang w:val="en-US" w:eastAsia="zh-CN" w:bidi="ar-SA"/>
              </w:rPr>
            </w:pPr>
            <w:r>
              <w:t>0.188764668</w:t>
            </w:r>
          </w:p>
        </w:tc>
      </w:tr>
      <w:tr w14:paraId="113EB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vAlign w:val="center"/>
          </w:tcPr>
          <w:p w14:paraId="6B049651">
            <w:pPr>
              <w:pStyle w:val="26"/>
              <w:ind w:firstLine="0" w:firstLineChars="0"/>
              <w:rPr>
                <w:rFonts w:hint="default" w:ascii="Times New Roman" w:hAnsi="Times New Roman" w:eastAsia="宋体" w:cstheme="minorBidi"/>
                <w:kern w:val="2"/>
                <w:sz w:val="21"/>
                <w:szCs w:val="21"/>
                <w:lang w:val="en-US" w:eastAsia="zh-CN" w:bidi="ar-SA"/>
              </w:rPr>
            </w:pPr>
            <w:r>
              <w:t>输血、透析和体外循环器械</w:t>
            </w:r>
          </w:p>
        </w:tc>
        <w:tc>
          <w:tcPr>
            <w:tcW w:w="1405" w:type="dxa"/>
            <w:tcBorders>
              <w:tl2br w:val="nil"/>
              <w:tr2bl w:val="nil"/>
            </w:tcBorders>
            <w:shd w:val="clear"/>
            <w:vAlign w:val="center"/>
          </w:tcPr>
          <w:p w14:paraId="279397B6">
            <w:pPr>
              <w:pStyle w:val="26"/>
              <w:ind w:firstLine="0" w:firstLineChars="0"/>
              <w:rPr>
                <w:rFonts w:hint="default" w:ascii="Times New Roman" w:hAnsi="Times New Roman" w:eastAsia="宋体" w:cstheme="minorBidi"/>
                <w:kern w:val="2"/>
                <w:sz w:val="21"/>
                <w:szCs w:val="21"/>
                <w:lang w:val="en-US" w:eastAsia="zh-CN" w:bidi="ar-SA"/>
              </w:rPr>
            </w:pPr>
            <w:r>
              <w:t>mlp</w:t>
            </w:r>
          </w:p>
        </w:tc>
        <w:tc>
          <w:tcPr>
            <w:tcW w:w="2039" w:type="dxa"/>
            <w:tcBorders>
              <w:tl2br w:val="nil"/>
              <w:tr2bl w:val="nil"/>
            </w:tcBorders>
            <w:shd w:val="clear"/>
            <w:vAlign w:val="center"/>
          </w:tcPr>
          <w:p w14:paraId="6C1B1B14">
            <w:pPr>
              <w:pStyle w:val="26"/>
              <w:ind w:firstLine="0" w:firstLineChars="0"/>
              <w:rPr>
                <w:rFonts w:hint="default" w:ascii="Times New Roman" w:hAnsi="Times New Roman" w:eastAsia="宋体" w:cstheme="minorBidi"/>
                <w:kern w:val="2"/>
                <w:sz w:val="21"/>
                <w:szCs w:val="21"/>
                <w:lang w:val="en-US" w:eastAsia="zh-CN" w:bidi="ar-SA"/>
              </w:rPr>
            </w:pPr>
            <w:r>
              <w:t>0.159247257</w:t>
            </w:r>
          </w:p>
        </w:tc>
        <w:tc>
          <w:tcPr>
            <w:tcW w:w="1990" w:type="dxa"/>
            <w:tcBorders>
              <w:tl2br w:val="nil"/>
              <w:tr2bl w:val="nil"/>
            </w:tcBorders>
            <w:shd w:val="clear"/>
            <w:vAlign w:val="center"/>
          </w:tcPr>
          <w:p w14:paraId="38AAC30D">
            <w:pPr>
              <w:pStyle w:val="26"/>
              <w:ind w:firstLine="0" w:firstLineChars="0"/>
              <w:rPr>
                <w:rFonts w:hint="default" w:ascii="Times New Roman" w:hAnsi="Times New Roman" w:eastAsia="宋体" w:cstheme="minorBidi"/>
                <w:kern w:val="2"/>
                <w:sz w:val="21"/>
                <w:szCs w:val="21"/>
                <w:lang w:val="en-US" w:eastAsia="zh-CN" w:bidi="ar-SA"/>
              </w:rPr>
            </w:pPr>
            <w:r>
              <w:t>0.151398573</w:t>
            </w:r>
          </w:p>
        </w:tc>
      </w:tr>
    </w:tbl>
    <w:p w14:paraId="2FACDD0C">
      <w:pPr>
        <w:ind w:firstLine="480"/>
        <w:rPr>
          <w:rFonts w:hint="eastAsia"/>
        </w:rPr>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770C6E5F">
      <w:pPr>
        <w:ind w:firstLine="480"/>
      </w:pPr>
      <w:r>
        <w:rPr>
          <w:rFonts w:hint="eastAsia"/>
        </w:rPr>
        <w:t>基于上述评估结果，本研究最终选择基于MLP模型的预测结果执行抽样，并设定JS散度阈值为0.10，以严格控制子集的分布偏差，采用多随机种子优选策略。对每个一级类别，从[0,100000]范围内随机生成30个候选随机种子，分别抽样并计算抽样分布与原始分布的JS散度，最终选取使JS散度最小化的随机种子。最终的抽样参数及结果详见表3-5，共获得1104条样本组成数据集D2</w:t>
      </w:r>
      <w:r>
        <w:rPr>
          <w:rFonts w:hint="eastAsia" w:hAnsi="Cambria Math"/>
        </w:rPr>
        <w:t>。</w:t>
      </w:r>
      <w:r>
        <w:rPr>
          <w:rFonts w:hint="eastAsia"/>
        </w:rPr>
        <w:t>在专家完成对数据集D2的标注工作后，该数据集将用于后续检验自动标注工作流的性能。</w:t>
      </w:r>
    </w:p>
    <w:p w14:paraId="453DAF84">
      <w:pPr>
        <w:pStyle w:val="25"/>
        <w:rPr>
          <w:rFonts w:hint="default"/>
        </w:rPr>
      </w:pPr>
      <w:r>
        <w:t>表3-5  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74428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6A833949">
            <w:pPr>
              <w:pStyle w:val="26"/>
              <w:rPr>
                <w:rFonts w:hint="default"/>
              </w:rPr>
            </w:pPr>
            <w:r>
              <w:t>一级产品类别</w:t>
            </w:r>
          </w:p>
        </w:tc>
        <w:tc>
          <w:tcPr>
            <w:tcW w:w="1402" w:type="dxa"/>
            <w:tcBorders>
              <w:bottom w:val="single" w:color="auto" w:sz="6" w:space="0"/>
              <w:tl2br w:val="nil"/>
              <w:tr2bl w:val="nil"/>
            </w:tcBorders>
            <w:vAlign w:val="center"/>
          </w:tcPr>
          <w:p w14:paraId="473999A9">
            <w:pPr>
              <w:pStyle w:val="26"/>
              <w:rPr>
                <w:rFonts w:hint="default"/>
              </w:rPr>
            </w:pPr>
            <w:r>
              <w:t>随机种子</w:t>
            </w:r>
          </w:p>
        </w:tc>
        <w:tc>
          <w:tcPr>
            <w:tcW w:w="2131" w:type="dxa"/>
            <w:tcBorders>
              <w:bottom w:val="single" w:color="auto" w:sz="6" w:space="0"/>
              <w:tl2br w:val="nil"/>
              <w:tr2bl w:val="nil"/>
            </w:tcBorders>
            <w:vAlign w:val="center"/>
          </w:tcPr>
          <w:p w14:paraId="07C8B0B4">
            <w:pPr>
              <w:pStyle w:val="26"/>
              <w:rPr>
                <w:rFonts w:hint="default"/>
              </w:rPr>
            </w:pPr>
            <w:r>
              <w:t>JS散度</w:t>
            </w:r>
          </w:p>
        </w:tc>
        <w:tc>
          <w:tcPr>
            <w:tcW w:w="2131" w:type="dxa"/>
            <w:tcBorders>
              <w:bottom w:val="single" w:color="auto" w:sz="6" w:space="0"/>
              <w:tl2br w:val="nil"/>
              <w:tr2bl w:val="nil"/>
            </w:tcBorders>
            <w:vAlign w:val="center"/>
          </w:tcPr>
          <w:p w14:paraId="392FA7BB">
            <w:pPr>
              <w:pStyle w:val="26"/>
              <w:rPr>
                <w:rFonts w:hint="default"/>
              </w:rPr>
            </w:pPr>
            <w:r>
              <w:t>样本数</w:t>
            </w:r>
          </w:p>
        </w:tc>
      </w:tr>
      <w:tr w14:paraId="159D3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388A9753">
            <w:pPr>
              <w:pStyle w:val="26"/>
              <w:rPr>
                <w:rFonts w:hint="default"/>
              </w:rPr>
            </w:pPr>
            <w:r>
              <w:t>有源手术器械</w:t>
            </w:r>
          </w:p>
        </w:tc>
        <w:tc>
          <w:tcPr>
            <w:tcW w:w="1402" w:type="dxa"/>
            <w:tcBorders>
              <w:top w:val="single" w:color="auto" w:sz="6" w:space="0"/>
            </w:tcBorders>
            <w:vAlign w:val="center"/>
          </w:tcPr>
          <w:p w14:paraId="37DC297D">
            <w:pPr>
              <w:pStyle w:val="26"/>
              <w:rPr>
                <w:rFonts w:hint="default"/>
              </w:rPr>
            </w:pPr>
            <w:r>
              <w:t>26188</w:t>
            </w:r>
          </w:p>
        </w:tc>
        <w:tc>
          <w:tcPr>
            <w:tcW w:w="2131" w:type="dxa"/>
            <w:tcBorders>
              <w:top w:val="single" w:color="auto" w:sz="6" w:space="0"/>
            </w:tcBorders>
            <w:vAlign w:val="center"/>
          </w:tcPr>
          <w:p w14:paraId="14306E30">
            <w:pPr>
              <w:pStyle w:val="26"/>
              <w:rPr>
                <w:rFonts w:hint="default"/>
              </w:rPr>
            </w:pPr>
            <w:r>
              <w:t>0.033737689</w:t>
            </w:r>
          </w:p>
        </w:tc>
        <w:tc>
          <w:tcPr>
            <w:tcW w:w="2131" w:type="dxa"/>
            <w:tcBorders>
              <w:top w:val="single" w:color="auto" w:sz="6" w:space="0"/>
            </w:tcBorders>
            <w:vAlign w:val="center"/>
          </w:tcPr>
          <w:p w14:paraId="20FFEFBF">
            <w:pPr>
              <w:pStyle w:val="26"/>
              <w:rPr>
                <w:rFonts w:hint="default"/>
              </w:rPr>
            </w:pPr>
            <w:r>
              <w:t>87</w:t>
            </w:r>
          </w:p>
        </w:tc>
      </w:tr>
      <w:tr w14:paraId="22C83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632E34">
            <w:pPr>
              <w:pStyle w:val="26"/>
              <w:rPr>
                <w:rFonts w:hint="default"/>
              </w:rPr>
            </w:pPr>
            <w:r>
              <w:t>无源手术器械</w:t>
            </w:r>
          </w:p>
        </w:tc>
        <w:tc>
          <w:tcPr>
            <w:tcW w:w="1402" w:type="dxa"/>
            <w:tcBorders>
              <w:tl2br w:val="nil"/>
              <w:tr2bl w:val="nil"/>
            </w:tcBorders>
            <w:vAlign w:val="center"/>
          </w:tcPr>
          <w:p w14:paraId="59F06A8A">
            <w:pPr>
              <w:pStyle w:val="26"/>
              <w:rPr>
                <w:rFonts w:hint="default"/>
              </w:rPr>
            </w:pPr>
            <w:r>
              <w:t>3196</w:t>
            </w:r>
          </w:p>
        </w:tc>
        <w:tc>
          <w:tcPr>
            <w:tcW w:w="2131" w:type="dxa"/>
            <w:tcBorders>
              <w:tl2br w:val="nil"/>
              <w:tr2bl w:val="nil"/>
            </w:tcBorders>
            <w:vAlign w:val="center"/>
          </w:tcPr>
          <w:p w14:paraId="77340E51">
            <w:pPr>
              <w:pStyle w:val="26"/>
              <w:rPr>
                <w:rFonts w:hint="default"/>
              </w:rPr>
            </w:pPr>
            <w:r>
              <w:t>0.022548032</w:t>
            </w:r>
          </w:p>
        </w:tc>
        <w:tc>
          <w:tcPr>
            <w:tcW w:w="2131" w:type="dxa"/>
            <w:tcBorders>
              <w:tl2br w:val="nil"/>
              <w:tr2bl w:val="nil"/>
            </w:tcBorders>
            <w:vAlign w:val="center"/>
          </w:tcPr>
          <w:p w14:paraId="23161FA1">
            <w:pPr>
              <w:pStyle w:val="26"/>
              <w:rPr>
                <w:rFonts w:hint="default"/>
              </w:rPr>
            </w:pPr>
            <w:r>
              <w:t>98</w:t>
            </w:r>
          </w:p>
        </w:tc>
      </w:tr>
      <w:tr w14:paraId="7D9F4D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12139">
            <w:pPr>
              <w:pStyle w:val="26"/>
              <w:rPr>
                <w:rFonts w:hint="default"/>
              </w:rPr>
            </w:pPr>
            <w:r>
              <w:t>神经和心血管手术器械</w:t>
            </w:r>
          </w:p>
        </w:tc>
        <w:tc>
          <w:tcPr>
            <w:tcW w:w="1402" w:type="dxa"/>
            <w:tcBorders>
              <w:tl2br w:val="nil"/>
              <w:tr2bl w:val="nil"/>
            </w:tcBorders>
            <w:vAlign w:val="center"/>
          </w:tcPr>
          <w:p w14:paraId="75E46D62">
            <w:pPr>
              <w:pStyle w:val="26"/>
              <w:rPr>
                <w:rFonts w:hint="default"/>
              </w:rPr>
            </w:pPr>
            <w:r>
              <w:t>34133</w:t>
            </w:r>
          </w:p>
        </w:tc>
        <w:tc>
          <w:tcPr>
            <w:tcW w:w="2131" w:type="dxa"/>
            <w:tcBorders>
              <w:tl2br w:val="nil"/>
              <w:tr2bl w:val="nil"/>
            </w:tcBorders>
            <w:vAlign w:val="center"/>
          </w:tcPr>
          <w:p w14:paraId="5745352C">
            <w:pPr>
              <w:pStyle w:val="26"/>
              <w:rPr>
                <w:rFonts w:hint="default"/>
              </w:rPr>
            </w:pPr>
            <w:r>
              <w:t>0.096770088</w:t>
            </w:r>
          </w:p>
        </w:tc>
        <w:tc>
          <w:tcPr>
            <w:tcW w:w="2131" w:type="dxa"/>
            <w:tcBorders>
              <w:tl2br w:val="nil"/>
              <w:tr2bl w:val="nil"/>
            </w:tcBorders>
            <w:vAlign w:val="center"/>
          </w:tcPr>
          <w:p w14:paraId="1515BA78">
            <w:pPr>
              <w:pStyle w:val="26"/>
              <w:rPr>
                <w:rFonts w:hint="default"/>
              </w:rPr>
            </w:pPr>
            <w:r>
              <w:t>33</w:t>
            </w:r>
          </w:p>
        </w:tc>
      </w:tr>
      <w:tr w14:paraId="756CCE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5EEC63">
            <w:pPr>
              <w:pStyle w:val="26"/>
              <w:rPr>
                <w:rFonts w:hint="default"/>
              </w:rPr>
            </w:pPr>
            <w:r>
              <w:t>骨科手术器械</w:t>
            </w:r>
          </w:p>
        </w:tc>
        <w:tc>
          <w:tcPr>
            <w:tcW w:w="1402" w:type="dxa"/>
            <w:tcBorders>
              <w:tl2br w:val="nil"/>
              <w:tr2bl w:val="nil"/>
            </w:tcBorders>
            <w:vAlign w:val="center"/>
          </w:tcPr>
          <w:p w14:paraId="4B9F867A">
            <w:pPr>
              <w:pStyle w:val="26"/>
              <w:rPr>
                <w:rFonts w:hint="default"/>
              </w:rPr>
            </w:pPr>
            <w:r>
              <w:t>73197</w:t>
            </w:r>
          </w:p>
        </w:tc>
        <w:tc>
          <w:tcPr>
            <w:tcW w:w="2131" w:type="dxa"/>
            <w:tcBorders>
              <w:tl2br w:val="nil"/>
              <w:tr2bl w:val="nil"/>
            </w:tcBorders>
            <w:vAlign w:val="center"/>
          </w:tcPr>
          <w:p w14:paraId="41F6E178">
            <w:pPr>
              <w:pStyle w:val="26"/>
              <w:rPr>
                <w:rFonts w:hint="default"/>
              </w:rPr>
            </w:pPr>
            <w:r>
              <w:t>0.024987938</w:t>
            </w:r>
          </w:p>
        </w:tc>
        <w:tc>
          <w:tcPr>
            <w:tcW w:w="2131" w:type="dxa"/>
            <w:tcBorders>
              <w:tl2br w:val="nil"/>
              <w:tr2bl w:val="nil"/>
            </w:tcBorders>
            <w:vAlign w:val="center"/>
          </w:tcPr>
          <w:p w14:paraId="373488B1">
            <w:pPr>
              <w:pStyle w:val="26"/>
              <w:rPr>
                <w:rFonts w:hint="default"/>
              </w:rPr>
            </w:pPr>
            <w:r>
              <w:t>93</w:t>
            </w:r>
          </w:p>
        </w:tc>
      </w:tr>
      <w:tr w14:paraId="515D41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A46B33D">
            <w:pPr>
              <w:pStyle w:val="26"/>
              <w:rPr>
                <w:rFonts w:hint="default"/>
              </w:rPr>
            </w:pPr>
            <w:r>
              <w:t>放射治疗器械</w:t>
            </w:r>
          </w:p>
        </w:tc>
        <w:tc>
          <w:tcPr>
            <w:tcW w:w="1402" w:type="dxa"/>
            <w:tcBorders>
              <w:tl2br w:val="nil"/>
              <w:tr2bl w:val="nil"/>
            </w:tcBorders>
            <w:vAlign w:val="center"/>
          </w:tcPr>
          <w:p w14:paraId="3557157C">
            <w:pPr>
              <w:pStyle w:val="26"/>
              <w:rPr>
                <w:rFonts w:hint="default"/>
              </w:rPr>
            </w:pPr>
            <w:r>
              <w:t>47955</w:t>
            </w:r>
          </w:p>
        </w:tc>
        <w:tc>
          <w:tcPr>
            <w:tcW w:w="2131" w:type="dxa"/>
            <w:tcBorders>
              <w:tl2br w:val="nil"/>
              <w:tr2bl w:val="nil"/>
            </w:tcBorders>
            <w:vAlign w:val="center"/>
          </w:tcPr>
          <w:p w14:paraId="68E00638">
            <w:pPr>
              <w:pStyle w:val="26"/>
              <w:rPr>
                <w:rFonts w:hint="default"/>
              </w:rPr>
            </w:pPr>
            <w:r>
              <w:t>0.098357227</w:t>
            </w:r>
          </w:p>
        </w:tc>
        <w:tc>
          <w:tcPr>
            <w:tcW w:w="2131" w:type="dxa"/>
            <w:tcBorders>
              <w:tl2br w:val="nil"/>
              <w:tr2bl w:val="nil"/>
            </w:tcBorders>
            <w:vAlign w:val="center"/>
          </w:tcPr>
          <w:p w14:paraId="755B79D1">
            <w:pPr>
              <w:pStyle w:val="26"/>
              <w:rPr>
                <w:rFonts w:hint="default"/>
              </w:rPr>
            </w:pPr>
            <w:r>
              <w:t>30</w:t>
            </w:r>
          </w:p>
        </w:tc>
      </w:tr>
      <w:tr w14:paraId="148A31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19B78E2">
            <w:pPr>
              <w:pStyle w:val="26"/>
              <w:rPr>
                <w:rFonts w:hint="default"/>
              </w:rPr>
            </w:pPr>
            <w:r>
              <w:t>医用成像器械</w:t>
            </w:r>
          </w:p>
        </w:tc>
        <w:tc>
          <w:tcPr>
            <w:tcW w:w="1402" w:type="dxa"/>
            <w:tcBorders>
              <w:tl2br w:val="nil"/>
              <w:tr2bl w:val="nil"/>
            </w:tcBorders>
            <w:vAlign w:val="center"/>
          </w:tcPr>
          <w:p w14:paraId="4479156C">
            <w:pPr>
              <w:pStyle w:val="26"/>
              <w:rPr>
                <w:rFonts w:hint="default"/>
              </w:rPr>
            </w:pPr>
            <w:r>
              <w:t>86387</w:t>
            </w:r>
          </w:p>
        </w:tc>
        <w:tc>
          <w:tcPr>
            <w:tcW w:w="2131" w:type="dxa"/>
            <w:tcBorders>
              <w:tl2br w:val="nil"/>
              <w:tr2bl w:val="nil"/>
            </w:tcBorders>
            <w:vAlign w:val="center"/>
          </w:tcPr>
          <w:p w14:paraId="7437A739">
            <w:pPr>
              <w:pStyle w:val="26"/>
              <w:rPr>
                <w:rFonts w:hint="default"/>
              </w:rPr>
            </w:pPr>
            <w:r>
              <w:t>0.018465222</w:t>
            </w:r>
          </w:p>
        </w:tc>
        <w:tc>
          <w:tcPr>
            <w:tcW w:w="2131" w:type="dxa"/>
            <w:tcBorders>
              <w:tl2br w:val="nil"/>
              <w:tr2bl w:val="nil"/>
            </w:tcBorders>
            <w:vAlign w:val="center"/>
          </w:tcPr>
          <w:p w14:paraId="16173CF5">
            <w:pPr>
              <w:pStyle w:val="26"/>
              <w:rPr>
                <w:rFonts w:hint="default"/>
              </w:rPr>
            </w:pPr>
            <w:r>
              <w:t>153</w:t>
            </w:r>
          </w:p>
        </w:tc>
      </w:tr>
      <w:tr w14:paraId="57F66D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8FA769">
            <w:pPr>
              <w:pStyle w:val="26"/>
              <w:rPr>
                <w:rFonts w:hint="default"/>
              </w:rPr>
            </w:pPr>
            <w:r>
              <w:t>医用诊察和监护器械</w:t>
            </w:r>
          </w:p>
        </w:tc>
        <w:tc>
          <w:tcPr>
            <w:tcW w:w="1402" w:type="dxa"/>
            <w:tcBorders>
              <w:tl2br w:val="nil"/>
              <w:tr2bl w:val="nil"/>
            </w:tcBorders>
            <w:vAlign w:val="center"/>
          </w:tcPr>
          <w:p w14:paraId="66162E1A">
            <w:pPr>
              <w:pStyle w:val="26"/>
              <w:rPr>
                <w:rFonts w:hint="default"/>
              </w:rPr>
            </w:pPr>
            <w:r>
              <w:t>49560</w:t>
            </w:r>
          </w:p>
        </w:tc>
        <w:tc>
          <w:tcPr>
            <w:tcW w:w="2131" w:type="dxa"/>
            <w:tcBorders>
              <w:tl2br w:val="nil"/>
              <w:tr2bl w:val="nil"/>
            </w:tcBorders>
            <w:vAlign w:val="center"/>
          </w:tcPr>
          <w:p w14:paraId="7BF375CE">
            <w:pPr>
              <w:pStyle w:val="26"/>
              <w:rPr>
                <w:rFonts w:hint="default"/>
              </w:rPr>
            </w:pPr>
            <w:r>
              <w:t>0.030922054</w:t>
            </w:r>
          </w:p>
        </w:tc>
        <w:tc>
          <w:tcPr>
            <w:tcW w:w="2131" w:type="dxa"/>
            <w:tcBorders>
              <w:tl2br w:val="nil"/>
              <w:tr2bl w:val="nil"/>
            </w:tcBorders>
            <w:vAlign w:val="center"/>
          </w:tcPr>
          <w:p w14:paraId="45FB6249">
            <w:pPr>
              <w:pStyle w:val="26"/>
              <w:rPr>
                <w:rFonts w:hint="default"/>
              </w:rPr>
            </w:pPr>
            <w:r>
              <w:t>106</w:t>
            </w:r>
          </w:p>
        </w:tc>
      </w:tr>
      <w:tr w14:paraId="516E50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3D39F51">
            <w:pPr>
              <w:pStyle w:val="26"/>
              <w:rPr>
                <w:rFonts w:hint="default"/>
              </w:rPr>
            </w:pPr>
            <w:r>
              <w:t>呼吸、麻醉和急救器械</w:t>
            </w:r>
          </w:p>
        </w:tc>
        <w:tc>
          <w:tcPr>
            <w:tcW w:w="1402" w:type="dxa"/>
            <w:tcBorders>
              <w:tl2br w:val="nil"/>
              <w:tr2bl w:val="nil"/>
            </w:tcBorders>
            <w:vAlign w:val="center"/>
          </w:tcPr>
          <w:p w14:paraId="0893BBC6">
            <w:pPr>
              <w:pStyle w:val="26"/>
              <w:rPr>
                <w:rFonts w:hint="default"/>
              </w:rPr>
            </w:pPr>
            <w:r>
              <w:t>44410</w:t>
            </w:r>
          </w:p>
        </w:tc>
        <w:tc>
          <w:tcPr>
            <w:tcW w:w="2131" w:type="dxa"/>
            <w:tcBorders>
              <w:tl2br w:val="nil"/>
              <w:tr2bl w:val="nil"/>
            </w:tcBorders>
            <w:vAlign w:val="center"/>
          </w:tcPr>
          <w:p w14:paraId="26974A23">
            <w:pPr>
              <w:pStyle w:val="26"/>
              <w:rPr>
                <w:rFonts w:hint="default"/>
              </w:rPr>
            </w:pPr>
            <w:r>
              <w:t>0.093776998</w:t>
            </w:r>
          </w:p>
        </w:tc>
        <w:tc>
          <w:tcPr>
            <w:tcW w:w="2131" w:type="dxa"/>
            <w:tcBorders>
              <w:tl2br w:val="nil"/>
              <w:tr2bl w:val="nil"/>
            </w:tcBorders>
            <w:vAlign w:val="center"/>
          </w:tcPr>
          <w:p w14:paraId="1503E4D4">
            <w:pPr>
              <w:pStyle w:val="26"/>
              <w:rPr>
                <w:rFonts w:hint="default"/>
              </w:rPr>
            </w:pPr>
            <w:r>
              <w:t>30</w:t>
            </w:r>
          </w:p>
        </w:tc>
      </w:tr>
      <w:tr w14:paraId="5B0E3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01D2814">
            <w:pPr>
              <w:pStyle w:val="26"/>
              <w:rPr>
                <w:rFonts w:hint="default"/>
              </w:rPr>
            </w:pPr>
            <w:r>
              <w:t>物理治疗器械</w:t>
            </w:r>
          </w:p>
        </w:tc>
        <w:tc>
          <w:tcPr>
            <w:tcW w:w="1402" w:type="dxa"/>
            <w:tcBorders>
              <w:tl2br w:val="nil"/>
              <w:tr2bl w:val="nil"/>
            </w:tcBorders>
            <w:vAlign w:val="center"/>
          </w:tcPr>
          <w:p w14:paraId="49973592">
            <w:pPr>
              <w:pStyle w:val="26"/>
              <w:rPr>
                <w:rFonts w:hint="default"/>
              </w:rPr>
            </w:pPr>
            <w:r>
              <w:t>97968</w:t>
            </w:r>
          </w:p>
        </w:tc>
        <w:tc>
          <w:tcPr>
            <w:tcW w:w="2131" w:type="dxa"/>
            <w:tcBorders>
              <w:tl2br w:val="nil"/>
              <w:tr2bl w:val="nil"/>
            </w:tcBorders>
            <w:vAlign w:val="center"/>
          </w:tcPr>
          <w:p w14:paraId="48EF059E">
            <w:pPr>
              <w:pStyle w:val="26"/>
              <w:rPr>
                <w:rFonts w:hint="default"/>
              </w:rPr>
            </w:pPr>
            <w:r>
              <w:t>0.098341415</w:t>
            </w:r>
          </w:p>
        </w:tc>
        <w:tc>
          <w:tcPr>
            <w:tcW w:w="2131" w:type="dxa"/>
            <w:tcBorders>
              <w:tl2br w:val="nil"/>
              <w:tr2bl w:val="nil"/>
            </w:tcBorders>
            <w:vAlign w:val="center"/>
          </w:tcPr>
          <w:p w14:paraId="14B7679A">
            <w:pPr>
              <w:pStyle w:val="26"/>
              <w:rPr>
                <w:rFonts w:hint="default"/>
              </w:rPr>
            </w:pPr>
            <w:r>
              <w:t>30</w:t>
            </w:r>
          </w:p>
        </w:tc>
      </w:tr>
      <w:tr w14:paraId="2CBB15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D3A95B">
            <w:pPr>
              <w:pStyle w:val="26"/>
              <w:rPr>
                <w:rFonts w:hint="default"/>
              </w:rPr>
            </w:pPr>
            <w:r>
              <w:t>输血、透析和体外循环器械</w:t>
            </w:r>
          </w:p>
        </w:tc>
        <w:tc>
          <w:tcPr>
            <w:tcW w:w="1402" w:type="dxa"/>
            <w:tcBorders>
              <w:tl2br w:val="nil"/>
              <w:tr2bl w:val="nil"/>
            </w:tcBorders>
            <w:vAlign w:val="center"/>
          </w:tcPr>
          <w:p w14:paraId="3514D65C">
            <w:pPr>
              <w:pStyle w:val="26"/>
              <w:rPr>
                <w:rFonts w:hint="default"/>
              </w:rPr>
            </w:pPr>
            <w:r>
              <w:t>36487</w:t>
            </w:r>
          </w:p>
        </w:tc>
        <w:tc>
          <w:tcPr>
            <w:tcW w:w="2131" w:type="dxa"/>
            <w:tcBorders>
              <w:tl2br w:val="nil"/>
              <w:tr2bl w:val="nil"/>
            </w:tcBorders>
            <w:vAlign w:val="center"/>
          </w:tcPr>
          <w:p w14:paraId="7B705A24">
            <w:pPr>
              <w:pStyle w:val="26"/>
              <w:rPr>
                <w:rFonts w:hint="default"/>
              </w:rPr>
            </w:pPr>
            <w:r>
              <w:t>0.096868525</w:t>
            </w:r>
          </w:p>
        </w:tc>
        <w:tc>
          <w:tcPr>
            <w:tcW w:w="2131" w:type="dxa"/>
            <w:tcBorders>
              <w:tl2br w:val="nil"/>
              <w:tr2bl w:val="nil"/>
            </w:tcBorders>
            <w:vAlign w:val="center"/>
          </w:tcPr>
          <w:p w14:paraId="203F054D">
            <w:pPr>
              <w:pStyle w:val="26"/>
              <w:rPr>
                <w:rFonts w:hint="default"/>
              </w:rPr>
            </w:pPr>
            <w:r>
              <w:t>30</w:t>
            </w:r>
          </w:p>
        </w:tc>
      </w:tr>
      <w:tr w14:paraId="7240EC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0459685">
            <w:pPr>
              <w:pStyle w:val="26"/>
              <w:rPr>
                <w:rFonts w:hint="default"/>
              </w:rPr>
            </w:pPr>
            <w:r>
              <w:t>医疗器械消毒灭菌器械</w:t>
            </w:r>
          </w:p>
        </w:tc>
        <w:tc>
          <w:tcPr>
            <w:tcW w:w="1402" w:type="dxa"/>
            <w:tcBorders>
              <w:tl2br w:val="nil"/>
              <w:tr2bl w:val="nil"/>
            </w:tcBorders>
            <w:vAlign w:val="center"/>
          </w:tcPr>
          <w:p w14:paraId="28AC293C">
            <w:pPr>
              <w:pStyle w:val="26"/>
              <w:rPr>
                <w:rFonts w:hint="default"/>
              </w:rPr>
            </w:pPr>
            <w:r>
              <w:t>25224</w:t>
            </w:r>
          </w:p>
        </w:tc>
        <w:tc>
          <w:tcPr>
            <w:tcW w:w="2131" w:type="dxa"/>
            <w:tcBorders>
              <w:tl2br w:val="nil"/>
              <w:tr2bl w:val="nil"/>
            </w:tcBorders>
            <w:vAlign w:val="center"/>
          </w:tcPr>
          <w:p w14:paraId="6FB6B01F">
            <w:pPr>
              <w:pStyle w:val="26"/>
              <w:rPr>
                <w:rFonts w:hint="default"/>
              </w:rPr>
            </w:pPr>
            <w:r>
              <w:t>0.080329158</w:t>
            </w:r>
          </w:p>
        </w:tc>
        <w:tc>
          <w:tcPr>
            <w:tcW w:w="2131" w:type="dxa"/>
            <w:tcBorders>
              <w:tl2br w:val="nil"/>
              <w:tr2bl w:val="nil"/>
            </w:tcBorders>
            <w:vAlign w:val="center"/>
          </w:tcPr>
          <w:p w14:paraId="4E8F807C">
            <w:pPr>
              <w:pStyle w:val="26"/>
              <w:rPr>
                <w:rFonts w:hint="default"/>
              </w:rPr>
            </w:pPr>
            <w:r>
              <w:t>30</w:t>
            </w:r>
          </w:p>
        </w:tc>
      </w:tr>
      <w:tr w14:paraId="2C6908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FB1D0CB">
            <w:pPr>
              <w:pStyle w:val="26"/>
              <w:rPr>
                <w:rFonts w:hint="default"/>
              </w:rPr>
            </w:pPr>
            <w:r>
              <w:t>有源植入器械</w:t>
            </w:r>
          </w:p>
        </w:tc>
        <w:tc>
          <w:tcPr>
            <w:tcW w:w="1402" w:type="dxa"/>
            <w:tcBorders>
              <w:tl2br w:val="nil"/>
              <w:tr2bl w:val="nil"/>
            </w:tcBorders>
            <w:vAlign w:val="center"/>
          </w:tcPr>
          <w:p w14:paraId="23A3D031">
            <w:pPr>
              <w:pStyle w:val="26"/>
              <w:rPr>
                <w:rFonts w:hint="default"/>
              </w:rPr>
            </w:pPr>
            <w:r>
              <w:t>42267</w:t>
            </w:r>
          </w:p>
        </w:tc>
        <w:tc>
          <w:tcPr>
            <w:tcW w:w="2131" w:type="dxa"/>
            <w:tcBorders>
              <w:tl2br w:val="nil"/>
              <w:tr2bl w:val="nil"/>
            </w:tcBorders>
            <w:vAlign w:val="center"/>
          </w:tcPr>
          <w:p w14:paraId="5E76B679">
            <w:pPr>
              <w:pStyle w:val="26"/>
              <w:rPr>
                <w:rFonts w:hint="default"/>
              </w:rPr>
            </w:pPr>
            <w:r>
              <w:t>0.075740376</w:t>
            </w:r>
          </w:p>
        </w:tc>
        <w:tc>
          <w:tcPr>
            <w:tcW w:w="2131" w:type="dxa"/>
            <w:tcBorders>
              <w:tl2br w:val="nil"/>
              <w:tr2bl w:val="nil"/>
            </w:tcBorders>
            <w:vAlign w:val="center"/>
          </w:tcPr>
          <w:p w14:paraId="0B433586">
            <w:pPr>
              <w:pStyle w:val="26"/>
              <w:rPr>
                <w:rFonts w:hint="default"/>
              </w:rPr>
            </w:pPr>
            <w:r>
              <w:t>30</w:t>
            </w:r>
          </w:p>
        </w:tc>
      </w:tr>
      <w:tr w14:paraId="255006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887597">
            <w:pPr>
              <w:pStyle w:val="26"/>
              <w:rPr>
                <w:rFonts w:hint="default"/>
              </w:rPr>
            </w:pPr>
            <w:r>
              <w:t>无源植入器械</w:t>
            </w:r>
          </w:p>
        </w:tc>
        <w:tc>
          <w:tcPr>
            <w:tcW w:w="1402" w:type="dxa"/>
            <w:tcBorders>
              <w:tl2br w:val="nil"/>
              <w:tr2bl w:val="nil"/>
            </w:tcBorders>
            <w:vAlign w:val="center"/>
          </w:tcPr>
          <w:p w14:paraId="1214079C">
            <w:pPr>
              <w:pStyle w:val="26"/>
              <w:rPr>
                <w:rFonts w:hint="default"/>
              </w:rPr>
            </w:pPr>
            <w:r>
              <w:t>7809</w:t>
            </w:r>
          </w:p>
        </w:tc>
        <w:tc>
          <w:tcPr>
            <w:tcW w:w="2131" w:type="dxa"/>
            <w:tcBorders>
              <w:tl2br w:val="nil"/>
              <w:tr2bl w:val="nil"/>
            </w:tcBorders>
            <w:vAlign w:val="center"/>
          </w:tcPr>
          <w:p w14:paraId="2574B8C6">
            <w:pPr>
              <w:pStyle w:val="26"/>
              <w:rPr>
                <w:rFonts w:hint="default"/>
              </w:rPr>
            </w:pPr>
            <w:r>
              <w:t>0.091205331</w:t>
            </w:r>
          </w:p>
        </w:tc>
        <w:tc>
          <w:tcPr>
            <w:tcW w:w="2131" w:type="dxa"/>
            <w:tcBorders>
              <w:tl2br w:val="nil"/>
              <w:tr2bl w:val="nil"/>
            </w:tcBorders>
            <w:vAlign w:val="center"/>
          </w:tcPr>
          <w:p w14:paraId="09E15A40">
            <w:pPr>
              <w:pStyle w:val="26"/>
              <w:rPr>
                <w:rFonts w:hint="default"/>
              </w:rPr>
            </w:pPr>
            <w:r>
              <w:t>30</w:t>
            </w:r>
          </w:p>
        </w:tc>
      </w:tr>
      <w:tr w14:paraId="598F10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A0F2CB1">
            <w:pPr>
              <w:pStyle w:val="26"/>
              <w:rPr>
                <w:rFonts w:hint="default"/>
              </w:rPr>
            </w:pPr>
            <w:r>
              <w:t>注输、护理和防护器械</w:t>
            </w:r>
          </w:p>
        </w:tc>
        <w:tc>
          <w:tcPr>
            <w:tcW w:w="1402" w:type="dxa"/>
            <w:tcBorders>
              <w:tl2br w:val="nil"/>
              <w:tr2bl w:val="nil"/>
            </w:tcBorders>
            <w:vAlign w:val="center"/>
          </w:tcPr>
          <w:p w14:paraId="03323EEC">
            <w:pPr>
              <w:pStyle w:val="26"/>
              <w:rPr>
                <w:rFonts w:hint="default"/>
              </w:rPr>
            </w:pPr>
            <w:r>
              <w:t>84598</w:t>
            </w:r>
          </w:p>
        </w:tc>
        <w:tc>
          <w:tcPr>
            <w:tcW w:w="2131" w:type="dxa"/>
            <w:tcBorders>
              <w:tl2br w:val="nil"/>
              <w:tr2bl w:val="nil"/>
            </w:tcBorders>
            <w:vAlign w:val="center"/>
          </w:tcPr>
          <w:p w14:paraId="39A49530">
            <w:pPr>
              <w:pStyle w:val="26"/>
              <w:rPr>
                <w:rFonts w:hint="default"/>
              </w:rPr>
            </w:pPr>
            <w:r>
              <w:t>0.052954787</w:t>
            </w:r>
          </w:p>
        </w:tc>
        <w:tc>
          <w:tcPr>
            <w:tcW w:w="2131" w:type="dxa"/>
            <w:tcBorders>
              <w:tl2br w:val="nil"/>
              <w:tr2bl w:val="nil"/>
            </w:tcBorders>
            <w:vAlign w:val="center"/>
          </w:tcPr>
          <w:p w14:paraId="79FC27C8">
            <w:pPr>
              <w:pStyle w:val="26"/>
              <w:rPr>
                <w:rFonts w:hint="default"/>
              </w:rPr>
            </w:pPr>
            <w:r>
              <w:t>52</w:t>
            </w:r>
          </w:p>
        </w:tc>
      </w:tr>
      <w:tr w14:paraId="0EB615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06E628D">
            <w:pPr>
              <w:pStyle w:val="26"/>
              <w:rPr>
                <w:rFonts w:hint="default"/>
              </w:rPr>
            </w:pPr>
            <w:r>
              <w:t>患者承载器械</w:t>
            </w:r>
          </w:p>
        </w:tc>
        <w:tc>
          <w:tcPr>
            <w:tcW w:w="1402" w:type="dxa"/>
            <w:tcBorders>
              <w:tl2br w:val="nil"/>
              <w:tr2bl w:val="nil"/>
            </w:tcBorders>
            <w:vAlign w:val="center"/>
          </w:tcPr>
          <w:p w14:paraId="05C7A121">
            <w:pPr>
              <w:pStyle w:val="26"/>
              <w:rPr>
                <w:rFonts w:hint="default"/>
              </w:rPr>
            </w:pPr>
            <w:r>
              <w:t>13402</w:t>
            </w:r>
          </w:p>
        </w:tc>
        <w:tc>
          <w:tcPr>
            <w:tcW w:w="2131" w:type="dxa"/>
            <w:tcBorders>
              <w:tl2br w:val="nil"/>
              <w:tr2bl w:val="nil"/>
            </w:tcBorders>
            <w:vAlign w:val="center"/>
          </w:tcPr>
          <w:p w14:paraId="567D23A9">
            <w:pPr>
              <w:pStyle w:val="26"/>
              <w:rPr>
                <w:rFonts w:hint="default"/>
              </w:rPr>
            </w:pPr>
            <w:r>
              <w:t>0.087097231</w:t>
            </w:r>
          </w:p>
        </w:tc>
        <w:tc>
          <w:tcPr>
            <w:tcW w:w="2131" w:type="dxa"/>
            <w:tcBorders>
              <w:tl2br w:val="nil"/>
              <w:tr2bl w:val="nil"/>
            </w:tcBorders>
            <w:vAlign w:val="center"/>
          </w:tcPr>
          <w:p w14:paraId="19CDFED6">
            <w:pPr>
              <w:pStyle w:val="26"/>
              <w:rPr>
                <w:rFonts w:hint="default"/>
              </w:rPr>
            </w:pPr>
            <w:r>
              <w:t>30</w:t>
            </w:r>
          </w:p>
        </w:tc>
      </w:tr>
      <w:tr w14:paraId="7997F2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A65E32A">
            <w:pPr>
              <w:pStyle w:val="26"/>
              <w:rPr>
                <w:rFonts w:hint="default"/>
              </w:rPr>
            </w:pPr>
            <w:r>
              <w:t>眼科器械</w:t>
            </w:r>
          </w:p>
        </w:tc>
        <w:tc>
          <w:tcPr>
            <w:tcW w:w="1402" w:type="dxa"/>
            <w:tcBorders>
              <w:tl2br w:val="nil"/>
              <w:tr2bl w:val="nil"/>
            </w:tcBorders>
            <w:vAlign w:val="center"/>
          </w:tcPr>
          <w:p w14:paraId="31C8C8C1">
            <w:pPr>
              <w:pStyle w:val="26"/>
              <w:rPr>
                <w:rFonts w:hint="default"/>
              </w:rPr>
            </w:pPr>
            <w:r>
              <w:t>65667</w:t>
            </w:r>
          </w:p>
        </w:tc>
        <w:tc>
          <w:tcPr>
            <w:tcW w:w="2131" w:type="dxa"/>
            <w:tcBorders>
              <w:tl2br w:val="nil"/>
              <w:tr2bl w:val="nil"/>
            </w:tcBorders>
            <w:vAlign w:val="center"/>
          </w:tcPr>
          <w:p w14:paraId="7ECA6FBF">
            <w:pPr>
              <w:pStyle w:val="26"/>
              <w:rPr>
                <w:rFonts w:hint="default"/>
              </w:rPr>
            </w:pPr>
            <w:r>
              <w:t>0.067403703</w:t>
            </w:r>
          </w:p>
        </w:tc>
        <w:tc>
          <w:tcPr>
            <w:tcW w:w="2131" w:type="dxa"/>
            <w:tcBorders>
              <w:tl2br w:val="nil"/>
              <w:tr2bl w:val="nil"/>
            </w:tcBorders>
            <w:vAlign w:val="center"/>
          </w:tcPr>
          <w:p w14:paraId="372DF836">
            <w:pPr>
              <w:pStyle w:val="26"/>
              <w:rPr>
                <w:rFonts w:hint="default"/>
              </w:rPr>
            </w:pPr>
            <w:r>
              <w:t>33</w:t>
            </w:r>
          </w:p>
        </w:tc>
      </w:tr>
      <w:tr w14:paraId="75BDD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shd w:val="clear"/>
            <w:vAlign w:val="center"/>
          </w:tcPr>
          <w:p w14:paraId="0A52AF22">
            <w:pPr>
              <w:pStyle w:val="26"/>
              <w:ind w:firstLine="0" w:firstLineChars="0"/>
              <w:rPr>
                <w:rFonts w:hint="default" w:ascii="Times New Roman" w:hAnsi="Times New Roman" w:eastAsia="宋体" w:cstheme="minorBidi"/>
                <w:kern w:val="2"/>
                <w:sz w:val="21"/>
                <w:szCs w:val="21"/>
                <w:lang w:val="en-US" w:eastAsia="zh-CN" w:bidi="ar-SA"/>
              </w:rPr>
            </w:pPr>
            <w:bookmarkStart w:id="138" w:name="_Toc216114500"/>
            <w:r>
              <w:t>口腔科器械</w:t>
            </w:r>
          </w:p>
        </w:tc>
        <w:tc>
          <w:tcPr>
            <w:tcW w:w="1402" w:type="dxa"/>
            <w:tcBorders>
              <w:tl2br w:val="nil"/>
              <w:tr2bl w:val="nil"/>
            </w:tcBorders>
            <w:shd w:val="clear"/>
            <w:vAlign w:val="center"/>
          </w:tcPr>
          <w:p w14:paraId="206E194D">
            <w:pPr>
              <w:pStyle w:val="26"/>
              <w:ind w:firstLine="0" w:firstLineChars="0"/>
              <w:rPr>
                <w:rFonts w:hint="default" w:ascii="Times New Roman" w:hAnsi="Times New Roman" w:eastAsia="宋体" w:cstheme="minorBidi"/>
                <w:kern w:val="2"/>
                <w:sz w:val="21"/>
                <w:szCs w:val="21"/>
                <w:lang w:val="en-US" w:eastAsia="zh-CN" w:bidi="ar-SA"/>
              </w:rPr>
            </w:pPr>
            <w:r>
              <w:t>69618</w:t>
            </w:r>
          </w:p>
        </w:tc>
        <w:tc>
          <w:tcPr>
            <w:tcW w:w="2131" w:type="dxa"/>
            <w:tcBorders>
              <w:tl2br w:val="nil"/>
              <w:tr2bl w:val="nil"/>
            </w:tcBorders>
            <w:shd w:val="clear"/>
            <w:vAlign w:val="center"/>
          </w:tcPr>
          <w:p w14:paraId="7698D12B">
            <w:pPr>
              <w:pStyle w:val="26"/>
              <w:ind w:firstLine="0" w:firstLineChars="0"/>
              <w:rPr>
                <w:rFonts w:hint="default" w:ascii="Times New Roman" w:hAnsi="Times New Roman" w:eastAsia="宋体" w:cstheme="minorBidi"/>
                <w:kern w:val="2"/>
                <w:sz w:val="21"/>
                <w:szCs w:val="21"/>
                <w:lang w:val="en-US" w:eastAsia="zh-CN" w:bidi="ar-SA"/>
              </w:rPr>
            </w:pPr>
            <w:r>
              <w:t>0.061515223</w:t>
            </w:r>
          </w:p>
        </w:tc>
        <w:tc>
          <w:tcPr>
            <w:tcW w:w="2131" w:type="dxa"/>
            <w:tcBorders>
              <w:tl2br w:val="nil"/>
              <w:tr2bl w:val="nil"/>
            </w:tcBorders>
            <w:shd w:val="clear"/>
            <w:vAlign w:val="center"/>
          </w:tcPr>
          <w:p w14:paraId="5C3C8256">
            <w:pPr>
              <w:pStyle w:val="26"/>
              <w:ind w:firstLine="0" w:firstLineChars="0"/>
              <w:rPr>
                <w:rFonts w:hint="default" w:ascii="Times New Roman" w:hAnsi="Times New Roman" w:eastAsia="宋体" w:cstheme="minorBidi"/>
                <w:kern w:val="2"/>
                <w:sz w:val="21"/>
                <w:szCs w:val="21"/>
                <w:lang w:val="en-US" w:eastAsia="zh-CN" w:bidi="ar-SA"/>
              </w:rPr>
            </w:pPr>
            <w:r>
              <w:t>30</w:t>
            </w:r>
          </w:p>
        </w:tc>
      </w:tr>
    </w:tbl>
    <w:p w14:paraId="36D61432">
      <w:pPr>
        <w:pStyle w:val="25"/>
      </w:pPr>
      <w:r>
        <w:t>续表3-5  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A0D04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4757F528">
            <w:pPr>
              <w:pStyle w:val="26"/>
              <w:rPr>
                <w:rFonts w:hint="default"/>
              </w:rPr>
            </w:pPr>
            <w:r>
              <w:t>一级产品类别</w:t>
            </w:r>
          </w:p>
        </w:tc>
        <w:tc>
          <w:tcPr>
            <w:tcW w:w="1402" w:type="dxa"/>
            <w:tcBorders>
              <w:bottom w:val="single" w:color="auto" w:sz="6" w:space="0"/>
              <w:tl2br w:val="nil"/>
              <w:tr2bl w:val="nil"/>
            </w:tcBorders>
            <w:vAlign w:val="center"/>
          </w:tcPr>
          <w:p w14:paraId="1464E5E3">
            <w:pPr>
              <w:pStyle w:val="26"/>
              <w:rPr>
                <w:rFonts w:hint="default"/>
              </w:rPr>
            </w:pPr>
            <w:r>
              <w:t>随机种子</w:t>
            </w:r>
          </w:p>
        </w:tc>
        <w:tc>
          <w:tcPr>
            <w:tcW w:w="2131" w:type="dxa"/>
            <w:tcBorders>
              <w:bottom w:val="single" w:color="auto" w:sz="6" w:space="0"/>
              <w:tl2br w:val="nil"/>
              <w:tr2bl w:val="nil"/>
            </w:tcBorders>
            <w:vAlign w:val="center"/>
          </w:tcPr>
          <w:p w14:paraId="7DD3ED95">
            <w:pPr>
              <w:pStyle w:val="26"/>
              <w:rPr>
                <w:rFonts w:hint="default"/>
              </w:rPr>
            </w:pPr>
            <w:r>
              <w:t>JS散度</w:t>
            </w:r>
          </w:p>
        </w:tc>
        <w:tc>
          <w:tcPr>
            <w:tcW w:w="2131" w:type="dxa"/>
            <w:tcBorders>
              <w:bottom w:val="single" w:color="auto" w:sz="6" w:space="0"/>
              <w:tl2br w:val="nil"/>
              <w:tr2bl w:val="nil"/>
            </w:tcBorders>
            <w:vAlign w:val="center"/>
          </w:tcPr>
          <w:p w14:paraId="464E6F34">
            <w:pPr>
              <w:pStyle w:val="26"/>
              <w:rPr>
                <w:rFonts w:hint="default"/>
              </w:rPr>
            </w:pPr>
            <w:r>
              <w:t>样本数</w:t>
            </w:r>
          </w:p>
        </w:tc>
      </w:tr>
      <w:tr w14:paraId="59842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145BD1">
            <w:pPr>
              <w:pStyle w:val="26"/>
              <w:rPr>
                <w:rFonts w:hint="default"/>
              </w:rPr>
            </w:pPr>
            <w:r>
              <w:t>妇产科、辅助生殖和避孕器械</w:t>
            </w:r>
          </w:p>
        </w:tc>
        <w:tc>
          <w:tcPr>
            <w:tcW w:w="1402" w:type="dxa"/>
            <w:tcBorders>
              <w:tl2br w:val="nil"/>
              <w:tr2bl w:val="nil"/>
            </w:tcBorders>
            <w:vAlign w:val="center"/>
          </w:tcPr>
          <w:p w14:paraId="79130F27">
            <w:pPr>
              <w:pStyle w:val="26"/>
              <w:rPr>
                <w:rFonts w:hint="default"/>
              </w:rPr>
            </w:pPr>
            <w:r>
              <w:t>69647</w:t>
            </w:r>
          </w:p>
        </w:tc>
        <w:tc>
          <w:tcPr>
            <w:tcW w:w="2131" w:type="dxa"/>
            <w:tcBorders>
              <w:tl2br w:val="nil"/>
              <w:tr2bl w:val="nil"/>
            </w:tcBorders>
            <w:vAlign w:val="center"/>
          </w:tcPr>
          <w:p w14:paraId="6B394E24">
            <w:pPr>
              <w:pStyle w:val="26"/>
              <w:rPr>
                <w:rFonts w:hint="default"/>
              </w:rPr>
            </w:pPr>
            <w:r>
              <w:t>0.091536967</w:t>
            </w:r>
          </w:p>
        </w:tc>
        <w:tc>
          <w:tcPr>
            <w:tcW w:w="2131" w:type="dxa"/>
            <w:tcBorders>
              <w:tl2br w:val="nil"/>
              <w:tr2bl w:val="nil"/>
            </w:tcBorders>
            <w:vAlign w:val="center"/>
          </w:tcPr>
          <w:p w14:paraId="1077A867">
            <w:pPr>
              <w:pStyle w:val="26"/>
              <w:rPr>
                <w:rFonts w:hint="default"/>
              </w:rPr>
            </w:pPr>
            <w:r>
              <w:t>30</w:t>
            </w:r>
          </w:p>
        </w:tc>
      </w:tr>
      <w:tr w14:paraId="5C0FE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E8563D4">
            <w:pPr>
              <w:pStyle w:val="26"/>
              <w:rPr>
                <w:rFonts w:hint="default"/>
              </w:rPr>
            </w:pPr>
            <w:r>
              <w:t>医用康复器械</w:t>
            </w:r>
          </w:p>
        </w:tc>
        <w:tc>
          <w:tcPr>
            <w:tcW w:w="1402" w:type="dxa"/>
            <w:tcBorders>
              <w:tl2br w:val="nil"/>
              <w:tr2bl w:val="nil"/>
            </w:tcBorders>
            <w:vAlign w:val="center"/>
          </w:tcPr>
          <w:p w14:paraId="1E539ACD">
            <w:pPr>
              <w:pStyle w:val="26"/>
              <w:rPr>
                <w:rFonts w:hint="default"/>
              </w:rPr>
            </w:pPr>
            <w:r>
              <w:t>38419</w:t>
            </w:r>
          </w:p>
        </w:tc>
        <w:tc>
          <w:tcPr>
            <w:tcW w:w="2131" w:type="dxa"/>
            <w:tcBorders>
              <w:tl2br w:val="nil"/>
              <w:tr2bl w:val="nil"/>
            </w:tcBorders>
            <w:vAlign w:val="center"/>
          </w:tcPr>
          <w:p w14:paraId="08667BB3">
            <w:pPr>
              <w:pStyle w:val="26"/>
              <w:rPr>
                <w:rFonts w:hint="default"/>
              </w:rPr>
            </w:pPr>
            <w:r>
              <w:t>0.098865981</w:t>
            </w:r>
          </w:p>
        </w:tc>
        <w:tc>
          <w:tcPr>
            <w:tcW w:w="2131" w:type="dxa"/>
            <w:tcBorders>
              <w:tl2br w:val="nil"/>
              <w:tr2bl w:val="nil"/>
            </w:tcBorders>
            <w:vAlign w:val="center"/>
          </w:tcPr>
          <w:p w14:paraId="5EA4319B">
            <w:pPr>
              <w:pStyle w:val="26"/>
              <w:rPr>
                <w:rFonts w:hint="default"/>
              </w:rPr>
            </w:pPr>
            <w:r>
              <w:t>30</w:t>
            </w:r>
          </w:p>
        </w:tc>
      </w:tr>
      <w:tr w14:paraId="6D25E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A3449D8">
            <w:pPr>
              <w:pStyle w:val="26"/>
              <w:rPr>
                <w:rFonts w:hint="default"/>
              </w:rPr>
            </w:pPr>
            <w:r>
              <w:t>中医器械</w:t>
            </w:r>
          </w:p>
        </w:tc>
        <w:tc>
          <w:tcPr>
            <w:tcW w:w="1402" w:type="dxa"/>
            <w:tcBorders>
              <w:tl2br w:val="nil"/>
              <w:tr2bl w:val="nil"/>
            </w:tcBorders>
            <w:vAlign w:val="center"/>
          </w:tcPr>
          <w:p w14:paraId="7301C493">
            <w:pPr>
              <w:pStyle w:val="26"/>
              <w:rPr>
                <w:rFonts w:hint="default"/>
              </w:rPr>
            </w:pPr>
            <w:r>
              <w:t>21332</w:t>
            </w:r>
          </w:p>
        </w:tc>
        <w:tc>
          <w:tcPr>
            <w:tcW w:w="2131" w:type="dxa"/>
            <w:tcBorders>
              <w:tl2br w:val="nil"/>
              <w:tr2bl w:val="nil"/>
            </w:tcBorders>
            <w:vAlign w:val="center"/>
          </w:tcPr>
          <w:p w14:paraId="25DF24D4">
            <w:pPr>
              <w:pStyle w:val="26"/>
              <w:rPr>
                <w:rFonts w:hint="default"/>
              </w:rPr>
            </w:pPr>
            <w:r>
              <w:t>0.093469022</w:t>
            </w:r>
          </w:p>
        </w:tc>
        <w:tc>
          <w:tcPr>
            <w:tcW w:w="2131" w:type="dxa"/>
            <w:tcBorders>
              <w:tl2br w:val="nil"/>
              <w:tr2bl w:val="nil"/>
            </w:tcBorders>
            <w:vAlign w:val="center"/>
          </w:tcPr>
          <w:p w14:paraId="7C94A25E">
            <w:pPr>
              <w:pStyle w:val="26"/>
              <w:rPr>
                <w:rFonts w:hint="default"/>
              </w:rPr>
            </w:pPr>
            <w:r>
              <w:t>30</w:t>
            </w:r>
          </w:p>
        </w:tc>
      </w:tr>
      <w:tr w14:paraId="622A4C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282AA06">
            <w:pPr>
              <w:pStyle w:val="26"/>
              <w:rPr>
                <w:rFonts w:hint="default"/>
              </w:rPr>
            </w:pPr>
            <w:r>
              <w:t>医用软件</w:t>
            </w:r>
          </w:p>
        </w:tc>
        <w:tc>
          <w:tcPr>
            <w:tcW w:w="1402" w:type="dxa"/>
            <w:tcBorders>
              <w:tl2br w:val="nil"/>
              <w:tr2bl w:val="nil"/>
            </w:tcBorders>
            <w:vAlign w:val="center"/>
          </w:tcPr>
          <w:p w14:paraId="49C1A516">
            <w:pPr>
              <w:pStyle w:val="26"/>
              <w:rPr>
                <w:rFonts w:hint="default"/>
              </w:rPr>
            </w:pPr>
            <w:r>
              <w:t>61089</w:t>
            </w:r>
          </w:p>
        </w:tc>
        <w:tc>
          <w:tcPr>
            <w:tcW w:w="2131" w:type="dxa"/>
            <w:tcBorders>
              <w:tl2br w:val="nil"/>
              <w:tr2bl w:val="nil"/>
            </w:tcBorders>
            <w:vAlign w:val="center"/>
          </w:tcPr>
          <w:p w14:paraId="24E70EF7">
            <w:pPr>
              <w:pStyle w:val="26"/>
              <w:rPr>
                <w:rFonts w:hint="default"/>
              </w:rPr>
            </w:pPr>
            <w:r>
              <w:t>0.084989251</w:t>
            </w:r>
          </w:p>
        </w:tc>
        <w:tc>
          <w:tcPr>
            <w:tcW w:w="2131" w:type="dxa"/>
            <w:tcBorders>
              <w:tl2br w:val="nil"/>
              <w:tr2bl w:val="nil"/>
            </w:tcBorders>
            <w:vAlign w:val="center"/>
          </w:tcPr>
          <w:p w14:paraId="4F35E8A1">
            <w:pPr>
              <w:pStyle w:val="26"/>
              <w:rPr>
                <w:rFonts w:hint="default"/>
              </w:rPr>
            </w:pPr>
            <w:r>
              <w:t>41</w:t>
            </w:r>
          </w:p>
        </w:tc>
      </w:tr>
      <w:tr w14:paraId="6F02DA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BC93079">
            <w:pPr>
              <w:pStyle w:val="26"/>
              <w:rPr>
                <w:rFonts w:hint="default"/>
              </w:rPr>
            </w:pPr>
            <w:r>
              <w:t>临床检验器械</w:t>
            </w:r>
          </w:p>
        </w:tc>
        <w:tc>
          <w:tcPr>
            <w:tcW w:w="1402" w:type="dxa"/>
            <w:tcBorders>
              <w:tl2br w:val="nil"/>
              <w:tr2bl w:val="nil"/>
            </w:tcBorders>
            <w:vAlign w:val="center"/>
          </w:tcPr>
          <w:p w14:paraId="40554FD9">
            <w:pPr>
              <w:pStyle w:val="26"/>
              <w:rPr>
                <w:rFonts w:hint="default"/>
              </w:rPr>
            </w:pPr>
            <w:r>
              <w:t>5161</w:t>
            </w:r>
          </w:p>
        </w:tc>
        <w:tc>
          <w:tcPr>
            <w:tcW w:w="2131" w:type="dxa"/>
            <w:tcBorders>
              <w:tl2br w:val="nil"/>
              <w:tr2bl w:val="nil"/>
            </w:tcBorders>
            <w:vAlign w:val="center"/>
          </w:tcPr>
          <w:p w14:paraId="23E51306">
            <w:pPr>
              <w:pStyle w:val="26"/>
              <w:rPr>
                <w:rFonts w:hint="default"/>
              </w:rPr>
            </w:pPr>
            <w:r>
              <w:t>0.056356851</w:t>
            </w:r>
          </w:p>
        </w:tc>
        <w:tc>
          <w:tcPr>
            <w:tcW w:w="2131" w:type="dxa"/>
            <w:tcBorders>
              <w:tl2br w:val="nil"/>
              <w:tr2bl w:val="nil"/>
            </w:tcBorders>
            <w:vAlign w:val="center"/>
          </w:tcPr>
          <w:p w14:paraId="261782D5">
            <w:pPr>
              <w:pStyle w:val="26"/>
              <w:rPr>
                <w:rFonts w:hint="default"/>
              </w:rPr>
            </w:pPr>
            <w:r>
              <w:t>48</w:t>
            </w:r>
          </w:p>
        </w:tc>
      </w:tr>
    </w:tbl>
    <w:p w14:paraId="4ED9CE26">
      <w:pPr>
        <w:pStyle w:val="3"/>
        <w:numPr>
          <w:ilvl w:val="1"/>
          <w:numId w:val="1"/>
        </w:numPr>
        <w:tabs>
          <w:tab w:val="clear" w:pos="420"/>
        </w:tabs>
      </w:pPr>
      <w:bookmarkStart w:id="139" w:name="_Toc229086884"/>
      <w:bookmarkStart w:id="140" w:name="_Toc25723"/>
      <w:r>
        <w:rPr>
          <w:rFonts w:hint="eastAsia"/>
        </w:rPr>
        <w:t>自动</w:t>
      </w:r>
      <w:bookmarkEnd w:id="138"/>
      <w:r>
        <w:rPr>
          <w:rFonts w:hint="eastAsia"/>
        </w:rPr>
        <w:t>标注工作流构建</w:t>
      </w:r>
      <w:bookmarkEnd w:id="139"/>
      <w:bookmarkEnd w:id="140"/>
    </w:p>
    <w:p w14:paraId="14C6652B">
      <w:pPr>
        <w:ind w:firstLine="480"/>
      </w:pPr>
      <w:r>
        <w:rPr>
          <w:rFonts w:hint="eastAsia"/>
        </w:rPr>
        <w:t>对于近6万条候选数据，逐条人工标注成本较高，且不同标注者之间也可能存在理解差异。本文使用D2作为评价基准，对自动标注工作流进行设计、优化和验证，再将其用于剩余数据的标签补全。</w:t>
      </w:r>
    </w:p>
    <w:p w14:paraId="1A23E28A">
      <w:pPr>
        <w:pStyle w:val="4"/>
        <w:numPr>
          <w:ilvl w:val="2"/>
          <w:numId w:val="1"/>
        </w:numPr>
        <w:tabs>
          <w:tab w:val="clear" w:pos="420"/>
        </w:tabs>
      </w:pPr>
      <w:bookmarkStart w:id="141" w:name="_Toc216114501"/>
      <w:bookmarkStart w:id="142" w:name="_Toc229086885"/>
      <w:bookmarkStart w:id="143" w:name="_Toc6180"/>
      <w:r>
        <w:rPr>
          <w:rFonts w:hint="eastAsia"/>
        </w:rPr>
        <w:t>环境搭建</w:t>
      </w:r>
      <w:bookmarkEnd w:id="141"/>
      <w:bookmarkEnd w:id="142"/>
      <w:bookmarkEnd w:id="143"/>
    </w:p>
    <w:p w14:paraId="6DB67949">
      <w:pPr>
        <w:ind w:firstLine="480"/>
        <w:rPr>
          <w:rFonts w:hint="eastAsia"/>
        </w:rPr>
      </w:pPr>
      <w:r>
        <w:rPr>
          <w:rFonts w:hint="eastAsia"/>
        </w:rPr>
        <w:t>由于数据量以及成本原因，本文并没有采用API调用方式，在本地搭建了一个完全私有的推理以及调度环境，相关软硬件配置见表3-6、表3-7。</w:t>
      </w:r>
    </w:p>
    <w:p w14:paraId="0C57C55B">
      <w:pPr>
        <w:ind w:firstLine="480"/>
      </w:pPr>
      <w:r>
        <w:rPr>
          <w:rFonts w:hint="eastAsia"/>
        </w:rPr>
        <w:t>推理阶段使用NVIDIA RTX</w:t>
      </w:r>
      <w:r>
        <w:rPr>
          <w:rFonts w:hint="eastAsia"/>
          <w:lang w:val="en-US" w:eastAsia="zh-CN"/>
        </w:rPr>
        <w:t xml:space="preserve"> </w:t>
      </w:r>
      <w:r>
        <w:rPr>
          <w:rFonts w:hint="eastAsia"/>
        </w:rPr>
        <w:t>4060显卡，在此显卡上集成了AdaLovelace架构，支持FP8以及INT8等低精度运算，在大规模模型量化推理场景下适用，由于Qwen3:8B模型所需显存为8GB，所以此显卡也足够用于本地部署。</w:t>
      </w:r>
    </w:p>
    <w:p w14:paraId="1E3AF3D3">
      <w:pPr>
        <w:ind w:firstLine="480"/>
      </w:pPr>
      <w:r>
        <w:rPr>
          <w:rFonts w:hint="eastAsia"/>
        </w:rPr>
        <w:t>在模型推理层面，使用Ollama</w:t>
      </w:r>
      <w:r>
        <w:rPr>
          <w:rStyle w:val="33"/>
        </w:rPr>
        <w:fldChar w:fldCharType="begin"/>
      </w:r>
      <w:r>
        <w:rPr>
          <w:rStyle w:val="33"/>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3"/>
        </w:rPr>
        <w:fldChar w:fldCharType="separate"/>
      </w:r>
      <w:r>
        <w:rPr>
          <w:rStyle w:val="33"/>
        </w:rPr>
        <w:t>[</w:t>
      </w:r>
      <w:r>
        <w:rPr>
          <w:rStyle w:val="33"/>
          <w:rFonts w:hint="eastAsia"/>
        </w:rPr>
        <w:t>52</w:t>
      </w:r>
      <w:r>
        <w:rPr>
          <w:rStyle w:val="33"/>
        </w:rPr>
        <w:t>]</w:t>
      </w:r>
      <w:r>
        <w:rPr>
          <w:rStyle w:val="33"/>
        </w:rPr>
        <w:fldChar w:fldCharType="end"/>
      </w:r>
      <w:r>
        <w:rPr>
          <w:rFonts w:hint="eastAsia"/>
        </w:rPr>
        <w:t>作为本地大语言模型运行时，在此进行模型加载、量化推理以及服务化部署等工作，该方式减少了重复部署和接口适配工作，并提高了本地推理服务的稳定性。</w:t>
      </w:r>
    </w:p>
    <w:p w14:paraId="56A8AF3B">
      <w:pPr>
        <w:ind w:firstLine="480"/>
        <w:rPr>
          <w:rFonts w:hint="eastAsia"/>
        </w:rPr>
      </w:pPr>
      <w:r>
        <w:rPr>
          <w:rFonts w:hint="eastAsia"/>
        </w:rPr>
        <w:t>在应用及编排方面，本文使用Dify进行LLM的应用开发以及工作流的实现，同时采用Docker</w:t>
      </w:r>
      <w:r>
        <w:rPr>
          <w:rStyle w:val="33"/>
        </w:rPr>
        <w:fldChar w:fldCharType="begin"/>
      </w:r>
      <w:r>
        <w:rPr>
          <w:rStyle w:val="33"/>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3"/>
        </w:rPr>
        <w:fldChar w:fldCharType="separate"/>
      </w:r>
      <w:r>
        <w:rPr>
          <w:rStyle w:val="33"/>
        </w:rPr>
        <w:t>[</w:t>
      </w:r>
      <w:r>
        <w:rPr>
          <w:rStyle w:val="33"/>
          <w:rFonts w:hint="eastAsia"/>
        </w:rPr>
        <w:t>53</w:t>
      </w:r>
      <w:r>
        <w:rPr>
          <w:rStyle w:val="33"/>
        </w:rPr>
        <w:t>]</w:t>
      </w:r>
      <w:r>
        <w:rPr>
          <w:rStyle w:val="33"/>
        </w:rPr>
        <w:fldChar w:fldCharType="end"/>
      </w:r>
      <w:r>
        <w:rPr>
          <w:rFonts w:hint="eastAsia"/>
        </w:rPr>
        <w:t>的方式对应用进行容器化部署以便提供一致的操作环境并且便于复制。</w:t>
      </w:r>
    </w:p>
    <w:p w14:paraId="68B75C30">
      <w:pPr>
        <w:ind w:firstLine="480"/>
        <w:rPr>
          <w:rFonts w:hint="eastAsia"/>
        </w:rPr>
      </w:pPr>
    </w:p>
    <w:p w14:paraId="2445A302">
      <w:pPr>
        <w:ind w:firstLine="480"/>
        <w:rPr>
          <w:rFonts w:hint="eastAsia"/>
        </w:rPr>
      </w:pPr>
    </w:p>
    <w:p w14:paraId="310B162A">
      <w:pPr>
        <w:ind w:firstLine="480"/>
        <w:rPr>
          <w:rFonts w:hint="eastAsia"/>
        </w:rPr>
      </w:pPr>
    </w:p>
    <w:p w14:paraId="16B11C3A">
      <w:pPr>
        <w:pStyle w:val="25"/>
        <w:rPr>
          <w:rFonts w:hint="default"/>
        </w:rPr>
      </w:pPr>
      <w:r>
        <w:t>表3-6  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D5CF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2806BFC6">
            <w:pPr>
              <w:pStyle w:val="26"/>
              <w:rPr>
                <w:rFonts w:hint="default"/>
              </w:rPr>
            </w:pPr>
            <w:r>
              <w:t>硬件组件</w:t>
            </w:r>
          </w:p>
        </w:tc>
        <w:tc>
          <w:tcPr>
            <w:tcW w:w="5349" w:type="dxa"/>
            <w:tcBorders>
              <w:top w:val="single" w:color="auto" w:sz="8" w:space="0"/>
              <w:left w:val="nil"/>
              <w:bottom w:val="single" w:color="auto" w:sz="6" w:space="0"/>
              <w:right w:val="nil"/>
            </w:tcBorders>
          </w:tcPr>
          <w:p w14:paraId="77115DA2">
            <w:pPr>
              <w:pStyle w:val="26"/>
              <w:rPr>
                <w:rFonts w:hint="default"/>
              </w:rPr>
            </w:pPr>
            <w:r>
              <w:t>规格</w:t>
            </w:r>
          </w:p>
        </w:tc>
      </w:tr>
      <w:tr w14:paraId="58DD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E216DCE">
            <w:pPr>
              <w:pStyle w:val="26"/>
              <w:rPr>
                <w:rFonts w:hint="default"/>
              </w:rPr>
            </w:pPr>
            <w:r>
              <w:t>GPU</w:t>
            </w:r>
          </w:p>
        </w:tc>
        <w:tc>
          <w:tcPr>
            <w:tcW w:w="5349" w:type="dxa"/>
            <w:tcBorders>
              <w:top w:val="single" w:color="auto" w:sz="6" w:space="0"/>
              <w:left w:val="nil"/>
              <w:bottom w:val="nil"/>
              <w:right w:val="nil"/>
            </w:tcBorders>
          </w:tcPr>
          <w:p w14:paraId="1AC96471">
            <w:pPr>
              <w:pStyle w:val="26"/>
              <w:rPr>
                <w:rFonts w:hint="default"/>
              </w:rPr>
            </w:pPr>
            <w:r>
              <w:t>NVIDIA GeForce RTX 4060 Laptop GPU</w:t>
            </w:r>
          </w:p>
        </w:tc>
      </w:tr>
      <w:tr w14:paraId="3DF6A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58F6AAA4">
            <w:pPr>
              <w:pStyle w:val="26"/>
              <w:rPr>
                <w:rFonts w:hint="default"/>
              </w:rPr>
            </w:pPr>
            <w:r>
              <w:t>显存</w:t>
            </w:r>
            <w:r>
              <w:rPr>
                <w:rFonts w:hint="default"/>
              </w:rPr>
              <w:t> </w:t>
            </w:r>
          </w:p>
        </w:tc>
        <w:tc>
          <w:tcPr>
            <w:tcW w:w="5349" w:type="dxa"/>
            <w:tcBorders>
              <w:top w:val="nil"/>
              <w:left w:val="nil"/>
              <w:bottom w:val="nil"/>
              <w:right w:val="nil"/>
            </w:tcBorders>
          </w:tcPr>
          <w:p w14:paraId="027D6D47">
            <w:pPr>
              <w:pStyle w:val="26"/>
              <w:rPr>
                <w:rFonts w:hint="default"/>
              </w:rPr>
            </w:pPr>
            <w:r>
              <w:t>8GB</w:t>
            </w:r>
          </w:p>
        </w:tc>
      </w:tr>
      <w:tr w14:paraId="1995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7426E2C">
            <w:pPr>
              <w:pStyle w:val="26"/>
              <w:rPr>
                <w:rFonts w:hint="default"/>
              </w:rPr>
            </w:pPr>
            <w:r>
              <w:t>操作系统</w:t>
            </w:r>
          </w:p>
        </w:tc>
        <w:tc>
          <w:tcPr>
            <w:tcW w:w="5349" w:type="dxa"/>
            <w:tcBorders>
              <w:top w:val="nil"/>
              <w:left w:val="nil"/>
              <w:bottom w:val="single" w:color="auto" w:sz="8" w:space="0"/>
              <w:right w:val="nil"/>
            </w:tcBorders>
          </w:tcPr>
          <w:p w14:paraId="7904552F">
            <w:pPr>
              <w:pStyle w:val="26"/>
              <w:rPr>
                <w:rFonts w:hint="default"/>
              </w:rPr>
            </w:pPr>
            <w:r>
              <w:rPr>
                <w:rFonts w:hint="default"/>
              </w:rPr>
              <w:tab/>
            </w:r>
            <w:r>
              <w:rPr>
                <w:rFonts w:hint="default"/>
              </w:rPr>
              <w:t>Windows 11 (x64)</w:t>
            </w:r>
          </w:p>
        </w:tc>
      </w:tr>
    </w:tbl>
    <w:p w14:paraId="3763CB71">
      <w:pPr>
        <w:pStyle w:val="25"/>
        <w:rPr>
          <w:rFonts w:hint="default"/>
        </w:rPr>
      </w:pPr>
      <w:r>
        <w:t>表3-7  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2A0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10E891AA">
            <w:pPr>
              <w:pStyle w:val="26"/>
              <w:rPr>
                <w:rFonts w:hint="default"/>
              </w:rPr>
            </w:pPr>
            <w:r>
              <w:t>软件</w:t>
            </w:r>
          </w:p>
        </w:tc>
        <w:tc>
          <w:tcPr>
            <w:tcW w:w="5349" w:type="dxa"/>
            <w:tcBorders>
              <w:top w:val="single" w:color="auto" w:sz="8" w:space="0"/>
              <w:left w:val="nil"/>
              <w:bottom w:val="single" w:color="auto" w:sz="6" w:space="0"/>
              <w:right w:val="nil"/>
            </w:tcBorders>
          </w:tcPr>
          <w:p w14:paraId="123CE24A">
            <w:pPr>
              <w:pStyle w:val="26"/>
              <w:rPr>
                <w:rFonts w:hint="default"/>
              </w:rPr>
            </w:pPr>
            <w:r>
              <w:t>版本</w:t>
            </w:r>
          </w:p>
        </w:tc>
      </w:tr>
      <w:tr w14:paraId="38801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6A403A8">
            <w:pPr>
              <w:pStyle w:val="26"/>
              <w:rPr>
                <w:rFonts w:hint="default"/>
              </w:rPr>
            </w:pPr>
            <w:r>
              <w:t>CUDA Toolkit</w:t>
            </w:r>
          </w:p>
        </w:tc>
        <w:tc>
          <w:tcPr>
            <w:tcW w:w="5349" w:type="dxa"/>
            <w:tcBorders>
              <w:top w:val="single" w:color="auto" w:sz="6" w:space="0"/>
              <w:left w:val="nil"/>
              <w:bottom w:val="nil"/>
              <w:right w:val="nil"/>
            </w:tcBorders>
          </w:tcPr>
          <w:p w14:paraId="4A37FF6D">
            <w:pPr>
              <w:pStyle w:val="26"/>
              <w:rPr>
                <w:rFonts w:hint="default"/>
              </w:rPr>
            </w:pPr>
            <w:r>
              <w:t>12.8.93</w:t>
            </w:r>
          </w:p>
        </w:tc>
      </w:tr>
      <w:tr w14:paraId="57FE6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E1F3A5F">
            <w:pPr>
              <w:pStyle w:val="26"/>
              <w:rPr>
                <w:rFonts w:hint="default"/>
              </w:rPr>
            </w:pPr>
            <w:r>
              <w:t>Docker</w:t>
            </w:r>
          </w:p>
        </w:tc>
        <w:tc>
          <w:tcPr>
            <w:tcW w:w="5349" w:type="dxa"/>
            <w:tcBorders>
              <w:top w:val="nil"/>
              <w:left w:val="nil"/>
              <w:bottom w:val="nil"/>
              <w:right w:val="nil"/>
            </w:tcBorders>
          </w:tcPr>
          <w:p w14:paraId="76A23F25">
            <w:pPr>
              <w:pStyle w:val="26"/>
              <w:rPr>
                <w:rFonts w:hint="default"/>
              </w:rPr>
            </w:pPr>
            <w:r>
              <w:t>28.3.2</w:t>
            </w:r>
          </w:p>
        </w:tc>
      </w:tr>
      <w:tr w14:paraId="5F389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32996253">
            <w:pPr>
              <w:pStyle w:val="26"/>
              <w:rPr>
                <w:rFonts w:hint="default"/>
              </w:rPr>
            </w:pPr>
            <w:r>
              <w:t>P</w:t>
            </w:r>
            <w:r>
              <w:rPr>
                <w:rFonts w:hint="default"/>
              </w:rPr>
              <w:t>ython</w:t>
            </w:r>
          </w:p>
        </w:tc>
        <w:tc>
          <w:tcPr>
            <w:tcW w:w="5349" w:type="dxa"/>
            <w:tcBorders>
              <w:top w:val="nil"/>
              <w:left w:val="nil"/>
              <w:bottom w:val="nil"/>
              <w:right w:val="nil"/>
            </w:tcBorders>
          </w:tcPr>
          <w:p w14:paraId="3EFA5DEF">
            <w:pPr>
              <w:pStyle w:val="26"/>
              <w:rPr>
                <w:rFonts w:hint="default"/>
              </w:rPr>
            </w:pPr>
            <w:r>
              <w:rPr>
                <w:rFonts w:hint="default"/>
              </w:rPr>
              <w:t>3.11.4</w:t>
            </w:r>
          </w:p>
        </w:tc>
      </w:tr>
      <w:tr w14:paraId="211C8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38897D97">
            <w:pPr>
              <w:pStyle w:val="26"/>
              <w:rPr>
                <w:rFonts w:hint="default"/>
              </w:rPr>
            </w:pPr>
            <w:r>
              <w:t>O</w:t>
            </w:r>
            <w:r>
              <w:rPr>
                <w:rFonts w:hint="default"/>
              </w:rPr>
              <w:t xml:space="preserve">llama </w:t>
            </w:r>
          </w:p>
        </w:tc>
        <w:tc>
          <w:tcPr>
            <w:tcW w:w="5349" w:type="dxa"/>
            <w:tcBorders>
              <w:top w:val="nil"/>
              <w:left w:val="nil"/>
              <w:bottom w:val="nil"/>
              <w:right w:val="nil"/>
            </w:tcBorders>
          </w:tcPr>
          <w:p w14:paraId="5AB7926B">
            <w:pPr>
              <w:pStyle w:val="26"/>
              <w:rPr>
                <w:rFonts w:hint="default"/>
              </w:rPr>
            </w:pPr>
            <w:r>
              <w:rPr>
                <w:rFonts w:hint="default"/>
              </w:rPr>
              <w:t>0.13.5</w:t>
            </w:r>
          </w:p>
        </w:tc>
      </w:tr>
      <w:tr w14:paraId="37705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65C12D6D">
            <w:pPr>
              <w:pStyle w:val="26"/>
              <w:rPr>
                <w:rFonts w:hint="default"/>
              </w:rPr>
            </w:pPr>
            <w:r>
              <w:rPr>
                <w:rFonts w:hint="default"/>
              </w:rPr>
              <w:t>Dify</w:t>
            </w:r>
          </w:p>
        </w:tc>
        <w:tc>
          <w:tcPr>
            <w:tcW w:w="5349" w:type="dxa"/>
            <w:tcBorders>
              <w:top w:val="nil"/>
              <w:left w:val="nil"/>
              <w:bottom w:val="single" w:color="auto" w:sz="8" w:space="0"/>
              <w:right w:val="nil"/>
            </w:tcBorders>
          </w:tcPr>
          <w:p w14:paraId="7D448228">
            <w:pPr>
              <w:pStyle w:val="26"/>
              <w:rPr>
                <w:rFonts w:hint="default"/>
              </w:rPr>
            </w:pPr>
            <w:r>
              <w:rPr>
                <w:rFonts w:hint="default"/>
              </w:rPr>
              <w:t>1.6.0</w:t>
            </w:r>
          </w:p>
        </w:tc>
      </w:tr>
    </w:tbl>
    <w:p w14:paraId="7D7BDC89">
      <w:pPr>
        <w:pStyle w:val="4"/>
        <w:numPr>
          <w:ilvl w:val="2"/>
          <w:numId w:val="1"/>
        </w:numPr>
        <w:tabs>
          <w:tab w:val="clear" w:pos="420"/>
        </w:tabs>
      </w:pPr>
      <w:bookmarkStart w:id="144" w:name="_Toc216114502"/>
      <w:bookmarkStart w:id="145" w:name="_Toc229086886"/>
      <w:bookmarkStart w:id="146" w:name="_Toc19874"/>
      <w:r>
        <w:rPr>
          <w:rFonts w:hint="eastAsia"/>
        </w:rPr>
        <w:t>自动标注工作流设计</w:t>
      </w:r>
      <w:bookmarkEnd w:id="144"/>
      <w:bookmarkEnd w:id="145"/>
      <w:bookmarkEnd w:id="146"/>
    </w:p>
    <w:p w14:paraId="13C881B0">
      <w:pPr>
        <w:ind w:firstLine="480"/>
      </w:pPr>
      <w:r>
        <w:rPr>
          <w:rFonts w:hint="eastAsia"/>
        </w:rPr>
        <w:t>医疗器械专利文本具有专业术语密集、类别边界模糊和功能描述交叉等特点。单纯依赖LLM内部知识容易出现过度泛化，单纯依赖关键词匹配又难以理解器械用途。因此，本文在Dify中构建了RAG知识检索结合规则提示与条件纠错的自动标注工作流，如图3-3所示。</w:t>
      </w:r>
    </w:p>
    <w:p w14:paraId="0E23F19E">
      <w:pPr>
        <w:pStyle w:val="25"/>
        <w:rPr>
          <w:rFonts w:hint="default"/>
        </w:rPr>
      </w:pPr>
      <w:r>
        <w:drawing>
          <wp:inline distT="0" distB="0" distL="114300" distR="114300">
            <wp:extent cx="5339080" cy="2256155"/>
            <wp:effectExtent l="0" t="0" r="4445" b="0"/>
            <wp:docPr id="7" name="图片 7" descr="数据标注v1.1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3)"/>
                    <pic:cNvPicPr>
                      <a:picLocks noChangeAspect="1"/>
                    </pic:cNvPicPr>
                  </pic:nvPicPr>
                  <pic:blipFill>
                    <a:blip r:embed="rId42"/>
                    <a:srcRect l="3278" t="4646" b="10196"/>
                    <a:stretch>
                      <a:fillRect/>
                    </a:stretch>
                  </pic:blipFill>
                  <pic:spPr>
                    <a:xfrm>
                      <a:off x="0" y="0"/>
                      <a:ext cx="5339080" cy="2256155"/>
                    </a:xfrm>
                    <a:prstGeom prst="rect">
                      <a:avLst/>
                    </a:prstGeom>
                  </pic:spPr>
                </pic:pic>
              </a:graphicData>
            </a:graphic>
          </wp:inline>
        </w:drawing>
      </w:r>
    </w:p>
    <w:p w14:paraId="13F8E21D">
      <w:pPr>
        <w:pStyle w:val="25"/>
        <w:rPr>
          <w:rFonts w:hint="default"/>
        </w:rPr>
      </w:pPr>
      <w:r>
        <w:t>图3-3  自动标注工作流</w:t>
      </w:r>
    </w:p>
    <w:p w14:paraId="4E07305A">
      <w:pPr>
        <w:numPr>
          <w:ilvl w:val="0"/>
          <w:numId w:val="11"/>
        </w:numPr>
        <w:ind w:firstLine="480"/>
      </w:pPr>
      <w:r>
        <w:rPr>
          <w:rFonts w:hint="eastAsia"/>
        </w:rPr>
        <w:t>知识检索模块</w:t>
      </w:r>
    </w:p>
    <w:p w14:paraId="04D6C0EB">
      <w:pPr>
        <w:ind w:firstLine="480"/>
      </w:pPr>
      <w:r>
        <w:rPr>
          <w:rFonts w:hint="eastAsia"/>
        </w:rPr>
        <w:t>本模块用于指导大模型进行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3DB3B124">
      <w:pPr>
        <w:numPr>
          <w:ilvl w:val="0"/>
          <w:numId w:val="11"/>
        </w:numPr>
        <w:ind w:firstLine="480"/>
      </w:pPr>
      <w:r>
        <w:rPr>
          <w:rFonts w:hint="eastAsia"/>
        </w:rPr>
        <w:t>初步分类决策模块</w:t>
      </w:r>
    </w:p>
    <w:p w14:paraId="319F8DA4">
      <w:pPr>
        <w:ind w:firstLine="480"/>
      </w:pPr>
      <w:r>
        <w:rPr>
          <w:rFonts w:hint="eastAsia"/>
          <w:highlight w:val="yellow"/>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rPr>
        <w:t>。</w:t>
      </w:r>
    </w:p>
    <w:p w14:paraId="5109A511">
      <w:pPr>
        <w:ind w:firstLine="480"/>
        <w:rPr>
          <w:rFonts w:hint="eastAsia"/>
        </w:rPr>
      </w:pPr>
      <w:r>
        <w:rPr>
          <w:rFonts w:hint="eastAsia"/>
        </w:rPr>
        <w:t>Qwen3:8B根据专利摘要、检索到的目录片段和系统提示词输出一级产品类别。输出被约束为结构化JSON格式，字段包括类别，结构化输出可减少后续解析错误，也便于对多轮输出进行一致性统计。</w:t>
      </w:r>
    </w:p>
    <w:p w14:paraId="057E185E">
      <w:pPr>
        <w:pStyle w:val="25"/>
        <w:rPr>
          <w:rFonts w:hint="default"/>
        </w:rPr>
      </w:pPr>
      <w:r>
        <w:t>表3-8  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69124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09E4F0EC">
            <w:pPr>
              <w:pStyle w:val="26"/>
              <w:rPr>
                <w:rFonts w:hint="default"/>
              </w:rPr>
            </w:pPr>
            <w:r>
              <w:t>分支</w:t>
            </w:r>
          </w:p>
        </w:tc>
        <w:tc>
          <w:tcPr>
            <w:tcW w:w="6307" w:type="dxa"/>
            <w:tcBorders>
              <w:top w:val="single" w:color="auto" w:sz="8" w:space="0"/>
              <w:left w:val="nil"/>
              <w:bottom w:val="single" w:color="auto" w:sz="6" w:space="0"/>
              <w:right w:val="nil"/>
            </w:tcBorders>
          </w:tcPr>
          <w:p w14:paraId="614C19F4">
            <w:pPr>
              <w:pStyle w:val="26"/>
              <w:rPr>
                <w:rFonts w:hint="default"/>
              </w:rPr>
            </w:pPr>
            <w:r>
              <w:t>作用</w:t>
            </w:r>
          </w:p>
        </w:tc>
      </w:tr>
      <w:tr w14:paraId="570C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67ACAA13">
            <w:pPr>
              <w:pStyle w:val="26"/>
              <w:rPr>
                <w:rFonts w:hint="default"/>
              </w:rPr>
            </w:pPr>
            <w:r>
              <w:t>有源植入器械</w:t>
            </w:r>
          </w:p>
        </w:tc>
        <w:tc>
          <w:tcPr>
            <w:tcW w:w="6307" w:type="dxa"/>
            <w:tcBorders>
              <w:top w:val="single" w:color="auto" w:sz="6" w:space="0"/>
              <w:left w:val="nil"/>
              <w:bottom w:val="nil"/>
              <w:right w:val="nil"/>
            </w:tcBorders>
          </w:tcPr>
          <w:p w14:paraId="4C2660A3">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7ECBC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1CD9E35">
            <w:pPr>
              <w:pStyle w:val="26"/>
              <w:rPr>
                <w:rFonts w:hint="default"/>
              </w:rPr>
            </w:pPr>
            <w:r>
              <w:t>医用诊察和监护器械</w:t>
            </w:r>
          </w:p>
        </w:tc>
        <w:tc>
          <w:tcPr>
            <w:tcW w:w="6307" w:type="dxa"/>
            <w:tcBorders>
              <w:top w:val="nil"/>
              <w:left w:val="nil"/>
              <w:bottom w:val="nil"/>
              <w:right w:val="nil"/>
            </w:tcBorders>
          </w:tcPr>
          <w:p w14:paraId="7F933488">
            <w:pPr>
              <w:pStyle w:val="26"/>
              <w:rPr>
                <w:rFonts w:hint="default"/>
              </w:rPr>
            </w:pPr>
            <w:r>
              <w:t>针对该类别与“医用软件”的界限模糊问题，校验节点重点分析核心创新点是在于硬件传感器还是数据处理算法。</w:t>
            </w:r>
          </w:p>
        </w:tc>
      </w:tr>
      <w:tr w14:paraId="21581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05CBFF3A">
            <w:pPr>
              <w:pStyle w:val="26"/>
              <w:rPr>
                <w:rFonts w:hint="default"/>
              </w:rPr>
            </w:pPr>
            <w:r>
              <w:t>无源植入器械</w:t>
            </w:r>
          </w:p>
        </w:tc>
        <w:tc>
          <w:tcPr>
            <w:tcW w:w="6307" w:type="dxa"/>
            <w:tcBorders>
              <w:top w:val="nil"/>
              <w:left w:val="nil"/>
              <w:bottom w:val="nil"/>
              <w:right w:val="nil"/>
            </w:tcBorders>
          </w:tcPr>
          <w:p w14:paraId="54FC1E54">
            <w:pPr>
              <w:pStyle w:val="26"/>
              <w:rPr>
                <w:rFonts w:hint="default"/>
              </w:rPr>
            </w:pPr>
            <w:r>
              <w:t>重点区分“无源植入”与“有源植入”，严格排查摘要中是否包含“电极”、“传感器”等暗示有源属性的关键词。</w:t>
            </w:r>
          </w:p>
        </w:tc>
      </w:tr>
      <w:tr w14:paraId="41C36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16542D7C">
            <w:pPr>
              <w:pStyle w:val="26"/>
              <w:rPr>
                <w:rFonts w:hint="default"/>
              </w:rPr>
            </w:pPr>
            <w:r>
              <w:t>医用康复器械</w:t>
            </w:r>
          </w:p>
        </w:tc>
        <w:tc>
          <w:tcPr>
            <w:tcW w:w="6307" w:type="dxa"/>
            <w:tcBorders>
              <w:top w:val="nil"/>
              <w:left w:val="nil"/>
              <w:bottom w:val="single" w:color="auto" w:sz="8" w:space="0"/>
              <w:right w:val="nil"/>
            </w:tcBorders>
          </w:tcPr>
          <w:p w14:paraId="529B7367">
            <w:pPr>
              <w:pStyle w:val="26"/>
              <w:rPr>
                <w:rFonts w:hint="default"/>
              </w:rPr>
            </w:pPr>
            <w:r>
              <w:t>鉴于康复器械常与“医用软件”或“患者承载器械”混淆，该分支重点判断设备的主要功能是“功能恢复训练”、“单纯承载”还是“纯算法分析”。</w:t>
            </w:r>
          </w:p>
        </w:tc>
      </w:tr>
    </w:tbl>
    <w:p w14:paraId="7A0E6ADE">
      <w:pPr>
        <w:numPr>
          <w:ilvl w:val="0"/>
          <w:numId w:val="11"/>
        </w:numPr>
        <w:ind w:firstLine="480"/>
      </w:pPr>
      <w:r>
        <w:rPr>
          <w:rFonts w:hint="eastAsia"/>
        </w:rPr>
        <w:t>条件分支纠错模块</w:t>
      </w:r>
    </w:p>
    <w:p w14:paraId="4E48D17F">
      <w:pPr>
        <w:ind w:firstLine="480"/>
        <w:rPr>
          <w:rFonts w:hint="eastAsia"/>
        </w:rPr>
      </w:pPr>
      <w:r>
        <w:rPr>
          <w:rFonts w:hint="eastAsia"/>
        </w:rPr>
        <w:t>为避免初筛过程中出现误判情况，在工作流中增加条件分支以对某些类目再次甄别。基于前期测试结果，发现四个高频易混类别并分别为其设置专门纠错节点，如表3-8所示。</w:t>
      </w:r>
    </w:p>
    <w:p w14:paraId="368B13A4">
      <w:pPr>
        <w:numPr>
          <w:ilvl w:val="0"/>
          <w:numId w:val="11"/>
        </w:numPr>
        <w:ind w:firstLine="480"/>
      </w:pPr>
      <w:r>
        <w:rPr>
          <w:rFonts w:hint="eastAsia"/>
        </w:rPr>
        <w:t>变量聚合与输出</w:t>
      </w:r>
    </w:p>
    <w:p w14:paraId="107D4057">
      <w:pPr>
        <w:ind w:firstLine="480"/>
      </w:pPr>
      <w:r>
        <w:rPr>
          <w:rFonts w:hint="eastAsia"/>
        </w:rPr>
        <w:t>变量聚合器汇总各分支最终结果，无论样本经过何种分支路径，系统最终均输出统一格式的分类标签，用于完成单条专利的自动标注。</w:t>
      </w:r>
    </w:p>
    <w:p w14:paraId="301A0134">
      <w:pPr>
        <w:ind w:firstLine="480"/>
      </w:pPr>
      <w:r>
        <w:rPr>
          <w:rFonts w:hint="eastAsia"/>
        </w:rPr>
        <w:t>该设计并不等同于对LLM进行垂直领域微调，但通过分类目录RAG、分类规则提示和分支纠错，将领域知识嵌入标注过程，形成了可复现的领域适配流程。</w:t>
      </w:r>
    </w:p>
    <w:p w14:paraId="1565B610">
      <w:pPr>
        <w:pStyle w:val="4"/>
        <w:numPr>
          <w:ilvl w:val="2"/>
          <w:numId w:val="1"/>
        </w:numPr>
        <w:tabs>
          <w:tab w:val="clear" w:pos="420"/>
        </w:tabs>
      </w:pPr>
      <w:bookmarkStart w:id="147" w:name="_Toc216114503"/>
      <w:bookmarkStart w:id="148" w:name="_Toc229086890"/>
      <w:bookmarkStart w:id="149" w:name="_Toc1771"/>
      <w:r>
        <w:rPr>
          <w:rFonts w:hint="eastAsia"/>
        </w:rPr>
        <w:t>自动标注结果评估</w:t>
      </w:r>
      <w:bookmarkEnd w:id="147"/>
      <w:bookmarkEnd w:id="148"/>
      <w:bookmarkEnd w:id="149"/>
    </w:p>
    <w:p w14:paraId="7A06485E">
      <w:pPr>
        <w:ind w:firstLine="480"/>
      </w:pPr>
      <w:r>
        <w:rPr>
          <w:rFonts w:hint="eastAsia"/>
        </w:rPr>
        <w:t>为了测试自动标注工作流的效果以及控制最终生成标签的质量，在专家对数据集D2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5E134611">
      <w:pPr>
        <w:ind w:firstLine="480"/>
      </w:pPr>
      <w:r>
        <w:rPr>
          <w:rFonts w:hint="eastAsia"/>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2473E733">
      <w:pPr>
        <w:ind w:firstLine="480"/>
      </w:pPr>
      <w:r>
        <w:rPr>
          <w:rFonts w:hint="eastAsia"/>
        </w:rPr>
        <w:t>本研究选取了以下三个核心指标对标注质量进行多维度评估：</w:t>
      </w:r>
    </w:p>
    <w:p w14:paraId="0D794E05">
      <w:pPr>
        <w:numPr>
          <w:ilvl w:val="0"/>
          <w:numId w:val="12"/>
        </w:numPr>
        <w:ind w:firstLine="480"/>
      </w:pPr>
      <w:r>
        <w:rPr>
          <w:rFonts w:hint="eastAsia"/>
        </w:rPr>
        <w:t>Accuracy</w:t>
      </w:r>
    </w:p>
    <w:p w14:paraId="01B2DC07">
      <w:pPr>
        <w:ind w:firstLine="480"/>
      </w:pPr>
      <w:r>
        <w:rPr>
          <w:rFonts w:hint="eastAsia"/>
        </w:rPr>
        <w:t>衡量模型整体分类正确的样本比例，直观反映标注的总体精度。</w:t>
      </w:r>
    </w:p>
    <w:p w14:paraId="45AFB396">
      <w:pPr>
        <w:numPr>
          <w:ilvl w:val="0"/>
          <w:numId w:val="12"/>
        </w:numPr>
        <w:ind w:firstLine="480"/>
      </w:pPr>
      <w:r>
        <w:rPr>
          <w:rFonts w:hint="eastAsia"/>
        </w:rPr>
        <w:t>Macro F1-score</w:t>
      </w:r>
    </w:p>
    <w:p w14:paraId="0089606F">
      <w:pPr>
        <w:ind w:firstLine="480"/>
      </w:pPr>
      <w:r>
        <w:rPr>
          <w:rFonts w:hint="eastAsia"/>
        </w:rPr>
        <w:t>求所有类别的F1分数均值。但由于医疗器械类别分布极不平衡，MacroF1-score更能真实体现模型对于稀有类别性能，而不会被大多数类别所影响。</w:t>
      </w:r>
    </w:p>
    <w:p w14:paraId="31452BC3">
      <w:pPr>
        <w:numPr>
          <w:ilvl w:val="0"/>
          <w:numId w:val="12"/>
        </w:numPr>
        <w:ind w:firstLine="480"/>
      </w:pPr>
      <w:r>
        <w:rPr>
          <w:rFonts w:hint="eastAsia"/>
        </w:rPr>
        <w:t>Fleiss' Kappa系数</w:t>
      </w:r>
    </w:p>
    <w:p w14:paraId="45AC9C7A">
      <w:pPr>
        <w:ind w:firstLine="480"/>
      </w:pPr>
      <w:r>
        <w:rPr>
          <w:rFonts w:hint="eastAsia"/>
        </w:rPr>
        <w:t>用来衡量10次运行的结果是否一致。Kappa值越大，说明模型在不同的轮次所得到的结果越一致，随机性的成分就越小。</w:t>
      </w:r>
    </w:p>
    <w:p w14:paraId="09FBC1FD">
      <w:pPr>
        <w:pStyle w:val="25"/>
        <w:rPr>
          <w:rFonts w:hint="default"/>
          <w:highlight w:val="yellow"/>
        </w:rPr>
      </w:pPr>
      <w:r>
        <w:t xml:space="preserve">表3-9  </w:t>
      </w:r>
      <w:r>
        <w:rPr>
          <w:highlight w:val="yellow"/>
        </w:rPr>
        <w:t>不同标注方法在D2上的对比结果</w:t>
      </w:r>
    </w:p>
    <w:tbl>
      <w:tblPr>
        <w:tblStyle w:val="15"/>
        <w:tblW w:w="4998" w:type="pct"/>
        <w:tblInd w:w="0" w:type="dxa"/>
        <w:tblLayout w:type="autofit"/>
        <w:tblCellMar>
          <w:top w:w="0" w:type="dxa"/>
          <w:left w:w="108" w:type="dxa"/>
          <w:bottom w:w="0" w:type="dxa"/>
          <w:right w:w="108" w:type="dxa"/>
        </w:tblCellMar>
      </w:tblPr>
      <w:tblGrid>
        <w:gridCol w:w="1421"/>
        <w:gridCol w:w="1198"/>
        <w:gridCol w:w="1822"/>
        <w:gridCol w:w="4078"/>
      </w:tblGrid>
      <w:tr w14:paraId="1E24E06D">
        <w:tblPrEx>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1A4DB19F">
            <w:pPr>
              <w:pStyle w:val="26"/>
              <w:rPr>
                <w:rFonts w:hint="default"/>
                <w:highlight w:val="yellow"/>
              </w:rPr>
            </w:pPr>
            <w:r>
              <w:rPr>
                <w:rFonts w:hint="default"/>
                <w:highlight w:val="yellow"/>
              </w:rPr>
              <w:t>方法</w:t>
            </w:r>
          </w:p>
        </w:tc>
        <w:tc>
          <w:tcPr>
            <w:tcW w:w="703" w:type="pct"/>
            <w:tcBorders>
              <w:top w:val="single" w:color="auto" w:sz="8" w:space="0"/>
              <w:left w:val="nil"/>
              <w:bottom w:val="single" w:color="auto" w:sz="6" w:space="0"/>
              <w:right w:val="nil"/>
            </w:tcBorders>
            <w:shd w:val="clear" w:color="auto" w:fill="FFFFFF"/>
            <w:vAlign w:val="center"/>
          </w:tcPr>
          <w:p w14:paraId="31A3E8C5">
            <w:pPr>
              <w:pStyle w:val="26"/>
              <w:rPr>
                <w:rFonts w:hint="default"/>
                <w:highlight w:val="yellow"/>
              </w:rPr>
            </w:pPr>
            <w:r>
              <w:rPr>
                <w:rFonts w:hint="default"/>
                <w:highlight w:val="yellow"/>
              </w:rPr>
              <w:t>Accuracy</w:t>
            </w:r>
          </w:p>
        </w:tc>
        <w:tc>
          <w:tcPr>
            <w:tcW w:w="1069" w:type="pct"/>
            <w:tcBorders>
              <w:top w:val="single" w:color="auto" w:sz="8" w:space="0"/>
              <w:left w:val="nil"/>
              <w:bottom w:val="single" w:color="auto" w:sz="6" w:space="0"/>
              <w:right w:val="nil"/>
            </w:tcBorders>
            <w:shd w:val="clear" w:color="auto" w:fill="FFFFFF"/>
            <w:vAlign w:val="center"/>
          </w:tcPr>
          <w:p w14:paraId="78259665">
            <w:pPr>
              <w:pStyle w:val="26"/>
              <w:rPr>
                <w:rFonts w:hint="default"/>
                <w:highlight w:val="yellow"/>
              </w:rPr>
            </w:pPr>
            <w:r>
              <w:rPr>
                <w:rFonts w:hint="default"/>
                <w:highlight w:val="yellow"/>
              </w:rPr>
              <w:t>Macro F1-score</w:t>
            </w:r>
          </w:p>
        </w:tc>
        <w:tc>
          <w:tcPr>
            <w:tcW w:w="2392" w:type="pct"/>
            <w:tcBorders>
              <w:top w:val="single" w:color="auto" w:sz="8" w:space="0"/>
              <w:left w:val="nil"/>
              <w:bottom w:val="single" w:color="auto" w:sz="6" w:space="0"/>
              <w:right w:val="nil"/>
            </w:tcBorders>
            <w:shd w:val="clear" w:color="auto" w:fill="FFFFFF"/>
            <w:vAlign w:val="center"/>
          </w:tcPr>
          <w:p w14:paraId="55078FCF">
            <w:pPr>
              <w:pStyle w:val="26"/>
              <w:rPr>
                <w:rFonts w:hint="default"/>
                <w:highlight w:val="yellow"/>
              </w:rPr>
            </w:pPr>
            <w:r>
              <w:rPr>
                <w:rFonts w:hint="default"/>
                <w:highlight w:val="yellow"/>
              </w:rPr>
              <w:t>说明</w:t>
            </w:r>
          </w:p>
        </w:tc>
      </w:tr>
      <w:tr w14:paraId="692FEE4C">
        <w:tblPrEx>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tcPr>
          <w:p w14:paraId="07C2827A">
            <w:pPr>
              <w:pStyle w:val="26"/>
              <w:rPr>
                <w:rFonts w:hint="default"/>
                <w:highlight w:val="yellow"/>
              </w:rPr>
            </w:pPr>
            <w:r>
              <w:rPr>
                <w:rFonts w:hint="default"/>
                <w:highlight w:val="yellow"/>
              </w:rPr>
              <w:t>Original</w:t>
            </w:r>
          </w:p>
        </w:tc>
        <w:tc>
          <w:tcPr>
            <w:tcW w:w="703" w:type="pct"/>
            <w:tcBorders>
              <w:top w:val="single" w:color="auto" w:sz="6" w:space="0"/>
              <w:left w:val="nil"/>
              <w:bottom w:val="nil"/>
              <w:right w:val="nil"/>
            </w:tcBorders>
            <w:shd w:val="clear" w:color="auto" w:fill="FFFFFF"/>
          </w:tcPr>
          <w:p w14:paraId="4C1443BB">
            <w:pPr>
              <w:pStyle w:val="26"/>
              <w:rPr>
                <w:rFonts w:hint="default"/>
                <w:highlight w:val="yellow"/>
              </w:rPr>
            </w:pPr>
            <w:r>
              <w:rPr>
                <w:rFonts w:hint="default"/>
                <w:highlight w:val="yellow"/>
              </w:rPr>
              <w:t>0.5833</w:t>
            </w:r>
          </w:p>
        </w:tc>
        <w:tc>
          <w:tcPr>
            <w:tcW w:w="1069" w:type="pct"/>
            <w:tcBorders>
              <w:top w:val="single" w:color="auto" w:sz="6" w:space="0"/>
              <w:left w:val="nil"/>
              <w:bottom w:val="nil"/>
              <w:right w:val="nil"/>
            </w:tcBorders>
            <w:shd w:val="clear" w:color="auto" w:fill="FFFFFF"/>
          </w:tcPr>
          <w:p w14:paraId="40774CBA">
            <w:pPr>
              <w:pStyle w:val="26"/>
              <w:rPr>
                <w:rFonts w:hint="default"/>
                <w:highlight w:val="yellow"/>
              </w:rPr>
            </w:pPr>
            <w:r>
              <w:rPr>
                <w:rFonts w:hint="default"/>
                <w:highlight w:val="yellow"/>
              </w:rPr>
              <w:t>0.5535</w:t>
            </w:r>
          </w:p>
        </w:tc>
        <w:tc>
          <w:tcPr>
            <w:tcW w:w="2392" w:type="pct"/>
            <w:tcBorders>
              <w:top w:val="single" w:color="auto" w:sz="6" w:space="0"/>
              <w:left w:val="nil"/>
              <w:bottom w:val="nil"/>
              <w:right w:val="nil"/>
            </w:tcBorders>
            <w:shd w:val="clear" w:color="auto" w:fill="FFFFFF"/>
          </w:tcPr>
          <w:p w14:paraId="3BC755B6">
            <w:pPr>
              <w:pStyle w:val="26"/>
              <w:rPr>
                <w:rFonts w:hint="default"/>
                <w:highlight w:val="yellow"/>
              </w:rPr>
            </w:pPr>
            <w:r>
              <w:rPr>
                <w:rFonts w:hint="default"/>
                <w:highlight w:val="yellow"/>
              </w:rPr>
              <w:t>数据原始标签</w:t>
            </w:r>
          </w:p>
        </w:tc>
      </w:tr>
      <w:tr w14:paraId="6F8FB044">
        <w:tblPrEx>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tcPr>
          <w:p w14:paraId="6ED5C8E0">
            <w:pPr>
              <w:pStyle w:val="26"/>
              <w:rPr>
                <w:rFonts w:hint="default"/>
                <w:highlight w:val="yellow"/>
              </w:rPr>
            </w:pPr>
            <w:r>
              <w:rPr>
                <w:rFonts w:hint="default"/>
                <w:highlight w:val="yellow"/>
              </w:rPr>
              <w:t>Keyword</w:t>
            </w:r>
          </w:p>
        </w:tc>
        <w:tc>
          <w:tcPr>
            <w:tcW w:w="703" w:type="pct"/>
            <w:tcBorders>
              <w:top w:val="nil"/>
              <w:left w:val="nil"/>
              <w:bottom w:val="nil"/>
              <w:right w:val="nil"/>
            </w:tcBorders>
            <w:shd w:val="clear" w:color="auto" w:fill="FFFFFF"/>
          </w:tcPr>
          <w:p w14:paraId="1A882F77">
            <w:pPr>
              <w:pStyle w:val="26"/>
              <w:rPr>
                <w:rFonts w:hint="default"/>
                <w:highlight w:val="yellow"/>
              </w:rPr>
            </w:pPr>
            <w:r>
              <w:rPr>
                <w:rFonts w:hint="default"/>
                <w:highlight w:val="yellow"/>
              </w:rPr>
              <w:t>0.3324</w:t>
            </w:r>
          </w:p>
        </w:tc>
        <w:tc>
          <w:tcPr>
            <w:tcW w:w="1069" w:type="pct"/>
            <w:tcBorders>
              <w:top w:val="nil"/>
              <w:left w:val="nil"/>
              <w:bottom w:val="nil"/>
              <w:right w:val="nil"/>
            </w:tcBorders>
            <w:shd w:val="clear" w:color="auto" w:fill="FFFFFF"/>
          </w:tcPr>
          <w:p w14:paraId="7591A5E5">
            <w:pPr>
              <w:pStyle w:val="26"/>
              <w:rPr>
                <w:rFonts w:hint="default"/>
                <w:highlight w:val="yellow"/>
              </w:rPr>
            </w:pPr>
            <w:r>
              <w:rPr>
                <w:rFonts w:hint="default"/>
                <w:highlight w:val="yellow"/>
              </w:rPr>
              <w:t>0.2428</w:t>
            </w:r>
          </w:p>
        </w:tc>
        <w:tc>
          <w:tcPr>
            <w:tcW w:w="2392" w:type="pct"/>
            <w:tcBorders>
              <w:top w:val="nil"/>
              <w:left w:val="nil"/>
              <w:bottom w:val="nil"/>
              <w:right w:val="nil"/>
            </w:tcBorders>
            <w:shd w:val="clear" w:color="auto" w:fill="FFFFFF"/>
          </w:tcPr>
          <w:p w14:paraId="6F962ED6">
            <w:pPr>
              <w:pStyle w:val="26"/>
              <w:rPr>
                <w:rFonts w:hint="default"/>
                <w:highlight w:val="yellow"/>
              </w:rPr>
            </w:pPr>
            <w:r>
              <w:rPr>
                <w:rFonts w:hint="default"/>
                <w:highlight w:val="yellow"/>
              </w:rPr>
              <w:t>BM25关键词匹配</w:t>
            </w:r>
          </w:p>
        </w:tc>
      </w:tr>
      <w:tr w14:paraId="2EC2C312">
        <w:tblPrEx>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tcPr>
          <w:p w14:paraId="766A0986">
            <w:pPr>
              <w:pStyle w:val="26"/>
              <w:rPr>
                <w:rFonts w:hint="default"/>
                <w:highlight w:val="yellow"/>
              </w:rPr>
            </w:pPr>
            <w:r>
              <w:rPr>
                <w:rFonts w:hint="default"/>
                <w:highlight w:val="yellow"/>
              </w:rPr>
              <w:t>KNN+BGE</w:t>
            </w:r>
          </w:p>
        </w:tc>
        <w:tc>
          <w:tcPr>
            <w:tcW w:w="703" w:type="pct"/>
            <w:tcBorders>
              <w:top w:val="nil"/>
              <w:left w:val="nil"/>
              <w:bottom w:val="nil"/>
              <w:right w:val="nil"/>
            </w:tcBorders>
            <w:shd w:val="clear" w:color="auto" w:fill="FFFFFF"/>
          </w:tcPr>
          <w:p w14:paraId="5CFC5E60">
            <w:pPr>
              <w:pStyle w:val="26"/>
              <w:rPr>
                <w:rFonts w:hint="default"/>
                <w:highlight w:val="yellow"/>
              </w:rPr>
            </w:pPr>
            <w:r>
              <w:rPr>
                <w:rFonts w:hint="default"/>
                <w:highlight w:val="yellow"/>
              </w:rPr>
              <w:t>0.6141</w:t>
            </w:r>
          </w:p>
        </w:tc>
        <w:tc>
          <w:tcPr>
            <w:tcW w:w="1069" w:type="pct"/>
            <w:tcBorders>
              <w:top w:val="nil"/>
              <w:left w:val="nil"/>
              <w:bottom w:val="nil"/>
              <w:right w:val="nil"/>
            </w:tcBorders>
            <w:shd w:val="clear" w:color="auto" w:fill="FFFFFF"/>
          </w:tcPr>
          <w:p w14:paraId="58BD7D16">
            <w:pPr>
              <w:pStyle w:val="26"/>
              <w:rPr>
                <w:rFonts w:hint="default"/>
                <w:highlight w:val="yellow"/>
              </w:rPr>
            </w:pPr>
            <w:r>
              <w:rPr>
                <w:rFonts w:hint="default"/>
                <w:highlight w:val="yellow"/>
              </w:rPr>
              <w:t>0.5454</w:t>
            </w:r>
          </w:p>
        </w:tc>
        <w:tc>
          <w:tcPr>
            <w:tcW w:w="2392" w:type="pct"/>
            <w:tcBorders>
              <w:top w:val="nil"/>
              <w:left w:val="nil"/>
              <w:bottom w:val="nil"/>
              <w:right w:val="nil"/>
            </w:tcBorders>
            <w:shd w:val="clear" w:color="auto" w:fill="FFFFFF"/>
          </w:tcPr>
          <w:p w14:paraId="7874AAA0">
            <w:pPr>
              <w:pStyle w:val="26"/>
              <w:rPr>
                <w:rFonts w:hint="default"/>
                <w:highlight w:val="yellow"/>
              </w:rPr>
            </w:pPr>
            <w:r>
              <w:rPr>
                <w:rFonts w:hint="default"/>
                <w:highlight w:val="yellow"/>
              </w:rPr>
              <w:t>基于目录嵌入的KNN加权投票</w:t>
            </w:r>
          </w:p>
        </w:tc>
      </w:tr>
      <w:tr w14:paraId="7B5627EE">
        <w:tblPrEx>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tcPr>
          <w:p w14:paraId="00C268A1">
            <w:pPr>
              <w:pStyle w:val="26"/>
              <w:rPr>
                <w:rFonts w:hint="default"/>
                <w:highlight w:val="yellow"/>
              </w:rPr>
            </w:pPr>
            <w:r>
              <w:rPr>
                <w:highlight w:val="yellow"/>
              </w:rPr>
              <w:t>本文工作流</w:t>
            </w:r>
          </w:p>
        </w:tc>
        <w:tc>
          <w:tcPr>
            <w:tcW w:w="703" w:type="pct"/>
            <w:tcBorders>
              <w:top w:val="nil"/>
              <w:left w:val="nil"/>
              <w:bottom w:val="single" w:color="auto" w:sz="8" w:space="0"/>
              <w:right w:val="nil"/>
            </w:tcBorders>
            <w:shd w:val="clear" w:color="auto" w:fill="FFFFFF"/>
          </w:tcPr>
          <w:p w14:paraId="3D3488DC">
            <w:pPr>
              <w:pStyle w:val="26"/>
              <w:rPr>
                <w:rFonts w:hint="default"/>
                <w:b/>
                <w:bCs/>
                <w:highlight w:val="yellow"/>
              </w:rPr>
            </w:pPr>
            <w:r>
              <w:rPr>
                <w:rFonts w:hint="default"/>
                <w:b/>
                <w:bCs/>
                <w:highlight w:val="yellow"/>
              </w:rPr>
              <w:t>0.9321</w:t>
            </w:r>
          </w:p>
        </w:tc>
        <w:tc>
          <w:tcPr>
            <w:tcW w:w="1069" w:type="pct"/>
            <w:tcBorders>
              <w:top w:val="nil"/>
              <w:left w:val="nil"/>
              <w:bottom w:val="single" w:color="auto" w:sz="8" w:space="0"/>
              <w:right w:val="nil"/>
            </w:tcBorders>
            <w:shd w:val="clear" w:color="auto" w:fill="FFFFFF"/>
          </w:tcPr>
          <w:p w14:paraId="23732562">
            <w:pPr>
              <w:pStyle w:val="26"/>
              <w:rPr>
                <w:rFonts w:hint="default"/>
                <w:b/>
                <w:bCs/>
                <w:highlight w:val="yellow"/>
              </w:rPr>
            </w:pPr>
            <w:r>
              <w:rPr>
                <w:rFonts w:hint="default"/>
                <w:b/>
                <w:bCs/>
                <w:highlight w:val="yellow"/>
              </w:rPr>
              <w:t>0.922</w:t>
            </w:r>
            <w:r>
              <w:rPr>
                <w:b/>
                <w:bCs/>
                <w:highlight w:val="yellow"/>
              </w:rPr>
              <w:t>0</w:t>
            </w:r>
          </w:p>
        </w:tc>
        <w:tc>
          <w:tcPr>
            <w:tcW w:w="2392" w:type="pct"/>
            <w:tcBorders>
              <w:top w:val="nil"/>
              <w:left w:val="nil"/>
              <w:bottom w:val="single" w:color="auto" w:sz="8" w:space="0"/>
              <w:right w:val="nil"/>
            </w:tcBorders>
            <w:shd w:val="clear" w:color="auto" w:fill="FFFFFF"/>
          </w:tcPr>
          <w:p w14:paraId="136DEE28">
            <w:pPr>
              <w:pStyle w:val="26"/>
              <w:rPr>
                <w:rFonts w:hint="default"/>
                <w:highlight w:val="yellow"/>
              </w:rPr>
            </w:pPr>
            <w:r>
              <w:rPr>
                <w:rFonts w:hint="default"/>
                <w:highlight w:val="yellow"/>
              </w:rPr>
              <w:t>分类规则+分类目录RAG+纠错分支</w:t>
            </w:r>
          </w:p>
        </w:tc>
      </w:tr>
    </w:tbl>
    <w:p w14:paraId="3346C687">
      <w:pPr>
        <w:ind w:firstLine="480"/>
        <w:rPr>
          <w:rFonts w:hint="eastAsia"/>
          <w:highlight w:val="yellow"/>
        </w:rPr>
      </w:pPr>
      <w:r>
        <w:rPr>
          <w:rFonts w:hint="eastAsia"/>
          <w:highlight w:val="yellow"/>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330D4523">
      <w:pPr>
        <w:pStyle w:val="25"/>
        <w:rPr>
          <w:rFonts w:hint="default"/>
          <w:highlight w:val="yellow"/>
        </w:rPr>
      </w:pPr>
      <w:r>
        <w:rPr>
          <w:highlight w:val="yellow"/>
        </w:rPr>
        <w:t xml:space="preserve">表3-10  </w:t>
      </w:r>
      <w:r>
        <w:rPr>
          <w:highlight w:val="yellow"/>
        </w:rPr>
        <w:t>自动标注工作流的领域知识消融结果</w:t>
      </w:r>
    </w:p>
    <w:tbl>
      <w:tblPr>
        <w:tblStyle w:val="15"/>
        <w:tblW w:w="5000" w:type="pct"/>
        <w:tblInd w:w="0" w:type="dxa"/>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0EA65756">
        <w:tblPrEx>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D3A76C5">
            <w:pPr>
              <w:pStyle w:val="26"/>
              <w:rPr>
                <w:rFonts w:hint="default"/>
                <w:highlight w:val="yellow"/>
              </w:rPr>
            </w:pPr>
            <w:r>
              <w:rPr>
                <w:rFonts w:hint="default"/>
                <w:highlight w:val="yellow"/>
              </w:rPr>
              <w:t>方法</w:t>
            </w:r>
          </w:p>
        </w:tc>
        <w:tc>
          <w:tcPr>
            <w:tcW w:w="626" w:type="pct"/>
            <w:tcBorders>
              <w:top w:val="single" w:color="auto" w:sz="8" w:space="0"/>
              <w:left w:val="nil"/>
              <w:bottom w:val="single" w:color="auto" w:sz="6" w:space="0"/>
              <w:right w:val="nil"/>
            </w:tcBorders>
            <w:shd w:val="clear" w:color="auto" w:fill="FFFFFF"/>
            <w:vAlign w:val="center"/>
          </w:tcPr>
          <w:p w14:paraId="712F5D89">
            <w:pPr>
              <w:pStyle w:val="26"/>
              <w:rPr>
                <w:rFonts w:hint="default"/>
                <w:highlight w:val="yellow"/>
              </w:rPr>
            </w:pPr>
            <w:r>
              <w:rPr>
                <w:rFonts w:hint="default"/>
                <w:highlight w:val="yellow"/>
              </w:rPr>
              <w:t>分类规则</w:t>
            </w:r>
          </w:p>
        </w:tc>
        <w:tc>
          <w:tcPr>
            <w:tcW w:w="654" w:type="pct"/>
            <w:tcBorders>
              <w:top w:val="single" w:color="auto" w:sz="8" w:space="0"/>
              <w:left w:val="nil"/>
              <w:bottom w:val="single" w:color="auto" w:sz="6" w:space="0"/>
              <w:right w:val="nil"/>
            </w:tcBorders>
            <w:shd w:val="clear" w:color="auto" w:fill="FFFFFF"/>
            <w:vAlign w:val="center"/>
          </w:tcPr>
          <w:p w14:paraId="64751BE0">
            <w:pPr>
              <w:pStyle w:val="26"/>
              <w:rPr>
                <w:rFonts w:hint="default"/>
                <w:highlight w:val="yellow"/>
              </w:rPr>
            </w:pPr>
            <w:r>
              <w:rPr>
                <w:rFonts w:hint="default"/>
                <w:highlight w:val="yellow"/>
              </w:rPr>
              <w:t>分类目录</w:t>
            </w:r>
          </w:p>
        </w:tc>
        <w:tc>
          <w:tcPr>
            <w:tcW w:w="516" w:type="pct"/>
            <w:tcBorders>
              <w:top w:val="single" w:color="auto" w:sz="8" w:space="0"/>
              <w:left w:val="nil"/>
              <w:bottom w:val="single" w:color="auto" w:sz="6" w:space="0"/>
              <w:right w:val="nil"/>
            </w:tcBorders>
            <w:shd w:val="clear" w:color="auto" w:fill="FFFFFF"/>
            <w:vAlign w:val="center"/>
          </w:tcPr>
          <w:p w14:paraId="433B58B8">
            <w:pPr>
              <w:pStyle w:val="26"/>
              <w:rPr>
                <w:rFonts w:hint="default"/>
                <w:highlight w:val="yellow"/>
              </w:rPr>
            </w:pPr>
            <w:r>
              <w:rPr>
                <w:rFonts w:hint="default"/>
                <w:highlight w:val="yellow"/>
              </w:rPr>
              <w:t>纠错</w:t>
            </w:r>
          </w:p>
        </w:tc>
        <w:tc>
          <w:tcPr>
            <w:tcW w:w="718" w:type="pct"/>
            <w:tcBorders>
              <w:top w:val="single" w:color="auto" w:sz="8" w:space="0"/>
              <w:left w:val="nil"/>
              <w:bottom w:val="single" w:color="auto" w:sz="6" w:space="0"/>
              <w:right w:val="nil"/>
            </w:tcBorders>
            <w:shd w:val="clear" w:color="auto" w:fill="FFFFFF"/>
            <w:vAlign w:val="center"/>
          </w:tcPr>
          <w:p w14:paraId="0C70424D">
            <w:pPr>
              <w:pStyle w:val="26"/>
              <w:rPr>
                <w:rFonts w:hint="default"/>
                <w:highlight w:val="yellow"/>
              </w:rPr>
            </w:pPr>
            <w:r>
              <w:rPr>
                <w:rFonts w:hint="default"/>
                <w:highlight w:val="yellow"/>
              </w:rPr>
              <w:t>Accuracy</w:t>
            </w:r>
          </w:p>
        </w:tc>
        <w:tc>
          <w:tcPr>
            <w:tcW w:w="693" w:type="pct"/>
            <w:tcBorders>
              <w:top w:val="single" w:color="auto" w:sz="8" w:space="0"/>
              <w:left w:val="nil"/>
              <w:bottom w:val="single" w:color="auto" w:sz="6" w:space="0"/>
              <w:right w:val="nil"/>
            </w:tcBorders>
            <w:shd w:val="clear" w:color="auto" w:fill="FFFFFF"/>
            <w:vAlign w:val="center"/>
          </w:tcPr>
          <w:p w14:paraId="4A9F9964">
            <w:pPr>
              <w:pStyle w:val="26"/>
              <w:rPr>
                <w:rFonts w:hint="default"/>
                <w:highlight w:val="yellow"/>
              </w:rPr>
            </w:pPr>
            <w:r>
              <w:rPr>
                <w:rFonts w:hint="default"/>
                <w:highlight w:val="yellow"/>
              </w:rPr>
              <w:t>Macro F1-score</w:t>
            </w:r>
          </w:p>
        </w:tc>
        <w:tc>
          <w:tcPr>
            <w:tcW w:w="699" w:type="pct"/>
            <w:tcBorders>
              <w:top w:val="single" w:color="auto" w:sz="8" w:space="0"/>
              <w:left w:val="nil"/>
              <w:bottom w:val="single" w:color="auto" w:sz="6" w:space="0"/>
              <w:right w:val="nil"/>
            </w:tcBorders>
            <w:shd w:val="clear" w:color="auto" w:fill="FFFFFF"/>
            <w:vAlign w:val="center"/>
          </w:tcPr>
          <w:p w14:paraId="51B68FC7">
            <w:pPr>
              <w:pStyle w:val="26"/>
              <w:rPr>
                <w:rFonts w:hint="default"/>
                <w:highlight w:val="yellow"/>
              </w:rPr>
            </w:pPr>
            <w:r>
              <w:rPr>
                <w:rFonts w:hint="default"/>
                <w:highlight w:val="yellow"/>
              </w:rPr>
              <w:t>Fleiss' Kappa</w:t>
            </w:r>
          </w:p>
        </w:tc>
      </w:tr>
      <w:tr w14:paraId="30C420B5">
        <w:tblPrEx>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tcPr>
          <w:p w14:paraId="303D73FA">
            <w:pPr>
              <w:pStyle w:val="26"/>
              <w:rPr>
                <w:rFonts w:hint="default"/>
                <w:highlight w:val="yellow"/>
              </w:rPr>
            </w:pPr>
            <w:r>
              <w:rPr>
                <w:rFonts w:hint="default"/>
                <w:highlight w:val="yellow"/>
              </w:rPr>
              <w:t>LLM-Zero-Shot</w:t>
            </w:r>
          </w:p>
        </w:tc>
        <w:tc>
          <w:tcPr>
            <w:tcW w:w="626" w:type="pct"/>
            <w:tcBorders>
              <w:top w:val="single" w:color="auto" w:sz="6" w:space="0"/>
              <w:left w:val="nil"/>
              <w:bottom w:val="nil"/>
              <w:right w:val="nil"/>
            </w:tcBorders>
            <w:shd w:val="clear" w:color="auto" w:fill="FFFFFF"/>
          </w:tcPr>
          <w:p w14:paraId="3188A9BA">
            <w:pPr>
              <w:pStyle w:val="26"/>
              <w:rPr>
                <w:rFonts w:hint="default"/>
                <w:highlight w:val="yellow"/>
              </w:rPr>
            </w:pPr>
            <w:r>
              <w:rPr>
                <w:rFonts w:hint="default"/>
                <w:highlight w:val="yellow"/>
              </w:rPr>
              <w:t>否</w:t>
            </w:r>
          </w:p>
        </w:tc>
        <w:tc>
          <w:tcPr>
            <w:tcW w:w="654" w:type="pct"/>
            <w:tcBorders>
              <w:top w:val="single" w:color="auto" w:sz="6" w:space="0"/>
              <w:left w:val="nil"/>
              <w:bottom w:val="nil"/>
              <w:right w:val="nil"/>
            </w:tcBorders>
            <w:shd w:val="clear" w:color="auto" w:fill="FFFFFF"/>
          </w:tcPr>
          <w:p w14:paraId="0772644A">
            <w:pPr>
              <w:pStyle w:val="26"/>
              <w:rPr>
                <w:rFonts w:hint="default"/>
                <w:highlight w:val="yellow"/>
              </w:rPr>
            </w:pPr>
            <w:r>
              <w:rPr>
                <w:rFonts w:hint="default"/>
                <w:highlight w:val="yellow"/>
              </w:rPr>
              <w:t>否</w:t>
            </w:r>
          </w:p>
        </w:tc>
        <w:tc>
          <w:tcPr>
            <w:tcW w:w="516" w:type="pct"/>
            <w:tcBorders>
              <w:top w:val="single" w:color="auto" w:sz="6" w:space="0"/>
              <w:left w:val="nil"/>
              <w:bottom w:val="nil"/>
              <w:right w:val="nil"/>
            </w:tcBorders>
            <w:shd w:val="clear" w:color="auto" w:fill="FFFFFF"/>
          </w:tcPr>
          <w:p w14:paraId="6F9E83FC">
            <w:pPr>
              <w:pStyle w:val="26"/>
              <w:rPr>
                <w:rFonts w:hint="default"/>
                <w:highlight w:val="yellow"/>
              </w:rPr>
            </w:pPr>
            <w:r>
              <w:rPr>
                <w:rFonts w:hint="default"/>
                <w:highlight w:val="yellow"/>
              </w:rPr>
              <w:t>否</w:t>
            </w:r>
          </w:p>
        </w:tc>
        <w:tc>
          <w:tcPr>
            <w:tcW w:w="718" w:type="pct"/>
            <w:tcBorders>
              <w:top w:val="single" w:color="auto" w:sz="6" w:space="0"/>
              <w:left w:val="nil"/>
              <w:bottom w:val="nil"/>
              <w:right w:val="nil"/>
            </w:tcBorders>
            <w:shd w:val="clear" w:color="auto" w:fill="FFFFFF"/>
          </w:tcPr>
          <w:p w14:paraId="35081009">
            <w:pPr>
              <w:pStyle w:val="26"/>
              <w:rPr>
                <w:rFonts w:hint="default"/>
                <w:highlight w:val="yellow"/>
              </w:rPr>
            </w:pPr>
            <w:r>
              <w:rPr>
                <w:rFonts w:hint="default"/>
                <w:highlight w:val="yellow"/>
              </w:rPr>
              <w:t>0.5326</w:t>
            </w:r>
          </w:p>
        </w:tc>
        <w:tc>
          <w:tcPr>
            <w:tcW w:w="693" w:type="pct"/>
            <w:tcBorders>
              <w:top w:val="single" w:color="auto" w:sz="6" w:space="0"/>
              <w:left w:val="nil"/>
              <w:bottom w:val="nil"/>
              <w:right w:val="nil"/>
            </w:tcBorders>
            <w:shd w:val="clear" w:color="auto" w:fill="FFFFFF"/>
          </w:tcPr>
          <w:p w14:paraId="5A81D773">
            <w:pPr>
              <w:pStyle w:val="26"/>
              <w:rPr>
                <w:rFonts w:hint="default"/>
                <w:highlight w:val="yellow"/>
              </w:rPr>
            </w:pPr>
            <w:r>
              <w:rPr>
                <w:rFonts w:hint="default"/>
                <w:highlight w:val="yellow"/>
              </w:rPr>
              <w:t>0.4941</w:t>
            </w:r>
          </w:p>
        </w:tc>
        <w:tc>
          <w:tcPr>
            <w:tcW w:w="699" w:type="pct"/>
            <w:tcBorders>
              <w:top w:val="single" w:color="auto" w:sz="6" w:space="0"/>
              <w:left w:val="nil"/>
              <w:bottom w:val="nil"/>
              <w:right w:val="nil"/>
            </w:tcBorders>
            <w:shd w:val="clear" w:color="auto" w:fill="FFFFFF"/>
          </w:tcPr>
          <w:p w14:paraId="11FD9908">
            <w:pPr>
              <w:pStyle w:val="26"/>
              <w:rPr>
                <w:rFonts w:hint="default"/>
                <w:highlight w:val="yellow"/>
              </w:rPr>
            </w:pPr>
            <w:r>
              <w:rPr>
                <w:rFonts w:hint="default"/>
                <w:highlight w:val="yellow"/>
              </w:rPr>
              <w:t>0.9943</w:t>
            </w:r>
          </w:p>
        </w:tc>
      </w:tr>
      <w:tr w14:paraId="415AB49A">
        <w:tblPrEx>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tcPr>
          <w:p w14:paraId="372024CA">
            <w:pPr>
              <w:pStyle w:val="26"/>
              <w:rPr>
                <w:rFonts w:hint="default"/>
                <w:highlight w:val="yellow"/>
              </w:rPr>
            </w:pPr>
            <w:r>
              <w:rPr>
                <w:rFonts w:hint="default"/>
                <w:highlight w:val="yellow"/>
              </w:rPr>
              <w:t>LLM-Prompt</w:t>
            </w:r>
          </w:p>
        </w:tc>
        <w:tc>
          <w:tcPr>
            <w:tcW w:w="626" w:type="pct"/>
            <w:tcBorders>
              <w:top w:val="nil"/>
              <w:left w:val="nil"/>
              <w:bottom w:val="nil"/>
              <w:right w:val="nil"/>
            </w:tcBorders>
            <w:shd w:val="clear" w:color="auto" w:fill="FFFFFF"/>
          </w:tcPr>
          <w:p w14:paraId="55ED07AF">
            <w:pPr>
              <w:pStyle w:val="26"/>
              <w:rPr>
                <w:rFonts w:hint="default"/>
                <w:highlight w:val="yellow"/>
              </w:rPr>
            </w:pPr>
            <w:r>
              <w:rPr>
                <w:rFonts w:hint="default"/>
                <w:highlight w:val="yellow"/>
              </w:rPr>
              <w:t>是</w:t>
            </w:r>
          </w:p>
        </w:tc>
        <w:tc>
          <w:tcPr>
            <w:tcW w:w="654" w:type="pct"/>
            <w:tcBorders>
              <w:top w:val="nil"/>
              <w:left w:val="nil"/>
              <w:bottom w:val="nil"/>
              <w:right w:val="nil"/>
            </w:tcBorders>
            <w:shd w:val="clear" w:color="auto" w:fill="FFFFFF"/>
          </w:tcPr>
          <w:p w14:paraId="6A0DAABA">
            <w:pPr>
              <w:pStyle w:val="26"/>
              <w:rPr>
                <w:rFonts w:hint="default"/>
                <w:highlight w:val="yellow"/>
              </w:rPr>
            </w:pPr>
            <w:r>
              <w:rPr>
                <w:rFonts w:hint="default"/>
                <w:highlight w:val="yellow"/>
              </w:rPr>
              <w:t>否</w:t>
            </w:r>
          </w:p>
        </w:tc>
        <w:tc>
          <w:tcPr>
            <w:tcW w:w="516" w:type="pct"/>
            <w:tcBorders>
              <w:top w:val="nil"/>
              <w:left w:val="nil"/>
              <w:bottom w:val="nil"/>
              <w:right w:val="nil"/>
            </w:tcBorders>
            <w:shd w:val="clear" w:color="auto" w:fill="FFFFFF"/>
          </w:tcPr>
          <w:p w14:paraId="53589967">
            <w:pPr>
              <w:pStyle w:val="26"/>
              <w:rPr>
                <w:rFonts w:hint="default"/>
                <w:highlight w:val="yellow"/>
              </w:rPr>
            </w:pPr>
            <w:r>
              <w:rPr>
                <w:rFonts w:hint="default"/>
                <w:highlight w:val="yellow"/>
              </w:rPr>
              <w:t>否</w:t>
            </w:r>
          </w:p>
        </w:tc>
        <w:tc>
          <w:tcPr>
            <w:tcW w:w="718" w:type="pct"/>
            <w:tcBorders>
              <w:top w:val="nil"/>
              <w:left w:val="nil"/>
              <w:bottom w:val="nil"/>
              <w:right w:val="nil"/>
            </w:tcBorders>
            <w:shd w:val="clear" w:color="auto" w:fill="FFFFFF"/>
          </w:tcPr>
          <w:p w14:paraId="4FB8540C">
            <w:pPr>
              <w:pStyle w:val="26"/>
              <w:rPr>
                <w:rFonts w:hint="default"/>
                <w:highlight w:val="yellow"/>
              </w:rPr>
            </w:pPr>
            <w:r>
              <w:rPr>
                <w:rFonts w:hint="default"/>
                <w:highlight w:val="yellow"/>
              </w:rPr>
              <w:t>0.7032</w:t>
            </w:r>
          </w:p>
        </w:tc>
        <w:tc>
          <w:tcPr>
            <w:tcW w:w="693" w:type="pct"/>
            <w:tcBorders>
              <w:top w:val="nil"/>
              <w:left w:val="nil"/>
              <w:bottom w:val="nil"/>
              <w:right w:val="nil"/>
            </w:tcBorders>
            <w:shd w:val="clear" w:color="auto" w:fill="FFFFFF"/>
          </w:tcPr>
          <w:p w14:paraId="0B890405">
            <w:pPr>
              <w:pStyle w:val="26"/>
              <w:rPr>
                <w:rFonts w:hint="default"/>
                <w:highlight w:val="yellow"/>
              </w:rPr>
            </w:pPr>
            <w:r>
              <w:rPr>
                <w:rFonts w:hint="default"/>
                <w:highlight w:val="yellow"/>
              </w:rPr>
              <w:t>0.6127</w:t>
            </w:r>
          </w:p>
        </w:tc>
        <w:tc>
          <w:tcPr>
            <w:tcW w:w="699" w:type="pct"/>
            <w:tcBorders>
              <w:top w:val="nil"/>
              <w:left w:val="nil"/>
              <w:bottom w:val="nil"/>
              <w:right w:val="nil"/>
            </w:tcBorders>
            <w:shd w:val="clear" w:color="auto" w:fill="FFFFFF"/>
          </w:tcPr>
          <w:p w14:paraId="56A20CC1">
            <w:pPr>
              <w:pStyle w:val="26"/>
              <w:rPr>
                <w:rFonts w:hint="default"/>
                <w:highlight w:val="yellow"/>
              </w:rPr>
            </w:pPr>
            <w:r>
              <w:rPr>
                <w:rFonts w:hint="default"/>
                <w:highlight w:val="yellow"/>
              </w:rPr>
              <w:t>0.9958</w:t>
            </w:r>
          </w:p>
        </w:tc>
      </w:tr>
      <w:tr w14:paraId="65B69A7C">
        <w:tblPrEx>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tcPr>
          <w:p w14:paraId="18868F47">
            <w:pPr>
              <w:pStyle w:val="26"/>
              <w:rPr>
                <w:rFonts w:hint="default"/>
                <w:highlight w:val="yellow"/>
              </w:rPr>
            </w:pPr>
            <w:r>
              <w:rPr>
                <w:rFonts w:hint="default"/>
                <w:highlight w:val="yellow"/>
              </w:rPr>
              <w:t>LLM-Prompt-RAG</w:t>
            </w:r>
          </w:p>
        </w:tc>
        <w:tc>
          <w:tcPr>
            <w:tcW w:w="626" w:type="pct"/>
            <w:tcBorders>
              <w:top w:val="nil"/>
              <w:left w:val="nil"/>
              <w:bottom w:val="nil"/>
              <w:right w:val="nil"/>
            </w:tcBorders>
            <w:shd w:val="clear" w:color="auto" w:fill="FFFFFF"/>
          </w:tcPr>
          <w:p w14:paraId="77A72409">
            <w:pPr>
              <w:pStyle w:val="26"/>
              <w:rPr>
                <w:rFonts w:hint="default"/>
                <w:highlight w:val="yellow"/>
              </w:rPr>
            </w:pPr>
            <w:r>
              <w:rPr>
                <w:rFonts w:hint="default"/>
                <w:highlight w:val="yellow"/>
              </w:rPr>
              <w:t>是</w:t>
            </w:r>
          </w:p>
        </w:tc>
        <w:tc>
          <w:tcPr>
            <w:tcW w:w="654" w:type="pct"/>
            <w:tcBorders>
              <w:top w:val="nil"/>
              <w:left w:val="nil"/>
              <w:bottom w:val="nil"/>
              <w:right w:val="nil"/>
            </w:tcBorders>
            <w:shd w:val="clear" w:color="auto" w:fill="FFFFFF"/>
          </w:tcPr>
          <w:p w14:paraId="19D82640">
            <w:pPr>
              <w:pStyle w:val="26"/>
              <w:rPr>
                <w:rFonts w:hint="default"/>
                <w:highlight w:val="yellow"/>
              </w:rPr>
            </w:pPr>
            <w:r>
              <w:rPr>
                <w:rFonts w:hint="default"/>
                <w:highlight w:val="yellow"/>
              </w:rPr>
              <w:t>是</w:t>
            </w:r>
          </w:p>
        </w:tc>
        <w:tc>
          <w:tcPr>
            <w:tcW w:w="516" w:type="pct"/>
            <w:tcBorders>
              <w:top w:val="nil"/>
              <w:left w:val="nil"/>
              <w:bottom w:val="nil"/>
              <w:right w:val="nil"/>
            </w:tcBorders>
            <w:shd w:val="clear" w:color="auto" w:fill="FFFFFF"/>
          </w:tcPr>
          <w:p w14:paraId="1E0A7ED0">
            <w:pPr>
              <w:pStyle w:val="26"/>
              <w:rPr>
                <w:rFonts w:hint="default"/>
                <w:highlight w:val="yellow"/>
              </w:rPr>
            </w:pPr>
            <w:r>
              <w:rPr>
                <w:rFonts w:hint="default"/>
                <w:highlight w:val="yellow"/>
              </w:rPr>
              <w:t>否</w:t>
            </w:r>
          </w:p>
        </w:tc>
        <w:tc>
          <w:tcPr>
            <w:tcW w:w="718" w:type="pct"/>
            <w:tcBorders>
              <w:top w:val="nil"/>
              <w:left w:val="nil"/>
              <w:bottom w:val="nil"/>
              <w:right w:val="nil"/>
            </w:tcBorders>
            <w:shd w:val="clear" w:color="auto" w:fill="FFFFFF"/>
          </w:tcPr>
          <w:p w14:paraId="366CF55D">
            <w:pPr>
              <w:pStyle w:val="26"/>
              <w:rPr>
                <w:rFonts w:hint="default"/>
                <w:highlight w:val="yellow"/>
              </w:rPr>
            </w:pPr>
            <w:r>
              <w:rPr>
                <w:rFonts w:hint="default"/>
                <w:highlight w:val="yellow"/>
              </w:rPr>
              <w:t>0.8958</w:t>
            </w:r>
          </w:p>
        </w:tc>
        <w:tc>
          <w:tcPr>
            <w:tcW w:w="693" w:type="pct"/>
            <w:tcBorders>
              <w:top w:val="nil"/>
              <w:left w:val="nil"/>
              <w:bottom w:val="nil"/>
              <w:right w:val="nil"/>
            </w:tcBorders>
            <w:shd w:val="clear" w:color="auto" w:fill="FFFFFF"/>
          </w:tcPr>
          <w:p w14:paraId="3EAB3319">
            <w:pPr>
              <w:pStyle w:val="26"/>
              <w:rPr>
                <w:rFonts w:hint="default"/>
                <w:highlight w:val="yellow"/>
              </w:rPr>
            </w:pPr>
            <w:r>
              <w:rPr>
                <w:rFonts w:hint="default"/>
                <w:highlight w:val="yellow"/>
              </w:rPr>
              <w:t>0.8801</w:t>
            </w:r>
          </w:p>
        </w:tc>
        <w:tc>
          <w:tcPr>
            <w:tcW w:w="699" w:type="pct"/>
            <w:tcBorders>
              <w:top w:val="nil"/>
              <w:left w:val="nil"/>
              <w:bottom w:val="nil"/>
              <w:right w:val="nil"/>
            </w:tcBorders>
            <w:shd w:val="clear" w:color="auto" w:fill="FFFFFF"/>
          </w:tcPr>
          <w:p w14:paraId="5A784F63">
            <w:pPr>
              <w:pStyle w:val="26"/>
              <w:rPr>
                <w:rFonts w:hint="default"/>
                <w:highlight w:val="yellow"/>
              </w:rPr>
            </w:pPr>
            <w:r>
              <w:rPr>
                <w:rFonts w:hint="default"/>
                <w:highlight w:val="yellow"/>
              </w:rPr>
              <w:t>0.9972</w:t>
            </w:r>
          </w:p>
        </w:tc>
      </w:tr>
      <w:tr w14:paraId="153F04B3">
        <w:tblPrEx>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tcPr>
          <w:p w14:paraId="1DDE2215">
            <w:pPr>
              <w:pStyle w:val="26"/>
              <w:rPr>
                <w:rFonts w:hint="default"/>
                <w:highlight w:val="yellow"/>
              </w:rPr>
            </w:pPr>
            <w:r>
              <w:rPr>
                <w:rFonts w:hint="default"/>
                <w:highlight w:val="yellow"/>
              </w:rPr>
              <w:t>完整结构</w:t>
            </w:r>
          </w:p>
        </w:tc>
        <w:tc>
          <w:tcPr>
            <w:tcW w:w="626" w:type="pct"/>
            <w:tcBorders>
              <w:top w:val="nil"/>
              <w:left w:val="nil"/>
              <w:bottom w:val="single" w:color="auto" w:sz="8" w:space="0"/>
              <w:right w:val="nil"/>
            </w:tcBorders>
            <w:shd w:val="clear" w:color="auto" w:fill="FFFFFF"/>
          </w:tcPr>
          <w:p w14:paraId="61778F01">
            <w:pPr>
              <w:pStyle w:val="26"/>
              <w:rPr>
                <w:rFonts w:hint="default"/>
                <w:highlight w:val="yellow"/>
              </w:rPr>
            </w:pPr>
            <w:r>
              <w:rPr>
                <w:rFonts w:hint="default"/>
                <w:highlight w:val="yellow"/>
              </w:rPr>
              <w:t>是</w:t>
            </w:r>
          </w:p>
        </w:tc>
        <w:tc>
          <w:tcPr>
            <w:tcW w:w="654" w:type="pct"/>
            <w:tcBorders>
              <w:top w:val="nil"/>
              <w:left w:val="nil"/>
              <w:bottom w:val="single" w:color="auto" w:sz="8" w:space="0"/>
              <w:right w:val="nil"/>
            </w:tcBorders>
            <w:shd w:val="clear" w:color="auto" w:fill="FFFFFF"/>
          </w:tcPr>
          <w:p w14:paraId="39680725">
            <w:pPr>
              <w:pStyle w:val="26"/>
              <w:rPr>
                <w:rFonts w:hint="default"/>
                <w:highlight w:val="yellow"/>
              </w:rPr>
            </w:pPr>
            <w:r>
              <w:rPr>
                <w:rFonts w:hint="default"/>
                <w:highlight w:val="yellow"/>
              </w:rPr>
              <w:t>是</w:t>
            </w:r>
          </w:p>
        </w:tc>
        <w:tc>
          <w:tcPr>
            <w:tcW w:w="516" w:type="pct"/>
            <w:tcBorders>
              <w:top w:val="nil"/>
              <w:left w:val="nil"/>
              <w:bottom w:val="single" w:color="auto" w:sz="8" w:space="0"/>
              <w:right w:val="nil"/>
            </w:tcBorders>
            <w:shd w:val="clear" w:color="auto" w:fill="FFFFFF"/>
          </w:tcPr>
          <w:p w14:paraId="2C7ACD96">
            <w:pPr>
              <w:pStyle w:val="26"/>
              <w:rPr>
                <w:rFonts w:hint="default"/>
                <w:highlight w:val="yellow"/>
              </w:rPr>
            </w:pPr>
            <w:r>
              <w:rPr>
                <w:rFonts w:hint="default"/>
                <w:highlight w:val="yellow"/>
              </w:rPr>
              <w:t>是</w:t>
            </w:r>
          </w:p>
        </w:tc>
        <w:tc>
          <w:tcPr>
            <w:tcW w:w="718" w:type="pct"/>
            <w:tcBorders>
              <w:top w:val="nil"/>
              <w:left w:val="nil"/>
              <w:bottom w:val="single" w:color="auto" w:sz="8" w:space="0"/>
              <w:right w:val="nil"/>
            </w:tcBorders>
            <w:shd w:val="clear" w:color="auto" w:fill="FFFFFF"/>
          </w:tcPr>
          <w:p w14:paraId="3B2949A4">
            <w:pPr>
              <w:pStyle w:val="26"/>
              <w:rPr>
                <w:rFonts w:hint="default"/>
                <w:b/>
                <w:bCs/>
                <w:highlight w:val="yellow"/>
              </w:rPr>
            </w:pPr>
            <w:r>
              <w:rPr>
                <w:rFonts w:hint="default"/>
                <w:b/>
                <w:bCs/>
                <w:highlight w:val="yellow"/>
              </w:rPr>
              <w:t>0.9321</w:t>
            </w:r>
          </w:p>
        </w:tc>
        <w:tc>
          <w:tcPr>
            <w:tcW w:w="693" w:type="pct"/>
            <w:tcBorders>
              <w:top w:val="nil"/>
              <w:left w:val="nil"/>
              <w:bottom w:val="single" w:color="auto" w:sz="8" w:space="0"/>
              <w:right w:val="nil"/>
            </w:tcBorders>
            <w:shd w:val="clear" w:color="auto" w:fill="FFFFFF"/>
          </w:tcPr>
          <w:p w14:paraId="0EDE9D66">
            <w:pPr>
              <w:pStyle w:val="26"/>
              <w:rPr>
                <w:rFonts w:hint="default"/>
                <w:b/>
                <w:bCs/>
                <w:highlight w:val="yellow"/>
              </w:rPr>
            </w:pPr>
            <w:r>
              <w:rPr>
                <w:rFonts w:hint="default"/>
                <w:b/>
                <w:bCs/>
                <w:highlight w:val="yellow"/>
              </w:rPr>
              <w:t>0.922</w:t>
            </w:r>
            <w:r>
              <w:rPr>
                <w:b/>
                <w:bCs/>
                <w:highlight w:val="yellow"/>
              </w:rPr>
              <w:t>0</w:t>
            </w:r>
          </w:p>
        </w:tc>
        <w:tc>
          <w:tcPr>
            <w:tcW w:w="699" w:type="pct"/>
            <w:tcBorders>
              <w:top w:val="nil"/>
              <w:left w:val="nil"/>
              <w:bottom w:val="single" w:color="auto" w:sz="8" w:space="0"/>
              <w:right w:val="nil"/>
            </w:tcBorders>
            <w:shd w:val="clear" w:color="auto" w:fill="FFFFFF"/>
          </w:tcPr>
          <w:p w14:paraId="7FB039D1">
            <w:pPr>
              <w:pStyle w:val="26"/>
              <w:rPr>
                <w:rFonts w:hint="default"/>
                <w:b/>
                <w:bCs/>
                <w:highlight w:val="yellow"/>
              </w:rPr>
            </w:pPr>
            <w:r>
              <w:rPr>
                <w:rFonts w:hint="default"/>
                <w:b/>
                <w:bCs/>
                <w:highlight w:val="yellow"/>
              </w:rPr>
              <w:t>0.9986</w:t>
            </w:r>
          </w:p>
        </w:tc>
      </w:tr>
    </w:tbl>
    <w:p w14:paraId="3D3B06A1">
      <w:pPr>
        <w:ind w:firstLine="480"/>
        <w:rPr>
          <w:highlight w:val="yellow"/>
        </w:rPr>
      </w:pPr>
      <w:r>
        <w:rPr>
          <w:rFonts w:hint="eastAsia"/>
          <w:highlight w:val="yellow"/>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40CE5DB5">
      <w:pPr>
        <w:ind w:firstLine="480"/>
        <w:rPr>
          <w:highlight w:val="yellow"/>
        </w:rPr>
      </w:pPr>
      <w:r>
        <w:rPr>
          <w:rFonts w:hint="eastAsia"/>
          <w:highlight w:val="yellow"/>
        </w:rPr>
        <w:t>消融结果表明，领域规则可以帮助LLM建立有源/无源、植入/非植入等基本判断框架；分类目录RAG提供更贴近产品类别的外部知识，是性能提升的主要来源；纠错分支则针对易混类别进一步压缩错误空间。</w:t>
      </w:r>
    </w:p>
    <w:p w14:paraId="47EDB721">
      <w:pPr>
        <w:ind w:firstLine="480"/>
        <w:rPr>
          <w:rFonts w:hint="eastAsia"/>
        </w:rPr>
      </w:pPr>
      <w:r>
        <w:rPr>
          <w:rFonts w:hint="eastAsia"/>
        </w:rPr>
        <w:t>为观察完整结构在不同类别上的错误分布，本文进一步绘制D2上的混淆矩阵，如图3-4所示。可以看到，大部分样本集中在主对角线上，说明预测标签与专家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A4E2337">
      <w:pPr>
        <w:ind w:firstLine="0" w:firstLineChars="0"/>
        <w:rPr>
          <w:color w:val="0000FF"/>
        </w:rPr>
      </w:pPr>
      <w:r>
        <w:rPr>
          <w:rFonts w:hint="eastAsia"/>
          <w:color w:val="0000FF"/>
        </w:rPr>
        <w:drawing>
          <wp:inline distT="0" distB="0" distL="114300" distR="114300">
            <wp:extent cx="5271770" cy="4553585"/>
            <wp:effectExtent l="0" t="0" r="6985" b="1905"/>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rcRect t="2898"/>
                    <a:stretch>
                      <a:fillRect/>
                    </a:stretch>
                  </pic:blipFill>
                  <pic:spPr>
                    <a:xfrm>
                      <a:off x="0" y="0"/>
                      <a:ext cx="5271770" cy="4553585"/>
                    </a:xfrm>
                    <a:prstGeom prst="rect">
                      <a:avLst/>
                    </a:prstGeom>
                  </pic:spPr>
                </pic:pic>
              </a:graphicData>
            </a:graphic>
          </wp:inline>
        </w:drawing>
      </w:r>
    </w:p>
    <w:p w14:paraId="756CD755">
      <w:pPr>
        <w:pStyle w:val="25"/>
        <w:rPr>
          <w:rFonts w:hint="default"/>
        </w:rPr>
      </w:pPr>
      <w:r>
        <w:t>图3-4  工作流在D2上的混淆矩阵</w:t>
      </w:r>
    </w:p>
    <w:p w14:paraId="059746AE">
      <w:pPr>
        <w:ind w:firstLine="480"/>
      </w:pPr>
      <w:r>
        <w:rPr>
          <w:rFonts w:hint="eastAsia"/>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177F44F3">
      <w:pPr>
        <w:ind w:firstLine="480"/>
      </w:pPr>
      <w:r>
        <w:rPr>
          <w:rFonts w:hint="eastAsia"/>
        </w:rPr>
        <w:t>混淆矩阵结果与表3-10中完整结构的Accuracy为0.9321、Macro F1-score为0.9220相吻合，说明该工作流在多数类别上具有较稳定的标注效果，但在功能边界接近或摘要关键信息不足的样本上仍存在少量误判。</w:t>
      </w:r>
    </w:p>
    <w:p w14:paraId="2592BF0A">
      <w:pPr>
        <w:pStyle w:val="4"/>
        <w:numPr>
          <w:ilvl w:val="2"/>
          <w:numId w:val="1"/>
        </w:numPr>
        <w:tabs>
          <w:tab w:val="clear" w:pos="420"/>
        </w:tabs>
      </w:pPr>
      <w:bookmarkStart w:id="150" w:name="_Toc229086891"/>
      <w:bookmarkStart w:id="151" w:name="_Toc11313"/>
      <w:bookmarkStart w:id="152" w:name="_Toc216114504"/>
      <w:r>
        <w:rPr>
          <w:rFonts w:hint="eastAsia"/>
        </w:rPr>
        <w:t>案例分析</w:t>
      </w:r>
      <w:bookmarkEnd w:id="150"/>
      <w:bookmarkEnd w:id="151"/>
    </w:p>
    <w:p w14:paraId="09B7B189">
      <w:pPr>
        <w:ind w:firstLine="480"/>
        <w:rPr>
          <w:highlight w:val="yellow"/>
        </w:rPr>
      </w:pPr>
      <w:r>
        <w:rPr>
          <w:rFonts w:hint="eastAsia"/>
          <w:highlight w:val="yellow"/>
        </w:rPr>
        <w:t>为进一步说明不同标注方法的差异，本文选取三条具有代表性的D2样本进行案例分析。案例分别对应逐级修正、纠错修正和失败边界三种情况。</w:t>
      </w:r>
    </w:p>
    <w:p w14:paraId="67229282">
      <w:pPr>
        <w:ind w:firstLine="480"/>
        <w:rPr>
          <w:highlight w:val="yellow"/>
        </w:rPr>
      </w:pPr>
      <w:r>
        <w:rPr>
          <w:rFonts w:hint="eastAsia"/>
          <w:highlight w:val="yellow"/>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345B78D8">
      <w:pPr>
        <w:ind w:firstLine="480"/>
        <w:rPr>
          <w:highlight w:val="yellow"/>
        </w:rPr>
      </w:pPr>
      <w:r>
        <w:rPr>
          <w:rFonts w:hint="eastAsia"/>
          <w:highlight w:val="yellow"/>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3437B45C">
      <w:pPr>
        <w:ind w:firstLine="480"/>
        <w:rPr>
          <w:highlight w:val="yellow"/>
        </w:rPr>
      </w:pPr>
      <w:r>
        <w:rPr>
          <w:rFonts w:hint="eastAsia"/>
          <w:highlight w:val="yellow"/>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80F089C">
      <w:pPr>
        <w:pStyle w:val="3"/>
        <w:numPr>
          <w:ilvl w:val="1"/>
          <w:numId w:val="1"/>
        </w:numPr>
        <w:tabs>
          <w:tab w:val="clear" w:pos="420"/>
        </w:tabs>
      </w:pPr>
      <w:bookmarkStart w:id="153" w:name="_Toc229086892"/>
      <w:bookmarkStart w:id="154" w:name="_Toc28075"/>
      <w:r>
        <w:rPr>
          <w:rFonts w:hint="eastAsia"/>
        </w:rPr>
        <w:t>置信度过滤与最终数据集</w:t>
      </w:r>
      <w:bookmarkEnd w:id="153"/>
      <w:bookmarkEnd w:id="154"/>
    </w:p>
    <w:p w14:paraId="53CA24AF">
      <w:pPr>
        <w:ind w:firstLine="480"/>
        <w:rPr>
          <w:highlight w:val="yellow"/>
        </w:rPr>
      </w:pPr>
      <w:r>
        <w:rPr>
          <w:rFonts w:hint="eastAsia"/>
          <w:highlight w:val="yellow"/>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0CEE2984">
      <w:pPr>
        <w:ind w:firstLine="480"/>
        <w:rPr>
          <w:highlight w:val="yellow"/>
        </w:rPr>
      </w:pPr>
      <w:r>
        <w:rPr>
          <w:rFonts w:hint="eastAsia"/>
          <w:highlight w:val="yellow"/>
        </w:rPr>
        <w:t>D2中每个样本有两个相互独立的标签信号，一是原始标签，二是本文自动标注工作流输出标签。两者错误来源不同。若二者一致，说明该样本被两个独立来源同时归入同一类别，标签可靠性应更高；若二者不一致，则样本更可能存在原始标签错误。D2上的统计结果见表3-11。</w:t>
      </w:r>
    </w:p>
    <w:p w14:paraId="27BB5B8F">
      <w:pPr>
        <w:pStyle w:val="25"/>
        <w:rPr>
          <w:rFonts w:hint="default"/>
          <w:highlight w:val="yellow"/>
        </w:rPr>
      </w:pPr>
      <w:r>
        <w:rPr>
          <w:highlight w:val="yellow"/>
        </w:rPr>
        <w:t>表3-11  D2中原始标签与工作流标签一致性的置信度统计</w:t>
      </w:r>
    </w:p>
    <w:tbl>
      <w:tblPr>
        <w:tblStyle w:val="15"/>
        <w:tblW w:w="4998" w:type="pct"/>
        <w:tblInd w:w="0" w:type="dxa"/>
        <w:tblLayout w:type="autofit"/>
        <w:tblCellMar>
          <w:top w:w="0" w:type="dxa"/>
          <w:left w:w="108" w:type="dxa"/>
          <w:bottom w:w="0" w:type="dxa"/>
          <w:right w:w="108" w:type="dxa"/>
        </w:tblCellMar>
      </w:tblPr>
      <w:tblGrid>
        <w:gridCol w:w="971"/>
        <w:gridCol w:w="2557"/>
        <w:gridCol w:w="2056"/>
        <w:gridCol w:w="1943"/>
        <w:gridCol w:w="992"/>
      </w:tblGrid>
      <w:tr w14:paraId="3AA072D7">
        <w:tblPrEx>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59B4560A">
            <w:pPr>
              <w:pStyle w:val="26"/>
              <w:rPr>
                <w:rFonts w:hint="default"/>
                <w:highlight w:val="yellow"/>
              </w:rPr>
            </w:pPr>
            <w:r>
              <w:rPr>
                <w:rFonts w:hint="default"/>
                <w:highlight w:val="yellow"/>
              </w:rPr>
              <w:t>置信层</w:t>
            </w:r>
          </w:p>
        </w:tc>
        <w:tc>
          <w:tcPr>
            <w:tcW w:w="1500" w:type="pct"/>
            <w:tcBorders>
              <w:top w:val="single" w:color="auto" w:sz="8" w:space="0"/>
              <w:left w:val="nil"/>
              <w:bottom w:val="single" w:color="auto" w:sz="6" w:space="0"/>
              <w:right w:val="nil"/>
            </w:tcBorders>
            <w:shd w:val="clear" w:color="auto" w:fill="FFFFFF"/>
            <w:vAlign w:val="center"/>
          </w:tcPr>
          <w:p w14:paraId="76559658">
            <w:pPr>
              <w:pStyle w:val="26"/>
              <w:rPr>
                <w:rFonts w:hint="default"/>
                <w:highlight w:val="yellow"/>
              </w:rPr>
            </w:pPr>
            <w:r>
              <w:rPr>
                <w:rFonts w:hint="default"/>
                <w:highlight w:val="yellow"/>
              </w:rPr>
              <w:t>条件</w:t>
            </w:r>
          </w:p>
        </w:tc>
        <w:tc>
          <w:tcPr>
            <w:tcW w:w="1206" w:type="pct"/>
            <w:tcBorders>
              <w:top w:val="single" w:color="auto" w:sz="8" w:space="0"/>
              <w:left w:val="nil"/>
              <w:bottom w:val="single" w:color="auto" w:sz="6" w:space="0"/>
              <w:right w:val="nil"/>
            </w:tcBorders>
            <w:shd w:val="clear" w:color="auto" w:fill="FFFFFF"/>
            <w:vAlign w:val="center"/>
          </w:tcPr>
          <w:p w14:paraId="4C75B091">
            <w:pPr>
              <w:pStyle w:val="26"/>
              <w:rPr>
                <w:rFonts w:hint="default"/>
                <w:highlight w:val="yellow"/>
              </w:rPr>
            </w:pPr>
            <w:r>
              <w:rPr>
                <w:rFonts w:hint="default"/>
                <w:highlight w:val="yellow"/>
              </w:rPr>
              <w:t>D2占比</w:t>
            </w:r>
          </w:p>
        </w:tc>
        <w:tc>
          <w:tcPr>
            <w:tcW w:w="1140" w:type="pct"/>
            <w:tcBorders>
              <w:top w:val="single" w:color="auto" w:sz="8" w:space="0"/>
              <w:left w:val="nil"/>
              <w:bottom w:val="single" w:color="auto" w:sz="6" w:space="0"/>
              <w:right w:val="nil"/>
            </w:tcBorders>
            <w:shd w:val="clear" w:color="auto" w:fill="FFFFFF"/>
            <w:vAlign w:val="center"/>
          </w:tcPr>
          <w:p w14:paraId="5A039B97">
            <w:pPr>
              <w:pStyle w:val="26"/>
              <w:rPr>
                <w:rFonts w:hint="default"/>
                <w:highlight w:val="yellow"/>
              </w:rPr>
            </w:pPr>
            <w:r>
              <w:rPr>
                <w:rFonts w:hint="default"/>
                <w:highlight w:val="yellow"/>
              </w:rPr>
              <w:t>正确率</w:t>
            </w:r>
          </w:p>
        </w:tc>
        <w:tc>
          <w:tcPr>
            <w:tcW w:w="582" w:type="pct"/>
            <w:tcBorders>
              <w:top w:val="single" w:color="auto" w:sz="8" w:space="0"/>
              <w:left w:val="nil"/>
              <w:bottom w:val="single" w:color="auto" w:sz="6" w:space="0"/>
              <w:right w:val="nil"/>
            </w:tcBorders>
            <w:shd w:val="clear" w:color="auto" w:fill="FFFFFF"/>
            <w:vAlign w:val="center"/>
          </w:tcPr>
          <w:p w14:paraId="5774E5CB">
            <w:pPr>
              <w:pStyle w:val="26"/>
              <w:rPr>
                <w:rFonts w:hint="default"/>
                <w:highlight w:val="yellow"/>
              </w:rPr>
            </w:pPr>
            <w:r>
              <w:rPr>
                <w:rFonts w:hint="default"/>
                <w:highlight w:val="yellow"/>
              </w:rPr>
              <w:t>错误率</w:t>
            </w:r>
          </w:p>
        </w:tc>
      </w:tr>
      <w:tr w14:paraId="5FBBD51D">
        <w:tblPrEx>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tcPr>
          <w:p w14:paraId="386270A2">
            <w:pPr>
              <w:pStyle w:val="26"/>
              <w:rPr>
                <w:rFonts w:hint="default"/>
                <w:highlight w:val="yellow"/>
              </w:rPr>
            </w:pPr>
            <w:r>
              <w:rPr>
                <w:rFonts w:hint="default"/>
                <w:highlight w:val="yellow"/>
              </w:rPr>
              <w:t>高置信</w:t>
            </w:r>
          </w:p>
        </w:tc>
        <w:tc>
          <w:tcPr>
            <w:tcW w:w="1500" w:type="pct"/>
            <w:tcBorders>
              <w:top w:val="single" w:color="auto" w:sz="6" w:space="0"/>
              <w:left w:val="nil"/>
              <w:bottom w:val="nil"/>
              <w:right w:val="nil"/>
            </w:tcBorders>
            <w:shd w:val="clear" w:color="auto" w:fill="FFFFFF"/>
          </w:tcPr>
          <w:p w14:paraId="3387B81D">
            <w:pPr>
              <w:pStyle w:val="26"/>
              <w:rPr>
                <w:rFonts w:hint="default"/>
                <w:highlight w:val="yellow"/>
              </w:rPr>
            </w:pPr>
            <w:r>
              <w:rPr>
                <w:rFonts w:hint="default"/>
                <w:highlight w:val="yellow"/>
              </w:rPr>
              <w:t>原始标签=工作流标签</w:t>
            </w:r>
          </w:p>
        </w:tc>
        <w:tc>
          <w:tcPr>
            <w:tcW w:w="1206" w:type="pct"/>
            <w:tcBorders>
              <w:top w:val="single" w:color="auto" w:sz="6" w:space="0"/>
              <w:left w:val="nil"/>
              <w:bottom w:val="nil"/>
              <w:right w:val="nil"/>
            </w:tcBorders>
            <w:shd w:val="clear" w:color="auto" w:fill="FFFFFF"/>
          </w:tcPr>
          <w:p w14:paraId="78AF1263">
            <w:pPr>
              <w:pStyle w:val="26"/>
              <w:rPr>
                <w:rFonts w:hint="default"/>
                <w:highlight w:val="yellow"/>
              </w:rPr>
            </w:pPr>
            <w:r>
              <w:rPr>
                <w:rFonts w:hint="default"/>
                <w:highlight w:val="yellow"/>
              </w:rPr>
              <w:t>56.25%(621/1104)</w:t>
            </w:r>
          </w:p>
        </w:tc>
        <w:tc>
          <w:tcPr>
            <w:tcW w:w="1140" w:type="pct"/>
            <w:tcBorders>
              <w:top w:val="single" w:color="auto" w:sz="6" w:space="0"/>
              <w:left w:val="nil"/>
              <w:bottom w:val="nil"/>
              <w:right w:val="nil"/>
            </w:tcBorders>
            <w:shd w:val="clear" w:color="auto" w:fill="FFFFFF"/>
          </w:tcPr>
          <w:p w14:paraId="6F6168B5">
            <w:pPr>
              <w:pStyle w:val="26"/>
              <w:rPr>
                <w:rFonts w:hint="default"/>
                <w:highlight w:val="yellow"/>
              </w:rPr>
            </w:pPr>
            <w:r>
              <w:rPr>
                <w:rFonts w:hint="default"/>
                <w:highlight w:val="yellow"/>
              </w:rPr>
              <w:t>97.91%(608/621)</w:t>
            </w:r>
          </w:p>
        </w:tc>
        <w:tc>
          <w:tcPr>
            <w:tcW w:w="582" w:type="pct"/>
            <w:tcBorders>
              <w:top w:val="single" w:color="auto" w:sz="6" w:space="0"/>
              <w:left w:val="nil"/>
              <w:bottom w:val="nil"/>
              <w:right w:val="nil"/>
            </w:tcBorders>
            <w:shd w:val="clear" w:color="auto" w:fill="FFFFFF"/>
          </w:tcPr>
          <w:p w14:paraId="06FAD4A1">
            <w:pPr>
              <w:pStyle w:val="26"/>
              <w:rPr>
                <w:rFonts w:hint="default"/>
                <w:highlight w:val="yellow"/>
              </w:rPr>
            </w:pPr>
            <w:r>
              <w:rPr>
                <w:rFonts w:hint="default"/>
                <w:highlight w:val="yellow"/>
              </w:rPr>
              <w:t>2.09%</w:t>
            </w:r>
          </w:p>
        </w:tc>
      </w:tr>
      <w:tr w14:paraId="66E2497F">
        <w:tblPrEx>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tcPr>
          <w:p w14:paraId="43EBB551">
            <w:pPr>
              <w:pStyle w:val="26"/>
              <w:rPr>
                <w:rFonts w:hint="default"/>
                <w:highlight w:val="yellow"/>
              </w:rPr>
            </w:pPr>
            <w:r>
              <w:rPr>
                <w:rFonts w:hint="default"/>
                <w:highlight w:val="yellow"/>
              </w:rPr>
              <w:t>低置信</w:t>
            </w:r>
          </w:p>
        </w:tc>
        <w:tc>
          <w:tcPr>
            <w:tcW w:w="1500" w:type="pct"/>
            <w:tcBorders>
              <w:top w:val="nil"/>
              <w:left w:val="nil"/>
              <w:bottom w:val="single" w:color="auto" w:sz="8" w:space="0"/>
              <w:right w:val="nil"/>
            </w:tcBorders>
            <w:shd w:val="clear" w:color="auto" w:fill="FFFFFF"/>
          </w:tcPr>
          <w:p w14:paraId="4497C0F6">
            <w:pPr>
              <w:pStyle w:val="26"/>
              <w:rPr>
                <w:rFonts w:hint="default"/>
                <w:highlight w:val="yellow"/>
              </w:rPr>
            </w:pPr>
            <w:r>
              <w:rPr>
                <w:rFonts w:hint="default"/>
                <w:highlight w:val="yellow"/>
              </w:rPr>
              <w:t>原始标签≠工作流标签</w:t>
            </w:r>
          </w:p>
        </w:tc>
        <w:tc>
          <w:tcPr>
            <w:tcW w:w="1206" w:type="pct"/>
            <w:tcBorders>
              <w:top w:val="nil"/>
              <w:left w:val="nil"/>
              <w:bottom w:val="single" w:color="auto" w:sz="8" w:space="0"/>
              <w:right w:val="nil"/>
            </w:tcBorders>
            <w:shd w:val="clear" w:color="auto" w:fill="FFFFFF"/>
          </w:tcPr>
          <w:p w14:paraId="0CD283B9">
            <w:pPr>
              <w:pStyle w:val="26"/>
              <w:rPr>
                <w:rFonts w:hint="default"/>
                <w:highlight w:val="yellow"/>
              </w:rPr>
            </w:pPr>
            <w:r>
              <w:rPr>
                <w:rFonts w:hint="default"/>
                <w:highlight w:val="yellow"/>
              </w:rPr>
              <w:t>43.75%(483/1104)</w:t>
            </w:r>
          </w:p>
        </w:tc>
        <w:tc>
          <w:tcPr>
            <w:tcW w:w="1140" w:type="pct"/>
            <w:tcBorders>
              <w:top w:val="nil"/>
              <w:left w:val="nil"/>
              <w:bottom w:val="single" w:color="auto" w:sz="8" w:space="0"/>
              <w:right w:val="nil"/>
            </w:tcBorders>
            <w:shd w:val="clear" w:color="auto" w:fill="FFFFFF"/>
          </w:tcPr>
          <w:p w14:paraId="03140855">
            <w:pPr>
              <w:pStyle w:val="26"/>
              <w:rPr>
                <w:rFonts w:hint="default"/>
                <w:highlight w:val="yellow"/>
              </w:rPr>
            </w:pPr>
            <w:r>
              <w:rPr>
                <w:rFonts w:hint="default"/>
                <w:highlight w:val="yellow"/>
              </w:rPr>
              <w:t>87.16%(421/483)</w:t>
            </w:r>
          </w:p>
        </w:tc>
        <w:tc>
          <w:tcPr>
            <w:tcW w:w="582" w:type="pct"/>
            <w:tcBorders>
              <w:top w:val="nil"/>
              <w:left w:val="nil"/>
              <w:bottom w:val="single" w:color="auto" w:sz="8" w:space="0"/>
              <w:right w:val="nil"/>
            </w:tcBorders>
            <w:shd w:val="clear" w:color="auto" w:fill="FFFFFF"/>
          </w:tcPr>
          <w:p w14:paraId="32905A3B">
            <w:pPr>
              <w:pStyle w:val="26"/>
              <w:rPr>
                <w:rFonts w:hint="default"/>
                <w:highlight w:val="yellow"/>
              </w:rPr>
            </w:pPr>
            <w:r>
              <w:rPr>
                <w:rFonts w:hint="default"/>
                <w:highlight w:val="yellow"/>
              </w:rPr>
              <w:t>12.84%</w:t>
            </w:r>
          </w:p>
        </w:tc>
      </w:tr>
    </w:tbl>
    <w:p w14:paraId="122A8999">
      <w:pPr>
        <w:ind w:firstLine="480"/>
        <w:rPr>
          <w:highlight w:val="yellow"/>
        </w:rPr>
      </w:pPr>
      <w:r>
        <w:rPr>
          <w:rFonts w:hint="eastAsia"/>
          <w:highlight w:val="yellow"/>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04ED5ABF">
      <w:pPr>
        <w:ind w:firstLine="480"/>
        <w:rPr>
          <w:highlight w:val="yellow"/>
        </w:rPr>
      </w:pPr>
      <w:r>
        <w:rPr>
          <w:rFonts w:hint="eastAsia"/>
          <w:highlight w:val="yellow"/>
        </w:rPr>
        <w:t>为了验证D3置信层质量是否与D2中观察到的规律一致，本文按22个一级类别和高低置信层进行交叉分层抽样，其中高置信层抽取440条、低置信层抽取330条，并进行专家校对，结果见表3-12。</w:t>
      </w:r>
    </w:p>
    <w:p w14:paraId="20BF12A7">
      <w:pPr>
        <w:pStyle w:val="25"/>
        <w:rPr>
          <w:rFonts w:hint="default"/>
          <w:highlight w:val="yellow"/>
        </w:rPr>
      </w:pPr>
      <w:r>
        <w:rPr>
          <w:highlight w:val="yellow"/>
        </w:rPr>
        <w:t>表3-12  D3置信层抽样验证结果</w:t>
      </w:r>
    </w:p>
    <w:tbl>
      <w:tblPr>
        <w:tblStyle w:val="15"/>
        <w:tblW w:w="4998" w:type="pct"/>
        <w:tblInd w:w="0" w:type="dxa"/>
        <w:tblLayout w:type="autofit"/>
        <w:tblCellMar>
          <w:top w:w="0" w:type="dxa"/>
          <w:left w:w="108" w:type="dxa"/>
          <w:bottom w:w="0" w:type="dxa"/>
          <w:right w:w="108" w:type="dxa"/>
        </w:tblCellMar>
      </w:tblPr>
      <w:tblGrid>
        <w:gridCol w:w="1100"/>
        <w:gridCol w:w="2202"/>
        <w:gridCol w:w="5217"/>
      </w:tblGrid>
      <w:tr w14:paraId="3CF6FE05">
        <w:tblPrEx>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5D3B4C29">
            <w:pPr>
              <w:pStyle w:val="26"/>
              <w:rPr>
                <w:rFonts w:hint="default"/>
                <w:highlight w:val="yellow"/>
              </w:rPr>
            </w:pPr>
            <w:r>
              <w:rPr>
                <w:highlight w:val="yellow"/>
              </w:rPr>
              <w:t>置信层</w:t>
            </w:r>
          </w:p>
        </w:tc>
        <w:tc>
          <w:tcPr>
            <w:tcW w:w="1292" w:type="pct"/>
            <w:tcBorders>
              <w:top w:val="single" w:color="auto" w:sz="8" w:space="0"/>
              <w:left w:val="nil"/>
              <w:bottom w:val="single" w:color="auto" w:sz="6" w:space="0"/>
              <w:right w:val="nil"/>
            </w:tcBorders>
            <w:shd w:val="clear" w:color="auto" w:fill="auto"/>
            <w:vAlign w:val="center"/>
          </w:tcPr>
          <w:p w14:paraId="46E5A346">
            <w:pPr>
              <w:pStyle w:val="26"/>
              <w:rPr>
                <w:rFonts w:hint="default"/>
                <w:highlight w:val="yellow"/>
              </w:rPr>
            </w:pPr>
            <w:r>
              <w:rPr>
                <w:highlight w:val="yellow"/>
              </w:rPr>
              <w:t>抽样正确率</w:t>
            </w:r>
          </w:p>
        </w:tc>
        <w:tc>
          <w:tcPr>
            <w:tcW w:w="3061" w:type="pct"/>
            <w:tcBorders>
              <w:top w:val="single" w:color="auto" w:sz="8" w:space="0"/>
              <w:left w:val="nil"/>
              <w:bottom w:val="single" w:color="auto" w:sz="6" w:space="0"/>
              <w:right w:val="nil"/>
            </w:tcBorders>
            <w:shd w:val="clear" w:color="auto" w:fill="auto"/>
            <w:vAlign w:val="center"/>
          </w:tcPr>
          <w:p w14:paraId="72B5A139">
            <w:pPr>
              <w:pStyle w:val="26"/>
              <w:rPr>
                <w:rFonts w:hint="default"/>
                <w:highlight w:val="yellow"/>
              </w:rPr>
            </w:pPr>
            <w:r>
              <w:rPr>
                <w:highlight w:val="yellow"/>
              </w:rPr>
              <w:t>与D2同层对比</w:t>
            </w:r>
          </w:p>
        </w:tc>
      </w:tr>
      <w:tr w14:paraId="2C2DC66B">
        <w:tblPrEx>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tcPr>
          <w:p w14:paraId="6A7BD876">
            <w:pPr>
              <w:pStyle w:val="26"/>
              <w:rPr>
                <w:rFonts w:hint="default"/>
                <w:highlight w:val="yellow"/>
              </w:rPr>
            </w:pPr>
            <w:r>
              <w:rPr>
                <w:highlight w:val="yellow"/>
              </w:rPr>
              <w:t>高置信</w:t>
            </w:r>
          </w:p>
        </w:tc>
        <w:tc>
          <w:tcPr>
            <w:tcW w:w="1292" w:type="pct"/>
            <w:tcBorders>
              <w:top w:val="single" w:color="auto" w:sz="6" w:space="0"/>
              <w:left w:val="nil"/>
              <w:bottom w:val="nil"/>
              <w:right w:val="nil"/>
            </w:tcBorders>
            <w:shd w:val="clear" w:color="auto" w:fill="auto"/>
          </w:tcPr>
          <w:p w14:paraId="2C2C0E1F">
            <w:pPr>
              <w:pStyle w:val="26"/>
              <w:rPr>
                <w:rFonts w:hint="default"/>
                <w:highlight w:val="yellow"/>
              </w:rPr>
            </w:pPr>
            <w:r>
              <w:rPr>
                <w:highlight w:val="yellow"/>
              </w:rPr>
              <w:t>96.59%(425/440)</w:t>
            </w:r>
          </w:p>
        </w:tc>
        <w:tc>
          <w:tcPr>
            <w:tcW w:w="3061" w:type="pct"/>
            <w:tcBorders>
              <w:top w:val="single" w:color="auto" w:sz="6" w:space="0"/>
              <w:left w:val="nil"/>
              <w:bottom w:val="nil"/>
              <w:right w:val="nil"/>
            </w:tcBorders>
            <w:shd w:val="clear" w:color="auto" w:fill="auto"/>
          </w:tcPr>
          <w:p w14:paraId="31267A47">
            <w:pPr>
              <w:pStyle w:val="26"/>
              <w:rPr>
                <w:rFonts w:hint="default"/>
                <w:highlight w:val="yellow"/>
              </w:rPr>
            </w:pPr>
            <w:r>
              <w:rPr>
                <w:highlight w:val="yellow"/>
              </w:rPr>
              <w:t>D2高置信为97.91%，差距1.32个百分点</w:t>
            </w:r>
          </w:p>
        </w:tc>
      </w:tr>
      <w:tr w14:paraId="66434562">
        <w:tblPrEx>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tcPr>
          <w:p w14:paraId="7321BB6D">
            <w:pPr>
              <w:pStyle w:val="26"/>
              <w:rPr>
                <w:rFonts w:hint="default"/>
                <w:highlight w:val="yellow"/>
              </w:rPr>
            </w:pPr>
            <w:r>
              <w:rPr>
                <w:highlight w:val="yellow"/>
              </w:rPr>
              <w:t>低置信</w:t>
            </w:r>
          </w:p>
        </w:tc>
        <w:tc>
          <w:tcPr>
            <w:tcW w:w="1292" w:type="pct"/>
            <w:tcBorders>
              <w:top w:val="nil"/>
              <w:left w:val="nil"/>
              <w:bottom w:val="single" w:color="auto" w:sz="8" w:space="0"/>
              <w:right w:val="nil"/>
            </w:tcBorders>
            <w:shd w:val="clear" w:color="auto" w:fill="auto"/>
          </w:tcPr>
          <w:p w14:paraId="70204C84">
            <w:pPr>
              <w:pStyle w:val="26"/>
              <w:rPr>
                <w:rFonts w:hint="default"/>
                <w:highlight w:val="yellow"/>
              </w:rPr>
            </w:pPr>
            <w:r>
              <w:rPr>
                <w:highlight w:val="yellow"/>
              </w:rPr>
              <w:t>82.12%(271/330)</w:t>
            </w:r>
          </w:p>
        </w:tc>
        <w:tc>
          <w:tcPr>
            <w:tcW w:w="3061" w:type="pct"/>
            <w:tcBorders>
              <w:top w:val="nil"/>
              <w:left w:val="nil"/>
              <w:bottom w:val="single" w:color="auto" w:sz="8" w:space="0"/>
              <w:right w:val="nil"/>
            </w:tcBorders>
            <w:shd w:val="clear" w:color="auto" w:fill="auto"/>
          </w:tcPr>
          <w:p w14:paraId="222450FA">
            <w:pPr>
              <w:pStyle w:val="26"/>
              <w:rPr>
                <w:rFonts w:hint="default"/>
                <w:highlight w:val="yellow"/>
              </w:rPr>
            </w:pPr>
            <w:r>
              <w:rPr>
                <w:highlight w:val="yellow"/>
              </w:rPr>
              <w:t>D2低置信为87.16%，差距5.04个百分点</w:t>
            </w:r>
          </w:p>
        </w:tc>
      </w:tr>
    </w:tbl>
    <w:p w14:paraId="3DC9B424">
      <w:pPr>
        <w:ind w:firstLine="480"/>
        <w:rPr>
          <w:highlight w:val="yellow"/>
        </w:rPr>
      </w:pPr>
      <w:r>
        <w:rPr>
          <w:rFonts w:hint="eastAsia"/>
          <w:highlight w:val="yellow"/>
        </w:rPr>
        <w:t>仅凭抽样正确率仍不足以判断D3高置信层能否作为训练数据使用。因此，本文进一步采用TOST等价性检验，以D2同层准确率作为参照基准，等价边界设为3%，显著性水平设为0.05，检验结果见表3-13。</w:t>
      </w:r>
    </w:p>
    <w:p w14:paraId="7E10A65C">
      <w:pPr>
        <w:pStyle w:val="25"/>
        <w:rPr>
          <w:rFonts w:hint="default"/>
          <w:highlight w:val="yellow"/>
        </w:rPr>
      </w:pPr>
      <w:r>
        <w:rPr>
          <w:highlight w:val="yellow"/>
        </w:rPr>
        <w:t>表3-13  D3置信层TOST等价性检验结果</w:t>
      </w:r>
    </w:p>
    <w:tbl>
      <w:tblPr>
        <w:tblStyle w:val="15"/>
        <w:tblW w:w="4998" w:type="pct"/>
        <w:tblInd w:w="0" w:type="dxa"/>
        <w:tblLayout w:type="autofit"/>
        <w:tblCellMar>
          <w:top w:w="0" w:type="dxa"/>
          <w:left w:w="108" w:type="dxa"/>
          <w:bottom w:w="0" w:type="dxa"/>
          <w:right w:w="108" w:type="dxa"/>
        </w:tblCellMar>
      </w:tblPr>
      <w:tblGrid>
        <w:gridCol w:w="1006"/>
        <w:gridCol w:w="1775"/>
        <w:gridCol w:w="2088"/>
        <w:gridCol w:w="2213"/>
        <w:gridCol w:w="1437"/>
      </w:tblGrid>
      <w:tr w14:paraId="05A3684E">
        <w:tblPrEx>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5FCB1D18">
            <w:pPr>
              <w:pStyle w:val="26"/>
              <w:rPr>
                <w:rFonts w:hint="default"/>
                <w:highlight w:val="yellow"/>
              </w:rPr>
            </w:pPr>
            <w:r>
              <w:rPr>
                <w:rFonts w:hint="default"/>
                <w:highlight w:val="yellow"/>
              </w:rPr>
              <w:t>置信层</w:t>
            </w:r>
          </w:p>
        </w:tc>
        <w:tc>
          <w:tcPr>
            <w:tcW w:w="1041" w:type="pct"/>
            <w:tcBorders>
              <w:top w:val="single" w:color="auto" w:sz="8" w:space="0"/>
              <w:left w:val="nil"/>
              <w:bottom w:val="single" w:color="auto" w:sz="6" w:space="0"/>
              <w:right w:val="nil"/>
            </w:tcBorders>
            <w:shd w:val="clear" w:color="auto" w:fill="FFFFFF"/>
            <w:vAlign w:val="center"/>
          </w:tcPr>
          <w:p w14:paraId="0E27FD5C">
            <w:pPr>
              <w:pStyle w:val="26"/>
              <w:rPr>
                <w:rFonts w:hint="default"/>
                <w:highlight w:val="yellow"/>
              </w:rPr>
            </w:pPr>
            <w:r>
              <w:rPr>
                <w:rFonts w:hint="default"/>
                <w:highlight w:val="yellow"/>
              </w:rPr>
              <w:t>观测Accuracy</w:t>
            </w:r>
          </w:p>
        </w:tc>
        <w:tc>
          <w:tcPr>
            <w:tcW w:w="1225" w:type="pct"/>
            <w:tcBorders>
              <w:top w:val="single" w:color="auto" w:sz="8" w:space="0"/>
              <w:left w:val="nil"/>
              <w:bottom w:val="single" w:color="auto" w:sz="6" w:space="0"/>
              <w:right w:val="nil"/>
            </w:tcBorders>
            <w:shd w:val="clear" w:color="auto" w:fill="FFFFFF"/>
            <w:vAlign w:val="center"/>
          </w:tcPr>
          <w:p w14:paraId="2F2F6B85">
            <w:pPr>
              <w:pStyle w:val="26"/>
              <w:rPr>
                <w:rFonts w:hint="default"/>
                <w:highlight w:val="yellow"/>
              </w:rPr>
            </w:pPr>
            <w:r>
              <w:rPr>
                <w:rFonts w:hint="default"/>
                <w:highlight w:val="yellow"/>
              </w:rPr>
              <w:t>90%CI</w:t>
            </w:r>
          </w:p>
        </w:tc>
        <w:tc>
          <w:tcPr>
            <w:tcW w:w="1298" w:type="pct"/>
            <w:tcBorders>
              <w:top w:val="single" w:color="auto" w:sz="8" w:space="0"/>
              <w:left w:val="nil"/>
              <w:bottom w:val="single" w:color="auto" w:sz="6" w:space="0"/>
              <w:right w:val="nil"/>
            </w:tcBorders>
            <w:shd w:val="clear" w:color="auto" w:fill="FFFFFF"/>
            <w:vAlign w:val="center"/>
          </w:tcPr>
          <w:p w14:paraId="493C9087">
            <w:pPr>
              <w:pStyle w:val="26"/>
              <w:rPr>
                <w:rFonts w:hint="default"/>
                <w:highlight w:val="yellow"/>
              </w:rPr>
            </w:pPr>
            <w:r>
              <w:rPr>
                <w:rFonts w:hint="default"/>
                <w:highlight w:val="yellow"/>
              </w:rPr>
              <w:t>等价区间</w:t>
            </w:r>
          </w:p>
        </w:tc>
        <w:tc>
          <w:tcPr>
            <w:tcW w:w="843" w:type="pct"/>
            <w:tcBorders>
              <w:top w:val="single" w:color="auto" w:sz="8" w:space="0"/>
              <w:left w:val="nil"/>
              <w:bottom w:val="single" w:color="auto" w:sz="6" w:space="0"/>
              <w:right w:val="nil"/>
            </w:tcBorders>
            <w:shd w:val="clear" w:color="auto" w:fill="FFFFFF"/>
            <w:vAlign w:val="center"/>
          </w:tcPr>
          <w:p w14:paraId="33816243">
            <w:pPr>
              <w:pStyle w:val="26"/>
              <w:rPr>
                <w:rFonts w:hint="default"/>
                <w:highlight w:val="yellow"/>
              </w:rPr>
            </w:pPr>
            <w:r>
              <w:rPr>
                <w:rFonts w:hint="default"/>
                <w:highlight w:val="yellow"/>
              </w:rPr>
              <w:t>TOST结论</w:t>
            </w:r>
          </w:p>
        </w:tc>
      </w:tr>
      <w:tr w14:paraId="618A8DA2">
        <w:tblPrEx>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tcPr>
          <w:p w14:paraId="68E52225">
            <w:pPr>
              <w:pStyle w:val="26"/>
              <w:rPr>
                <w:rFonts w:hint="default"/>
                <w:highlight w:val="yellow"/>
              </w:rPr>
            </w:pPr>
            <w:r>
              <w:rPr>
                <w:rFonts w:hint="default"/>
                <w:highlight w:val="yellow"/>
              </w:rPr>
              <w:t>高置信</w:t>
            </w:r>
          </w:p>
        </w:tc>
        <w:tc>
          <w:tcPr>
            <w:tcW w:w="1041" w:type="pct"/>
            <w:tcBorders>
              <w:top w:val="single" w:color="auto" w:sz="6" w:space="0"/>
              <w:left w:val="nil"/>
              <w:bottom w:val="nil"/>
              <w:right w:val="nil"/>
            </w:tcBorders>
            <w:shd w:val="clear" w:color="auto" w:fill="FFFFFF"/>
          </w:tcPr>
          <w:p w14:paraId="395BCCEB">
            <w:pPr>
              <w:pStyle w:val="26"/>
              <w:rPr>
                <w:rFonts w:hint="default"/>
                <w:highlight w:val="yellow"/>
              </w:rPr>
            </w:pPr>
            <w:r>
              <w:rPr>
                <w:rFonts w:hint="default"/>
                <w:highlight w:val="yellow"/>
              </w:rPr>
              <w:t>96.59%</w:t>
            </w:r>
          </w:p>
        </w:tc>
        <w:tc>
          <w:tcPr>
            <w:tcW w:w="1225" w:type="pct"/>
            <w:tcBorders>
              <w:top w:val="single" w:color="auto" w:sz="6" w:space="0"/>
              <w:left w:val="nil"/>
              <w:bottom w:val="nil"/>
              <w:right w:val="nil"/>
            </w:tcBorders>
            <w:shd w:val="clear" w:color="auto" w:fill="FFFFFF"/>
          </w:tcPr>
          <w:p w14:paraId="11D1274B">
            <w:pPr>
              <w:pStyle w:val="26"/>
              <w:rPr>
                <w:rFonts w:hint="default"/>
                <w:highlight w:val="yellow"/>
              </w:rPr>
            </w:pPr>
            <w:r>
              <w:rPr>
                <w:rFonts w:hint="default"/>
                <w:highlight w:val="yellow"/>
              </w:rPr>
              <w:t>(95.17%, 98.01%)</w:t>
            </w:r>
          </w:p>
        </w:tc>
        <w:tc>
          <w:tcPr>
            <w:tcW w:w="1298" w:type="pct"/>
            <w:tcBorders>
              <w:top w:val="single" w:color="auto" w:sz="6" w:space="0"/>
              <w:left w:val="nil"/>
              <w:bottom w:val="nil"/>
              <w:right w:val="nil"/>
            </w:tcBorders>
            <w:shd w:val="clear" w:color="auto" w:fill="FFFFFF"/>
          </w:tcPr>
          <w:p w14:paraId="1FDD2C82">
            <w:pPr>
              <w:pStyle w:val="26"/>
              <w:rPr>
                <w:rFonts w:hint="default"/>
                <w:highlight w:val="yellow"/>
              </w:rPr>
            </w:pPr>
            <w:r>
              <w:rPr>
                <w:rFonts w:hint="default"/>
                <w:highlight w:val="yellow"/>
              </w:rPr>
              <w:t>(94.91%, 100.91%)</w:t>
            </w:r>
          </w:p>
        </w:tc>
        <w:tc>
          <w:tcPr>
            <w:tcW w:w="843" w:type="pct"/>
            <w:tcBorders>
              <w:top w:val="single" w:color="auto" w:sz="6" w:space="0"/>
              <w:left w:val="nil"/>
              <w:bottom w:val="nil"/>
              <w:right w:val="nil"/>
            </w:tcBorders>
            <w:shd w:val="clear" w:color="auto" w:fill="FFFFFF"/>
          </w:tcPr>
          <w:p w14:paraId="03013CEA">
            <w:pPr>
              <w:pStyle w:val="26"/>
              <w:rPr>
                <w:rFonts w:hint="default"/>
                <w:highlight w:val="yellow"/>
              </w:rPr>
            </w:pPr>
            <w:r>
              <w:rPr>
                <w:rFonts w:hint="default"/>
                <w:highlight w:val="yellow"/>
              </w:rPr>
              <w:t>通过</w:t>
            </w:r>
          </w:p>
        </w:tc>
      </w:tr>
      <w:tr w14:paraId="55F9A4C4">
        <w:tblPrEx>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tcPr>
          <w:p w14:paraId="1B687BA3">
            <w:pPr>
              <w:pStyle w:val="26"/>
              <w:rPr>
                <w:rFonts w:hint="default"/>
                <w:highlight w:val="yellow"/>
              </w:rPr>
            </w:pPr>
            <w:r>
              <w:rPr>
                <w:rFonts w:hint="default"/>
                <w:highlight w:val="yellow"/>
              </w:rPr>
              <w:t>低置信</w:t>
            </w:r>
          </w:p>
        </w:tc>
        <w:tc>
          <w:tcPr>
            <w:tcW w:w="1041" w:type="pct"/>
            <w:tcBorders>
              <w:top w:val="nil"/>
              <w:left w:val="nil"/>
              <w:bottom w:val="single" w:color="auto" w:sz="8" w:space="0"/>
              <w:right w:val="nil"/>
            </w:tcBorders>
            <w:shd w:val="clear" w:color="auto" w:fill="FFFFFF"/>
          </w:tcPr>
          <w:p w14:paraId="125BE965">
            <w:pPr>
              <w:pStyle w:val="26"/>
              <w:rPr>
                <w:rFonts w:hint="default"/>
                <w:highlight w:val="yellow"/>
              </w:rPr>
            </w:pPr>
            <w:r>
              <w:rPr>
                <w:rFonts w:hint="default"/>
                <w:highlight w:val="yellow"/>
              </w:rPr>
              <w:t>82.12%</w:t>
            </w:r>
          </w:p>
        </w:tc>
        <w:tc>
          <w:tcPr>
            <w:tcW w:w="1225" w:type="pct"/>
            <w:tcBorders>
              <w:top w:val="nil"/>
              <w:left w:val="nil"/>
              <w:bottom w:val="single" w:color="auto" w:sz="8" w:space="0"/>
              <w:right w:val="nil"/>
            </w:tcBorders>
            <w:shd w:val="clear" w:color="auto" w:fill="FFFFFF"/>
          </w:tcPr>
          <w:p w14:paraId="6B157E9D">
            <w:pPr>
              <w:pStyle w:val="26"/>
              <w:rPr>
                <w:rFonts w:hint="default"/>
                <w:highlight w:val="yellow"/>
              </w:rPr>
            </w:pPr>
            <w:r>
              <w:rPr>
                <w:rFonts w:hint="default"/>
                <w:highlight w:val="yellow"/>
              </w:rPr>
              <w:t>(78.65%, 85.59%)</w:t>
            </w:r>
          </w:p>
        </w:tc>
        <w:tc>
          <w:tcPr>
            <w:tcW w:w="1298" w:type="pct"/>
            <w:tcBorders>
              <w:top w:val="nil"/>
              <w:left w:val="nil"/>
              <w:bottom w:val="single" w:color="auto" w:sz="8" w:space="0"/>
              <w:right w:val="nil"/>
            </w:tcBorders>
            <w:shd w:val="clear" w:color="auto" w:fill="FFFFFF"/>
          </w:tcPr>
          <w:p w14:paraId="32A72C58">
            <w:pPr>
              <w:pStyle w:val="26"/>
              <w:rPr>
                <w:rFonts w:hint="default"/>
                <w:highlight w:val="yellow"/>
              </w:rPr>
            </w:pPr>
            <w:r>
              <w:rPr>
                <w:rFonts w:hint="default"/>
                <w:highlight w:val="yellow"/>
              </w:rPr>
              <w:t>(84.16%, 90.16%)</w:t>
            </w:r>
          </w:p>
        </w:tc>
        <w:tc>
          <w:tcPr>
            <w:tcW w:w="843" w:type="pct"/>
            <w:tcBorders>
              <w:top w:val="nil"/>
              <w:left w:val="nil"/>
              <w:bottom w:val="single" w:color="auto" w:sz="8" w:space="0"/>
              <w:right w:val="nil"/>
            </w:tcBorders>
            <w:shd w:val="clear" w:color="auto" w:fill="FFFFFF"/>
          </w:tcPr>
          <w:p w14:paraId="525D079B">
            <w:pPr>
              <w:pStyle w:val="26"/>
              <w:rPr>
                <w:rFonts w:hint="default"/>
                <w:highlight w:val="yellow"/>
              </w:rPr>
            </w:pPr>
            <w:r>
              <w:rPr>
                <w:rFonts w:hint="default"/>
                <w:highlight w:val="yellow"/>
              </w:rPr>
              <w:t>未通过</w:t>
            </w:r>
          </w:p>
        </w:tc>
      </w:tr>
    </w:tbl>
    <w:p w14:paraId="6532DCC6">
      <w:pPr>
        <w:ind w:firstLine="480"/>
        <w:rPr>
          <w:highlight w:val="yellow"/>
        </w:rPr>
      </w:pPr>
      <w:r>
        <w:rPr>
          <w:rFonts w:hint="eastAsia"/>
          <w:highlight w:val="yellow"/>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专家校对样本合并，得到34431条高质量标注数据。</w:t>
      </w:r>
    </w:p>
    <w:p w14:paraId="6B4C9582">
      <w:pPr>
        <w:pStyle w:val="3"/>
        <w:numPr>
          <w:ilvl w:val="1"/>
          <w:numId w:val="1"/>
        </w:numPr>
        <w:tabs>
          <w:tab w:val="clear" w:pos="420"/>
        </w:tabs>
        <w:rPr>
          <w:highlight w:val="yellow"/>
        </w:rPr>
      </w:pPr>
      <w:bookmarkStart w:id="155" w:name="_Toc229086893"/>
      <w:bookmarkStart w:id="156" w:name="_Toc26443"/>
      <w:r>
        <w:rPr>
          <w:rFonts w:hint="eastAsia"/>
          <w:highlight w:val="yellow"/>
        </w:rPr>
        <w:t>数据增强</w:t>
      </w:r>
      <w:bookmarkEnd w:id="152"/>
      <w:bookmarkEnd w:id="155"/>
      <w:bookmarkEnd w:id="156"/>
    </w:p>
    <w:p w14:paraId="7410868C">
      <w:pPr>
        <w:ind w:firstLine="480"/>
        <w:rPr>
          <w:highlight w:val="yellow"/>
        </w:rPr>
      </w:pPr>
      <w:r>
        <w:rPr>
          <w:rFonts w:hint="eastAsia"/>
          <w:highlight w:val="yellow"/>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若某类别在常规训练中测试集Recall持续为0或接近0，则说明模型难以学习到该类别的有效边界，才对该类别进行增强。</w:t>
      </w:r>
    </w:p>
    <w:p w14:paraId="39069F79">
      <w:pPr>
        <w:ind w:firstLine="480"/>
        <w:rPr>
          <w:highlight w:val="yellow"/>
        </w:rPr>
      </w:pPr>
      <w:r>
        <w:rPr>
          <w:rFonts w:hint="eastAsia"/>
          <w:highlight w:val="yellow"/>
        </w:rPr>
        <w:t>在不使用增强数据时，“输血、透析和体外循环器械”在前8轮训练中的测试集Recall均为0，第9轮才达到0.33，F1-score为0.50。与之相比，样本量为98条的“医疗器械消毒灭菌器械”在第2轮训练时Recall已达到0.89，此后保持较高水平。也就是说，在本研究中31条样本对应的类别处于模型难以学习的区间，而98条及以上的少样本类别已具备基本可学习性。因此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4E20AD1D">
      <w:pPr>
        <w:ind w:firstLine="420" w:firstLineChars="0"/>
        <w:rPr>
          <w:highlight w:val="yellow"/>
        </w:rPr>
      </w:pPr>
      <w:r>
        <w:rPr>
          <w:rFonts w:hint="eastAsia"/>
          <w:highlight w:val="yellow"/>
        </w:rPr>
        <w:t>专利文本具有较强的技术严谨性，生成式增强不能只看文本是否通顺。本文对生成摘要进行专家核验，重点检查三个方面，关键实体是否保留，实体之间的技术关系是否自洽，生成文本是否引入原文未披露的技术特征。通过核验后的增强样本才进入最终训练集。</w:t>
      </w:r>
    </w:p>
    <w:p w14:paraId="569E084D">
      <w:pPr>
        <w:ind w:firstLine="420" w:firstLineChars="0"/>
        <w:rPr>
          <w:highlight w:val="yellow"/>
        </w:rPr>
      </w:pPr>
      <w:r>
        <w:rPr>
          <w:rFonts w:hint="eastAsia"/>
          <w:highlight w:val="yellow"/>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结果见表3-14。</w:t>
      </w:r>
    </w:p>
    <w:p w14:paraId="39AA65BB">
      <w:pPr>
        <w:pStyle w:val="25"/>
        <w:rPr>
          <w:rFonts w:hint="default"/>
          <w:highlight w:val="yellow"/>
        </w:rPr>
      </w:pPr>
      <w:r>
        <w:rPr>
          <w:rFonts w:hint="default"/>
          <w:highlight w:val="yellow"/>
        </w:rPr>
        <w:t>表3-1</w:t>
      </w:r>
      <w:r>
        <w:rPr>
          <w:highlight w:val="yellow"/>
        </w:rPr>
        <w:t xml:space="preserve">4  </w:t>
      </w:r>
      <w:r>
        <w:rPr>
          <w:rFonts w:hint="default"/>
          <w:highlight w:val="yellow"/>
        </w:rPr>
        <w:t>LLM增强摘要与原始摘要的BGE相似度分析</w:t>
      </w:r>
    </w:p>
    <w:tbl>
      <w:tblPr>
        <w:tblStyle w:val="15"/>
        <w:tblW w:w="4998" w:type="pct"/>
        <w:tblInd w:w="0" w:type="dxa"/>
        <w:tblLayout w:type="autofit"/>
        <w:tblCellMar>
          <w:top w:w="0" w:type="dxa"/>
          <w:left w:w="108" w:type="dxa"/>
          <w:bottom w:w="0" w:type="dxa"/>
          <w:right w:w="108" w:type="dxa"/>
        </w:tblCellMar>
      </w:tblPr>
      <w:tblGrid>
        <w:gridCol w:w="1140"/>
        <w:gridCol w:w="2837"/>
        <w:gridCol w:w="2554"/>
        <w:gridCol w:w="1988"/>
      </w:tblGrid>
      <w:tr w14:paraId="44E9EA4E">
        <w:tblPrEx>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590D9C29">
            <w:pPr>
              <w:pStyle w:val="26"/>
              <w:rPr>
                <w:rFonts w:hint="default"/>
                <w:highlight w:val="yellow"/>
              </w:rPr>
            </w:pPr>
            <w:r>
              <w:rPr>
                <w:rFonts w:hint="default"/>
                <w:highlight w:val="yellow"/>
              </w:rPr>
              <w:t>指标</w:t>
            </w:r>
          </w:p>
        </w:tc>
        <w:tc>
          <w:tcPr>
            <w:tcW w:w="1665" w:type="pct"/>
            <w:tcBorders>
              <w:top w:val="single" w:color="auto" w:sz="8" w:space="0"/>
              <w:left w:val="nil"/>
              <w:bottom w:val="single" w:color="auto" w:sz="6" w:space="0"/>
              <w:right w:val="nil"/>
            </w:tcBorders>
            <w:shd w:val="clear" w:color="auto" w:fill="FFFFFF"/>
            <w:vAlign w:val="center"/>
          </w:tcPr>
          <w:p w14:paraId="7A2CB9F1">
            <w:pPr>
              <w:pStyle w:val="26"/>
              <w:rPr>
                <w:rFonts w:hint="default"/>
                <w:highlight w:val="yellow"/>
              </w:rPr>
            </w:pPr>
            <w:r>
              <w:rPr>
                <w:rFonts w:hint="default"/>
                <w:highlight w:val="yellow"/>
              </w:rPr>
              <w:t>生成摘要与对应原文</w:t>
            </w:r>
          </w:p>
        </w:tc>
        <w:tc>
          <w:tcPr>
            <w:tcW w:w="1499" w:type="pct"/>
            <w:tcBorders>
              <w:top w:val="single" w:color="auto" w:sz="8" w:space="0"/>
              <w:left w:val="nil"/>
              <w:bottom w:val="single" w:color="auto" w:sz="6" w:space="0"/>
              <w:right w:val="nil"/>
            </w:tcBorders>
            <w:shd w:val="clear" w:color="auto" w:fill="FFFFFF"/>
            <w:vAlign w:val="center"/>
          </w:tcPr>
          <w:p w14:paraId="20E645B8">
            <w:pPr>
              <w:pStyle w:val="26"/>
              <w:rPr>
                <w:rFonts w:hint="default"/>
                <w:highlight w:val="yellow"/>
              </w:rPr>
            </w:pPr>
            <w:r>
              <w:rPr>
                <w:rFonts w:hint="default"/>
                <w:highlight w:val="yellow"/>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3D0D5E5D">
            <w:pPr>
              <w:pStyle w:val="26"/>
              <w:rPr>
                <w:rFonts w:hint="default"/>
                <w:highlight w:val="yellow"/>
              </w:rPr>
            </w:pPr>
            <w:r>
              <w:rPr>
                <w:rFonts w:hint="default"/>
                <w:highlight w:val="yellow"/>
              </w:rPr>
              <w:t>生成摘要之间</w:t>
            </w:r>
          </w:p>
        </w:tc>
      </w:tr>
      <w:tr w14:paraId="604E9DA4">
        <w:tblPrEx>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tcPr>
          <w:p w14:paraId="5CCE87FA">
            <w:pPr>
              <w:pStyle w:val="26"/>
              <w:rPr>
                <w:rFonts w:hint="default"/>
                <w:highlight w:val="yellow"/>
              </w:rPr>
            </w:pPr>
            <w:r>
              <w:rPr>
                <w:rFonts w:hint="default"/>
                <w:highlight w:val="yellow"/>
              </w:rPr>
              <w:t>样本数</w:t>
            </w:r>
          </w:p>
        </w:tc>
        <w:tc>
          <w:tcPr>
            <w:tcW w:w="1665" w:type="pct"/>
            <w:tcBorders>
              <w:top w:val="single" w:color="auto" w:sz="6" w:space="0"/>
              <w:left w:val="nil"/>
              <w:bottom w:val="nil"/>
              <w:right w:val="nil"/>
            </w:tcBorders>
            <w:shd w:val="clear" w:color="auto" w:fill="FFFFFF"/>
          </w:tcPr>
          <w:p w14:paraId="7A437342">
            <w:pPr>
              <w:pStyle w:val="26"/>
              <w:rPr>
                <w:rFonts w:hint="default"/>
                <w:highlight w:val="yellow"/>
              </w:rPr>
            </w:pPr>
            <w:r>
              <w:rPr>
                <w:rFonts w:hint="default"/>
                <w:highlight w:val="yellow"/>
              </w:rPr>
              <w:t>62</w:t>
            </w:r>
          </w:p>
        </w:tc>
        <w:tc>
          <w:tcPr>
            <w:tcW w:w="1499" w:type="pct"/>
            <w:tcBorders>
              <w:top w:val="single" w:color="auto" w:sz="6" w:space="0"/>
              <w:left w:val="nil"/>
              <w:bottom w:val="nil"/>
              <w:right w:val="nil"/>
            </w:tcBorders>
            <w:shd w:val="clear" w:color="auto" w:fill="FFFFFF"/>
          </w:tcPr>
          <w:p w14:paraId="08A9AB55">
            <w:pPr>
              <w:pStyle w:val="26"/>
              <w:rPr>
                <w:rFonts w:hint="default"/>
                <w:highlight w:val="yellow"/>
              </w:rPr>
            </w:pPr>
            <w:r>
              <w:rPr>
                <w:rFonts w:hint="default"/>
                <w:highlight w:val="yellow"/>
              </w:rPr>
              <w:t>465</w:t>
            </w:r>
          </w:p>
        </w:tc>
        <w:tc>
          <w:tcPr>
            <w:tcW w:w="1167" w:type="pct"/>
            <w:tcBorders>
              <w:top w:val="single" w:color="auto" w:sz="6" w:space="0"/>
              <w:left w:val="nil"/>
              <w:bottom w:val="nil"/>
              <w:right w:val="nil"/>
            </w:tcBorders>
            <w:shd w:val="clear" w:color="auto" w:fill="FFFFFF"/>
          </w:tcPr>
          <w:p w14:paraId="701E9532">
            <w:pPr>
              <w:pStyle w:val="26"/>
              <w:rPr>
                <w:rFonts w:hint="default"/>
                <w:highlight w:val="yellow"/>
              </w:rPr>
            </w:pPr>
            <w:r>
              <w:rPr>
                <w:rFonts w:hint="default"/>
                <w:highlight w:val="yellow"/>
              </w:rPr>
              <w:t>1891</w:t>
            </w:r>
          </w:p>
        </w:tc>
      </w:tr>
      <w:tr w14:paraId="71E2842D">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43028DCB">
            <w:pPr>
              <w:pStyle w:val="26"/>
              <w:rPr>
                <w:rFonts w:hint="default"/>
                <w:highlight w:val="yellow"/>
              </w:rPr>
            </w:pPr>
            <w:r>
              <w:rPr>
                <w:rFonts w:hint="default"/>
                <w:highlight w:val="yellow"/>
              </w:rPr>
              <w:t>均值</w:t>
            </w:r>
          </w:p>
        </w:tc>
        <w:tc>
          <w:tcPr>
            <w:tcW w:w="1665" w:type="pct"/>
            <w:tcBorders>
              <w:top w:val="nil"/>
              <w:left w:val="nil"/>
              <w:bottom w:val="nil"/>
              <w:right w:val="nil"/>
            </w:tcBorders>
            <w:shd w:val="clear" w:color="auto" w:fill="FFFFFF"/>
          </w:tcPr>
          <w:p w14:paraId="54069031">
            <w:pPr>
              <w:pStyle w:val="26"/>
              <w:rPr>
                <w:rFonts w:hint="default"/>
                <w:highlight w:val="yellow"/>
              </w:rPr>
            </w:pPr>
            <w:r>
              <w:rPr>
                <w:rFonts w:hint="default"/>
                <w:highlight w:val="yellow"/>
              </w:rPr>
              <w:t>0.831</w:t>
            </w:r>
            <w:r>
              <w:rPr>
                <w:highlight w:val="yellow"/>
              </w:rPr>
              <w:t>0</w:t>
            </w:r>
          </w:p>
        </w:tc>
        <w:tc>
          <w:tcPr>
            <w:tcW w:w="1499" w:type="pct"/>
            <w:tcBorders>
              <w:top w:val="nil"/>
              <w:left w:val="nil"/>
              <w:bottom w:val="nil"/>
              <w:right w:val="nil"/>
            </w:tcBorders>
            <w:shd w:val="clear" w:color="auto" w:fill="FFFFFF"/>
          </w:tcPr>
          <w:p w14:paraId="1AD693C6">
            <w:pPr>
              <w:pStyle w:val="26"/>
              <w:rPr>
                <w:rFonts w:hint="default"/>
                <w:highlight w:val="yellow"/>
              </w:rPr>
            </w:pPr>
            <w:r>
              <w:rPr>
                <w:rFonts w:hint="default"/>
                <w:highlight w:val="yellow"/>
              </w:rPr>
              <w:t>0.5637</w:t>
            </w:r>
          </w:p>
        </w:tc>
        <w:tc>
          <w:tcPr>
            <w:tcW w:w="1167" w:type="pct"/>
            <w:tcBorders>
              <w:top w:val="nil"/>
              <w:left w:val="nil"/>
              <w:bottom w:val="nil"/>
              <w:right w:val="nil"/>
            </w:tcBorders>
            <w:shd w:val="clear" w:color="auto" w:fill="FFFFFF"/>
          </w:tcPr>
          <w:p w14:paraId="34EFE2F4">
            <w:pPr>
              <w:pStyle w:val="26"/>
              <w:rPr>
                <w:rFonts w:hint="default"/>
                <w:highlight w:val="yellow"/>
              </w:rPr>
            </w:pPr>
            <w:r>
              <w:rPr>
                <w:rFonts w:hint="default"/>
                <w:highlight w:val="yellow"/>
              </w:rPr>
              <w:t>0.6397</w:t>
            </w:r>
          </w:p>
        </w:tc>
      </w:tr>
      <w:tr w14:paraId="50F49AA8">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19F5B4E0">
            <w:pPr>
              <w:pStyle w:val="26"/>
              <w:rPr>
                <w:rFonts w:hint="default"/>
                <w:highlight w:val="yellow"/>
              </w:rPr>
            </w:pPr>
            <w:r>
              <w:rPr>
                <w:rFonts w:hint="default"/>
                <w:highlight w:val="yellow"/>
              </w:rPr>
              <w:t>标准差</w:t>
            </w:r>
          </w:p>
        </w:tc>
        <w:tc>
          <w:tcPr>
            <w:tcW w:w="1665" w:type="pct"/>
            <w:tcBorders>
              <w:top w:val="nil"/>
              <w:left w:val="nil"/>
              <w:bottom w:val="nil"/>
              <w:right w:val="nil"/>
            </w:tcBorders>
            <w:shd w:val="clear" w:color="auto" w:fill="FFFFFF"/>
          </w:tcPr>
          <w:p w14:paraId="0228B90A">
            <w:pPr>
              <w:pStyle w:val="26"/>
              <w:rPr>
                <w:rFonts w:hint="default"/>
                <w:highlight w:val="yellow"/>
              </w:rPr>
            </w:pPr>
            <w:r>
              <w:rPr>
                <w:rFonts w:hint="default"/>
                <w:highlight w:val="yellow"/>
              </w:rPr>
              <w:t>0.0722</w:t>
            </w:r>
          </w:p>
        </w:tc>
        <w:tc>
          <w:tcPr>
            <w:tcW w:w="1499" w:type="pct"/>
            <w:tcBorders>
              <w:top w:val="nil"/>
              <w:left w:val="nil"/>
              <w:bottom w:val="nil"/>
              <w:right w:val="nil"/>
            </w:tcBorders>
            <w:shd w:val="clear" w:color="auto" w:fill="FFFFFF"/>
          </w:tcPr>
          <w:p w14:paraId="6F4F68EE">
            <w:pPr>
              <w:pStyle w:val="26"/>
              <w:rPr>
                <w:rFonts w:hint="default"/>
                <w:highlight w:val="yellow"/>
              </w:rPr>
            </w:pPr>
            <w:r>
              <w:rPr>
                <w:rFonts w:hint="default"/>
                <w:highlight w:val="yellow"/>
              </w:rPr>
              <w:t>0.0983</w:t>
            </w:r>
          </w:p>
        </w:tc>
        <w:tc>
          <w:tcPr>
            <w:tcW w:w="1167" w:type="pct"/>
            <w:tcBorders>
              <w:top w:val="nil"/>
              <w:left w:val="nil"/>
              <w:bottom w:val="nil"/>
              <w:right w:val="nil"/>
            </w:tcBorders>
            <w:shd w:val="clear" w:color="auto" w:fill="FFFFFF"/>
          </w:tcPr>
          <w:p w14:paraId="54796A6C">
            <w:pPr>
              <w:pStyle w:val="26"/>
              <w:rPr>
                <w:rFonts w:hint="default"/>
                <w:highlight w:val="yellow"/>
              </w:rPr>
            </w:pPr>
            <w:r>
              <w:rPr>
                <w:rFonts w:hint="default"/>
                <w:highlight w:val="yellow"/>
              </w:rPr>
              <w:t>0.0867</w:t>
            </w:r>
          </w:p>
        </w:tc>
      </w:tr>
      <w:tr w14:paraId="12E30623">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52DE0EAC">
            <w:pPr>
              <w:pStyle w:val="26"/>
              <w:rPr>
                <w:rFonts w:hint="default"/>
                <w:highlight w:val="yellow"/>
              </w:rPr>
            </w:pPr>
            <w:r>
              <w:rPr>
                <w:rFonts w:hint="default"/>
                <w:highlight w:val="yellow"/>
              </w:rPr>
              <w:t>最小值</w:t>
            </w:r>
          </w:p>
        </w:tc>
        <w:tc>
          <w:tcPr>
            <w:tcW w:w="1665" w:type="pct"/>
            <w:tcBorders>
              <w:top w:val="nil"/>
              <w:left w:val="nil"/>
              <w:bottom w:val="nil"/>
              <w:right w:val="nil"/>
            </w:tcBorders>
            <w:shd w:val="clear" w:color="auto" w:fill="FFFFFF"/>
          </w:tcPr>
          <w:p w14:paraId="2BE5CF0D">
            <w:pPr>
              <w:pStyle w:val="26"/>
              <w:rPr>
                <w:rFonts w:hint="default"/>
                <w:highlight w:val="yellow"/>
              </w:rPr>
            </w:pPr>
            <w:r>
              <w:rPr>
                <w:rFonts w:hint="default"/>
                <w:highlight w:val="yellow"/>
              </w:rPr>
              <w:t>0.636</w:t>
            </w:r>
            <w:r>
              <w:rPr>
                <w:highlight w:val="yellow"/>
              </w:rPr>
              <w:t>0</w:t>
            </w:r>
          </w:p>
        </w:tc>
        <w:tc>
          <w:tcPr>
            <w:tcW w:w="1499" w:type="pct"/>
            <w:tcBorders>
              <w:top w:val="nil"/>
              <w:left w:val="nil"/>
              <w:bottom w:val="nil"/>
              <w:right w:val="nil"/>
            </w:tcBorders>
            <w:shd w:val="clear" w:color="auto" w:fill="FFFFFF"/>
          </w:tcPr>
          <w:p w14:paraId="2A44F526">
            <w:pPr>
              <w:pStyle w:val="26"/>
              <w:rPr>
                <w:rFonts w:hint="default"/>
                <w:highlight w:val="yellow"/>
              </w:rPr>
            </w:pPr>
            <w:r>
              <w:rPr>
                <w:rFonts w:hint="default"/>
                <w:highlight w:val="yellow"/>
              </w:rPr>
              <w:t>0.3586</w:t>
            </w:r>
          </w:p>
        </w:tc>
        <w:tc>
          <w:tcPr>
            <w:tcW w:w="1167" w:type="pct"/>
            <w:tcBorders>
              <w:top w:val="nil"/>
              <w:left w:val="nil"/>
              <w:bottom w:val="nil"/>
              <w:right w:val="nil"/>
            </w:tcBorders>
            <w:shd w:val="clear" w:color="auto" w:fill="FFFFFF"/>
          </w:tcPr>
          <w:p w14:paraId="327D7AF6">
            <w:pPr>
              <w:pStyle w:val="26"/>
              <w:rPr>
                <w:rFonts w:hint="default"/>
                <w:highlight w:val="yellow"/>
              </w:rPr>
            </w:pPr>
            <w:r>
              <w:rPr>
                <w:rFonts w:hint="default"/>
                <w:highlight w:val="yellow"/>
              </w:rPr>
              <w:t>0.376</w:t>
            </w:r>
            <w:r>
              <w:rPr>
                <w:highlight w:val="yellow"/>
              </w:rPr>
              <w:t>0</w:t>
            </w:r>
          </w:p>
        </w:tc>
      </w:tr>
      <w:tr w14:paraId="32F3AFE8">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2A6F2D3B">
            <w:pPr>
              <w:pStyle w:val="26"/>
              <w:rPr>
                <w:rFonts w:hint="default"/>
                <w:highlight w:val="yellow"/>
              </w:rPr>
            </w:pPr>
            <w:r>
              <w:rPr>
                <w:rFonts w:hint="default"/>
                <w:highlight w:val="yellow"/>
              </w:rPr>
              <w:t>最大值</w:t>
            </w:r>
          </w:p>
        </w:tc>
        <w:tc>
          <w:tcPr>
            <w:tcW w:w="1665" w:type="pct"/>
            <w:tcBorders>
              <w:top w:val="nil"/>
              <w:left w:val="nil"/>
              <w:bottom w:val="nil"/>
              <w:right w:val="nil"/>
            </w:tcBorders>
            <w:shd w:val="clear" w:color="auto" w:fill="FFFFFF"/>
          </w:tcPr>
          <w:p w14:paraId="0626F2F9">
            <w:pPr>
              <w:pStyle w:val="26"/>
              <w:rPr>
                <w:rFonts w:hint="default"/>
                <w:highlight w:val="yellow"/>
              </w:rPr>
            </w:pPr>
            <w:r>
              <w:rPr>
                <w:rFonts w:hint="default"/>
                <w:highlight w:val="yellow"/>
              </w:rPr>
              <w:t>0.9607</w:t>
            </w:r>
          </w:p>
        </w:tc>
        <w:tc>
          <w:tcPr>
            <w:tcW w:w="1499" w:type="pct"/>
            <w:tcBorders>
              <w:top w:val="nil"/>
              <w:left w:val="nil"/>
              <w:bottom w:val="nil"/>
              <w:right w:val="nil"/>
            </w:tcBorders>
            <w:shd w:val="clear" w:color="auto" w:fill="FFFFFF"/>
          </w:tcPr>
          <w:p w14:paraId="1F43F953">
            <w:pPr>
              <w:pStyle w:val="26"/>
              <w:rPr>
                <w:rFonts w:hint="default"/>
                <w:highlight w:val="yellow"/>
              </w:rPr>
            </w:pPr>
            <w:r>
              <w:rPr>
                <w:rFonts w:hint="default"/>
                <w:highlight w:val="yellow"/>
              </w:rPr>
              <w:t>0.8402</w:t>
            </w:r>
          </w:p>
        </w:tc>
        <w:tc>
          <w:tcPr>
            <w:tcW w:w="1167" w:type="pct"/>
            <w:tcBorders>
              <w:top w:val="nil"/>
              <w:left w:val="nil"/>
              <w:bottom w:val="nil"/>
              <w:right w:val="nil"/>
            </w:tcBorders>
            <w:shd w:val="clear" w:color="auto" w:fill="FFFFFF"/>
          </w:tcPr>
          <w:p w14:paraId="0DC0A7D8">
            <w:pPr>
              <w:pStyle w:val="26"/>
              <w:rPr>
                <w:rFonts w:hint="default"/>
                <w:highlight w:val="yellow"/>
              </w:rPr>
            </w:pPr>
            <w:r>
              <w:rPr>
                <w:rFonts w:hint="default"/>
                <w:highlight w:val="yellow"/>
              </w:rPr>
              <w:t>0.9873</w:t>
            </w:r>
          </w:p>
        </w:tc>
      </w:tr>
      <w:tr w14:paraId="30BE1F53">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49B03817">
            <w:pPr>
              <w:pStyle w:val="26"/>
              <w:rPr>
                <w:rFonts w:hint="default"/>
                <w:highlight w:val="yellow"/>
              </w:rPr>
            </w:pPr>
            <w:r>
              <w:rPr>
                <w:rFonts w:hint="default"/>
                <w:highlight w:val="yellow"/>
              </w:rPr>
              <w:t>P50</w:t>
            </w:r>
          </w:p>
        </w:tc>
        <w:tc>
          <w:tcPr>
            <w:tcW w:w="1665" w:type="pct"/>
            <w:tcBorders>
              <w:top w:val="nil"/>
              <w:left w:val="nil"/>
              <w:bottom w:val="nil"/>
              <w:right w:val="nil"/>
            </w:tcBorders>
            <w:shd w:val="clear" w:color="auto" w:fill="FFFFFF"/>
          </w:tcPr>
          <w:p w14:paraId="086497E9">
            <w:pPr>
              <w:pStyle w:val="26"/>
              <w:rPr>
                <w:rFonts w:hint="default"/>
                <w:highlight w:val="yellow"/>
              </w:rPr>
            </w:pPr>
            <w:r>
              <w:rPr>
                <w:rFonts w:hint="default"/>
                <w:highlight w:val="yellow"/>
              </w:rPr>
              <w:t>0.8375</w:t>
            </w:r>
          </w:p>
        </w:tc>
        <w:tc>
          <w:tcPr>
            <w:tcW w:w="1499" w:type="pct"/>
            <w:tcBorders>
              <w:top w:val="nil"/>
              <w:left w:val="nil"/>
              <w:bottom w:val="nil"/>
              <w:right w:val="nil"/>
            </w:tcBorders>
            <w:shd w:val="clear" w:color="auto" w:fill="FFFFFF"/>
          </w:tcPr>
          <w:p w14:paraId="1624790C">
            <w:pPr>
              <w:pStyle w:val="26"/>
              <w:rPr>
                <w:rFonts w:hint="default"/>
                <w:highlight w:val="yellow"/>
              </w:rPr>
            </w:pPr>
            <w:r>
              <w:rPr>
                <w:rFonts w:hint="default"/>
                <w:highlight w:val="yellow"/>
              </w:rPr>
              <w:t>0.555</w:t>
            </w:r>
            <w:r>
              <w:rPr>
                <w:highlight w:val="yellow"/>
              </w:rPr>
              <w:t>0</w:t>
            </w:r>
          </w:p>
        </w:tc>
        <w:tc>
          <w:tcPr>
            <w:tcW w:w="1167" w:type="pct"/>
            <w:tcBorders>
              <w:top w:val="nil"/>
              <w:left w:val="nil"/>
              <w:bottom w:val="nil"/>
              <w:right w:val="nil"/>
            </w:tcBorders>
            <w:shd w:val="clear" w:color="auto" w:fill="FFFFFF"/>
          </w:tcPr>
          <w:p w14:paraId="10448C11">
            <w:pPr>
              <w:pStyle w:val="26"/>
              <w:rPr>
                <w:rFonts w:hint="default"/>
                <w:highlight w:val="yellow"/>
              </w:rPr>
            </w:pPr>
            <w:r>
              <w:rPr>
                <w:rFonts w:hint="default"/>
                <w:highlight w:val="yellow"/>
              </w:rPr>
              <w:t>0.6381</w:t>
            </w:r>
          </w:p>
        </w:tc>
      </w:tr>
      <w:tr w14:paraId="27C1E0E6">
        <w:tblPrEx>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tcPr>
          <w:p w14:paraId="08C48102">
            <w:pPr>
              <w:pStyle w:val="26"/>
              <w:rPr>
                <w:rFonts w:hint="default"/>
                <w:highlight w:val="yellow"/>
              </w:rPr>
            </w:pPr>
            <w:r>
              <w:rPr>
                <w:rFonts w:hint="default"/>
                <w:highlight w:val="yellow"/>
              </w:rPr>
              <w:t>P95</w:t>
            </w:r>
          </w:p>
        </w:tc>
        <w:tc>
          <w:tcPr>
            <w:tcW w:w="1665" w:type="pct"/>
            <w:tcBorders>
              <w:top w:val="nil"/>
              <w:left w:val="nil"/>
              <w:bottom w:val="single" w:color="auto" w:sz="8" w:space="0"/>
              <w:right w:val="nil"/>
            </w:tcBorders>
            <w:shd w:val="clear" w:color="auto" w:fill="FFFFFF"/>
          </w:tcPr>
          <w:p w14:paraId="7595D2A2">
            <w:pPr>
              <w:pStyle w:val="26"/>
              <w:rPr>
                <w:rFonts w:hint="default"/>
                <w:highlight w:val="yellow"/>
              </w:rPr>
            </w:pPr>
            <w:r>
              <w:rPr>
                <w:rFonts w:hint="default"/>
                <w:highlight w:val="yellow"/>
              </w:rPr>
              <w:t>0.9502</w:t>
            </w:r>
          </w:p>
        </w:tc>
        <w:tc>
          <w:tcPr>
            <w:tcW w:w="1499" w:type="pct"/>
            <w:tcBorders>
              <w:top w:val="nil"/>
              <w:left w:val="nil"/>
              <w:bottom w:val="single" w:color="auto" w:sz="8" w:space="0"/>
              <w:right w:val="nil"/>
            </w:tcBorders>
            <w:shd w:val="clear" w:color="auto" w:fill="FFFFFF"/>
          </w:tcPr>
          <w:p w14:paraId="0FBE97CD">
            <w:pPr>
              <w:pStyle w:val="26"/>
              <w:rPr>
                <w:rFonts w:hint="default"/>
                <w:highlight w:val="yellow"/>
              </w:rPr>
            </w:pPr>
            <w:r>
              <w:rPr>
                <w:rFonts w:hint="default"/>
                <w:highlight w:val="yellow"/>
              </w:rPr>
              <w:t>0.7446</w:t>
            </w:r>
          </w:p>
        </w:tc>
        <w:tc>
          <w:tcPr>
            <w:tcW w:w="1167" w:type="pct"/>
            <w:tcBorders>
              <w:top w:val="nil"/>
              <w:left w:val="nil"/>
              <w:bottom w:val="single" w:color="auto" w:sz="8" w:space="0"/>
              <w:right w:val="nil"/>
            </w:tcBorders>
            <w:shd w:val="clear" w:color="auto" w:fill="FFFFFF"/>
          </w:tcPr>
          <w:p w14:paraId="1DD24C32">
            <w:pPr>
              <w:pStyle w:val="26"/>
              <w:rPr>
                <w:rFonts w:hint="default"/>
                <w:highlight w:val="yellow"/>
              </w:rPr>
            </w:pPr>
            <w:r>
              <w:rPr>
                <w:rFonts w:hint="default"/>
                <w:highlight w:val="yellow"/>
              </w:rPr>
              <w:t>0.7737</w:t>
            </w:r>
          </w:p>
        </w:tc>
      </w:tr>
    </w:tbl>
    <w:p w14:paraId="58C70C56">
      <w:pPr>
        <w:ind w:firstLine="480" w:firstLineChars="200"/>
        <w:rPr>
          <w:highlight w:val="yellow"/>
        </w:rPr>
      </w:pPr>
      <w:r>
        <w:rPr>
          <w:rFonts w:hint="eastAsia"/>
          <w:highlight w:val="yellow"/>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53DD9D03">
      <w:pPr>
        <w:ind w:firstLine="420" w:firstLineChars="0"/>
      </w:pPr>
      <w:r>
        <w:rPr>
          <w:rFonts w:hint="eastAsia"/>
          <w:highlight w:val="yellow"/>
        </w:rPr>
        <w:t>上述结果从语义向量角度说明，增强摘要整体上贴近来源专利，未表现出明显语义偏移。最终，本文将34431条过滤后数据与62条增强数据合并，形成34493条训练数据，用于第四章分类模型训练与评估</w:t>
      </w:r>
      <w:r>
        <w:rPr>
          <w:rFonts w:hint="eastAsia"/>
        </w:rPr>
        <w:t>。</w:t>
      </w:r>
    </w:p>
    <w:p w14:paraId="77DD6489">
      <w:pPr>
        <w:pStyle w:val="25"/>
        <w:rPr>
          <w:rFonts w:hint="default"/>
        </w:rPr>
      </w:pPr>
    </w:p>
    <w:p w14:paraId="0366E3EB">
      <w:pPr>
        <w:pStyle w:val="25"/>
        <w:rPr>
          <w:rFonts w:hint="default"/>
        </w:rPr>
      </w:pPr>
    </w:p>
    <w:p w14:paraId="1D42637F">
      <w:pPr>
        <w:pStyle w:val="25"/>
        <w:rPr>
          <w:rFonts w:hint="default"/>
        </w:rPr>
        <w:sectPr>
          <w:footerReference r:id="rId24" w:type="default"/>
          <w:footerReference r:id="rId25" w:type="even"/>
          <w:pgSz w:w="11906" w:h="16838"/>
          <w:pgMar w:top="1440" w:right="1800" w:bottom="1440" w:left="1800" w:header="850" w:footer="992" w:gutter="0"/>
          <w:cols w:space="0" w:num="1"/>
          <w:docGrid w:type="lines" w:linePitch="326" w:charSpace="0"/>
        </w:sectPr>
      </w:pPr>
    </w:p>
    <w:p w14:paraId="16EFD0A9">
      <w:pPr>
        <w:pStyle w:val="2"/>
        <w:numPr>
          <w:ilvl w:val="0"/>
          <w:numId w:val="1"/>
        </w:numPr>
        <w:tabs>
          <w:tab w:val="clear" w:pos="0"/>
        </w:tabs>
      </w:pPr>
      <w:bookmarkStart w:id="157" w:name="_Toc216114506"/>
      <w:bookmarkStart w:id="158" w:name="_Toc229086894"/>
      <w:bookmarkStart w:id="159" w:name="_Toc2677"/>
      <w:r>
        <w:rPr>
          <w:rFonts w:hint="eastAsia"/>
        </w:rPr>
        <w:t>分类模型设计与评估</w:t>
      </w:r>
      <w:bookmarkEnd w:id="157"/>
      <w:bookmarkEnd w:id="158"/>
      <w:bookmarkEnd w:id="159"/>
    </w:p>
    <w:p w14:paraId="0924AEDA">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60" w:name="_Toc216115305"/>
      <w:bookmarkEnd w:id="160"/>
      <w:bookmarkStart w:id="161" w:name="_Toc216116716"/>
      <w:bookmarkEnd w:id="161"/>
      <w:bookmarkStart w:id="162" w:name="_Toc216114670"/>
      <w:bookmarkEnd w:id="162"/>
      <w:bookmarkStart w:id="163" w:name="_Toc216115377"/>
      <w:bookmarkEnd w:id="163"/>
      <w:bookmarkStart w:id="164" w:name="_Toc216114439"/>
      <w:bookmarkEnd w:id="164"/>
      <w:bookmarkStart w:id="165" w:name="_Toc216114667"/>
      <w:bookmarkEnd w:id="165"/>
      <w:bookmarkStart w:id="166" w:name="_Toc216114507"/>
      <w:bookmarkEnd w:id="166"/>
      <w:bookmarkStart w:id="167" w:name="_Toc216117071"/>
      <w:bookmarkEnd w:id="167"/>
      <w:bookmarkStart w:id="168" w:name="_Toc216116641"/>
      <w:bookmarkEnd w:id="168"/>
      <w:bookmarkStart w:id="169" w:name="_Toc216115308"/>
      <w:bookmarkEnd w:id="169"/>
      <w:bookmarkStart w:id="170" w:name="_Toc216114510"/>
      <w:bookmarkEnd w:id="170"/>
      <w:bookmarkStart w:id="171" w:name="_Toc216116644"/>
      <w:bookmarkEnd w:id="171"/>
      <w:bookmarkStart w:id="172" w:name="_Toc216114436"/>
      <w:bookmarkEnd w:id="172"/>
      <w:bookmarkStart w:id="173" w:name="_Toc216116713"/>
      <w:bookmarkEnd w:id="173"/>
      <w:bookmarkStart w:id="174" w:name="_Toc216117074"/>
      <w:bookmarkEnd w:id="174"/>
      <w:bookmarkStart w:id="175" w:name="_Toc216114365"/>
      <w:bookmarkEnd w:id="175"/>
      <w:bookmarkStart w:id="176" w:name="_Toc216115374"/>
      <w:bookmarkEnd w:id="176"/>
      <w:bookmarkStart w:id="177" w:name="_Toc216114368"/>
      <w:bookmarkEnd w:id="177"/>
    </w:p>
    <w:p w14:paraId="5F54914C">
      <w:pPr>
        <w:pStyle w:val="3"/>
        <w:numPr>
          <w:ilvl w:val="1"/>
          <w:numId w:val="1"/>
        </w:numPr>
        <w:tabs>
          <w:tab w:val="clear" w:pos="420"/>
        </w:tabs>
      </w:pPr>
      <w:bookmarkStart w:id="178" w:name="_Toc216114512"/>
      <w:bookmarkStart w:id="179" w:name="_Toc229086895"/>
      <w:bookmarkStart w:id="180" w:name="_Toc21066"/>
      <w:r>
        <w:rPr>
          <w:rFonts w:hint="eastAsia"/>
        </w:rPr>
        <w:t>分类模型设计</w:t>
      </w:r>
      <w:bookmarkEnd w:id="178"/>
      <w:bookmarkEnd w:id="179"/>
      <w:bookmarkEnd w:id="180"/>
    </w:p>
    <w:p w14:paraId="4A5701FA">
      <w:pPr>
        <w:pStyle w:val="4"/>
        <w:numPr>
          <w:ilvl w:val="2"/>
          <w:numId w:val="1"/>
        </w:numPr>
      </w:pPr>
      <w:bookmarkStart w:id="181" w:name="_Toc216114513"/>
      <w:bookmarkStart w:id="182" w:name="_Toc229086896"/>
      <w:bookmarkStart w:id="183" w:name="_Toc641"/>
      <w:r>
        <w:t>机器学习</w:t>
      </w:r>
      <w:bookmarkEnd w:id="181"/>
      <w:r>
        <w:rPr>
          <w:rFonts w:hint="eastAsia"/>
        </w:rPr>
        <w:t>模型</w:t>
      </w:r>
      <w:bookmarkEnd w:id="182"/>
      <w:bookmarkEnd w:id="183"/>
    </w:p>
    <w:p w14:paraId="06F3A6D8">
      <w:pPr>
        <w:ind w:firstLine="480"/>
      </w:pPr>
      <w:r>
        <w:rPr>
          <w:rFonts w:hint="eastAsia"/>
        </w:rPr>
        <w:t>为了进行基准比较，在此基础上实现四种机器学习分类方法，KNN、LR、RF以及XGBoost，分类过程见图4-1。</w:t>
      </w:r>
    </w:p>
    <w:p w14:paraId="4C5469D6">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5D6D0783">
      <w:pPr>
        <w:pStyle w:val="25"/>
        <w:rPr>
          <w:rFonts w:hint="default"/>
        </w:rPr>
      </w:pPr>
      <w:r>
        <w:t>图4-1  机器学习分类流程</w:t>
      </w:r>
    </w:p>
    <w:p w14:paraId="3AC62573">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 F1-score为优化目标，对KNN、LR、RF和XGBoost四种模型的超参数进行寻优，最终在测试集上评估其分类性能。</w:t>
      </w:r>
    </w:p>
    <w:p w14:paraId="5E978617">
      <w:pPr>
        <w:pStyle w:val="4"/>
        <w:numPr>
          <w:ilvl w:val="2"/>
          <w:numId w:val="1"/>
        </w:numPr>
        <w:rPr>
          <w:rFonts w:eastAsia="宋体"/>
        </w:rPr>
      </w:pPr>
      <w:bookmarkStart w:id="184" w:name="_Toc216114514"/>
      <w:bookmarkStart w:id="185" w:name="_Toc229086897"/>
      <w:bookmarkStart w:id="186" w:name="_Toc18344"/>
      <w:r>
        <w:rPr>
          <w:rFonts w:hint="eastAsia"/>
        </w:rPr>
        <w:t>深度</w:t>
      </w:r>
      <w:r>
        <w:t>学习</w:t>
      </w:r>
      <w:bookmarkEnd w:id="184"/>
      <w:r>
        <w:rPr>
          <w:rFonts w:hint="eastAsia"/>
        </w:rPr>
        <w:t>模型</w:t>
      </w:r>
      <w:bookmarkEnd w:id="185"/>
      <w:bookmarkEnd w:id="186"/>
    </w:p>
    <w:p w14:paraId="76000DF9">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7B24FFB1">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55721B6A">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1592A3ED">
      <w:pPr>
        <w:pStyle w:val="25"/>
        <w:rPr>
          <w:rFonts w:hint="default"/>
        </w:rPr>
      </w:pPr>
      <w:r>
        <w:t>图4-2  预训练模型泛化性能评估</w:t>
      </w:r>
    </w:p>
    <w:p w14:paraId="35A77C96">
      <w:pPr>
        <w:ind w:firstLine="480"/>
      </w:pPr>
      <w:r>
        <w:rPr>
          <w:rFonts w:hint="eastAsia"/>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756356E3">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F093ED8">
      <w:pPr>
        <w:ind w:firstLine="480"/>
      </w:pPr>
      <w:r>
        <w:rPr>
          <w:rFonts w:hint="eastAsia"/>
        </w:rPr>
        <w:t>为更好挖掘专利文本内部所隐含深层次语义信息并且能够准确地区分各类别局部重要部分，本文构建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20BCD264">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06E00BCA">
      <w:pPr>
        <w:pStyle w:val="25"/>
        <w:rPr>
          <w:rFonts w:hint="default"/>
        </w:rPr>
      </w:pPr>
      <w:r>
        <w:t>图4-3  BERT-TextCNN架构</w:t>
      </w:r>
    </w:p>
    <w:p w14:paraId="5C310678">
      <w:pPr>
        <w:numPr>
          <w:ilvl w:val="0"/>
          <w:numId w:val="13"/>
        </w:numPr>
        <w:ind w:firstLine="480"/>
      </w:pPr>
      <w:r>
        <w:rPr>
          <w:rFonts w:hint="eastAsia"/>
        </w:rPr>
        <w:t>BERT编码层</w:t>
      </w:r>
    </w:p>
    <w:p w14:paraId="5FD20B60">
      <w:pPr>
        <w:ind w:firstLine="480"/>
      </w:pPr>
      <w:r>
        <w:rPr>
          <w:rFonts w:hint="eastAsia"/>
        </w:rPr>
        <w:t>使用Chinese-RoBERTa-WWM-Ext作为基础模型，在对输入文本进行分词并且将其截断或者补全到一定长度</w:t>
      </w:r>
      <m:oMath>
        <m:r>
          <m:rPr>
            <m:nor/>
            <m:sty m:val="p"/>
          </m:rPr>
          <w:rPr>
            <w:rFonts w:cs="Times New Roman"/>
          </w:rPr>
          <m:t>L=512</m:t>
        </m:r>
      </m:oMath>
      <w:r>
        <w:rPr>
          <w:rFonts w:hint="eastAsia"/>
        </w:rPr>
        <w:t>之后得到输入文本</w:t>
      </w:r>
      <m:oMath>
        <m:r>
          <m:rPr>
            <m:nor/>
            <m:sty m:val="p"/>
          </m:rPr>
          <w:rPr>
            <w:rFonts w:cs="Times New Roman"/>
          </w:rPr>
          <m:t>X</m:t>
        </m:r>
        <m:r>
          <m:rPr>
            <m:nor/>
            <m:sty m:val="p"/>
          </m:rPr>
          <w:rPr>
            <w:rFonts w:hint="eastAsia" w:ascii="宋体" w:hAnsi="宋体" w:cs="宋体"/>
          </w:rPr>
          <m:t>∈</m:t>
        </m:r>
        <m:sSup>
          <m:sSupPr>
            <m:ctrlPr>
              <w:rPr>
                <w:rFonts w:ascii="Cambria Math" w:hAnsi="Cambria Math" w:cs="Times New Roman"/>
              </w:rPr>
            </m:ctrlPr>
          </m:sSupPr>
          <m:e>
            <m:r>
              <m:rPr>
                <m:nor/>
                <m:sty m:val="p"/>
              </m:rPr>
              <w:rPr>
                <w:rFonts w:eastAsia="MS Mincho" w:cs="MS Mincho"/>
              </w:rPr>
              <m:t>R</m:t>
            </m:r>
            <m:ctrlPr>
              <w:rPr>
                <w:rFonts w:ascii="Cambria Math" w:hAnsi="Cambria Math" w:cs="Times New Roman"/>
              </w:rPr>
            </m:ctrlPr>
          </m:e>
          <m:sup>
            <m:r>
              <m:rPr>
                <m:nor/>
                <m:sty m:val="p"/>
              </m:rPr>
              <w:rPr>
                <w:rFonts w:cs="Times New Roman"/>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rPr>
          <m:t>H</m:t>
        </m:r>
        <m:r>
          <m:rPr>
            <m:nor/>
            <m:sty m:val="p"/>
          </m:rPr>
          <w:rPr>
            <w:rFonts w:hint="eastAsia" w:ascii="宋体" w:hAnsi="宋体" w:cs="宋体"/>
          </w:rPr>
          <m:t>∈</m:t>
        </m:r>
        <m:sSup>
          <m:sSupPr>
            <m:ctrlPr>
              <w:rPr>
                <w:rFonts w:ascii="Cambria Math" w:hAnsi="Cambria Math" w:cs="Times New Roman"/>
              </w:rPr>
            </m:ctrlPr>
          </m:sSupPr>
          <m:e>
            <m:r>
              <m:rPr>
                <m:nor/>
                <m:sty m:val="p"/>
              </m:rPr>
              <w:rPr>
                <w:rFonts w:eastAsia="MS Mincho" w:cs="MS Mincho"/>
              </w:rPr>
              <m:t>R</m:t>
            </m:r>
            <m:ctrlPr>
              <w:rPr>
                <w:rFonts w:ascii="Cambria Math" w:hAnsi="Cambria Math" w:cs="Times New Roman"/>
              </w:rPr>
            </m:ctrlPr>
          </m:e>
          <m:sup>
            <m:r>
              <m:rPr>
                <m:nor/>
                <m:sty m:val="p"/>
              </m:rPr>
              <w:rPr>
                <w:rFonts w:cs="Times New Roman"/>
              </w:rPr>
              <m:t>B×L×D</m:t>
            </m:r>
            <m:ctrlPr>
              <w:rPr>
                <w:rFonts w:ascii="Cambria Math" w:hAnsi="Cambria Math" w:cs="Times New Roman"/>
              </w:rPr>
            </m:ctrlPr>
          </m:sup>
        </m:sSup>
      </m:oMath>
      <w:r>
        <w:rPr>
          <w:rFonts w:hint="eastAsia"/>
        </w:rPr>
        <w:t>，隐藏单元数</w:t>
      </w:r>
      <m:oMath>
        <m:r>
          <m:rPr>
            <m:nor/>
            <m:sty m:val="p"/>
          </m:rPr>
          <w:rPr>
            <w:rFonts w:cs="Times New Roman"/>
          </w:rPr>
          <m:t>D=768</m:t>
        </m:r>
      </m:oMath>
      <w:r>
        <w:rPr>
          <w:rFonts w:hint="eastAsia"/>
        </w:rPr>
        <w:t>。</w:t>
      </w:r>
    </w:p>
    <w:p w14:paraId="180B3D4A">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还可以避免因少量样本导致的灾难性遗忘以及过拟合问题。</w:t>
      </w:r>
    </w:p>
    <w:p w14:paraId="023B0A71">
      <w:pPr>
        <w:numPr>
          <w:ilvl w:val="0"/>
          <w:numId w:val="13"/>
        </w:numPr>
        <w:ind w:firstLine="480"/>
      </w:pPr>
      <w:r>
        <w:rPr>
          <w:rFonts w:hint="eastAsia"/>
        </w:rPr>
        <w:t>特征提取层</w:t>
      </w:r>
    </w:p>
    <w:p w14:paraId="2E0C3A43">
      <w:pPr>
        <w:ind w:firstLine="480"/>
      </w:pPr>
      <w:r>
        <w:rPr>
          <w:rFonts w:hint="eastAsia"/>
        </w:rPr>
        <w:t>为使得到更丰富语义信息，在此层采用全局特征通路与局部特征通路相结合方式进行特征学习。</w:t>
      </w:r>
    </w:p>
    <w:p w14:paraId="2623F270">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rPr>
              <m:t>h</m:t>
            </m:r>
            <m:ctrlPr>
              <w:rPr>
                <w:rFonts w:ascii="Cambria Math" w:hAnsi="Cambria Math" w:cs="Times New Roman"/>
              </w:rPr>
            </m:ctrlPr>
          </m:e>
          <m:sub>
            <m:r>
              <m:rPr>
                <m:nor/>
                <m:sty m:val="p"/>
              </m:rPr>
              <w:rPr>
                <w:rFonts w:cs="Times New Roman"/>
              </w:rPr>
              <m:t>cls</m:t>
            </m:r>
            <m:ctrlPr>
              <w:rPr>
                <w:rFonts w:ascii="Cambria Math" w:hAnsi="Cambria Math" w:cs="Times New Roman"/>
              </w:rPr>
            </m:ctrlPr>
          </m:sub>
        </m:sSub>
        <m:r>
          <m:rPr>
            <m:nor/>
            <m:sty m:val="p"/>
          </m:rPr>
          <w:rPr>
            <w:rFonts w:hint="eastAsia" w:ascii="宋体" w:hAnsi="宋体" w:cs="宋体"/>
          </w:rPr>
          <m:t>∈</m:t>
        </m:r>
        <m:sSup>
          <m:sSupPr>
            <m:ctrlPr>
              <w:rPr>
                <w:rFonts w:ascii="Cambria Math" w:hAnsi="Cambria Math" w:cs="Times New Roman"/>
              </w:rPr>
            </m:ctrlPr>
          </m:sSupPr>
          <m:e>
            <m:r>
              <m:rPr>
                <m:nor/>
                <m:sty m:val="p"/>
              </m:rPr>
              <w:rPr>
                <w:rFonts w:eastAsia="MS Mincho" w:cs="MS Mincho"/>
              </w:rPr>
              <m:t>R</m:t>
            </m:r>
            <m:ctrlPr>
              <w:rPr>
                <w:rFonts w:ascii="Cambria Math" w:hAnsi="Cambria Math" w:cs="Times New Roman"/>
              </w:rPr>
            </m:ctrlPr>
          </m:e>
          <m:sup>
            <m:r>
              <m:rPr>
                <m:nor/>
                <m:sty m:val="p"/>
              </m:rPr>
              <w:rPr>
                <w:rFonts w:cs="Times New Roman"/>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rPr>
              <m:t>h</m:t>
            </m:r>
            <m:ctrlPr>
              <w:rPr>
                <w:rFonts w:ascii="Cambria Math" w:hAnsi="Cambria Math" w:cs="Times New Roman"/>
              </w:rPr>
            </m:ctrlPr>
          </m:e>
          <m:sub>
            <m:r>
              <m:rPr>
                <m:nor/>
                <m:sty m:val="p"/>
              </m:rPr>
              <w:rPr>
                <w:rFonts w:cs="Times New Roman"/>
              </w:rPr>
              <m:t>mean</m:t>
            </m:r>
            <m:ctrlPr>
              <w:rPr>
                <w:rFonts w:ascii="Cambria Math" w:hAnsi="Cambria Math" w:cs="Times New Roman"/>
              </w:rPr>
            </m:ctrlPr>
          </m:sub>
        </m:sSub>
        <m:r>
          <m:rPr>
            <m:nor/>
            <m:sty m:val="p"/>
          </m:rPr>
          <w:rPr>
            <w:rFonts w:hint="eastAsia" w:ascii="宋体" w:hAnsi="宋体" w:cs="宋体"/>
          </w:rPr>
          <m:t>∈</m:t>
        </m:r>
        <m:sSup>
          <m:sSupPr>
            <m:ctrlPr>
              <w:rPr>
                <w:rFonts w:ascii="Cambria Math" w:hAnsi="Cambria Math" w:cs="Times New Roman"/>
              </w:rPr>
            </m:ctrlPr>
          </m:sSupPr>
          <m:e>
            <m:r>
              <m:rPr>
                <m:nor/>
                <m:sty m:val="p"/>
              </m:rPr>
              <w:rPr>
                <w:rFonts w:eastAsia="MS Mincho" w:cs="MS Mincho"/>
              </w:rPr>
              <m:t>R</m:t>
            </m:r>
            <m:ctrlPr>
              <w:rPr>
                <w:rFonts w:ascii="Cambria Math" w:hAnsi="Cambria Math" w:cs="Times New Roman"/>
              </w:rPr>
            </m:ctrlPr>
          </m:e>
          <m:sup>
            <m:r>
              <m:rPr>
                <m:nor/>
                <m:sty m:val="p"/>
              </m:rPr>
              <w:rPr>
                <w:rFonts w:cs="Times New Roman"/>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rPr>
              <m:t>d</m:t>
            </m:r>
            <m:ctrlPr>
              <w:rPr>
                <w:rFonts w:ascii="Cambria Math" w:hAnsi="Cambria Math" w:cs="Times New Roman"/>
              </w:rPr>
            </m:ctrlPr>
          </m:e>
          <m:sub>
            <m:r>
              <m:rPr>
                <m:nor/>
                <m:sty m:val="p"/>
              </m:rPr>
              <w:rPr>
                <w:rFonts w:cs="Times New Roman"/>
              </w:rPr>
              <m:t>proj</m:t>
            </m:r>
            <m:ctrlPr>
              <w:rPr>
                <w:rFonts w:ascii="Cambria Math" w:hAnsi="Cambria Math" w:cs="Times New Roman"/>
              </w:rPr>
            </m:ctrlPr>
          </m:sub>
        </m:sSub>
        <m:r>
          <m:rPr>
            <m:nor/>
            <m:sty m:val="p"/>
          </m:rPr>
          <w:rPr>
            <w:rFonts w:cs="Times New Roman"/>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rPr>
              <m:t>v</m:t>
            </m:r>
            <m:ctrlPr>
              <w:rPr>
                <w:rFonts w:ascii="Cambria Math" w:hAnsi="Cambria Math" w:cs="Times New Roman"/>
              </w:rPr>
            </m:ctrlPr>
          </m:e>
          <m:sub>
            <m:r>
              <m:rPr>
                <m:nor/>
                <m:sty m:val="p"/>
              </m:rPr>
              <w:rPr>
                <w:rFonts w:cs="Times New Roman"/>
              </w:rPr>
              <m:t>global</m:t>
            </m:r>
            <m:ctrlPr>
              <w:rPr>
                <w:rFonts w:ascii="Cambria Math" w:hAnsi="Cambria Math" w:cs="Times New Roman"/>
              </w:rPr>
            </m:ctrlPr>
          </m:sub>
        </m:sSub>
        <m:r>
          <m:rPr>
            <m:nor/>
            <m:sty m:val="p"/>
          </m:rPr>
          <w:rPr>
            <w:rFonts w:hint="eastAsia" w:ascii="宋体" w:hAnsi="宋体" w:cs="宋体"/>
          </w:rPr>
          <m:t>∈</m:t>
        </m:r>
        <m:sSup>
          <m:sSupPr>
            <m:ctrlPr>
              <w:rPr>
                <w:rFonts w:ascii="Cambria Math" w:hAnsi="Cambria Math" w:cs="Times New Roman"/>
              </w:rPr>
            </m:ctrlPr>
          </m:sSupPr>
          <m:e>
            <m:r>
              <m:rPr>
                <m:nor/>
                <m:sty m:val="p"/>
              </m:rPr>
              <w:rPr>
                <w:rFonts w:eastAsia="MS Mincho" w:cs="MS Mincho"/>
              </w:rPr>
              <m:t>R</m:t>
            </m:r>
            <m:ctrlPr>
              <w:rPr>
                <w:rFonts w:ascii="Cambria Math" w:hAnsi="Cambria Math" w:cs="Times New Roman"/>
              </w:rPr>
            </m:ctrlPr>
          </m:e>
          <m:sup>
            <m:r>
              <m:rPr>
                <m:nor/>
                <m:sty m:val="p"/>
              </m:rPr>
              <w:rPr>
                <w:rFonts w:cs="Times New Roman"/>
              </w:rPr>
              <m:t>656</m:t>
            </m:r>
            <m:ctrlPr>
              <w:rPr>
                <w:rFonts w:ascii="Cambria Math" w:hAnsi="Cambria Math" w:cs="Times New Roman"/>
              </w:rPr>
            </m:ctrlPr>
          </m:sup>
        </m:sSup>
      </m:oMath>
      <w:r>
        <w:rPr>
          <w:rFonts w:hint="eastAsia"/>
        </w:rPr>
        <w:t>。</w:t>
      </w:r>
    </w:p>
    <w:p w14:paraId="4C1871DA">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rPr>
          <m:t>K</m:t>
        </m:r>
        <m:r>
          <m:rPr>
            <m:nor/>
            <m:sty m:val="p"/>
          </m:rPr>
          <w:rPr>
            <w:rFonts w:hint="eastAsia" w:ascii="宋体" w:hAnsi="宋体" w:cs="宋体"/>
          </w:rPr>
          <m:t>∈</m:t>
        </m:r>
        <m:r>
          <m:rPr>
            <m:nor/>
            <m:sty m:val="p"/>
          </m:rPr>
          <w:rPr>
            <w:rFonts w:cs="Times New Roman"/>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k</m:t>
            </m:r>
            <m:ctrlPr>
              <w:rPr>
                <w:rFonts w:ascii="Cambria Math" w:hAnsi="Cambria Math" w:cs="Times New Roman"/>
              </w:rPr>
            </m:ctrlPr>
          </m:sub>
        </m:sSub>
        <m:r>
          <m:rPr>
            <m:nor/>
            <m:sty m:val="p"/>
          </m:rPr>
          <w:rPr>
            <w:rFonts w:cs="Times New Roman"/>
          </w:rPr>
          <m:t>=</m:t>
        </m:r>
        <m:r>
          <m:rPr>
            <m:nor/>
            <m:sty m:val="p"/>
          </m:rPr>
          <w:rPr>
            <w:rFonts w:ascii="Cambria" w:hAnsi="Cambria" w:cs="Cambria"/>
          </w:rPr>
          <m:t>⌊</m:t>
        </m:r>
        <m:r>
          <m:rPr>
            <m:nor/>
            <m:sty m:val="p"/>
          </m:rPr>
          <w:rPr>
            <w:rFonts w:cs="Times New Roman"/>
          </w:rPr>
          <m:t>L/k</m:t>
        </m:r>
        <m:r>
          <m:rPr>
            <m:nor/>
            <m:sty m:val="p"/>
          </m:rPr>
          <w:rPr>
            <w:rFonts w:ascii="Cambria" w:hAnsi="Cambria" w:cs="Cambria"/>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rPr>
                  <m:t>N</m:t>
                </m:r>
                <m:ctrlPr>
                  <w:rPr>
                    <w:rFonts w:ascii="Cambria Math" w:hAnsi="Cambria Math" w:cs="Times New Roman"/>
                  </w:rPr>
                </m:ctrlPr>
              </m:e>
              <m:sub>
                <m:r>
                  <m:rPr>
                    <m:nor/>
                    <m:sty m:val="p"/>
                  </m:rPr>
                  <w:rPr>
                    <w:rFonts w:cs="Times New Roman"/>
                  </w:rPr>
                  <m:t>k</m:t>
                </m:r>
                <m:ctrlPr>
                  <w:rPr>
                    <w:rFonts w:ascii="Cambria Math" w:hAnsi="Cambria Math" w:cs="Times New Roman"/>
                  </w:rPr>
                </m:ctrlPr>
              </m:sub>
            </m:sSub>
            <m:ctrlPr>
              <w:rPr>
                <w:rFonts w:ascii="Cambria Math" w:hAnsi="Cambria Math" w:cs="Times New Roman"/>
              </w:rPr>
            </m:ctrlPr>
          </m:e>
        </m:nary>
        <m:r>
          <m:rPr>
            <m:nor/>
            <m:sty m:val="p"/>
          </m:rPr>
          <w:rPr>
            <w:rFonts w:cs="Times New Roman"/>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0D496C1">
      <w:pPr>
        <w:numPr>
          <w:ilvl w:val="0"/>
          <w:numId w:val="13"/>
        </w:numPr>
        <w:ind w:firstLine="480"/>
      </w:pPr>
      <w:r>
        <w:rPr>
          <w:rFonts w:hint="eastAsia"/>
        </w:rPr>
        <w:t>融合分类层</w:t>
      </w:r>
    </w:p>
    <w:p w14:paraId="56A84CCB">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rPr>
              <m:t>v</m:t>
            </m:r>
            <m:ctrlPr>
              <w:rPr>
                <w:rFonts w:ascii="Cambria Math" w:hAnsi="Cambria Math" w:cs="Times New Roman"/>
              </w:rPr>
            </m:ctrlPr>
          </m:e>
          <m:sub>
            <m:r>
              <m:rPr>
                <m:nor/>
                <m:sty m:val="p"/>
              </m:rPr>
              <w:rPr>
                <w:rFonts w:cs="Times New Roman"/>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rPr>
              <m:t>v</m:t>
            </m:r>
            <m:ctrlPr>
              <w:rPr>
                <w:rFonts w:ascii="Cambria Math" w:hAnsi="Cambria Math" w:cs="Times New Roman"/>
              </w:rPr>
            </m:ctrlPr>
          </m:e>
          <m:sub>
            <m:r>
              <m:rPr>
                <m:nor/>
                <m:sty m:val="p"/>
              </m:rPr>
              <w:rPr>
                <w:rFonts w:cs="Times New Roman"/>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rPr>
              <m:t>v</m:t>
            </m:r>
            <m:ctrlPr>
              <w:rPr>
                <w:rFonts w:ascii="Cambria Math" w:hAnsi="Cambria Math" w:cs="Times New Roman"/>
              </w:rPr>
            </m:ctrlPr>
          </m:e>
          <m:sub>
            <m:r>
              <m:rPr>
                <m:nor/>
                <m:sty m:val="p"/>
              </m:rPr>
              <w:rPr>
                <w:rFonts w:cs="Times New Roman"/>
              </w:rPr>
              <m:t>fusion</m:t>
            </m:r>
            <m:ctrlPr>
              <w:rPr>
                <w:rFonts w:ascii="Cambria Math" w:hAnsi="Cambria Math" w:cs="Times New Roman"/>
              </w:rPr>
            </m:ctrlPr>
          </m:sub>
        </m:sSub>
      </m:oMath>
      <w:r>
        <w:rPr>
          <w:rFonts w:hint="eastAsia"/>
        </w:rPr>
        <w:t>，为以提高模型鲁棒性，本文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1196EA0E">
      <w:pPr>
        <w:ind w:firstLine="480"/>
      </w:pPr>
      <w:r>
        <w:rPr>
          <w:rFonts w:hint="eastAsia"/>
        </w:rPr>
        <w:t>为了使模型可以学到医疗专利文本深层次信息并且有较好鲁棒性，本文设计了合理的数据集切分方法、损失函数优化方式及参数更新规则等。</w:t>
      </w:r>
    </w:p>
    <w:p w14:paraId="659DDA8C">
      <w:pPr>
        <w:numPr>
          <w:ilvl w:val="0"/>
          <w:numId w:val="14"/>
        </w:numPr>
        <w:ind w:firstLine="480"/>
      </w:pPr>
      <w:r>
        <w:t>数据集划分</w:t>
      </w:r>
    </w:p>
    <w:p w14:paraId="73D6274A">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79AE3A70">
      <w:pPr>
        <w:numPr>
          <w:ilvl w:val="0"/>
          <w:numId w:val="14"/>
        </w:numPr>
        <w:ind w:firstLine="480"/>
      </w:pPr>
      <w:r>
        <w:t>损失函数设计</w:t>
      </w:r>
    </w:p>
    <w:p w14:paraId="2C04E4EF">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52CF5D3F">
      <w:pPr>
        <w:numPr>
          <w:ilvl w:val="0"/>
          <w:numId w:val="14"/>
        </w:numPr>
        <w:ind w:firstLine="480"/>
      </w:pPr>
      <w:r>
        <w:t>优化器与学习率调度</w:t>
      </w:r>
    </w:p>
    <w:p w14:paraId="78390B1B">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rPr>
          <m:t>5×1</m:t>
        </m:r>
        <m:sSup>
          <m:sSupPr>
            <m:ctrlPr>
              <w:rPr>
                <w:rFonts w:ascii="Cambria Math" w:hAnsi="Cambria Math" w:cs="Times New Roman"/>
              </w:rPr>
            </m:ctrlPr>
          </m:sSupPr>
          <m:e>
            <m:r>
              <m:rPr>
                <m:nor/>
                <m:sty m:val="p"/>
              </m:rPr>
              <w:rPr>
                <w:rFonts w:cs="Times New Roman"/>
              </w:rPr>
              <m:t>0</m:t>
            </m:r>
            <m:ctrlPr>
              <w:rPr>
                <w:rFonts w:ascii="Cambria Math" w:hAnsi="Cambria Math" w:cs="Times New Roman"/>
              </w:rPr>
            </m:ctrlPr>
          </m:e>
          <m:sup>
            <m:r>
              <m:rPr>
                <m:nor/>
                <m:sty m:val="p"/>
              </m:rPr>
              <w:rPr>
                <w:rFonts w:cs="Times New Roman"/>
              </w:rPr>
              <m:t>-5</m:t>
            </m:r>
            <m:ctrlPr>
              <w:rPr>
                <w:rFonts w:ascii="Cambria Math" w:hAnsi="Cambria Math" w:cs="Times New Roman"/>
              </w:rPr>
            </m:ctrlPr>
          </m:sup>
        </m:sSup>
      </m:oMath>
      <w:r>
        <w:t>，权重衰减系数为</w:t>
      </w:r>
      <m:oMath>
        <m:r>
          <m:rPr>
            <m:nor/>
            <m:sty m:val="p"/>
          </m:rPr>
          <w:rPr>
            <w:rFonts w:cs="Times New Roman"/>
          </w:rPr>
          <m:t>1×1</m:t>
        </m:r>
        <m:sSup>
          <m:sSupPr>
            <m:ctrlPr>
              <w:rPr>
                <w:rFonts w:ascii="Cambria Math" w:hAnsi="Cambria Math" w:cs="Times New Roman"/>
              </w:rPr>
            </m:ctrlPr>
          </m:sSupPr>
          <m:e>
            <m:r>
              <m:rPr>
                <m:nor/>
                <m:sty m:val="p"/>
              </m:rPr>
              <w:rPr>
                <w:rFonts w:cs="Times New Roman"/>
              </w:rPr>
              <m:t>0</m:t>
            </m:r>
            <m:ctrlPr>
              <w:rPr>
                <w:rFonts w:ascii="Cambria Math" w:hAnsi="Cambria Math" w:cs="Times New Roman"/>
              </w:rPr>
            </m:ctrlPr>
          </m:e>
          <m:sup>
            <m:r>
              <m:rPr>
                <m:nor/>
                <m:sty m:val="p"/>
              </m:rPr>
              <w:rPr>
                <w:rFonts w:cs="Times New Roman"/>
              </w:rPr>
              <m:t>-3</m:t>
            </m:r>
            <m:ctrlPr>
              <w:rPr>
                <w:rFonts w:ascii="Cambria Math" w:hAnsi="Cambria Math" w:cs="Times New Roman"/>
              </w:rPr>
            </m:ctrlPr>
          </m:sup>
        </m:sSup>
      </m:oMath>
      <w:r>
        <w:t>。</w:t>
      </w:r>
      <w:r>
        <w:rPr>
          <w:rFonts w:hint="eastAsia"/>
        </w:rPr>
        <w:t>另外，为了使模型从局部最优解中跳出来并且找到更好的全局最优解，本文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rPr>
          <m:t>Factor=0.5</m:t>
        </m:r>
      </m:oMath>
      <w:r>
        <w:t>。</w:t>
      </w:r>
      <w:r>
        <w:rPr>
          <w:rFonts w:hint="eastAsia"/>
        </w:rPr>
        <w:t>这样可以在一开始让模型迅速下降同时也可以后期更精确地微调参数</w:t>
      </w:r>
      <w:r>
        <w:t>。</w:t>
      </w:r>
    </w:p>
    <w:p w14:paraId="3F6C071D">
      <w:pPr>
        <w:pStyle w:val="3"/>
        <w:numPr>
          <w:ilvl w:val="1"/>
          <w:numId w:val="1"/>
        </w:numPr>
        <w:tabs>
          <w:tab w:val="clear" w:pos="420"/>
        </w:tabs>
      </w:pPr>
      <w:bookmarkStart w:id="187" w:name="_Toc216114515"/>
      <w:bookmarkStart w:id="188" w:name="_Toc229086898"/>
      <w:bookmarkStart w:id="189" w:name="_Toc28669"/>
      <w:r>
        <w:rPr>
          <w:rFonts w:hint="eastAsia"/>
        </w:rPr>
        <w:t>分类模型评估</w:t>
      </w:r>
      <w:bookmarkEnd w:id="187"/>
      <w:bookmarkEnd w:id="188"/>
      <w:bookmarkEnd w:id="189"/>
    </w:p>
    <w:p w14:paraId="2E59CA90">
      <w:pPr>
        <w:pStyle w:val="4"/>
        <w:numPr>
          <w:ilvl w:val="2"/>
          <w:numId w:val="1"/>
        </w:numPr>
      </w:pPr>
      <w:bookmarkStart w:id="190" w:name="_Toc229086899"/>
      <w:bookmarkStart w:id="191" w:name="_Toc216114516"/>
      <w:bookmarkStart w:id="192" w:name="_Toc25617"/>
      <w:r>
        <w:rPr>
          <w:rFonts w:hint="eastAsia"/>
        </w:rPr>
        <w:t>模型对比实验</w:t>
      </w:r>
      <w:bookmarkEnd w:id="190"/>
      <w:bookmarkEnd w:id="191"/>
      <w:bookmarkEnd w:id="192"/>
    </w:p>
    <w:p w14:paraId="45BCC6C9">
      <w:pPr>
        <w:ind w:firstLine="480"/>
        <w:rPr>
          <w:highlight w:val="yellow"/>
        </w:rPr>
      </w:pPr>
      <w:r>
        <w:rPr>
          <w:rFonts w:hint="eastAsia"/>
          <w:highlight w:val="yellow"/>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w:t>
      </w:r>
      <w:r>
        <w:rPr>
          <w:rStyle w:val="33"/>
          <w:rFonts w:hint="eastAsia"/>
          <w:highlight w:val="yellow"/>
        </w:rPr>
        <w:t>[54]</w:t>
      </w:r>
      <w:r>
        <w:rPr>
          <w:rFonts w:hint="eastAsia"/>
          <w:highlight w:val="yellow"/>
        </w:rPr>
        <w:t>、PatentSBERTa</w:t>
      </w:r>
      <w:r>
        <w:rPr>
          <w:rStyle w:val="33"/>
          <w:rFonts w:hint="eastAsia"/>
          <w:highlight w:val="yellow"/>
        </w:rPr>
        <w:t>[27]</w:t>
      </w:r>
      <w:r>
        <w:rPr>
          <w:rFonts w:hint="eastAsia"/>
          <w:highlight w:val="yellow"/>
        </w:rPr>
        <w:t>、PaECTER</w:t>
      </w:r>
      <w:r>
        <w:rPr>
          <w:rStyle w:val="33"/>
          <w:rFonts w:hint="eastAsia"/>
          <w:highlight w:val="yellow"/>
        </w:rPr>
        <w:t>[33]</w:t>
      </w:r>
      <w:r>
        <w:rPr>
          <w:rFonts w:hint="eastAsia"/>
          <w:highlight w:val="yellow"/>
        </w:rPr>
        <w:t>和RAMHA</w:t>
      </w:r>
      <w:r>
        <w:rPr>
          <w:rStyle w:val="33"/>
          <w:rFonts w:hint="eastAsia"/>
          <w:highlight w:val="yellow"/>
        </w:rPr>
        <w:t>[34]</w:t>
      </w:r>
      <w:r>
        <w:rPr>
          <w:rFonts w:hint="eastAsia"/>
          <w:highlight w:val="yellow"/>
        </w:rPr>
        <w:t>。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7622EA01">
      <w:pPr>
        <w:ind w:firstLine="480"/>
        <w:rPr>
          <w:highlight w:val="yellow"/>
        </w:rPr>
      </w:pPr>
      <w:r>
        <w:rPr>
          <w:rFonts w:hint="eastAsia"/>
          <w:highlight w:val="yellow"/>
        </w:rPr>
        <w:t>为保证比较过程尽量公平，上述模型均在本文构建的数据集上重新训练或微调，训练集、验证集、测试集划分保持一致，主要训练参数也与本文模型保持一致。实验结果见表4-1。</w:t>
      </w:r>
    </w:p>
    <w:p w14:paraId="3478122A">
      <w:pPr>
        <w:pStyle w:val="25"/>
        <w:rPr>
          <w:rFonts w:hint="default"/>
          <w:highlight w:val="yellow"/>
        </w:rPr>
      </w:pPr>
      <w:r>
        <w:rPr>
          <w:highlight w:val="yellow"/>
        </w:rPr>
        <w:t>表4-1  模型对比</w:t>
      </w:r>
    </w:p>
    <w:tbl>
      <w:tblPr>
        <w:tblStyle w:val="15"/>
        <w:tblW w:w="4998" w:type="pct"/>
        <w:tblInd w:w="0" w:type="dxa"/>
        <w:tblLayout w:type="autofit"/>
        <w:tblCellMar>
          <w:top w:w="0" w:type="dxa"/>
          <w:left w:w="108" w:type="dxa"/>
          <w:bottom w:w="0" w:type="dxa"/>
          <w:right w:w="108" w:type="dxa"/>
        </w:tblCellMar>
      </w:tblPr>
      <w:tblGrid>
        <w:gridCol w:w="2285"/>
        <w:gridCol w:w="1454"/>
        <w:gridCol w:w="2211"/>
        <w:gridCol w:w="2569"/>
      </w:tblGrid>
      <w:tr w14:paraId="5F0EADFF">
        <w:tblPrEx>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7D5D9B03">
            <w:pPr>
              <w:pStyle w:val="26"/>
              <w:rPr>
                <w:rFonts w:hint="default"/>
                <w:highlight w:val="yellow"/>
              </w:rPr>
            </w:pPr>
            <w:r>
              <w:rPr>
                <w:rFonts w:hint="default"/>
                <w:highlight w:val="yellow"/>
              </w:rPr>
              <w:t>模型</w:t>
            </w:r>
          </w:p>
        </w:tc>
        <w:tc>
          <w:tcPr>
            <w:tcW w:w="853" w:type="pct"/>
            <w:tcBorders>
              <w:top w:val="single" w:color="auto" w:sz="8" w:space="0"/>
              <w:left w:val="nil"/>
              <w:bottom w:val="single" w:color="auto" w:sz="6" w:space="0"/>
              <w:right w:val="nil"/>
            </w:tcBorders>
            <w:shd w:val="clear" w:color="auto" w:fill="FFFFFF"/>
            <w:vAlign w:val="center"/>
          </w:tcPr>
          <w:p w14:paraId="0B10C66B">
            <w:pPr>
              <w:pStyle w:val="26"/>
              <w:rPr>
                <w:rFonts w:hint="default"/>
                <w:highlight w:val="yellow"/>
              </w:rPr>
            </w:pPr>
            <w:r>
              <w:rPr>
                <w:rFonts w:hint="default"/>
                <w:highlight w:val="yellow"/>
              </w:rPr>
              <w:t>Accuracy</w:t>
            </w:r>
          </w:p>
        </w:tc>
        <w:tc>
          <w:tcPr>
            <w:tcW w:w="1297" w:type="pct"/>
            <w:tcBorders>
              <w:top w:val="single" w:color="auto" w:sz="8" w:space="0"/>
              <w:left w:val="nil"/>
              <w:bottom w:val="single" w:color="auto" w:sz="6" w:space="0"/>
              <w:right w:val="nil"/>
            </w:tcBorders>
            <w:shd w:val="clear" w:color="auto" w:fill="FFFFFF"/>
            <w:vAlign w:val="center"/>
          </w:tcPr>
          <w:p w14:paraId="1D98A1F5">
            <w:pPr>
              <w:pStyle w:val="26"/>
              <w:rPr>
                <w:rFonts w:hint="default"/>
                <w:highlight w:val="yellow"/>
              </w:rPr>
            </w:pPr>
            <w:r>
              <w:rPr>
                <w:rFonts w:hint="default"/>
                <w:highlight w:val="yellow"/>
              </w:rPr>
              <w:t>Macro F1-score</w:t>
            </w:r>
          </w:p>
        </w:tc>
        <w:tc>
          <w:tcPr>
            <w:tcW w:w="1507" w:type="pct"/>
            <w:tcBorders>
              <w:top w:val="single" w:color="auto" w:sz="8" w:space="0"/>
              <w:left w:val="nil"/>
              <w:bottom w:val="single" w:color="auto" w:sz="6" w:space="0"/>
              <w:right w:val="nil"/>
            </w:tcBorders>
            <w:shd w:val="clear" w:color="auto" w:fill="FFFFFF"/>
            <w:vAlign w:val="center"/>
          </w:tcPr>
          <w:p w14:paraId="0389F87E">
            <w:pPr>
              <w:pStyle w:val="26"/>
              <w:rPr>
                <w:rFonts w:hint="default"/>
                <w:highlight w:val="yellow"/>
              </w:rPr>
            </w:pPr>
            <w:r>
              <w:rPr>
                <w:rFonts w:hint="default"/>
                <w:highlight w:val="yellow"/>
              </w:rPr>
              <w:t>Weighted F1-score</w:t>
            </w:r>
          </w:p>
        </w:tc>
      </w:tr>
      <w:tr w14:paraId="7AABF651">
        <w:tblPrEx>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tcPr>
          <w:p w14:paraId="513600A1">
            <w:pPr>
              <w:pStyle w:val="26"/>
              <w:rPr>
                <w:rFonts w:hint="default"/>
                <w:highlight w:val="yellow"/>
              </w:rPr>
            </w:pPr>
            <w:r>
              <w:rPr>
                <w:rFonts w:hint="default"/>
                <w:highlight w:val="yellow"/>
              </w:rPr>
              <w:t>KNN</w:t>
            </w:r>
          </w:p>
        </w:tc>
        <w:tc>
          <w:tcPr>
            <w:tcW w:w="853" w:type="pct"/>
            <w:tcBorders>
              <w:top w:val="single" w:color="auto" w:sz="6" w:space="0"/>
              <w:left w:val="nil"/>
              <w:bottom w:val="nil"/>
              <w:right w:val="nil"/>
            </w:tcBorders>
            <w:shd w:val="clear" w:color="auto" w:fill="FFFFFF"/>
          </w:tcPr>
          <w:p w14:paraId="1FC2F708">
            <w:pPr>
              <w:pStyle w:val="26"/>
              <w:rPr>
                <w:rFonts w:hint="default"/>
                <w:highlight w:val="yellow"/>
              </w:rPr>
            </w:pPr>
            <w:r>
              <w:rPr>
                <w:highlight w:val="yellow"/>
              </w:rPr>
              <w:t>0.8942</w:t>
            </w:r>
          </w:p>
        </w:tc>
        <w:tc>
          <w:tcPr>
            <w:tcW w:w="1297" w:type="pct"/>
            <w:tcBorders>
              <w:top w:val="single" w:color="auto" w:sz="6" w:space="0"/>
              <w:left w:val="nil"/>
              <w:bottom w:val="nil"/>
              <w:right w:val="nil"/>
            </w:tcBorders>
            <w:shd w:val="clear" w:color="auto" w:fill="FFFFFF"/>
          </w:tcPr>
          <w:p w14:paraId="158BBFE1">
            <w:pPr>
              <w:pStyle w:val="26"/>
              <w:rPr>
                <w:rFonts w:hint="default"/>
                <w:highlight w:val="yellow"/>
              </w:rPr>
            </w:pPr>
            <w:r>
              <w:rPr>
                <w:rFonts w:hint="default"/>
                <w:highlight w:val="yellow"/>
              </w:rPr>
              <w:t>0.</w:t>
            </w:r>
            <w:r>
              <w:rPr>
                <w:highlight w:val="yellow"/>
              </w:rPr>
              <w:t>7461</w:t>
            </w:r>
          </w:p>
        </w:tc>
        <w:tc>
          <w:tcPr>
            <w:tcW w:w="1507" w:type="pct"/>
            <w:tcBorders>
              <w:top w:val="single" w:color="auto" w:sz="6" w:space="0"/>
              <w:left w:val="nil"/>
              <w:bottom w:val="nil"/>
              <w:right w:val="nil"/>
            </w:tcBorders>
            <w:shd w:val="clear" w:color="auto" w:fill="FFFFFF"/>
          </w:tcPr>
          <w:p w14:paraId="2D4CE9A4">
            <w:pPr>
              <w:pStyle w:val="26"/>
              <w:rPr>
                <w:rFonts w:hint="default"/>
                <w:highlight w:val="yellow"/>
              </w:rPr>
            </w:pPr>
            <w:r>
              <w:rPr>
                <w:highlight w:val="yellow"/>
              </w:rPr>
              <w:t>0.8884</w:t>
            </w:r>
          </w:p>
        </w:tc>
      </w:tr>
      <w:tr w14:paraId="716FA417">
        <w:tblPrEx>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tcPr>
          <w:p w14:paraId="3215750B">
            <w:pPr>
              <w:pStyle w:val="26"/>
              <w:rPr>
                <w:rFonts w:hint="default"/>
                <w:highlight w:val="yellow"/>
              </w:rPr>
            </w:pPr>
            <w:r>
              <w:rPr>
                <w:rFonts w:hint="default"/>
                <w:highlight w:val="yellow"/>
              </w:rPr>
              <w:t>DeepPatent</w:t>
            </w:r>
          </w:p>
        </w:tc>
        <w:tc>
          <w:tcPr>
            <w:tcW w:w="853" w:type="pct"/>
            <w:tcBorders>
              <w:top w:val="nil"/>
              <w:left w:val="nil"/>
              <w:bottom w:val="nil"/>
              <w:right w:val="nil"/>
            </w:tcBorders>
            <w:shd w:val="clear" w:color="auto" w:fill="FFFFFF"/>
          </w:tcPr>
          <w:p w14:paraId="7C37E4F5">
            <w:pPr>
              <w:pStyle w:val="26"/>
              <w:rPr>
                <w:rFonts w:hint="default"/>
                <w:highlight w:val="yellow"/>
              </w:rPr>
            </w:pPr>
            <w:r>
              <w:rPr>
                <w:rFonts w:hint="default"/>
                <w:highlight w:val="yellow"/>
              </w:rPr>
              <w:t>0.8945</w:t>
            </w:r>
          </w:p>
        </w:tc>
        <w:tc>
          <w:tcPr>
            <w:tcW w:w="1297" w:type="pct"/>
            <w:tcBorders>
              <w:top w:val="nil"/>
              <w:left w:val="nil"/>
              <w:bottom w:val="nil"/>
              <w:right w:val="nil"/>
            </w:tcBorders>
            <w:shd w:val="clear" w:color="auto" w:fill="FFFFFF"/>
          </w:tcPr>
          <w:p w14:paraId="07579387">
            <w:pPr>
              <w:pStyle w:val="26"/>
              <w:rPr>
                <w:rFonts w:hint="default"/>
                <w:highlight w:val="yellow"/>
              </w:rPr>
            </w:pPr>
            <w:r>
              <w:rPr>
                <w:rFonts w:hint="default"/>
                <w:highlight w:val="yellow"/>
              </w:rPr>
              <w:t>0.7951</w:t>
            </w:r>
          </w:p>
        </w:tc>
        <w:tc>
          <w:tcPr>
            <w:tcW w:w="1507" w:type="pct"/>
            <w:tcBorders>
              <w:top w:val="nil"/>
              <w:left w:val="nil"/>
              <w:bottom w:val="nil"/>
              <w:right w:val="nil"/>
            </w:tcBorders>
            <w:shd w:val="clear" w:color="auto" w:fill="FFFFFF"/>
          </w:tcPr>
          <w:p w14:paraId="45C353B8">
            <w:pPr>
              <w:pStyle w:val="26"/>
              <w:rPr>
                <w:rFonts w:hint="default"/>
                <w:highlight w:val="yellow"/>
              </w:rPr>
            </w:pPr>
            <w:r>
              <w:rPr>
                <w:rFonts w:hint="default"/>
                <w:highlight w:val="yellow"/>
              </w:rPr>
              <w:t>0.891</w:t>
            </w:r>
            <w:r>
              <w:rPr>
                <w:highlight w:val="yellow"/>
              </w:rPr>
              <w:t>0</w:t>
            </w:r>
          </w:p>
        </w:tc>
      </w:tr>
      <w:tr w14:paraId="14D5BECF">
        <w:tblPrEx>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tcPr>
          <w:p w14:paraId="62F6F5EC">
            <w:pPr>
              <w:pStyle w:val="26"/>
              <w:rPr>
                <w:rFonts w:hint="default"/>
                <w:highlight w:val="yellow"/>
              </w:rPr>
            </w:pPr>
            <w:r>
              <w:rPr>
                <w:rFonts w:hint="default"/>
                <w:highlight w:val="yellow"/>
              </w:rPr>
              <w:t>PatentSBERTa</w:t>
            </w:r>
          </w:p>
        </w:tc>
        <w:tc>
          <w:tcPr>
            <w:tcW w:w="853" w:type="pct"/>
            <w:tcBorders>
              <w:top w:val="nil"/>
              <w:left w:val="nil"/>
              <w:bottom w:val="nil"/>
              <w:right w:val="nil"/>
            </w:tcBorders>
            <w:shd w:val="clear" w:color="auto" w:fill="FFFFFF"/>
          </w:tcPr>
          <w:p w14:paraId="37454A68">
            <w:pPr>
              <w:pStyle w:val="26"/>
              <w:rPr>
                <w:rFonts w:hint="default"/>
                <w:highlight w:val="yellow"/>
              </w:rPr>
            </w:pPr>
            <w:r>
              <w:rPr>
                <w:rFonts w:hint="default"/>
                <w:highlight w:val="yellow"/>
              </w:rPr>
              <w:t>0.9128</w:t>
            </w:r>
          </w:p>
        </w:tc>
        <w:tc>
          <w:tcPr>
            <w:tcW w:w="1297" w:type="pct"/>
            <w:tcBorders>
              <w:top w:val="nil"/>
              <w:left w:val="nil"/>
              <w:bottom w:val="nil"/>
              <w:right w:val="nil"/>
            </w:tcBorders>
            <w:shd w:val="clear" w:color="auto" w:fill="FFFFFF"/>
          </w:tcPr>
          <w:p w14:paraId="7844524B">
            <w:pPr>
              <w:pStyle w:val="26"/>
              <w:rPr>
                <w:rFonts w:hint="default"/>
                <w:highlight w:val="yellow"/>
              </w:rPr>
            </w:pPr>
            <w:r>
              <w:rPr>
                <w:rFonts w:hint="default"/>
                <w:highlight w:val="yellow"/>
              </w:rPr>
              <w:t>0.843</w:t>
            </w:r>
            <w:r>
              <w:rPr>
                <w:highlight w:val="yellow"/>
              </w:rPr>
              <w:t>0</w:t>
            </w:r>
          </w:p>
        </w:tc>
        <w:tc>
          <w:tcPr>
            <w:tcW w:w="1507" w:type="pct"/>
            <w:tcBorders>
              <w:top w:val="nil"/>
              <w:left w:val="nil"/>
              <w:bottom w:val="nil"/>
              <w:right w:val="nil"/>
            </w:tcBorders>
            <w:shd w:val="clear" w:color="auto" w:fill="FFFFFF"/>
          </w:tcPr>
          <w:p w14:paraId="7015F144">
            <w:pPr>
              <w:pStyle w:val="26"/>
              <w:rPr>
                <w:rFonts w:hint="default"/>
                <w:highlight w:val="yellow"/>
              </w:rPr>
            </w:pPr>
            <w:r>
              <w:rPr>
                <w:rFonts w:hint="default"/>
                <w:highlight w:val="yellow"/>
              </w:rPr>
              <w:t>0.9121</w:t>
            </w:r>
          </w:p>
        </w:tc>
      </w:tr>
      <w:tr w14:paraId="05CF1F09">
        <w:tblPrEx>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tcPr>
          <w:p w14:paraId="6705BD79">
            <w:pPr>
              <w:pStyle w:val="26"/>
              <w:rPr>
                <w:rFonts w:hint="default"/>
                <w:highlight w:val="yellow"/>
              </w:rPr>
            </w:pPr>
            <w:r>
              <w:rPr>
                <w:rFonts w:hint="default"/>
                <w:highlight w:val="yellow"/>
              </w:rPr>
              <w:t>PaECTER</w:t>
            </w:r>
          </w:p>
        </w:tc>
        <w:tc>
          <w:tcPr>
            <w:tcW w:w="853" w:type="pct"/>
            <w:tcBorders>
              <w:top w:val="nil"/>
              <w:left w:val="nil"/>
              <w:bottom w:val="nil"/>
              <w:right w:val="nil"/>
            </w:tcBorders>
            <w:shd w:val="clear" w:color="auto" w:fill="FFFFFF"/>
          </w:tcPr>
          <w:p w14:paraId="6242C696">
            <w:pPr>
              <w:pStyle w:val="26"/>
              <w:rPr>
                <w:rFonts w:hint="default"/>
                <w:highlight w:val="yellow"/>
              </w:rPr>
            </w:pPr>
            <w:r>
              <w:rPr>
                <w:rFonts w:hint="default"/>
                <w:highlight w:val="yellow"/>
              </w:rPr>
              <w:t>0.9217</w:t>
            </w:r>
          </w:p>
        </w:tc>
        <w:tc>
          <w:tcPr>
            <w:tcW w:w="1297" w:type="pct"/>
            <w:tcBorders>
              <w:top w:val="nil"/>
              <w:left w:val="nil"/>
              <w:bottom w:val="nil"/>
              <w:right w:val="nil"/>
            </w:tcBorders>
            <w:shd w:val="clear" w:color="auto" w:fill="FFFFFF"/>
          </w:tcPr>
          <w:p w14:paraId="36C95D75">
            <w:pPr>
              <w:pStyle w:val="26"/>
              <w:rPr>
                <w:rFonts w:hint="default"/>
                <w:highlight w:val="yellow"/>
              </w:rPr>
            </w:pPr>
            <w:r>
              <w:rPr>
                <w:rFonts w:hint="default"/>
                <w:highlight w:val="yellow"/>
              </w:rPr>
              <w:t>0.8572</w:t>
            </w:r>
          </w:p>
        </w:tc>
        <w:tc>
          <w:tcPr>
            <w:tcW w:w="1507" w:type="pct"/>
            <w:tcBorders>
              <w:top w:val="nil"/>
              <w:left w:val="nil"/>
              <w:bottom w:val="nil"/>
              <w:right w:val="nil"/>
            </w:tcBorders>
            <w:shd w:val="clear" w:color="auto" w:fill="FFFFFF"/>
          </w:tcPr>
          <w:p w14:paraId="661319BC">
            <w:pPr>
              <w:pStyle w:val="26"/>
              <w:rPr>
                <w:rFonts w:hint="default"/>
                <w:highlight w:val="yellow"/>
              </w:rPr>
            </w:pPr>
            <w:r>
              <w:rPr>
                <w:rFonts w:hint="default"/>
                <w:highlight w:val="yellow"/>
              </w:rPr>
              <w:t>0.921</w:t>
            </w:r>
            <w:r>
              <w:rPr>
                <w:highlight w:val="yellow"/>
              </w:rPr>
              <w:t>0</w:t>
            </w:r>
          </w:p>
        </w:tc>
      </w:tr>
      <w:tr w14:paraId="4DDBC96F">
        <w:tblPrEx>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tcPr>
          <w:p w14:paraId="75E658A9">
            <w:pPr>
              <w:pStyle w:val="26"/>
              <w:rPr>
                <w:rFonts w:hint="default"/>
                <w:highlight w:val="yellow"/>
              </w:rPr>
            </w:pPr>
            <w:r>
              <w:rPr>
                <w:rFonts w:hint="default"/>
                <w:highlight w:val="yellow"/>
              </w:rPr>
              <w:t>RAMHA</w:t>
            </w:r>
          </w:p>
        </w:tc>
        <w:tc>
          <w:tcPr>
            <w:tcW w:w="853" w:type="pct"/>
            <w:tcBorders>
              <w:top w:val="nil"/>
              <w:left w:val="nil"/>
              <w:bottom w:val="nil"/>
              <w:right w:val="nil"/>
            </w:tcBorders>
            <w:shd w:val="clear" w:color="auto" w:fill="FFFFFF"/>
          </w:tcPr>
          <w:p w14:paraId="20E434AC">
            <w:pPr>
              <w:pStyle w:val="26"/>
              <w:rPr>
                <w:rFonts w:hint="default"/>
                <w:highlight w:val="yellow"/>
              </w:rPr>
            </w:pPr>
            <w:r>
              <w:rPr>
                <w:rFonts w:hint="default"/>
                <w:highlight w:val="yellow"/>
              </w:rPr>
              <w:t>0.9232</w:t>
            </w:r>
          </w:p>
        </w:tc>
        <w:tc>
          <w:tcPr>
            <w:tcW w:w="1297" w:type="pct"/>
            <w:tcBorders>
              <w:top w:val="nil"/>
              <w:left w:val="nil"/>
              <w:bottom w:val="nil"/>
              <w:right w:val="nil"/>
            </w:tcBorders>
            <w:shd w:val="clear" w:color="auto" w:fill="FFFFFF"/>
          </w:tcPr>
          <w:p w14:paraId="6DC565E6">
            <w:pPr>
              <w:pStyle w:val="26"/>
              <w:rPr>
                <w:rFonts w:hint="default"/>
                <w:highlight w:val="yellow"/>
              </w:rPr>
            </w:pPr>
            <w:r>
              <w:rPr>
                <w:rFonts w:hint="default"/>
                <w:highlight w:val="yellow"/>
              </w:rPr>
              <w:t>0.8655</w:t>
            </w:r>
          </w:p>
        </w:tc>
        <w:tc>
          <w:tcPr>
            <w:tcW w:w="1507" w:type="pct"/>
            <w:tcBorders>
              <w:top w:val="nil"/>
              <w:left w:val="nil"/>
              <w:bottom w:val="nil"/>
              <w:right w:val="nil"/>
            </w:tcBorders>
            <w:shd w:val="clear" w:color="auto" w:fill="FFFFFF"/>
          </w:tcPr>
          <w:p w14:paraId="48E32A55">
            <w:pPr>
              <w:pStyle w:val="26"/>
              <w:rPr>
                <w:rFonts w:hint="default"/>
                <w:highlight w:val="yellow"/>
              </w:rPr>
            </w:pPr>
            <w:r>
              <w:rPr>
                <w:rFonts w:hint="default"/>
                <w:highlight w:val="yellow"/>
              </w:rPr>
              <w:t>0.922</w:t>
            </w:r>
            <w:r>
              <w:rPr>
                <w:highlight w:val="yellow"/>
              </w:rPr>
              <w:t>0</w:t>
            </w:r>
          </w:p>
        </w:tc>
      </w:tr>
      <w:tr w14:paraId="389D666F">
        <w:tblPrEx>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tcPr>
          <w:p w14:paraId="03CB76E7">
            <w:pPr>
              <w:pStyle w:val="26"/>
              <w:rPr>
                <w:rFonts w:hint="default"/>
                <w:highlight w:val="yellow"/>
              </w:rPr>
            </w:pPr>
            <w:r>
              <w:rPr>
                <w:rFonts w:hint="default"/>
                <w:highlight w:val="yellow"/>
              </w:rPr>
              <w:t>BERT-TextCNN</w:t>
            </w:r>
          </w:p>
        </w:tc>
        <w:tc>
          <w:tcPr>
            <w:tcW w:w="853" w:type="pct"/>
            <w:tcBorders>
              <w:top w:val="nil"/>
              <w:left w:val="nil"/>
              <w:bottom w:val="single" w:color="auto" w:sz="8" w:space="0"/>
              <w:right w:val="nil"/>
            </w:tcBorders>
            <w:shd w:val="clear" w:color="auto" w:fill="FFFFFF"/>
          </w:tcPr>
          <w:p w14:paraId="2F9D2BA6">
            <w:pPr>
              <w:pStyle w:val="26"/>
              <w:rPr>
                <w:rFonts w:hint="default"/>
                <w:b/>
                <w:bCs/>
                <w:highlight w:val="yellow"/>
              </w:rPr>
            </w:pPr>
            <w:r>
              <w:rPr>
                <w:rFonts w:hint="default"/>
                <w:b/>
                <w:bCs/>
                <w:highlight w:val="yellow"/>
              </w:rPr>
              <w:t>0.9261</w:t>
            </w:r>
          </w:p>
        </w:tc>
        <w:tc>
          <w:tcPr>
            <w:tcW w:w="1297" w:type="pct"/>
            <w:tcBorders>
              <w:top w:val="nil"/>
              <w:left w:val="nil"/>
              <w:bottom w:val="single" w:color="auto" w:sz="8" w:space="0"/>
              <w:right w:val="nil"/>
            </w:tcBorders>
            <w:shd w:val="clear" w:color="auto" w:fill="FFFFFF"/>
          </w:tcPr>
          <w:p w14:paraId="3BA04DD5">
            <w:pPr>
              <w:pStyle w:val="26"/>
              <w:rPr>
                <w:rFonts w:hint="default"/>
                <w:b/>
                <w:bCs/>
                <w:highlight w:val="yellow"/>
              </w:rPr>
            </w:pPr>
            <w:r>
              <w:rPr>
                <w:rFonts w:hint="default"/>
                <w:b/>
                <w:bCs/>
                <w:highlight w:val="yellow"/>
              </w:rPr>
              <w:t>0.8792</w:t>
            </w:r>
          </w:p>
        </w:tc>
        <w:tc>
          <w:tcPr>
            <w:tcW w:w="1507" w:type="pct"/>
            <w:tcBorders>
              <w:top w:val="nil"/>
              <w:left w:val="nil"/>
              <w:bottom w:val="single" w:color="auto" w:sz="8" w:space="0"/>
              <w:right w:val="nil"/>
            </w:tcBorders>
            <w:shd w:val="clear" w:color="auto" w:fill="FFFFFF"/>
          </w:tcPr>
          <w:p w14:paraId="0FD6A5A5">
            <w:pPr>
              <w:pStyle w:val="26"/>
              <w:rPr>
                <w:rFonts w:hint="default"/>
                <w:b/>
                <w:bCs/>
                <w:highlight w:val="yellow"/>
              </w:rPr>
            </w:pPr>
            <w:r>
              <w:rPr>
                <w:rFonts w:hint="default"/>
                <w:b/>
                <w:bCs/>
                <w:highlight w:val="yellow"/>
              </w:rPr>
              <w:t>0.9249</w:t>
            </w:r>
          </w:p>
        </w:tc>
      </w:tr>
    </w:tbl>
    <w:p w14:paraId="096F92B5">
      <w:pPr>
        <w:ind w:firstLine="480"/>
      </w:pPr>
      <w:r>
        <w:rPr>
          <w:rFonts w:hint="eastAsia"/>
        </w:rPr>
        <w:t>表4-1结果显示，BERT-TextCNN在Accuracy、Macro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185BF030">
      <w:pPr>
        <w:ind w:firstLine="480"/>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1A1A3163">
      <w:pPr>
        <w:ind w:firstLine="480"/>
      </w:pPr>
      <w:r>
        <w:rPr>
          <w:rFonts w:hint="eastAsia"/>
        </w:rPr>
        <w:t>DeepPatent的Accuracy为0.8945，Macro F1-score为0.7951，在几组深度模型中最低。该结果可能与其模型结构有关，传统词嵌入与卷积网络可以捕捉局部词序模式，但面对中文专利摘要中较强的技术性表述时，对上下文关系的建模仍显不足。PatentSBERTa和PaECTER的表现优于DeepPatent，说明专利语料上的预训练表示对该任务确有帮助；但二者并未专门面向医疗器械分类目录进行结构适配，所以在小类召回上仍落后于本文模型，虽然差别不算悬殊，却足以说明模型适配有必要。</w:t>
      </w:r>
    </w:p>
    <w:p w14:paraId="79E57588">
      <w:pPr>
        <w:ind w:firstLine="480"/>
      </w:pPr>
      <w:r>
        <w:rPr>
          <w:rFonts w:hint="eastAsia"/>
        </w:rPr>
        <w:t>为了更好地了解模型对各类别进行分类以及错分的原因，本文绘制了BERT-TextCNN在测试集上的混淆矩阵，见下图4-4。</w:t>
      </w:r>
    </w:p>
    <w:p w14:paraId="72DAE90D">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532B814C">
      <w:pPr>
        <w:ind w:firstLine="0" w:firstLineChars="0"/>
      </w:pPr>
      <w:r>
        <w:rPr>
          <w:rFonts w:hint="eastAsia"/>
        </w:rPr>
        <w:drawing>
          <wp:inline distT="0" distB="0" distL="114300" distR="114300">
            <wp:extent cx="5290820" cy="4872355"/>
            <wp:effectExtent l="0" t="0" r="9525" b="698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rcRect t="2860" r="1617"/>
                    <a:stretch>
                      <a:fillRect/>
                    </a:stretch>
                  </pic:blipFill>
                  <pic:spPr>
                    <a:xfrm>
                      <a:off x="0" y="0"/>
                      <a:ext cx="5290820" cy="4872355"/>
                    </a:xfrm>
                    <a:prstGeom prst="rect">
                      <a:avLst/>
                    </a:prstGeom>
                  </pic:spPr>
                </pic:pic>
              </a:graphicData>
            </a:graphic>
          </wp:inline>
        </w:drawing>
      </w:r>
    </w:p>
    <w:p w14:paraId="470C17E7">
      <w:pPr>
        <w:pStyle w:val="25"/>
        <w:rPr>
          <w:rFonts w:hint="default"/>
        </w:rPr>
      </w:pPr>
      <w:r>
        <w:t>图4-4  BERT-TextCNN模型的混淆矩阵</w:t>
      </w:r>
    </w:p>
    <w:p w14:paraId="35FDC3D9">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634F27E2">
      <w:pPr>
        <w:ind w:firstLine="480"/>
      </w:pPr>
      <w:r>
        <w:rPr>
          <w:rFonts w:hint="eastAsia"/>
        </w:rPr>
        <w:t>“医用软件”与“医用诊察和监护器械”之间也存在一定混淆，其中有21个“医用软件”样本被划入“医用诊察和监护器械”。这与实际专利写法有关，许多软件类专利服务于监护、诊断或图像处理场景，摘要中常把算法、监测流程和设备端功能放在一起描述。当文本更强调使用场景而不是软件属性时，模型会更倾向于输出对应的器械类别。</w:t>
      </w:r>
    </w:p>
    <w:p w14:paraId="6EB9F0F3">
      <w:pPr>
        <w:ind w:firstLine="480"/>
      </w:pPr>
      <w:bookmarkStart w:id="193"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6E5D9109">
      <w:pPr>
        <w:ind w:firstLine="480"/>
      </w:pPr>
      <w:r>
        <w:rPr>
          <w:rFonts w:hint="eastAsia"/>
        </w:rPr>
        <w:t>总体来看，混淆矩阵与表4-1的指标相互印证，BERT-TextCNN在总体正确率上较高，在多数类别上也能保持稳定输出，但对于术语重叠度高、应用场景相互嵌套的类别仍存在一定错分。</w:t>
      </w:r>
    </w:p>
    <w:p w14:paraId="169202BA">
      <w:pPr>
        <w:pStyle w:val="25"/>
        <w:rPr>
          <w:rFonts w:hint="default"/>
        </w:rPr>
      </w:pPr>
      <w:r>
        <w:t>表4-2  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72FA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7A7F682B">
            <w:pPr>
              <w:pStyle w:val="26"/>
              <w:rPr>
                <w:rFonts w:hint="default"/>
              </w:rPr>
            </w:pPr>
            <w:r>
              <w:t>参数</w:t>
            </w:r>
          </w:p>
        </w:tc>
        <w:tc>
          <w:tcPr>
            <w:tcW w:w="4261" w:type="dxa"/>
            <w:tcBorders>
              <w:top w:val="single" w:color="auto" w:sz="8" w:space="0"/>
              <w:left w:val="nil"/>
              <w:bottom w:val="nil"/>
              <w:right w:val="nil"/>
            </w:tcBorders>
          </w:tcPr>
          <w:p w14:paraId="04CC2838">
            <w:pPr>
              <w:pStyle w:val="26"/>
              <w:rPr>
                <w:rFonts w:hint="default"/>
              </w:rPr>
            </w:pPr>
            <w:r>
              <w:t>值</w:t>
            </w:r>
          </w:p>
        </w:tc>
      </w:tr>
      <w:tr w14:paraId="0C8DB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9A8863C">
            <w:pPr>
              <w:pStyle w:val="26"/>
              <w:rPr>
                <w:rFonts w:hint="default"/>
              </w:rPr>
            </w:pPr>
            <w:r>
              <w:rPr>
                <w:rFonts w:hint="default"/>
              </w:rPr>
              <w:t>batch_size</w:t>
            </w:r>
          </w:p>
        </w:tc>
        <w:tc>
          <w:tcPr>
            <w:tcW w:w="4261" w:type="dxa"/>
            <w:tcBorders>
              <w:top w:val="nil"/>
              <w:left w:val="nil"/>
              <w:bottom w:val="nil"/>
              <w:right w:val="nil"/>
            </w:tcBorders>
          </w:tcPr>
          <w:p w14:paraId="01329513">
            <w:pPr>
              <w:pStyle w:val="26"/>
              <w:rPr>
                <w:rFonts w:hint="default"/>
              </w:rPr>
            </w:pPr>
            <w:r>
              <w:t>64</w:t>
            </w:r>
          </w:p>
        </w:tc>
      </w:tr>
      <w:tr w14:paraId="135E8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36F0655">
            <w:pPr>
              <w:pStyle w:val="26"/>
              <w:rPr>
                <w:rFonts w:hint="default"/>
              </w:rPr>
            </w:pPr>
            <w:r>
              <w:rPr>
                <w:rFonts w:hint="default"/>
              </w:rPr>
              <w:t>lr</w:t>
            </w:r>
          </w:p>
        </w:tc>
        <w:tc>
          <w:tcPr>
            <w:tcW w:w="4261" w:type="dxa"/>
            <w:tcBorders>
              <w:top w:val="nil"/>
              <w:left w:val="nil"/>
              <w:bottom w:val="nil"/>
              <w:right w:val="nil"/>
            </w:tcBorders>
          </w:tcPr>
          <w:p w14:paraId="4552C50E">
            <w:pPr>
              <w:pStyle w:val="26"/>
              <w:rPr>
                <w:rFonts w:hint="default"/>
              </w:rPr>
            </w:pPr>
            <w:r>
              <w:rPr>
                <w:rFonts w:hint="default"/>
              </w:rPr>
              <w:t>5.0e-05</w:t>
            </w:r>
          </w:p>
        </w:tc>
      </w:tr>
      <w:tr w14:paraId="0E03E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C91B5E4">
            <w:pPr>
              <w:pStyle w:val="26"/>
              <w:rPr>
                <w:rFonts w:hint="default"/>
              </w:rPr>
            </w:pPr>
            <w:r>
              <w:rPr>
                <w:rFonts w:hint="default"/>
              </w:rPr>
              <w:t>weight_decay</w:t>
            </w:r>
          </w:p>
        </w:tc>
        <w:tc>
          <w:tcPr>
            <w:tcW w:w="4261" w:type="dxa"/>
            <w:tcBorders>
              <w:top w:val="nil"/>
              <w:left w:val="nil"/>
              <w:bottom w:val="nil"/>
              <w:right w:val="nil"/>
            </w:tcBorders>
          </w:tcPr>
          <w:p w14:paraId="6CFBAC0A">
            <w:pPr>
              <w:pStyle w:val="26"/>
              <w:rPr>
                <w:rFonts w:hint="default"/>
              </w:rPr>
            </w:pPr>
            <w:r>
              <w:rPr>
                <w:rFonts w:hint="default"/>
              </w:rPr>
              <w:t>0.001</w:t>
            </w:r>
          </w:p>
        </w:tc>
      </w:tr>
      <w:tr w14:paraId="1E68C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7F58887">
            <w:pPr>
              <w:pStyle w:val="26"/>
              <w:rPr>
                <w:rFonts w:hint="default"/>
              </w:rPr>
            </w:pPr>
            <w:r>
              <w:rPr>
                <w:rFonts w:hint="default"/>
              </w:rPr>
              <w:t>epochs</w:t>
            </w:r>
          </w:p>
        </w:tc>
        <w:tc>
          <w:tcPr>
            <w:tcW w:w="4261" w:type="dxa"/>
            <w:tcBorders>
              <w:top w:val="nil"/>
              <w:left w:val="nil"/>
              <w:bottom w:val="nil"/>
              <w:right w:val="nil"/>
            </w:tcBorders>
          </w:tcPr>
          <w:p w14:paraId="31838A98">
            <w:pPr>
              <w:pStyle w:val="26"/>
              <w:rPr>
                <w:rFonts w:hint="default"/>
              </w:rPr>
            </w:pPr>
            <w:r>
              <w:rPr>
                <w:rFonts w:hint="default"/>
              </w:rPr>
              <w:t>50</w:t>
            </w:r>
          </w:p>
        </w:tc>
      </w:tr>
      <w:tr w14:paraId="6E262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4382650">
            <w:pPr>
              <w:pStyle w:val="26"/>
              <w:rPr>
                <w:rFonts w:hint="default"/>
              </w:rPr>
            </w:pPr>
            <w:r>
              <w:rPr>
                <w:rFonts w:hint="default"/>
              </w:rPr>
              <w:t>patience</w:t>
            </w:r>
          </w:p>
        </w:tc>
        <w:tc>
          <w:tcPr>
            <w:tcW w:w="4261" w:type="dxa"/>
            <w:tcBorders>
              <w:top w:val="nil"/>
              <w:left w:val="nil"/>
              <w:bottom w:val="nil"/>
              <w:right w:val="nil"/>
            </w:tcBorders>
          </w:tcPr>
          <w:p w14:paraId="6922911E">
            <w:pPr>
              <w:pStyle w:val="26"/>
              <w:rPr>
                <w:rFonts w:hint="default"/>
              </w:rPr>
            </w:pPr>
            <w:r>
              <w:t>3</w:t>
            </w:r>
          </w:p>
        </w:tc>
      </w:tr>
      <w:tr w14:paraId="487AA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8825E1C">
            <w:pPr>
              <w:pStyle w:val="26"/>
              <w:rPr>
                <w:rFonts w:hint="default"/>
              </w:rPr>
            </w:pPr>
            <w:r>
              <w:rPr>
                <w:rFonts w:hint="default"/>
              </w:rPr>
              <w:t>dropout</w:t>
            </w:r>
          </w:p>
        </w:tc>
        <w:tc>
          <w:tcPr>
            <w:tcW w:w="4261" w:type="dxa"/>
            <w:tcBorders>
              <w:top w:val="nil"/>
              <w:left w:val="nil"/>
              <w:bottom w:val="nil"/>
              <w:right w:val="nil"/>
            </w:tcBorders>
          </w:tcPr>
          <w:p w14:paraId="4C6136A8">
            <w:pPr>
              <w:pStyle w:val="26"/>
              <w:rPr>
                <w:rFonts w:hint="default"/>
              </w:rPr>
            </w:pPr>
            <w:r>
              <w:t>0.2</w:t>
            </w:r>
          </w:p>
        </w:tc>
      </w:tr>
      <w:tr w14:paraId="3BA18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45BAD74">
            <w:pPr>
              <w:pStyle w:val="26"/>
              <w:rPr>
                <w:rFonts w:hint="default"/>
              </w:rPr>
            </w:pPr>
            <w:r>
              <w:rPr>
                <w:rFonts w:hint="default"/>
              </w:rPr>
              <w:t>kernel_sizes</w:t>
            </w:r>
          </w:p>
        </w:tc>
        <w:tc>
          <w:tcPr>
            <w:tcW w:w="4261" w:type="dxa"/>
            <w:tcBorders>
              <w:top w:val="nil"/>
              <w:left w:val="nil"/>
              <w:bottom w:val="nil"/>
              <w:right w:val="nil"/>
            </w:tcBorders>
          </w:tcPr>
          <w:p w14:paraId="6C19FA3A">
            <w:pPr>
              <w:pStyle w:val="26"/>
              <w:rPr>
                <w:rFonts w:hint="default"/>
              </w:rPr>
            </w:pPr>
            <w:r>
              <w:t>2,3,4,5</w:t>
            </w:r>
          </w:p>
        </w:tc>
      </w:tr>
      <w:tr w14:paraId="34EA7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DDFAA0F">
            <w:pPr>
              <w:pStyle w:val="26"/>
              <w:rPr>
                <w:rFonts w:hint="default"/>
              </w:rPr>
            </w:pPr>
            <w:r>
              <w:rPr>
                <w:rFonts w:hint="default"/>
              </w:rPr>
              <w:t>freeze_layers</w:t>
            </w:r>
          </w:p>
        </w:tc>
        <w:tc>
          <w:tcPr>
            <w:tcW w:w="4261" w:type="dxa"/>
            <w:tcBorders>
              <w:top w:val="nil"/>
              <w:left w:val="nil"/>
              <w:bottom w:val="nil"/>
              <w:right w:val="nil"/>
            </w:tcBorders>
          </w:tcPr>
          <w:p w14:paraId="488BC3FC">
            <w:pPr>
              <w:pStyle w:val="26"/>
              <w:rPr>
                <w:rFonts w:hint="default"/>
              </w:rPr>
            </w:pPr>
            <w:r>
              <w:t>11</w:t>
            </w:r>
          </w:p>
        </w:tc>
      </w:tr>
      <w:tr w14:paraId="10977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2334B7FB">
            <w:pPr>
              <w:pStyle w:val="26"/>
              <w:rPr>
                <w:rFonts w:hint="default"/>
              </w:rPr>
            </w:pPr>
            <w:r>
              <w:rPr>
                <w:rFonts w:hint="default"/>
              </w:rPr>
              <w:t>max_length</w:t>
            </w:r>
          </w:p>
        </w:tc>
        <w:tc>
          <w:tcPr>
            <w:tcW w:w="4261" w:type="dxa"/>
            <w:tcBorders>
              <w:top w:val="nil"/>
              <w:left w:val="nil"/>
              <w:bottom w:val="single" w:color="auto" w:sz="8" w:space="0"/>
              <w:right w:val="nil"/>
            </w:tcBorders>
          </w:tcPr>
          <w:p w14:paraId="3882E4FC">
            <w:pPr>
              <w:pStyle w:val="26"/>
              <w:rPr>
                <w:rFonts w:hint="default"/>
              </w:rPr>
            </w:pPr>
            <w:r>
              <w:t>512</w:t>
            </w:r>
          </w:p>
        </w:tc>
      </w:tr>
    </w:tbl>
    <w:p w14:paraId="1DF1089D">
      <w:pPr>
        <w:ind w:firstLine="480"/>
      </w:pPr>
      <w:r>
        <w:rPr>
          <w:rFonts w:hint="eastAsia"/>
        </w:rPr>
        <w:t>最后给出模型训练时使用的参数以及所用到的软硬件环境，本文中的实验环境以及模型最终使用超参数见表4-2、表4-3与表4-4中所述内容。所有的实验均是基于PyTorch进行编写并在配有较高性能的GPU服务器上进行训练。</w:t>
      </w:r>
    </w:p>
    <w:p w14:paraId="42E42270">
      <w:pPr>
        <w:pStyle w:val="25"/>
        <w:rPr>
          <w:rFonts w:hint="default"/>
        </w:rPr>
      </w:pPr>
      <w:r>
        <w:t>表4-3  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7244E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09ED64">
            <w:pPr>
              <w:pStyle w:val="26"/>
              <w:rPr>
                <w:rFonts w:hint="default"/>
              </w:rPr>
            </w:pPr>
            <w:r>
              <w:t>硬件组件</w:t>
            </w:r>
          </w:p>
        </w:tc>
        <w:tc>
          <w:tcPr>
            <w:tcW w:w="5349" w:type="dxa"/>
            <w:tcBorders>
              <w:top w:val="single" w:color="auto" w:sz="8" w:space="0"/>
              <w:left w:val="nil"/>
              <w:bottom w:val="single" w:color="auto" w:sz="6" w:space="0"/>
              <w:right w:val="nil"/>
            </w:tcBorders>
          </w:tcPr>
          <w:p w14:paraId="28E4F2D7">
            <w:pPr>
              <w:pStyle w:val="26"/>
              <w:rPr>
                <w:rFonts w:hint="default"/>
              </w:rPr>
            </w:pPr>
            <w:r>
              <w:t>规格</w:t>
            </w:r>
          </w:p>
        </w:tc>
      </w:tr>
      <w:tr w14:paraId="6724D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9B65947">
            <w:pPr>
              <w:pStyle w:val="26"/>
              <w:rPr>
                <w:rFonts w:hint="default"/>
              </w:rPr>
            </w:pPr>
            <w:r>
              <w:t>GPU</w:t>
            </w:r>
          </w:p>
        </w:tc>
        <w:tc>
          <w:tcPr>
            <w:tcW w:w="5349" w:type="dxa"/>
            <w:tcBorders>
              <w:top w:val="single" w:color="auto" w:sz="6" w:space="0"/>
              <w:left w:val="nil"/>
              <w:bottom w:val="nil"/>
              <w:right w:val="nil"/>
            </w:tcBorders>
          </w:tcPr>
          <w:p w14:paraId="438BD987">
            <w:pPr>
              <w:pStyle w:val="26"/>
              <w:rPr>
                <w:rFonts w:hint="default"/>
              </w:rPr>
            </w:pPr>
            <w:r>
              <w:t>NVIDIA Tesla P100-PCIE-16GB * 8</w:t>
            </w:r>
          </w:p>
        </w:tc>
      </w:tr>
      <w:tr w14:paraId="3E47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B4A9604">
            <w:pPr>
              <w:pStyle w:val="26"/>
              <w:rPr>
                <w:rFonts w:hint="default"/>
              </w:rPr>
            </w:pPr>
            <w:r>
              <w:t>显存</w:t>
            </w:r>
          </w:p>
        </w:tc>
        <w:tc>
          <w:tcPr>
            <w:tcW w:w="5349" w:type="dxa"/>
            <w:tcBorders>
              <w:top w:val="nil"/>
              <w:left w:val="nil"/>
              <w:bottom w:val="nil"/>
              <w:right w:val="nil"/>
            </w:tcBorders>
          </w:tcPr>
          <w:p w14:paraId="4769BB6B">
            <w:pPr>
              <w:pStyle w:val="26"/>
              <w:rPr>
                <w:rFonts w:hint="default"/>
              </w:rPr>
            </w:pPr>
            <w:r>
              <w:t>16G * 8</w:t>
            </w:r>
          </w:p>
        </w:tc>
      </w:tr>
      <w:tr w14:paraId="470A9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6558F85F">
            <w:pPr>
              <w:pStyle w:val="26"/>
              <w:rPr>
                <w:rFonts w:hint="default"/>
              </w:rPr>
            </w:pPr>
            <w:r>
              <w:t>操作系统</w:t>
            </w:r>
          </w:p>
        </w:tc>
        <w:tc>
          <w:tcPr>
            <w:tcW w:w="5349" w:type="dxa"/>
            <w:tcBorders>
              <w:top w:val="nil"/>
              <w:left w:val="nil"/>
              <w:bottom w:val="single" w:color="auto" w:sz="8" w:space="0"/>
              <w:right w:val="nil"/>
            </w:tcBorders>
          </w:tcPr>
          <w:p w14:paraId="213D4847">
            <w:pPr>
              <w:pStyle w:val="26"/>
              <w:rPr>
                <w:rFonts w:hint="default"/>
              </w:rPr>
            </w:pPr>
            <w:r>
              <w:rPr>
                <w:rFonts w:hint="default"/>
              </w:rPr>
              <w:tab/>
            </w:r>
            <w:r>
              <w:rPr>
                <w:rFonts w:hint="default"/>
              </w:rPr>
              <w:t>Windows server 2019</w:t>
            </w:r>
          </w:p>
        </w:tc>
      </w:tr>
    </w:tbl>
    <w:p w14:paraId="7C6781B4">
      <w:pPr>
        <w:pStyle w:val="25"/>
        <w:rPr>
          <w:rFonts w:hint="default"/>
        </w:rPr>
      </w:pPr>
      <w:r>
        <w:t>表4-4  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6722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29E7D984">
            <w:pPr>
              <w:pStyle w:val="26"/>
              <w:rPr>
                <w:rFonts w:hint="default"/>
              </w:rPr>
            </w:pPr>
            <w:r>
              <w:t>软件</w:t>
            </w:r>
          </w:p>
        </w:tc>
        <w:tc>
          <w:tcPr>
            <w:tcW w:w="5349" w:type="dxa"/>
            <w:tcBorders>
              <w:top w:val="single" w:color="auto" w:sz="8" w:space="0"/>
              <w:left w:val="nil"/>
              <w:bottom w:val="single" w:color="auto" w:sz="6" w:space="0"/>
              <w:right w:val="nil"/>
            </w:tcBorders>
          </w:tcPr>
          <w:p w14:paraId="3E9071FF">
            <w:pPr>
              <w:pStyle w:val="26"/>
              <w:rPr>
                <w:rFonts w:hint="default"/>
              </w:rPr>
            </w:pPr>
            <w:r>
              <w:t>版本</w:t>
            </w:r>
          </w:p>
        </w:tc>
      </w:tr>
      <w:tr w14:paraId="72BB1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23D03843">
            <w:pPr>
              <w:pStyle w:val="26"/>
              <w:rPr>
                <w:rFonts w:hint="default"/>
              </w:rPr>
            </w:pPr>
            <w:r>
              <w:t>CUDA Toolkit</w:t>
            </w:r>
          </w:p>
        </w:tc>
        <w:tc>
          <w:tcPr>
            <w:tcW w:w="5349" w:type="dxa"/>
            <w:tcBorders>
              <w:top w:val="single" w:color="auto" w:sz="6" w:space="0"/>
              <w:left w:val="nil"/>
              <w:bottom w:val="nil"/>
              <w:right w:val="nil"/>
            </w:tcBorders>
          </w:tcPr>
          <w:p w14:paraId="060B1897">
            <w:pPr>
              <w:pStyle w:val="26"/>
              <w:rPr>
                <w:rFonts w:hint="default"/>
              </w:rPr>
            </w:pPr>
            <w:r>
              <w:t>12.0.76</w:t>
            </w:r>
          </w:p>
        </w:tc>
      </w:tr>
      <w:tr w14:paraId="350D1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0FC048EE">
            <w:pPr>
              <w:pStyle w:val="26"/>
              <w:rPr>
                <w:rFonts w:hint="default"/>
              </w:rPr>
            </w:pPr>
            <w:r>
              <w:t>P</w:t>
            </w:r>
            <w:r>
              <w:rPr>
                <w:rFonts w:hint="default"/>
              </w:rPr>
              <w:t>ython</w:t>
            </w:r>
          </w:p>
        </w:tc>
        <w:tc>
          <w:tcPr>
            <w:tcW w:w="5349" w:type="dxa"/>
            <w:tcBorders>
              <w:top w:val="nil"/>
              <w:left w:val="nil"/>
              <w:bottom w:val="single" w:color="auto" w:sz="8" w:space="0"/>
              <w:right w:val="nil"/>
            </w:tcBorders>
          </w:tcPr>
          <w:p w14:paraId="5EBA8855">
            <w:pPr>
              <w:pStyle w:val="26"/>
              <w:rPr>
                <w:rFonts w:hint="default"/>
              </w:rPr>
            </w:pPr>
            <w:r>
              <w:rPr>
                <w:rFonts w:hint="default"/>
              </w:rPr>
              <w:t>3.12.11</w:t>
            </w:r>
          </w:p>
        </w:tc>
      </w:tr>
    </w:tbl>
    <w:p w14:paraId="520722D0">
      <w:pPr>
        <w:pStyle w:val="4"/>
        <w:numPr>
          <w:ilvl w:val="2"/>
          <w:numId w:val="1"/>
        </w:numPr>
      </w:pPr>
      <w:bookmarkStart w:id="194" w:name="_Toc229086900"/>
      <w:bookmarkStart w:id="195" w:name="_Toc850"/>
      <w:r>
        <w:rPr>
          <w:rFonts w:hint="eastAsia"/>
        </w:rPr>
        <w:t>消融实验</w:t>
      </w:r>
      <w:bookmarkEnd w:id="193"/>
      <w:bookmarkEnd w:id="194"/>
      <w:bookmarkEnd w:id="195"/>
    </w:p>
    <w:p w14:paraId="76CF5FC6">
      <w:pPr>
        <w:ind w:firstLine="480"/>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104E9147">
      <w:pPr>
        <w:ind w:firstLine="480"/>
      </w:pPr>
      <w:r>
        <w:rPr>
          <w:rFonts w:hint="eastAsia"/>
        </w:rPr>
        <w:t>数据层面的消融实验旨在验证生成式数据增强对模型性能的具体影响，实验结果如表4-5所示。</w:t>
      </w:r>
    </w:p>
    <w:p w14:paraId="3128017F">
      <w:pPr>
        <w:pStyle w:val="25"/>
        <w:rPr>
          <w:rFonts w:hint="default"/>
        </w:rPr>
      </w:pPr>
      <w:r>
        <w:t>表4-5  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37A8E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CE4185">
            <w:pPr>
              <w:pStyle w:val="26"/>
              <w:rPr>
                <w:rFonts w:hint="default"/>
              </w:rPr>
            </w:pPr>
            <w:r>
              <w:rPr>
                <w:rFonts w:hint="default"/>
              </w:rPr>
              <w:t>实验设置</w:t>
            </w:r>
          </w:p>
        </w:tc>
        <w:tc>
          <w:tcPr>
            <w:tcW w:w="697" w:type="pct"/>
            <w:tcBorders>
              <w:top w:val="single" w:color="auto" w:sz="8" w:space="0"/>
              <w:left w:val="nil"/>
              <w:bottom w:val="single" w:color="auto" w:sz="6" w:space="0"/>
              <w:right w:val="nil"/>
            </w:tcBorders>
            <w:vAlign w:val="center"/>
          </w:tcPr>
          <w:p w14:paraId="11B48A19">
            <w:pPr>
              <w:pStyle w:val="26"/>
              <w:rPr>
                <w:rFonts w:hint="default"/>
              </w:rPr>
            </w:pPr>
            <w:r>
              <w:rPr>
                <w:rFonts w:hint="default"/>
              </w:rPr>
              <w:t>Accuracy</w:t>
            </w:r>
          </w:p>
        </w:tc>
        <w:tc>
          <w:tcPr>
            <w:tcW w:w="1059" w:type="pct"/>
            <w:tcBorders>
              <w:top w:val="single" w:color="auto" w:sz="8" w:space="0"/>
              <w:left w:val="nil"/>
              <w:bottom w:val="single" w:color="auto" w:sz="6" w:space="0"/>
              <w:right w:val="nil"/>
            </w:tcBorders>
            <w:vAlign w:val="center"/>
          </w:tcPr>
          <w:p w14:paraId="5622A172">
            <w:pPr>
              <w:pStyle w:val="26"/>
              <w:rPr>
                <w:rFonts w:hint="default"/>
              </w:rPr>
            </w:pPr>
            <w:r>
              <w:rPr>
                <w:rFonts w:hint="default"/>
              </w:rPr>
              <w:t>Macro F1-score</w:t>
            </w:r>
          </w:p>
        </w:tc>
        <w:tc>
          <w:tcPr>
            <w:tcW w:w="1231" w:type="pct"/>
            <w:tcBorders>
              <w:top w:val="single" w:color="auto" w:sz="8" w:space="0"/>
              <w:left w:val="nil"/>
              <w:bottom w:val="single" w:color="auto" w:sz="6" w:space="0"/>
              <w:right w:val="nil"/>
            </w:tcBorders>
            <w:vAlign w:val="center"/>
          </w:tcPr>
          <w:p w14:paraId="09986D61">
            <w:pPr>
              <w:pStyle w:val="26"/>
              <w:rPr>
                <w:rFonts w:hint="default"/>
              </w:rPr>
            </w:pPr>
            <w:r>
              <w:rPr>
                <w:rFonts w:hint="default"/>
              </w:rPr>
              <w:t>Weighted F1-score</w:t>
            </w:r>
          </w:p>
        </w:tc>
      </w:tr>
      <w:tr w14:paraId="33A6A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tcPr>
          <w:p w14:paraId="660CBD44">
            <w:pPr>
              <w:pStyle w:val="26"/>
              <w:rPr>
                <w:rFonts w:hint="default"/>
              </w:rPr>
            </w:pPr>
            <w:r>
              <w:rPr>
                <w:rFonts w:hint="default"/>
              </w:rPr>
              <w:t>未使用数据增强</w:t>
            </w:r>
          </w:p>
        </w:tc>
        <w:tc>
          <w:tcPr>
            <w:tcW w:w="697" w:type="pct"/>
            <w:tcBorders>
              <w:top w:val="nil"/>
              <w:left w:val="nil"/>
              <w:bottom w:val="nil"/>
              <w:right w:val="nil"/>
            </w:tcBorders>
          </w:tcPr>
          <w:p w14:paraId="11C5D3EA">
            <w:pPr>
              <w:pStyle w:val="26"/>
              <w:rPr>
                <w:rFonts w:hint="default"/>
              </w:rPr>
            </w:pPr>
            <w:r>
              <w:rPr>
                <w:rFonts w:hint="default"/>
              </w:rPr>
              <w:t>0.9245</w:t>
            </w:r>
          </w:p>
        </w:tc>
        <w:tc>
          <w:tcPr>
            <w:tcW w:w="1059" w:type="pct"/>
            <w:tcBorders>
              <w:top w:val="nil"/>
              <w:left w:val="nil"/>
              <w:bottom w:val="nil"/>
              <w:right w:val="nil"/>
            </w:tcBorders>
          </w:tcPr>
          <w:p w14:paraId="6D5F754C">
            <w:pPr>
              <w:pStyle w:val="26"/>
              <w:rPr>
                <w:rFonts w:hint="default"/>
              </w:rPr>
            </w:pPr>
            <w:r>
              <w:rPr>
                <w:rFonts w:hint="default"/>
              </w:rPr>
              <w:t>0.8408</w:t>
            </w:r>
          </w:p>
        </w:tc>
        <w:tc>
          <w:tcPr>
            <w:tcW w:w="1231" w:type="pct"/>
            <w:tcBorders>
              <w:top w:val="nil"/>
              <w:left w:val="nil"/>
              <w:bottom w:val="nil"/>
              <w:right w:val="nil"/>
            </w:tcBorders>
          </w:tcPr>
          <w:p w14:paraId="0223D4C8">
            <w:pPr>
              <w:pStyle w:val="26"/>
              <w:rPr>
                <w:rFonts w:hint="default"/>
              </w:rPr>
            </w:pPr>
            <w:r>
              <w:rPr>
                <w:rFonts w:hint="default"/>
              </w:rPr>
              <w:t>0.9235</w:t>
            </w:r>
          </w:p>
        </w:tc>
      </w:tr>
      <w:tr w14:paraId="04E21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tcPr>
          <w:p w14:paraId="1C471F76">
            <w:pPr>
              <w:pStyle w:val="26"/>
              <w:rPr>
                <w:rFonts w:hint="default"/>
              </w:rPr>
            </w:pPr>
            <w:r>
              <w:rPr>
                <w:rFonts w:hint="default"/>
              </w:rPr>
              <w:t>使用数据增强</w:t>
            </w:r>
          </w:p>
        </w:tc>
        <w:tc>
          <w:tcPr>
            <w:tcW w:w="697" w:type="pct"/>
            <w:tcBorders>
              <w:top w:val="nil"/>
              <w:left w:val="nil"/>
              <w:bottom w:val="single" w:color="auto" w:sz="8" w:space="0"/>
              <w:right w:val="nil"/>
            </w:tcBorders>
          </w:tcPr>
          <w:p w14:paraId="6F8EA929">
            <w:pPr>
              <w:pStyle w:val="26"/>
              <w:rPr>
                <w:rFonts w:hint="default"/>
                <w:b/>
                <w:bCs/>
              </w:rPr>
            </w:pPr>
            <w:r>
              <w:rPr>
                <w:rFonts w:hint="default"/>
              </w:rPr>
              <w:t>0.9261</w:t>
            </w:r>
          </w:p>
        </w:tc>
        <w:tc>
          <w:tcPr>
            <w:tcW w:w="1059" w:type="pct"/>
            <w:tcBorders>
              <w:top w:val="nil"/>
              <w:left w:val="nil"/>
              <w:bottom w:val="single" w:color="auto" w:sz="8" w:space="0"/>
              <w:right w:val="nil"/>
            </w:tcBorders>
          </w:tcPr>
          <w:p w14:paraId="4EFC8C0B">
            <w:pPr>
              <w:pStyle w:val="26"/>
              <w:rPr>
                <w:rFonts w:hint="default"/>
                <w:b/>
                <w:bCs/>
              </w:rPr>
            </w:pPr>
            <w:r>
              <w:rPr>
                <w:rFonts w:hint="default"/>
              </w:rPr>
              <w:t>0.8792</w:t>
            </w:r>
          </w:p>
        </w:tc>
        <w:tc>
          <w:tcPr>
            <w:tcW w:w="1231" w:type="pct"/>
            <w:tcBorders>
              <w:top w:val="nil"/>
              <w:left w:val="nil"/>
              <w:bottom w:val="single" w:color="auto" w:sz="8" w:space="0"/>
              <w:right w:val="nil"/>
            </w:tcBorders>
          </w:tcPr>
          <w:p w14:paraId="49956F77">
            <w:pPr>
              <w:pStyle w:val="26"/>
              <w:rPr>
                <w:rFonts w:hint="default"/>
                <w:b/>
                <w:bCs/>
              </w:rPr>
            </w:pPr>
            <w:r>
              <w:rPr>
                <w:rFonts w:hint="default"/>
              </w:rPr>
              <w:t>0.9249</w:t>
            </w:r>
          </w:p>
        </w:tc>
      </w:tr>
    </w:tbl>
    <w:p w14:paraId="6FA10540">
      <w:pPr>
        <w:ind w:firstLine="480"/>
      </w:pPr>
      <w:r>
        <w:rPr>
          <w:rFonts w:hint="eastAsia"/>
        </w:rPr>
        <w:t>表4-5结果显示，使用定向数据增强后，Accuracy由0.9245提升至0.9261，Weighted F1-score由0.9235提升至0.9249，变化幅度较小，这与增强策略有关。本文只对一个最小类别进行增强，并未改变多数类别的样本分布，因此总体正确率不会出现大幅变化。更值得关注的是Macro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0F534BE8">
      <w:pPr>
        <w:ind w:firstLine="480"/>
      </w:pPr>
      <w:r>
        <w:rPr>
          <w:rFonts w:hint="eastAsia"/>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0993CD3D">
      <w:pPr>
        <w:ind w:firstLine="480"/>
      </w:pPr>
      <w:r>
        <w:rPr>
          <w:rFonts w:hint="eastAsia"/>
        </w:rPr>
        <w:t>为考察预训练微调与混合特征提取相结合的有效性，在此基础上本文又设计四种不同组合方式的模型进行比较分析如表4-6所示。</w:t>
      </w:r>
    </w:p>
    <w:p w14:paraId="06355B5B">
      <w:pPr>
        <w:pStyle w:val="25"/>
        <w:rPr>
          <w:rFonts w:hint="default"/>
        </w:rPr>
      </w:pPr>
      <w:r>
        <w:t>表4-6  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66D8A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47FE5C65">
            <w:pPr>
              <w:pStyle w:val="26"/>
              <w:rPr>
                <w:rFonts w:hint="default"/>
              </w:rPr>
            </w:pPr>
            <w:r>
              <w:rPr>
                <w:rFonts w:hint="default"/>
              </w:rPr>
              <w:t>实验设置</w:t>
            </w:r>
          </w:p>
        </w:tc>
        <w:tc>
          <w:tcPr>
            <w:tcW w:w="1436" w:type="dxa"/>
            <w:tcBorders>
              <w:top w:val="single" w:color="auto" w:sz="8" w:space="0"/>
              <w:left w:val="nil"/>
              <w:bottom w:val="single" w:color="auto" w:sz="6" w:space="0"/>
              <w:right w:val="nil"/>
            </w:tcBorders>
            <w:vAlign w:val="center"/>
          </w:tcPr>
          <w:p w14:paraId="042B5A39">
            <w:pPr>
              <w:pStyle w:val="26"/>
              <w:rPr>
                <w:rFonts w:hint="default"/>
              </w:rPr>
            </w:pPr>
            <w:r>
              <w:rPr>
                <w:rFonts w:hint="default"/>
              </w:rPr>
              <w:t>Accuracy</w:t>
            </w:r>
          </w:p>
        </w:tc>
        <w:tc>
          <w:tcPr>
            <w:tcW w:w="1933" w:type="dxa"/>
            <w:tcBorders>
              <w:top w:val="single" w:color="auto" w:sz="8" w:space="0"/>
              <w:left w:val="nil"/>
              <w:bottom w:val="single" w:color="auto" w:sz="6" w:space="0"/>
              <w:right w:val="nil"/>
            </w:tcBorders>
            <w:vAlign w:val="center"/>
          </w:tcPr>
          <w:p w14:paraId="0E30F3C8">
            <w:pPr>
              <w:pStyle w:val="26"/>
              <w:rPr>
                <w:rFonts w:hint="default"/>
              </w:rPr>
            </w:pPr>
            <w:r>
              <w:rPr>
                <w:rFonts w:hint="default"/>
              </w:rPr>
              <w:t>Macro F1-score</w:t>
            </w:r>
          </w:p>
        </w:tc>
        <w:tc>
          <w:tcPr>
            <w:tcW w:w="1933" w:type="dxa"/>
            <w:tcBorders>
              <w:top w:val="single" w:color="auto" w:sz="8" w:space="0"/>
              <w:left w:val="nil"/>
              <w:bottom w:val="single" w:color="auto" w:sz="6" w:space="0"/>
              <w:right w:val="nil"/>
            </w:tcBorders>
            <w:vAlign w:val="center"/>
          </w:tcPr>
          <w:p w14:paraId="0705068B">
            <w:pPr>
              <w:pStyle w:val="26"/>
              <w:rPr>
                <w:rFonts w:hint="default"/>
              </w:rPr>
            </w:pPr>
            <w:r>
              <w:rPr>
                <w:rFonts w:hint="default"/>
              </w:rPr>
              <w:t>Weighted F1-score</w:t>
            </w:r>
          </w:p>
        </w:tc>
      </w:tr>
      <w:tr w14:paraId="4F82C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tcPr>
          <w:p w14:paraId="21D2AE41">
            <w:pPr>
              <w:pStyle w:val="26"/>
              <w:rPr>
                <w:rFonts w:hint="default"/>
              </w:rPr>
            </w:pPr>
            <w:r>
              <w:rPr>
                <w:rFonts w:hint="default"/>
              </w:rPr>
              <w:t>BERT+Linear（无微调）</w:t>
            </w:r>
          </w:p>
        </w:tc>
        <w:tc>
          <w:tcPr>
            <w:tcW w:w="1436" w:type="dxa"/>
            <w:tcBorders>
              <w:top w:val="single" w:color="auto" w:sz="6" w:space="0"/>
              <w:left w:val="nil"/>
              <w:bottom w:val="nil"/>
              <w:right w:val="nil"/>
            </w:tcBorders>
          </w:tcPr>
          <w:p w14:paraId="2A73AFC8">
            <w:pPr>
              <w:pStyle w:val="26"/>
              <w:rPr>
                <w:rFonts w:hint="default"/>
              </w:rPr>
            </w:pPr>
            <w:r>
              <w:rPr>
                <w:rFonts w:hint="default"/>
              </w:rPr>
              <w:t>0.8275</w:t>
            </w:r>
          </w:p>
        </w:tc>
        <w:tc>
          <w:tcPr>
            <w:tcW w:w="1933" w:type="dxa"/>
            <w:tcBorders>
              <w:top w:val="single" w:color="auto" w:sz="6" w:space="0"/>
              <w:left w:val="nil"/>
              <w:bottom w:val="nil"/>
              <w:right w:val="nil"/>
            </w:tcBorders>
          </w:tcPr>
          <w:p w14:paraId="332B6007">
            <w:pPr>
              <w:pStyle w:val="26"/>
              <w:rPr>
                <w:rFonts w:hint="default"/>
              </w:rPr>
            </w:pPr>
            <w:r>
              <w:rPr>
                <w:rFonts w:hint="default"/>
              </w:rPr>
              <w:t>0.6775</w:t>
            </w:r>
          </w:p>
        </w:tc>
        <w:tc>
          <w:tcPr>
            <w:tcW w:w="1933" w:type="dxa"/>
            <w:tcBorders>
              <w:top w:val="single" w:color="auto" w:sz="6" w:space="0"/>
              <w:left w:val="nil"/>
              <w:bottom w:val="nil"/>
              <w:right w:val="nil"/>
            </w:tcBorders>
          </w:tcPr>
          <w:p w14:paraId="220FB440">
            <w:pPr>
              <w:pStyle w:val="26"/>
              <w:rPr>
                <w:rFonts w:hint="default"/>
              </w:rPr>
            </w:pPr>
            <w:r>
              <w:rPr>
                <w:rFonts w:hint="default"/>
              </w:rPr>
              <w:t>0.8194</w:t>
            </w:r>
          </w:p>
        </w:tc>
      </w:tr>
      <w:tr w14:paraId="1FD9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tcPr>
          <w:p w14:paraId="683B9047">
            <w:pPr>
              <w:pStyle w:val="26"/>
              <w:rPr>
                <w:rFonts w:hint="default"/>
              </w:rPr>
            </w:pPr>
            <w:r>
              <w:rPr>
                <w:rFonts w:hint="default"/>
              </w:rPr>
              <w:t>BERT+Linear（微调）</w:t>
            </w:r>
          </w:p>
        </w:tc>
        <w:tc>
          <w:tcPr>
            <w:tcW w:w="1436" w:type="dxa"/>
            <w:tcBorders>
              <w:top w:val="nil"/>
              <w:left w:val="nil"/>
              <w:bottom w:val="nil"/>
              <w:right w:val="nil"/>
            </w:tcBorders>
          </w:tcPr>
          <w:p w14:paraId="501ADA72">
            <w:pPr>
              <w:pStyle w:val="26"/>
              <w:rPr>
                <w:rFonts w:hint="default"/>
              </w:rPr>
            </w:pPr>
            <w:r>
              <w:rPr>
                <w:rFonts w:hint="default"/>
              </w:rPr>
              <w:t>0.9154</w:t>
            </w:r>
          </w:p>
        </w:tc>
        <w:tc>
          <w:tcPr>
            <w:tcW w:w="1933" w:type="dxa"/>
            <w:tcBorders>
              <w:top w:val="nil"/>
              <w:left w:val="nil"/>
              <w:bottom w:val="nil"/>
              <w:right w:val="nil"/>
            </w:tcBorders>
          </w:tcPr>
          <w:p w14:paraId="313B1B69">
            <w:pPr>
              <w:pStyle w:val="26"/>
              <w:rPr>
                <w:rFonts w:hint="default"/>
              </w:rPr>
            </w:pPr>
            <w:r>
              <w:rPr>
                <w:rFonts w:hint="default"/>
              </w:rPr>
              <w:t>0.852</w:t>
            </w:r>
            <w:r>
              <w:t>0</w:t>
            </w:r>
          </w:p>
        </w:tc>
        <w:tc>
          <w:tcPr>
            <w:tcW w:w="1933" w:type="dxa"/>
            <w:tcBorders>
              <w:top w:val="nil"/>
              <w:left w:val="nil"/>
              <w:bottom w:val="nil"/>
              <w:right w:val="nil"/>
            </w:tcBorders>
          </w:tcPr>
          <w:p w14:paraId="4397565F">
            <w:pPr>
              <w:pStyle w:val="26"/>
              <w:rPr>
                <w:rFonts w:hint="default"/>
              </w:rPr>
            </w:pPr>
            <w:r>
              <w:rPr>
                <w:rFonts w:hint="default"/>
              </w:rPr>
              <w:t>0.9132</w:t>
            </w:r>
          </w:p>
        </w:tc>
      </w:tr>
      <w:tr w14:paraId="3C0F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tcPr>
          <w:p w14:paraId="71A23A0D">
            <w:pPr>
              <w:pStyle w:val="26"/>
              <w:rPr>
                <w:rFonts w:hint="default"/>
              </w:rPr>
            </w:pPr>
            <w:r>
              <w:rPr>
                <w:rFonts w:hint="default"/>
              </w:rPr>
              <w:t>完整结构（不微调）</w:t>
            </w:r>
          </w:p>
        </w:tc>
        <w:tc>
          <w:tcPr>
            <w:tcW w:w="1436" w:type="dxa"/>
            <w:tcBorders>
              <w:top w:val="nil"/>
              <w:left w:val="nil"/>
              <w:bottom w:val="nil"/>
              <w:right w:val="nil"/>
            </w:tcBorders>
          </w:tcPr>
          <w:p w14:paraId="7799FCFB">
            <w:pPr>
              <w:pStyle w:val="26"/>
              <w:rPr>
                <w:rFonts w:hint="default"/>
              </w:rPr>
            </w:pPr>
            <w:r>
              <w:rPr>
                <w:rFonts w:hint="default"/>
              </w:rPr>
              <w:t>0.9125</w:t>
            </w:r>
          </w:p>
        </w:tc>
        <w:tc>
          <w:tcPr>
            <w:tcW w:w="1933" w:type="dxa"/>
            <w:tcBorders>
              <w:top w:val="nil"/>
              <w:left w:val="nil"/>
              <w:bottom w:val="nil"/>
              <w:right w:val="nil"/>
            </w:tcBorders>
          </w:tcPr>
          <w:p w14:paraId="698B178D">
            <w:pPr>
              <w:pStyle w:val="26"/>
              <w:rPr>
                <w:rFonts w:hint="default"/>
              </w:rPr>
            </w:pPr>
            <w:r>
              <w:rPr>
                <w:rFonts w:hint="default"/>
              </w:rPr>
              <w:t>0.8377</w:t>
            </w:r>
          </w:p>
        </w:tc>
        <w:tc>
          <w:tcPr>
            <w:tcW w:w="1933" w:type="dxa"/>
            <w:tcBorders>
              <w:top w:val="nil"/>
              <w:left w:val="nil"/>
              <w:bottom w:val="nil"/>
              <w:right w:val="nil"/>
            </w:tcBorders>
          </w:tcPr>
          <w:p w14:paraId="18136B7E">
            <w:pPr>
              <w:pStyle w:val="26"/>
              <w:rPr>
                <w:rFonts w:hint="default"/>
              </w:rPr>
            </w:pPr>
            <w:r>
              <w:rPr>
                <w:rFonts w:hint="default"/>
              </w:rPr>
              <w:t>0.9094</w:t>
            </w:r>
          </w:p>
        </w:tc>
      </w:tr>
      <w:tr w14:paraId="33221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tcPr>
          <w:p w14:paraId="3C273C2B">
            <w:pPr>
              <w:pStyle w:val="26"/>
              <w:rPr>
                <w:rFonts w:hint="default"/>
              </w:rPr>
            </w:pPr>
            <w:r>
              <w:rPr>
                <w:rFonts w:hint="default"/>
              </w:rPr>
              <w:t>完整结构（微调）</w:t>
            </w:r>
          </w:p>
        </w:tc>
        <w:tc>
          <w:tcPr>
            <w:tcW w:w="1436" w:type="dxa"/>
            <w:tcBorders>
              <w:top w:val="nil"/>
              <w:left w:val="nil"/>
              <w:bottom w:val="single" w:color="auto" w:sz="8" w:space="0"/>
              <w:right w:val="nil"/>
            </w:tcBorders>
          </w:tcPr>
          <w:p w14:paraId="483C03E7">
            <w:pPr>
              <w:pStyle w:val="26"/>
              <w:rPr>
                <w:rFonts w:hint="default"/>
              </w:rPr>
            </w:pPr>
            <w:r>
              <w:rPr>
                <w:rFonts w:hint="default"/>
              </w:rPr>
              <w:t>0.9261</w:t>
            </w:r>
          </w:p>
        </w:tc>
        <w:tc>
          <w:tcPr>
            <w:tcW w:w="1933" w:type="dxa"/>
            <w:tcBorders>
              <w:top w:val="nil"/>
              <w:left w:val="nil"/>
              <w:bottom w:val="single" w:color="auto" w:sz="8" w:space="0"/>
              <w:right w:val="nil"/>
            </w:tcBorders>
          </w:tcPr>
          <w:p w14:paraId="416E9D4B">
            <w:pPr>
              <w:pStyle w:val="26"/>
              <w:rPr>
                <w:rFonts w:hint="default"/>
              </w:rPr>
            </w:pPr>
            <w:r>
              <w:rPr>
                <w:rFonts w:hint="default"/>
              </w:rPr>
              <w:t>0.8792</w:t>
            </w:r>
          </w:p>
        </w:tc>
        <w:tc>
          <w:tcPr>
            <w:tcW w:w="1933" w:type="dxa"/>
            <w:tcBorders>
              <w:top w:val="nil"/>
              <w:left w:val="nil"/>
              <w:bottom w:val="single" w:color="auto" w:sz="8" w:space="0"/>
              <w:right w:val="nil"/>
            </w:tcBorders>
          </w:tcPr>
          <w:p w14:paraId="4B95210F">
            <w:pPr>
              <w:pStyle w:val="26"/>
              <w:rPr>
                <w:rFonts w:hint="default"/>
              </w:rPr>
            </w:pPr>
            <w:r>
              <w:rPr>
                <w:rFonts w:hint="default"/>
              </w:rPr>
              <w:t>0.9249</w:t>
            </w:r>
          </w:p>
        </w:tc>
      </w:tr>
    </w:tbl>
    <w:p w14:paraId="3E985CBA">
      <w:pPr>
        <w:ind w:firstLine="420" w:firstLineChars="0"/>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762A1EAA">
      <w:pPr>
        <w:ind w:firstLine="420" w:firstLineChars="0"/>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48E74A75">
      <w:pPr>
        <w:ind w:firstLine="420" w:firstLineChars="0"/>
      </w:pPr>
      <w:r>
        <w:rPr>
          <w:rFonts w:hint="eastAsia"/>
          <w:highlight w:val="yellow"/>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微调后模型才进一步学习医疗器械专利文本中的术语分布和类别边界</w:t>
      </w:r>
      <w:r>
        <w:rPr>
          <w:rFonts w:hint="eastAsia"/>
        </w:rPr>
        <w:t>。</w:t>
      </w:r>
    </w:p>
    <w:p w14:paraId="6C203727">
      <w:pPr>
        <w:ind w:firstLine="420" w:firstLineChars="0"/>
      </w:pPr>
      <w:r>
        <w:rPr>
          <w:rFonts w:hint="eastAsia"/>
        </w:rPr>
        <w:t>从结构消融看，本文模型的收益来自微调和TextCNN两个方面。微调使预训练模型向医疗器械专利语义分布靠近，而TextCNN补足局部术语组合的提取能力。本文的模型不是简单追求结构复杂度，而是在一级分类任务中把全局语义和局部判别词组放在同一分类框架下进行学习，这一点与表4-1中的近年模型对比结果能够相互对应。</w:t>
      </w:r>
    </w:p>
    <w:p w14:paraId="2AF0CC67">
      <w:pPr>
        <w:pStyle w:val="4"/>
        <w:numPr>
          <w:ilvl w:val="2"/>
          <w:numId w:val="1"/>
        </w:numPr>
      </w:pPr>
      <w:bookmarkStart w:id="196" w:name="_Toc229086901"/>
      <w:bookmarkStart w:id="197" w:name="_Toc11014"/>
      <w:r>
        <w:rPr>
          <w:rFonts w:hint="eastAsia"/>
        </w:rPr>
        <w:t>外部验证</w:t>
      </w:r>
      <w:bookmarkEnd w:id="196"/>
      <w:bookmarkEnd w:id="197"/>
    </w:p>
    <w:p w14:paraId="72DE615C">
      <w:pPr>
        <w:ind w:firstLine="480"/>
        <w:rPr>
          <w:highlight w:val="yellow"/>
        </w:rPr>
      </w:pPr>
      <w:r>
        <w:rPr>
          <w:rFonts w:hint="eastAsia"/>
          <w:highlight w:val="yellow"/>
        </w:rPr>
        <w:t>为考察模型在新专利数据上的适应性和时效性，在此基础上建立了一个330条的外部测试集，它们来源于医知桥</w:t>
      </w:r>
      <w:r>
        <w:rPr>
          <w:rStyle w:val="33"/>
          <w:rFonts w:hint="eastAsia"/>
          <w:highlight w:val="yellow"/>
        </w:rPr>
        <w:t>[36]</w:t>
      </w:r>
      <w:r>
        <w:rPr>
          <w:rFonts w:hint="eastAsia"/>
          <w:highlight w:val="yellow"/>
        </w:rPr>
        <w:t>平台2025年最新的发明专利。该平台存在将非医疗器械发明专利误归类的情况，因此，本文选择的数据是实际为医疗器械发明专利，且医知桥平台也将其归为医疗器械发明专利的数据，并由专家对这些样本进行人工复核和标注。</w:t>
      </w:r>
    </w:p>
    <w:p w14:paraId="5849ED5F">
      <w:pPr>
        <w:ind w:firstLine="480"/>
        <w:rPr>
          <w:highlight w:val="yellow"/>
        </w:rPr>
      </w:pPr>
      <w:r>
        <w:rPr>
          <w:rFonts w:hint="eastAsia"/>
          <w:highlight w:val="yellow"/>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27244588">
      <w:pPr>
        <w:ind w:firstLine="480"/>
        <w:rPr>
          <w:highlight w:val="yellow"/>
        </w:rPr>
      </w:pPr>
      <w:r>
        <w:rPr>
          <w:rFonts w:hint="eastAsia"/>
          <w:highlight w:val="yellow"/>
        </w:rPr>
        <w:t>基于该数据集，本文将训练完成的BERT-TextCNN模型与医知桥平台已有分类结果进行比较实验，见表4-7。</w:t>
      </w:r>
    </w:p>
    <w:p w14:paraId="358C3B16">
      <w:pPr>
        <w:pStyle w:val="25"/>
        <w:rPr>
          <w:rFonts w:hint="default"/>
          <w:highlight w:val="yellow"/>
        </w:rPr>
      </w:pPr>
      <w:r>
        <w:rPr>
          <w:highlight w:val="yellow"/>
        </w:rPr>
        <w:t>表4-7  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0697D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FC39C2C">
            <w:pPr>
              <w:pStyle w:val="26"/>
              <w:rPr>
                <w:rFonts w:hint="default"/>
                <w:highlight w:val="yellow"/>
              </w:rPr>
            </w:pPr>
            <w:r>
              <w:rPr>
                <w:rFonts w:hint="default"/>
                <w:highlight w:val="yellow"/>
              </w:rPr>
              <w:t>评估对象</w:t>
            </w:r>
          </w:p>
        </w:tc>
        <w:tc>
          <w:tcPr>
            <w:tcW w:w="1545" w:type="dxa"/>
            <w:tcBorders>
              <w:top w:val="single" w:color="auto" w:sz="8" w:space="0"/>
              <w:left w:val="nil"/>
              <w:bottom w:val="single" w:color="auto" w:sz="6" w:space="0"/>
              <w:right w:val="nil"/>
            </w:tcBorders>
            <w:vAlign w:val="center"/>
          </w:tcPr>
          <w:p w14:paraId="6E4B3460">
            <w:pPr>
              <w:pStyle w:val="26"/>
              <w:rPr>
                <w:rFonts w:hint="default"/>
                <w:highlight w:val="yellow"/>
              </w:rPr>
            </w:pPr>
            <w:r>
              <w:rPr>
                <w:rFonts w:hint="default"/>
                <w:highlight w:val="yellow"/>
              </w:rPr>
              <w:t>Accuracy</w:t>
            </w:r>
          </w:p>
        </w:tc>
        <w:tc>
          <w:tcPr>
            <w:tcW w:w="1933" w:type="dxa"/>
            <w:tcBorders>
              <w:top w:val="single" w:color="auto" w:sz="8" w:space="0"/>
              <w:left w:val="nil"/>
              <w:bottom w:val="single" w:color="auto" w:sz="6" w:space="0"/>
              <w:right w:val="nil"/>
            </w:tcBorders>
            <w:vAlign w:val="center"/>
          </w:tcPr>
          <w:p w14:paraId="56253265">
            <w:pPr>
              <w:pStyle w:val="26"/>
              <w:rPr>
                <w:rFonts w:hint="default"/>
                <w:highlight w:val="yellow"/>
              </w:rPr>
            </w:pPr>
            <w:r>
              <w:rPr>
                <w:rFonts w:hint="default"/>
                <w:highlight w:val="yellow"/>
              </w:rPr>
              <w:t>Macro F1-score</w:t>
            </w:r>
          </w:p>
        </w:tc>
        <w:tc>
          <w:tcPr>
            <w:tcW w:w="1933" w:type="dxa"/>
            <w:tcBorders>
              <w:top w:val="single" w:color="auto" w:sz="8" w:space="0"/>
              <w:left w:val="nil"/>
              <w:bottom w:val="single" w:color="auto" w:sz="6" w:space="0"/>
              <w:right w:val="nil"/>
            </w:tcBorders>
            <w:vAlign w:val="center"/>
          </w:tcPr>
          <w:p w14:paraId="6C0B3FB4">
            <w:pPr>
              <w:pStyle w:val="26"/>
              <w:rPr>
                <w:rFonts w:hint="default"/>
                <w:highlight w:val="yellow"/>
              </w:rPr>
            </w:pPr>
            <w:r>
              <w:rPr>
                <w:rFonts w:hint="default"/>
                <w:highlight w:val="yellow"/>
              </w:rPr>
              <w:t>Weighted F1-score</w:t>
            </w:r>
          </w:p>
        </w:tc>
      </w:tr>
      <w:tr w14:paraId="455E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tcPr>
          <w:p w14:paraId="09EB3112">
            <w:pPr>
              <w:pStyle w:val="26"/>
              <w:rPr>
                <w:rFonts w:hint="default"/>
                <w:highlight w:val="yellow"/>
              </w:rPr>
            </w:pPr>
            <w:r>
              <w:rPr>
                <w:rFonts w:hint="default"/>
                <w:highlight w:val="yellow"/>
              </w:rPr>
              <w:t>医知桥</w:t>
            </w:r>
          </w:p>
        </w:tc>
        <w:tc>
          <w:tcPr>
            <w:tcW w:w="1545" w:type="dxa"/>
            <w:tcBorders>
              <w:top w:val="single" w:color="auto" w:sz="6" w:space="0"/>
              <w:left w:val="nil"/>
              <w:bottom w:val="nil"/>
              <w:right w:val="nil"/>
            </w:tcBorders>
          </w:tcPr>
          <w:p w14:paraId="1EC64021">
            <w:pPr>
              <w:pStyle w:val="26"/>
              <w:rPr>
                <w:rFonts w:hint="default"/>
                <w:highlight w:val="yellow"/>
              </w:rPr>
            </w:pPr>
            <w:r>
              <w:rPr>
                <w:rFonts w:hint="default"/>
                <w:highlight w:val="yellow"/>
              </w:rPr>
              <w:t>0.7515</w:t>
            </w:r>
          </w:p>
        </w:tc>
        <w:tc>
          <w:tcPr>
            <w:tcW w:w="1933" w:type="dxa"/>
            <w:tcBorders>
              <w:top w:val="single" w:color="auto" w:sz="6" w:space="0"/>
              <w:left w:val="nil"/>
              <w:bottom w:val="nil"/>
              <w:right w:val="nil"/>
            </w:tcBorders>
          </w:tcPr>
          <w:p w14:paraId="3696FB7E">
            <w:pPr>
              <w:pStyle w:val="26"/>
              <w:rPr>
                <w:rFonts w:hint="default"/>
                <w:highlight w:val="yellow"/>
              </w:rPr>
            </w:pPr>
            <w:r>
              <w:rPr>
                <w:rFonts w:hint="default"/>
                <w:highlight w:val="yellow"/>
              </w:rPr>
              <w:t>0.7538</w:t>
            </w:r>
          </w:p>
        </w:tc>
        <w:tc>
          <w:tcPr>
            <w:tcW w:w="1933" w:type="dxa"/>
            <w:tcBorders>
              <w:top w:val="single" w:color="auto" w:sz="6" w:space="0"/>
              <w:left w:val="nil"/>
              <w:bottom w:val="nil"/>
              <w:right w:val="nil"/>
            </w:tcBorders>
          </w:tcPr>
          <w:p w14:paraId="593AF1E1">
            <w:pPr>
              <w:pStyle w:val="26"/>
              <w:rPr>
                <w:rFonts w:hint="default"/>
                <w:highlight w:val="yellow"/>
              </w:rPr>
            </w:pPr>
            <w:r>
              <w:rPr>
                <w:rFonts w:hint="default"/>
                <w:highlight w:val="yellow"/>
              </w:rPr>
              <w:t>0.7352</w:t>
            </w:r>
          </w:p>
        </w:tc>
      </w:tr>
      <w:tr w14:paraId="63A15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tcPr>
          <w:p w14:paraId="491DCA8A">
            <w:pPr>
              <w:pStyle w:val="26"/>
              <w:rPr>
                <w:rFonts w:hint="default"/>
                <w:highlight w:val="yellow"/>
              </w:rPr>
            </w:pPr>
            <w:r>
              <w:rPr>
                <w:rFonts w:hint="default"/>
                <w:highlight w:val="yellow"/>
              </w:rPr>
              <w:t>BERT-TextCNN</w:t>
            </w:r>
          </w:p>
        </w:tc>
        <w:tc>
          <w:tcPr>
            <w:tcW w:w="1545" w:type="dxa"/>
            <w:tcBorders>
              <w:top w:val="nil"/>
              <w:left w:val="nil"/>
              <w:bottom w:val="single" w:color="auto" w:sz="8" w:space="0"/>
              <w:right w:val="nil"/>
            </w:tcBorders>
          </w:tcPr>
          <w:p w14:paraId="16EFDC56">
            <w:pPr>
              <w:pStyle w:val="26"/>
              <w:rPr>
                <w:rFonts w:hint="default"/>
                <w:highlight w:val="yellow"/>
              </w:rPr>
            </w:pPr>
            <w:r>
              <w:rPr>
                <w:rFonts w:hint="default"/>
                <w:highlight w:val="yellow"/>
              </w:rPr>
              <w:t>0.8424</w:t>
            </w:r>
          </w:p>
        </w:tc>
        <w:tc>
          <w:tcPr>
            <w:tcW w:w="1933" w:type="dxa"/>
            <w:tcBorders>
              <w:top w:val="nil"/>
              <w:left w:val="nil"/>
              <w:bottom w:val="single" w:color="auto" w:sz="8" w:space="0"/>
              <w:right w:val="nil"/>
            </w:tcBorders>
          </w:tcPr>
          <w:p w14:paraId="0AE49EAB">
            <w:pPr>
              <w:pStyle w:val="26"/>
              <w:rPr>
                <w:rFonts w:hint="default"/>
                <w:highlight w:val="yellow"/>
              </w:rPr>
            </w:pPr>
            <w:r>
              <w:rPr>
                <w:rFonts w:hint="default"/>
                <w:highlight w:val="yellow"/>
              </w:rPr>
              <w:t>0.8546</w:t>
            </w:r>
          </w:p>
        </w:tc>
        <w:tc>
          <w:tcPr>
            <w:tcW w:w="1933" w:type="dxa"/>
            <w:tcBorders>
              <w:top w:val="nil"/>
              <w:left w:val="nil"/>
              <w:bottom w:val="single" w:color="auto" w:sz="8" w:space="0"/>
              <w:right w:val="nil"/>
            </w:tcBorders>
          </w:tcPr>
          <w:p w14:paraId="7FA7CE46">
            <w:pPr>
              <w:pStyle w:val="26"/>
              <w:rPr>
                <w:rFonts w:hint="default"/>
                <w:highlight w:val="yellow"/>
              </w:rPr>
            </w:pPr>
            <w:r>
              <w:rPr>
                <w:rFonts w:hint="default"/>
                <w:highlight w:val="yellow"/>
              </w:rPr>
              <w:t>0.8428</w:t>
            </w:r>
          </w:p>
        </w:tc>
      </w:tr>
    </w:tbl>
    <w:p w14:paraId="3E9C64FA">
      <w:pPr>
        <w:ind w:firstLine="480"/>
        <w:rPr>
          <w:highlight w:val="yellow"/>
        </w:rPr>
      </w:pPr>
      <w:r>
        <w:rPr>
          <w:rFonts w:hint="eastAsia"/>
          <w:highlight w:val="yellow"/>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10DA9B4C">
      <w:pPr>
        <w:ind w:firstLine="480"/>
      </w:pPr>
      <w:r>
        <w:rPr>
          <w:rFonts w:hint="eastAsia"/>
          <w:highlight w:val="yellow"/>
        </w:rPr>
        <w:t>330条样本能够反映2025年部分新增专利的分类情况，但样本规模和来源范围有限，尚不能覆盖所有医疗器械专利申请场景。就本文研究目标而言，该实验说明模型具备一定的跨时间数据适应能力，更大规模、多来源的外部验证仍需在后续工作中继续完成</w:t>
      </w:r>
      <w:r>
        <w:t>。</w:t>
      </w:r>
    </w:p>
    <w:p w14:paraId="2D84693C">
      <w:pPr>
        <w:ind w:firstLine="480"/>
        <w:sectPr>
          <w:pgSz w:w="11906" w:h="16838"/>
          <w:pgMar w:top="1440" w:right="1800" w:bottom="1440" w:left="1800" w:header="851" w:footer="992" w:gutter="0"/>
          <w:cols w:space="0" w:num="1"/>
          <w:docGrid w:type="lines" w:linePitch="312" w:charSpace="0"/>
        </w:sectPr>
      </w:pPr>
    </w:p>
    <w:p w14:paraId="4BC5E63B">
      <w:pPr>
        <w:pStyle w:val="2"/>
        <w:numPr>
          <w:ilvl w:val="0"/>
          <w:numId w:val="1"/>
        </w:numPr>
        <w:tabs>
          <w:tab w:val="clear" w:pos="0"/>
        </w:tabs>
      </w:pPr>
      <w:bookmarkStart w:id="198" w:name="_Toc216114520"/>
      <w:bookmarkStart w:id="199" w:name="_Toc229086902"/>
      <w:bookmarkStart w:id="200" w:name="_Toc31666"/>
      <w:r>
        <w:rPr>
          <w:rFonts w:hint="eastAsia"/>
        </w:rPr>
        <w:t>系统设计与实现</w:t>
      </w:r>
      <w:bookmarkEnd w:id="198"/>
      <w:bookmarkEnd w:id="199"/>
      <w:bookmarkEnd w:id="200"/>
      <w:bookmarkStart w:id="201" w:name="_Toc216114451"/>
      <w:bookmarkEnd w:id="201"/>
      <w:bookmarkStart w:id="202" w:name="_Toc216115319"/>
      <w:bookmarkEnd w:id="202"/>
      <w:bookmarkStart w:id="203" w:name="_Toc216114522"/>
      <w:bookmarkEnd w:id="203"/>
      <w:bookmarkStart w:id="204" w:name="_Toc216117085"/>
      <w:bookmarkEnd w:id="204"/>
      <w:bookmarkStart w:id="205" w:name="_Toc216116656"/>
      <w:bookmarkEnd w:id="205"/>
      <w:bookmarkStart w:id="206" w:name="_Toc216117086"/>
      <w:bookmarkEnd w:id="206"/>
      <w:bookmarkStart w:id="207" w:name="_Toc216115389"/>
      <w:bookmarkEnd w:id="207"/>
      <w:bookmarkStart w:id="208" w:name="_Toc216116727"/>
      <w:bookmarkEnd w:id="208"/>
      <w:bookmarkStart w:id="209" w:name="_Toc216114681"/>
      <w:bookmarkEnd w:id="209"/>
      <w:bookmarkStart w:id="210" w:name="_Toc216114379"/>
      <w:bookmarkEnd w:id="210"/>
      <w:bookmarkStart w:id="211" w:name="_Toc216114380"/>
      <w:bookmarkEnd w:id="211"/>
      <w:bookmarkStart w:id="212" w:name="_Toc216114521"/>
      <w:bookmarkEnd w:id="212"/>
      <w:bookmarkStart w:id="213" w:name="_Toc216115388"/>
      <w:bookmarkEnd w:id="213"/>
      <w:bookmarkStart w:id="214" w:name="_Toc216114682"/>
      <w:bookmarkEnd w:id="214"/>
      <w:bookmarkStart w:id="215" w:name="_Toc216116655"/>
      <w:bookmarkEnd w:id="215"/>
      <w:bookmarkStart w:id="216" w:name="_Toc216115320"/>
      <w:bookmarkEnd w:id="216"/>
      <w:bookmarkStart w:id="217" w:name="_Toc216114450"/>
      <w:bookmarkEnd w:id="217"/>
      <w:bookmarkStart w:id="218" w:name="_Toc216116728"/>
      <w:bookmarkEnd w:id="218"/>
    </w:p>
    <w:p w14:paraId="021E518F">
      <w:pPr>
        <w:ind w:firstLine="480"/>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r>
        <w:rPr>
          <w:rStyle w:val="33"/>
          <w:rFonts w:hint="eastAsia"/>
        </w:rPr>
        <w:t>[55-62]</w:t>
      </w:r>
      <w:r>
        <w:rPr>
          <w:rFonts w:hint="eastAsia"/>
        </w:rPr>
        <w:t>。</w:t>
      </w:r>
    </w:p>
    <w:p w14:paraId="602B928B">
      <w:pPr>
        <w:ind w:firstLine="480"/>
      </w:pPr>
      <w:r>
        <w:rPr>
          <w:rFonts w:hint="eastAsia"/>
        </w:rPr>
        <w:t>本章主要介绍系统需求分析、系统架构设计、数据库设计、核心功能实现和系统测试验证。</w:t>
      </w:r>
    </w:p>
    <w:p w14:paraId="02A1D62A">
      <w:pPr>
        <w:pStyle w:val="3"/>
        <w:numPr>
          <w:ilvl w:val="1"/>
          <w:numId w:val="1"/>
        </w:numPr>
        <w:tabs>
          <w:tab w:val="clear" w:pos="420"/>
        </w:tabs>
      </w:pPr>
      <w:bookmarkStart w:id="219" w:name="_Toc216114524"/>
      <w:bookmarkStart w:id="220" w:name="_Toc229086903"/>
      <w:bookmarkStart w:id="221" w:name="_Toc27080"/>
      <w:r>
        <w:rPr>
          <w:rFonts w:hint="eastAsia"/>
        </w:rPr>
        <w:t>需求分析</w:t>
      </w:r>
      <w:bookmarkEnd w:id="219"/>
      <w:bookmarkEnd w:id="220"/>
      <w:bookmarkEnd w:id="221"/>
    </w:p>
    <w:p w14:paraId="15A1B073">
      <w:pPr>
        <w:ind w:firstLine="480"/>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需要包括围绕分类结果展开的数据管理功能。</w:t>
      </w:r>
    </w:p>
    <w:p w14:paraId="76FADF2D">
      <w:pPr>
        <w:ind w:firstLine="480"/>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1150C96C">
      <w:pPr>
        <w:pStyle w:val="4"/>
        <w:numPr>
          <w:ilvl w:val="2"/>
          <w:numId w:val="1"/>
        </w:numPr>
      </w:pPr>
      <w:bookmarkStart w:id="222" w:name="_Toc229086904"/>
      <w:bookmarkStart w:id="223" w:name="_Toc6373"/>
      <w:r>
        <w:rPr>
          <w:rFonts w:hint="eastAsia"/>
        </w:rPr>
        <w:t>功能需求分析</w:t>
      </w:r>
      <w:bookmarkEnd w:id="222"/>
      <w:bookmarkEnd w:id="223"/>
    </w:p>
    <w:p w14:paraId="634BE250">
      <w:pPr>
        <w:numPr>
          <w:ilvl w:val="0"/>
          <w:numId w:val="15"/>
        </w:numPr>
        <w:ind w:firstLine="480"/>
      </w:pPr>
      <w:r>
        <w:rPr>
          <w:rFonts w:hint="eastAsia"/>
        </w:rPr>
        <w:t>用户模块</w:t>
      </w:r>
    </w:p>
    <w:p w14:paraId="71360C19">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w:t>
      </w:r>
      <w:r>
        <w:rPr>
          <w:rStyle w:val="33"/>
          <w:rFonts w:hint="eastAsia"/>
        </w:rPr>
        <w:t>[63]</w:t>
      </w:r>
      <w:r>
        <w:rPr>
          <w:rFonts w:hint="eastAsia"/>
        </w:rPr>
        <w:t>。后端根据Token解析用户身份，并将分类记录与用户账号关联，从而支持历史记录的用户级隔离。</w:t>
      </w:r>
    </w:p>
    <w:p w14:paraId="417B10A5">
      <w:pPr>
        <w:numPr>
          <w:ilvl w:val="0"/>
          <w:numId w:val="15"/>
        </w:numPr>
        <w:ind w:firstLine="480"/>
      </w:pPr>
      <w:r>
        <w:rPr>
          <w:rFonts w:hint="eastAsia"/>
        </w:rPr>
        <w:t>单条分类模块</w:t>
      </w:r>
    </w:p>
    <w:p w14:paraId="293A63A2">
      <w:pPr>
        <w:ind w:firstLine="480"/>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400D0196">
      <w:pPr>
        <w:numPr>
          <w:ilvl w:val="0"/>
          <w:numId w:val="15"/>
        </w:numPr>
        <w:ind w:firstLine="480"/>
        <w:rPr>
          <w:highlight w:val="yellow"/>
        </w:rPr>
      </w:pPr>
      <w:r>
        <w:rPr>
          <w:rFonts w:hint="eastAsia"/>
          <w:highlight w:val="yellow"/>
        </w:rPr>
        <w:t>批量分类模块</w:t>
      </w:r>
    </w:p>
    <w:p w14:paraId="4E02B920">
      <w:pPr>
        <w:ind w:firstLine="480"/>
        <w:rPr>
          <w:highlight w:val="yellow"/>
        </w:rPr>
      </w:pPr>
      <w:r>
        <w:rPr>
          <w:rFonts w:hint="eastAsia"/>
          <w:highlight w:val="yellow"/>
        </w:rPr>
        <w:t>实际专利分类工作中，用户往往需要一次处理多条专利摘要。为减少重复输入操作，系统增加批量分类功能，支持用户上传Excel文件。文件上传后，系统先解析列名和前若干行数据供用户确认摘要所在列。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5984CE1A">
      <w:pPr>
        <w:numPr>
          <w:ilvl w:val="0"/>
          <w:numId w:val="15"/>
        </w:numPr>
        <w:ind w:firstLine="480"/>
        <w:rPr>
          <w:highlight w:val="yellow"/>
        </w:rPr>
      </w:pPr>
      <w:r>
        <w:rPr>
          <w:rFonts w:hint="eastAsia"/>
          <w:highlight w:val="yellow"/>
        </w:rPr>
        <w:t>分类历史记录模块</w:t>
      </w:r>
    </w:p>
    <w:p w14:paraId="56E38E3D">
      <w:pPr>
        <w:ind w:firstLine="480"/>
        <w:rPr>
          <w:highlight w:val="yellow"/>
        </w:rPr>
      </w:pPr>
      <w:r>
        <w:rPr>
          <w:rFonts w:hint="eastAsia"/>
          <w:highlight w:val="yellow"/>
        </w:rPr>
        <w:t>分类历史记录模块用于保存和查询用户历次分类结果，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p>
    <w:p w14:paraId="72D4AF58">
      <w:pPr>
        <w:numPr>
          <w:ilvl w:val="0"/>
          <w:numId w:val="15"/>
        </w:numPr>
        <w:ind w:firstLine="480"/>
        <w:rPr>
          <w:highlight w:val="yellow"/>
        </w:rPr>
      </w:pPr>
      <w:r>
        <w:rPr>
          <w:rFonts w:hint="eastAsia"/>
          <w:highlight w:val="yellow"/>
        </w:rPr>
        <w:t>结果导出模块</w:t>
      </w:r>
    </w:p>
    <w:p w14:paraId="6457C677">
      <w:pPr>
        <w:ind w:firstLine="480"/>
        <w:rPr>
          <w:highlight w:val="yellow"/>
        </w:rPr>
      </w:pPr>
      <w:r>
        <w:rPr>
          <w:rFonts w:hint="eastAsia"/>
          <w:highlight w:val="yellow"/>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1665BB0B">
      <w:pPr>
        <w:numPr>
          <w:ilvl w:val="0"/>
          <w:numId w:val="15"/>
        </w:numPr>
        <w:ind w:firstLine="480"/>
        <w:rPr>
          <w:highlight w:val="yellow"/>
        </w:rPr>
      </w:pPr>
      <w:r>
        <w:rPr>
          <w:rFonts w:hint="eastAsia"/>
          <w:highlight w:val="yellow"/>
        </w:rPr>
        <w:t>分类结果可视化模块</w:t>
      </w:r>
    </w:p>
    <w:p w14:paraId="57C5597B">
      <w:pPr>
        <w:ind w:firstLine="480"/>
      </w:pPr>
      <w:r>
        <w:rPr>
          <w:rFonts w:hint="eastAsia"/>
          <w:highlight w:val="yellow"/>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r>
        <w:rPr>
          <w:rFonts w:hint="eastAsia"/>
        </w:rPr>
        <w:t>。</w:t>
      </w:r>
    </w:p>
    <w:p w14:paraId="49069E46">
      <w:pPr>
        <w:pStyle w:val="4"/>
        <w:numPr>
          <w:ilvl w:val="2"/>
          <w:numId w:val="1"/>
        </w:numPr>
        <w:rPr>
          <w:highlight w:val="yellow"/>
        </w:rPr>
      </w:pPr>
      <w:bookmarkStart w:id="224" w:name="_Toc229086905"/>
      <w:bookmarkStart w:id="225" w:name="_Toc4703"/>
      <w:r>
        <w:rPr>
          <w:rFonts w:hint="eastAsia"/>
          <w:highlight w:val="yellow"/>
        </w:rPr>
        <w:t>非功能性需求分析</w:t>
      </w:r>
      <w:bookmarkEnd w:id="224"/>
      <w:bookmarkEnd w:id="225"/>
    </w:p>
    <w:p w14:paraId="1DF2AE10">
      <w:pPr>
        <w:ind w:firstLine="420" w:firstLineChars="0"/>
        <w:rPr>
          <w:highlight w:val="yellow"/>
        </w:rPr>
      </w:pPr>
      <w:r>
        <w:rPr>
          <w:rFonts w:hint="eastAsia"/>
          <w:highlight w:val="yellow"/>
        </w:rPr>
        <w:t>非功能性需求用于约束系统运行质量，本文选取直接影响用户体验和结果可用性的核心指标进行说明，包括在线分类响应、批量处理、历史查询、结果导出、权限隔离和异常处理等内容，如表5-1所示。上述指标面向本课题原型系统和小规模业务验证场景，不作为高并发Web平台的吞吐能力要求。</w:t>
      </w:r>
    </w:p>
    <w:p w14:paraId="020C4BFF">
      <w:pPr>
        <w:pStyle w:val="25"/>
        <w:rPr>
          <w:rFonts w:hint="default"/>
          <w:highlight w:val="yellow"/>
        </w:rPr>
      </w:pPr>
      <w:r>
        <w:rPr>
          <w:highlight w:val="yellow"/>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8"/>
        <w:gridCol w:w="6645"/>
      </w:tblGrid>
      <w:tr w14:paraId="3F3CE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2CCC213F">
            <w:pPr>
              <w:pStyle w:val="26"/>
              <w:rPr>
                <w:rFonts w:hint="default"/>
                <w:highlight w:val="yellow"/>
              </w:rPr>
            </w:pPr>
            <w:r>
              <w:rPr>
                <w:rFonts w:hint="default"/>
                <w:highlight w:val="yellow"/>
              </w:rPr>
              <w:t>指标项</w:t>
            </w:r>
          </w:p>
        </w:tc>
        <w:tc>
          <w:tcPr>
            <w:tcW w:w="6645" w:type="dxa"/>
            <w:tcBorders>
              <w:bottom w:val="single" w:color="auto" w:sz="6" w:space="0"/>
              <w:tl2br w:val="nil"/>
              <w:tr2bl w:val="nil"/>
            </w:tcBorders>
            <w:shd w:val="clear" w:color="auto" w:fill="FFFFFF"/>
            <w:vAlign w:val="center"/>
          </w:tcPr>
          <w:p w14:paraId="2E243CCA">
            <w:pPr>
              <w:pStyle w:val="26"/>
              <w:rPr>
                <w:rFonts w:hint="default"/>
                <w:highlight w:val="yellow"/>
              </w:rPr>
            </w:pPr>
            <w:r>
              <w:rPr>
                <w:rFonts w:hint="default"/>
                <w:highlight w:val="yellow"/>
              </w:rPr>
              <w:t>具体要求</w:t>
            </w:r>
          </w:p>
        </w:tc>
      </w:tr>
      <w:tr w14:paraId="55D80D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tcPr>
          <w:p w14:paraId="1E55442D">
            <w:pPr>
              <w:pStyle w:val="26"/>
              <w:rPr>
                <w:rFonts w:hint="default"/>
                <w:highlight w:val="yellow"/>
              </w:rPr>
            </w:pPr>
            <w:r>
              <w:rPr>
                <w:rFonts w:hint="default"/>
                <w:highlight w:val="yellow"/>
              </w:rPr>
              <w:t>单条分类响应</w:t>
            </w:r>
          </w:p>
        </w:tc>
        <w:tc>
          <w:tcPr>
            <w:tcW w:w="6645" w:type="dxa"/>
            <w:tcBorders>
              <w:top w:val="single" w:color="auto" w:sz="6" w:space="0"/>
            </w:tcBorders>
            <w:shd w:val="clear" w:color="auto" w:fill="FFFFFF"/>
          </w:tcPr>
          <w:p w14:paraId="48253110">
            <w:pPr>
              <w:pStyle w:val="26"/>
              <w:rPr>
                <w:rFonts w:hint="default"/>
                <w:highlight w:val="yellow"/>
              </w:rPr>
            </w:pPr>
            <w:r>
              <w:rPr>
                <w:rFonts w:hint="default"/>
                <w:highlight w:val="yellow"/>
              </w:rPr>
              <w:t>模型预加载后，单条分类接口t95响应时间不超过3s</w:t>
            </w:r>
          </w:p>
        </w:tc>
      </w:tr>
      <w:tr w14:paraId="46FE46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tcPr>
          <w:p w14:paraId="5C9B1224">
            <w:pPr>
              <w:pStyle w:val="26"/>
              <w:rPr>
                <w:rFonts w:hint="default"/>
                <w:highlight w:val="yellow"/>
              </w:rPr>
            </w:pPr>
            <w:r>
              <w:rPr>
                <w:rFonts w:hint="default"/>
                <w:highlight w:val="yellow"/>
              </w:rPr>
              <w:t>批量分类能力</w:t>
            </w:r>
          </w:p>
        </w:tc>
        <w:tc>
          <w:tcPr>
            <w:tcW w:w="6645" w:type="dxa"/>
            <w:shd w:val="clear" w:color="auto" w:fill="FFFFFF"/>
          </w:tcPr>
          <w:p w14:paraId="4413CF23">
            <w:pPr>
              <w:pStyle w:val="26"/>
              <w:rPr>
                <w:rFonts w:hint="default"/>
                <w:highlight w:val="yellow"/>
              </w:rPr>
            </w:pPr>
            <w:r>
              <w:rPr>
                <w:rFonts w:hint="default"/>
                <w:highlight w:val="yellow"/>
              </w:rPr>
              <w:t>单次批量分类不超过50条，任务应在5min内完成</w:t>
            </w:r>
          </w:p>
        </w:tc>
      </w:tr>
      <w:tr w14:paraId="6B57B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tcPr>
          <w:p w14:paraId="23DC2150">
            <w:pPr>
              <w:pStyle w:val="26"/>
              <w:rPr>
                <w:rFonts w:hint="default"/>
                <w:highlight w:val="yellow"/>
              </w:rPr>
            </w:pPr>
            <w:r>
              <w:rPr>
                <w:rFonts w:hint="default"/>
                <w:highlight w:val="yellow"/>
              </w:rPr>
              <w:t>历史查询与导出</w:t>
            </w:r>
          </w:p>
        </w:tc>
        <w:tc>
          <w:tcPr>
            <w:tcW w:w="6645" w:type="dxa"/>
            <w:shd w:val="clear" w:color="auto" w:fill="FFFFFF"/>
          </w:tcPr>
          <w:p w14:paraId="4EF6C105">
            <w:pPr>
              <w:pStyle w:val="26"/>
              <w:rPr>
                <w:rFonts w:hint="default"/>
                <w:highlight w:val="yellow"/>
              </w:rPr>
            </w:pPr>
            <w:r>
              <w:rPr>
                <w:rFonts w:hint="default"/>
                <w:highlight w:val="yellow"/>
              </w:rPr>
              <w:t>常规筛选查询t95响应时间不超过2s；单次导出不超过200条</w:t>
            </w:r>
          </w:p>
        </w:tc>
      </w:tr>
      <w:tr w14:paraId="79281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tcPr>
          <w:p w14:paraId="1F1B3BCD">
            <w:pPr>
              <w:pStyle w:val="26"/>
              <w:rPr>
                <w:rFonts w:hint="default"/>
                <w:highlight w:val="yellow"/>
              </w:rPr>
            </w:pPr>
            <w:r>
              <w:rPr>
                <w:rFonts w:hint="default"/>
                <w:highlight w:val="yellow"/>
              </w:rPr>
              <w:t>用户数据隔离</w:t>
            </w:r>
          </w:p>
        </w:tc>
        <w:tc>
          <w:tcPr>
            <w:tcW w:w="6645" w:type="dxa"/>
            <w:shd w:val="clear" w:color="auto" w:fill="FFFFFF"/>
          </w:tcPr>
          <w:p w14:paraId="72D1E416">
            <w:pPr>
              <w:pStyle w:val="26"/>
              <w:rPr>
                <w:rFonts w:hint="default"/>
                <w:highlight w:val="yellow"/>
              </w:rPr>
            </w:pPr>
            <w:r>
              <w:rPr>
                <w:rFonts w:hint="default"/>
                <w:highlight w:val="yellow"/>
              </w:rPr>
              <w:t>历史记录、详情和导出接口均需校验Token，用户只能访问本人记录</w:t>
            </w:r>
          </w:p>
        </w:tc>
      </w:tr>
      <w:tr w14:paraId="154956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tcPr>
          <w:p w14:paraId="131A5355">
            <w:pPr>
              <w:pStyle w:val="26"/>
              <w:rPr>
                <w:rFonts w:hint="default"/>
                <w:highlight w:val="yellow"/>
              </w:rPr>
            </w:pPr>
            <w:r>
              <w:rPr>
                <w:rFonts w:hint="default"/>
                <w:highlight w:val="yellow"/>
              </w:rPr>
              <w:t>异常处理</w:t>
            </w:r>
          </w:p>
        </w:tc>
        <w:tc>
          <w:tcPr>
            <w:tcW w:w="6645" w:type="dxa"/>
            <w:shd w:val="clear" w:color="auto" w:fill="FFFFFF"/>
          </w:tcPr>
          <w:p w14:paraId="73FB9328">
            <w:pPr>
              <w:pStyle w:val="26"/>
              <w:rPr>
                <w:rFonts w:hint="default"/>
                <w:highlight w:val="yellow"/>
              </w:rPr>
            </w:pPr>
            <w:r>
              <w:rPr>
                <w:rFonts w:hint="default"/>
                <w:highlight w:val="yellow"/>
              </w:rPr>
              <w:t>Python服务异常或任务失败时，系统应返回错误提示，批量任务不中断</w:t>
            </w:r>
          </w:p>
        </w:tc>
      </w:tr>
    </w:tbl>
    <w:p w14:paraId="399A6899">
      <w:pPr>
        <w:ind w:firstLine="480"/>
        <w:rPr>
          <w:highlight w:val="yellow"/>
        </w:rPr>
      </w:pPr>
      <w:r>
        <w:rPr>
          <w:highlight w:val="yellow"/>
        </w:rPr>
        <w:t>表5-1列出了系统非功能性需求。本文未单独设置高并发吞吐指标，而是围绕用户完成分类任务时直接感知到的环节进行约束；其中，t95表示95%请求的响应时间不超过给定阈值。</w:t>
      </w:r>
    </w:p>
    <w:p w14:paraId="73AB7CC3">
      <w:pPr>
        <w:pStyle w:val="3"/>
        <w:numPr>
          <w:ilvl w:val="1"/>
          <w:numId w:val="1"/>
        </w:numPr>
        <w:tabs>
          <w:tab w:val="clear" w:pos="420"/>
        </w:tabs>
      </w:pPr>
      <w:bookmarkStart w:id="226" w:name="_Toc229086906"/>
      <w:bookmarkStart w:id="227" w:name="_Toc216114525"/>
      <w:bookmarkStart w:id="228" w:name="_Toc30896"/>
      <w:r>
        <w:rPr>
          <w:rFonts w:hint="eastAsia"/>
        </w:rPr>
        <w:t>系统设计</w:t>
      </w:r>
      <w:bookmarkEnd w:id="226"/>
      <w:bookmarkEnd w:id="227"/>
      <w:bookmarkEnd w:id="228"/>
    </w:p>
    <w:p w14:paraId="14DE341C">
      <w:pPr>
        <w:pStyle w:val="4"/>
        <w:numPr>
          <w:ilvl w:val="2"/>
          <w:numId w:val="1"/>
        </w:numPr>
      </w:pPr>
      <w:bookmarkStart w:id="229" w:name="_Toc229086907"/>
      <w:bookmarkStart w:id="230" w:name="_Toc22512"/>
      <w:r>
        <w:rPr>
          <w:rFonts w:hint="eastAsia"/>
        </w:rPr>
        <w:t>系统架构设计</w:t>
      </w:r>
      <w:bookmarkEnd w:id="229"/>
      <w:bookmarkEnd w:id="230"/>
    </w:p>
    <w:p w14:paraId="2B81E5F9">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3"/>
        </w:rPr>
        <w:fldChar w:fldCharType="begin"/>
      </w:r>
      <w:r>
        <w:rPr>
          <w:rStyle w:val="33"/>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3"/>
        </w:rPr>
        <w:fldChar w:fldCharType="separate"/>
      </w:r>
      <w:r>
        <w:rPr>
          <w:rStyle w:val="33"/>
        </w:rPr>
        <w:t>[67]</w:t>
      </w:r>
      <w:r>
        <w:rPr>
          <w:rStyle w:val="33"/>
        </w:rPr>
        <w:fldChar w:fldCharType="end"/>
      </w:r>
      <w:r>
        <w:rPr>
          <w:rFonts w:hint="eastAsia"/>
        </w:rPr>
        <w:t>，若直接嵌入Java后端，会增加依赖管理和部署维护的复杂度。</w:t>
      </w:r>
    </w:p>
    <w:p w14:paraId="31604618">
      <w:pPr>
        <w:ind w:firstLine="480"/>
      </w:pPr>
      <w:r>
        <w:rPr>
          <w:rFonts w:hint="eastAsia"/>
        </w:rPr>
        <w:t>本文据此将系统划分为表现层、服务层、模型层和数据层四个部分，其中模型层与数据层位于后端支撑侧，共同服务于上层业务流程。系统整体结构如图5-1所示。</w:t>
      </w:r>
    </w:p>
    <w:p w14:paraId="3D9E1F0D">
      <w:pPr>
        <w:numPr>
          <w:ilvl w:val="0"/>
          <w:numId w:val="16"/>
        </w:numPr>
        <w:ind w:firstLine="480"/>
      </w:pPr>
      <w:r>
        <w:rPr>
          <w:rFonts w:hint="eastAsia"/>
        </w:rPr>
        <w:t>表现层</w:t>
      </w:r>
    </w:p>
    <w:p w14:paraId="7619FDCD">
      <w:pPr>
        <w:ind w:firstLine="420" w:firstLineChars="0"/>
      </w:pPr>
      <w:r>
        <w:rPr>
          <w:rFonts w:hint="eastAsia"/>
        </w:rPr>
        <w:t>以Vue.js为基础开发单页应用</w:t>
      </w:r>
      <w:r>
        <w:rPr>
          <w:rStyle w:val="33"/>
          <w:rFonts w:hint="eastAsia"/>
        </w:rPr>
        <w:t>[55]</w:t>
      </w:r>
      <w:r>
        <w:rPr>
          <w:rFonts w:hint="eastAsia"/>
        </w:rPr>
        <w:t>，主要用于系统的页面显示以及用户的交互操作，在此部分使用Axios与后端服务器进行异步的数据请求，完成专利文本上传以及分类的结果获取，同时也利用ElementUI对页面的展示方式以及样式进行了统一</w:t>
      </w:r>
      <w:r>
        <w:rPr>
          <w:rStyle w:val="33"/>
          <w:rFonts w:hint="eastAsia"/>
        </w:rPr>
        <w:t>[56]</w:t>
      </w:r>
      <w:r>
        <w:rPr>
          <w:rFonts w:hint="eastAsia"/>
        </w:rPr>
        <w:t>。</w:t>
      </w:r>
    </w:p>
    <w:p w14:paraId="273B33B7">
      <w:pPr>
        <w:ind w:firstLine="0" w:firstLineChars="0"/>
      </w:pPr>
    </w:p>
    <w:p w14:paraId="253BB0D9">
      <w:pPr>
        <w:ind w:firstLine="0" w:firstLineChars="0"/>
        <w:jc w:val="center"/>
      </w:pPr>
      <w:r>
        <w:rPr>
          <w:rFonts w:hint="eastAsia"/>
        </w:rPr>
        <w:drawing>
          <wp:inline distT="0" distB="0" distL="114300" distR="114300">
            <wp:extent cx="3792220" cy="3213735"/>
            <wp:effectExtent l="0" t="0" r="7620" b="317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792220" cy="3213735"/>
                    </a:xfrm>
                    <a:prstGeom prst="rect">
                      <a:avLst/>
                    </a:prstGeom>
                  </pic:spPr>
                </pic:pic>
              </a:graphicData>
            </a:graphic>
          </wp:inline>
        </w:drawing>
      </w:r>
    </w:p>
    <w:p w14:paraId="7DFC459A">
      <w:pPr>
        <w:pStyle w:val="25"/>
        <w:rPr>
          <w:rFonts w:hint="default"/>
        </w:rPr>
      </w:pPr>
      <w:r>
        <w:t>图5-1  系统架构图</w:t>
      </w:r>
    </w:p>
    <w:p w14:paraId="42461C4C">
      <w:pPr>
        <w:numPr>
          <w:ilvl w:val="0"/>
          <w:numId w:val="16"/>
        </w:numPr>
        <w:ind w:firstLine="480"/>
      </w:pPr>
      <w:r>
        <w:rPr>
          <w:rFonts w:hint="eastAsia"/>
        </w:rPr>
        <w:t>业务逻辑层</w:t>
      </w:r>
    </w:p>
    <w:p w14:paraId="16B85B5D">
      <w:pPr>
        <w:ind w:firstLine="480"/>
      </w:pPr>
      <w:r>
        <w:rPr>
          <w:rFonts w:hint="eastAsia"/>
        </w:rPr>
        <w:t>业务逻辑层包括Java服务以及Python推理服务，采用异构方式实现业务控制与算法计算分离。基于Java Spring Boot开发的服务是整个系统的中枢</w:t>
      </w:r>
      <w:r>
        <w:rPr>
          <w:rStyle w:val="33"/>
          <w:rFonts w:hint="eastAsia"/>
        </w:rPr>
        <w:t>[58]</w:t>
      </w:r>
      <w:r>
        <w:rPr>
          <w:rFonts w:hint="eastAsia"/>
        </w:rPr>
        <w:t>，连接展示层和数据持久化层。而基于Python Flask开发的小型推理服务只进行与模型相关的运算操作</w:t>
      </w:r>
      <w:r>
        <w:rPr>
          <w:rStyle w:val="33"/>
          <w:rFonts w:hint="eastAsia"/>
        </w:rPr>
        <w:t>[59]</w:t>
      </w:r>
      <w:r>
        <w:rPr>
          <w:rFonts w:hint="eastAsia"/>
        </w:rPr>
        <w:t>，该服务集成PyTorch深度学习库，用于加载已经训练好的BERT-TextCNN模型并对外暴露稳定高效在线推理API供外部使用来对专利文本进行分类预测。</w:t>
      </w:r>
    </w:p>
    <w:p w14:paraId="3995CAC3">
      <w:pPr>
        <w:numPr>
          <w:ilvl w:val="0"/>
          <w:numId w:val="16"/>
        </w:numPr>
        <w:ind w:firstLine="480"/>
      </w:pPr>
      <w:r>
        <w:rPr>
          <w:rFonts w:hint="eastAsia"/>
        </w:rPr>
        <w:t>数据与模型层</w:t>
      </w:r>
    </w:p>
    <w:p w14:paraId="42907BB9">
      <w:pPr>
        <w:ind w:firstLine="480"/>
      </w:pPr>
      <w:r>
        <w:rPr>
          <w:rFonts w:hint="eastAsia"/>
        </w:rPr>
        <w:t>数据与模型层包括MySQL数据库和本地模型文件</w:t>
      </w:r>
      <w:r>
        <w:rPr>
          <w:rStyle w:val="33"/>
          <w:rFonts w:hint="eastAsia"/>
        </w:rPr>
        <w:t>[60]</w:t>
      </w:r>
      <w:r>
        <w:rPr>
          <w:rFonts w:hint="eastAsia"/>
        </w:rPr>
        <w:t>。MySQL保存用户信息和分类记录；模型文件包括训练完成的BERT-TextCNN权重、配置文件和预训练语言模型相关资源。Python服务启动后加载模型文件，并在后续请求中复用已加载模型。</w:t>
      </w:r>
    </w:p>
    <w:p w14:paraId="3BE73CBA">
      <w:pPr>
        <w:pStyle w:val="4"/>
        <w:numPr>
          <w:ilvl w:val="2"/>
          <w:numId w:val="1"/>
        </w:numPr>
      </w:pPr>
      <w:bookmarkStart w:id="231" w:name="_Toc229086908"/>
      <w:bookmarkStart w:id="232" w:name="_Toc9294"/>
      <w:r>
        <w:rPr>
          <w:rFonts w:hint="eastAsia"/>
        </w:rPr>
        <w:t>数据库设计</w:t>
      </w:r>
      <w:bookmarkEnd w:id="231"/>
      <w:bookmarkEnd w:id="232"/>
    </w:p>
    <w:p w14:paraId="31118137">
      <w:pPr>
        <w:ind w:firstLine="480"/>
        <w:rPr>
          <w:highlight w:val="yellow"/>
        </w:rPr>
      </w:pPr>
      <w:r>
        <w:rPr>
          <w:rFonts w:hint="eastAsia"/>
          <w:highlight w:val="yellow"/>
        </w:rPr>
        <w:t>系统数据库设计符合第三范式3NF，系统数据库用于保存用户认证信息和分类记录信息，主要包含user用户表和classification_record分类记录表。一个用户可以对应多条分类记录，两张表之间通过用户ID建立关联。数据库ER图如图5-2所示</w:t>
      </w:r>
      <w:r>
        <w:rPr>
          <w:highlight w:val="yellow"/>
        </w:rPr>
        <w:t>。</w:t>
      </w:r>
    </w:p>
    <w:p w14:paraId="0796E610">
      <w:pPr>
        <w:ind w:firstLine="0" w:firstLineChars="0"/>
        <w:rPr>
          <w:highlight w:val="yellow"/>
        </w:rPr>
      </w:pPr>
      <w:r>
        <w:rPr>
          <w:rFonts w:hint="eastAsia"/>
          <w:highlight w:val="yellow"/>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4304A770">
      <w:pPr>
        <w:pStyle w:val="25"/>
        <w:rPr>
          <w:rFonts w:hint="default"/>
          <w:highlight w:val="yellow"/>
        </w:rPr>
      </w:pPr>
      <w:r>
        <w:rPr>
          <w:highlight w:val="yellow"/>
        </w:rPr>
        <w:t>图5-2  数据库ER图</w:t>
      </w:r>
    </w:p>
    <w:p w14:paraId="2498534C">
      <w:pPr>
        <w:ind w:firstLine="480"/>
        <w:rPr>
          <w:highlight w:val="yellow"/>
        </w:rPr>
      </w:pPr>
      <w:r>
        <w:rPr>
          <w:rFonts w:hint="eastAsia"/>
          <w:highlight w:val="yellow"/>
        </w:rPr>
        <w:t>user表用于保存用户账号、密码、密保问题和密保答案等信息，其字段设计如表5-2所示。</w:t>
      </w:r>
    </w:p>
    <w:p w14:paraId="02C05BC3">
      <w:pPr>
        <w:pStyle w:val="25"/>
        <w:rPr>
          <w:rFonts w:hint="default"/>
          <w:highlight w:val="yellow"/>
        </w:rPr>
      </w:pPr>
      <w:r>
        <w:rPr>
          <w:highlight w:val="yellow"/>
        </w:rPr>
        <w:t>表5-2  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1C82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288CF074">
            <w:pPr>
              <w:pStyle w:val="26"/>
              <w:rPr>
                <w:rFonts w:hint="default"/>
                <w:highlight w:val="yellow"/>
              </w:rPr>
            </w:pPr>
            <w:r>
              <w:rPr>
                <w:rFonts w:hint="default"/>
                <w:highlight w:val="yellow"/>
              </w:rPr>
              <w:t>字段名称</w:t>
            </w:r>
          </w:p>
        </w:tc>
        <w:tc>
          <w:tcPr>
            <w:tcW w:w="780" w:type="pct"/>
            <w:tcBorders>
              <w:top w:val="single" w:color="auto" w:sz="8" w:space="0"/>
              <w:left w:val="nil"/>
              <w:bottom w:val="single" w:color="auto" w:sz="6" w:space="0"/>
              <w:right w:val="nil"/>
            </w:tcBorders>
            <w:vAlign w:val="bottom"/>
          </w:tcPr>
          <w:p w14:paraId="41F156DA">
            <w:pPr>
              <w:pStyle w:val="26"/>
              <w:rPr>
                <w:rFonts w:hint="default"/>
                <w:highlight w:val="yellow"/>
              </w:rPr>
            </w:pPr>
            <w:r>
              <w:rPr>
                <w:rFonts w:hint="default"/>
                <w:highlight w:val="yellow"/>
              </w:rPr>
              <w:t>数据类型</w:t>
            </w:r>
          </w:p>
        </w:tc>
        <w:tc>
          <w:tcPr>
            <w:tcW w:w="2012" w:type="pct"/>
            <w:tcBorders>
              <w:top w:val="single" w:color="auto" w:sz="8" w:space="0"/>
              <w:left w:val="nil"/>
              <w:bottom w:val="single" w:color="auto" w:sz="6" w:space="0"/>
              <w:right w:val="nil"/>
            </w:tcBorders>
            <w:vAlign w:val="bottom"/>
          </w:tcPr>
          <w:p w14:paraId="629DC954">
            <w:pPr>
              <w:pStyle w:val="26"/>
              <w:rPr>
                <w:rFonts w:hint="default"/>
                <w:highlight w:val="yellow"/>
              </w:rPr>
            </w:pPr>
            <w:r>
              <w:rPr>
                <w:rFonts w:hint="default"/>
                <w:highlight w:val="yellow"/>
              </w:rPr>
              <w:t>约束条件</w:t>
            </w:r>
          </w:p>
        </w:tc>
        <w:tc>
          <w:tcPr>
            <w:tcW w:w="1422" w:type="pct"/>
            <w:tcBorders>
              <w:top w:val="single" w:color="auto" w:sz="8" w:space="0"/>
              <w:left w:val="nil"/>
              <w:bottom w:val="single" w:color="auto" w:sz="6" w:space="0"/>
              <w:right w:val="nil"/>
            </w:tcBorders>
            <w:vAlign w:val="bottom"/>
          </w:tcPr>
          <w:p w14:paraId="5A417714">
            <w:pPr>
              <w:pStyle w:val="26"/>
              <w:rPr>
                <w:rFonts w:hint="default"/>
                <w:highlight w:val="yellow"/>
              </w:rPr>
            </w:pPr>
            <w:r>
              <w:rPr>
                <w:rFonts w:hint="default"/>
                <w:highlight w:val="yellow"/>
              </w:rPr>
              <w:t>字段说明</w:t>
            </w:r>
          </w:p>
        </w:tc>
      </w:tr>
      <w:tr w14:paraId="36B5B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451663CF">
            <w:pPr>
              <w:pStyle w:val="26"/>
              <w:rPr>
                <w:rFonts w:hint="default"/>
                <w:highlight w:val="yellow"/>
              </w:rPr>
            </w:pPr>
            <w:r>
              <w:rPr>
                <w:rFonts w:hint="default"/>
                <w:highlight w:val="yellow"/>
              </w:rPr>
              <w:t>id</w:t>
            </w:r>
          </w:p>
        </w:tc>
        <w:tc>
          <w:tcPr>
            <w:tcW w:w="780" w:type="pct"/>
            <w:tcBorders>
              <w:top w:val="single" w:color="auto" w:sz="6" w:space="0"/>
              <w:left w:val="nil"/>
              <w:bottom w:val="nil"/>
              <w:right w:val="nil"/>
            </w:tcBorders>
            <w:vAlign w:val="bottom"/>
          </w:tcPr>
          <w:p w14:paraId="06FFD30B">
            <w:pPr>
              <w:pStyle w:val="26"/>
              <w:rPr>
                <w:rFonts w:hint="default"/>
                <w:highlight w:val="yellow"/>
              </w:rPr>
            </w:pPr>
            <w:r>
              <w:rPr>
                <w:highlight w:val="yellow"/>
              </w:rPr>
              <w:t>INT</w:t>
            </w:r>
          </w:p>
        </w:tc>
        <w:tc>
          <w:tcPr>
            <w:tcW w:w="2012" w:type="pct"/>
            <w:tcBorders>
              <w:top w:val="single" w:color="auto" w:sz="6" w:space="0"/>
              <w:left w:val="nil"/>
              <w:bottom w:val="nil"/>
              <w:right w:val="nil"/>
            </w:tcBorders>
            <w:vAlign w:val="bottom"/>
          </w:tcPr>
          <w:p w14:paraId="1F50147B">
            <w:pPr>
              <w:pStyle w:val="26"/>
              <w:rPr>
                <w:rFonts w:hint="default"/>
                <w:highlight w:val="yellow"/>
              </w:rPr>
            </w:pPr>
            <w:r>
              <w:rPr>
                <w:rFonts w:hint="default"/>
                <w:highlight w:val="yellow"/>
              </w:rPr>
              <w:t>PrimaryKey,AutoIncrement</w:t>
            </w:r>
          </w:p>
        </w:tc>
        <w:tc>
          <w:tcPr>
            <w:tcW w:w="1422" w:type="pct"/>
            <w:tcBorders>
              <w:top w:val="single" w:color="auto" w:sz="6" w:space="0"/>
              <w:left w:val="nil"/>
              <w:bottom w:val="nil"/>
              <w:right w:val="nil"/>
            </w:tcBorders>
            <w:vAlign w:val="bottom"/>
          </w:tcPr>
          <w:p w14:paraId="5E2E7119">
            <w:pPr>
              <w:pStyle w:val="26"/>
              <w:rPr>
                <w:rFonts w:hint="default"/>
                <w:highlight w:val="yellow"/>
              </w:rPr>
            </w:pPr>
            <w:r>
              <w:rPr>
                <w:rFonts w:hint="default"/>
                <w:highlight w:val="yellow"/>
              </w:rPr>
              <w:t>用户唯一标识ID</w:t>
            </w:r>
          </w:p>
        </w:tc>
      </w:tr>
      <w:tr w14:paraId="5F0E9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736E6C19">
            <w:pPr>
              <w:pStyle w:val="26"/>
              <w:rPr>
                <w:rFonts w:hint="default"/>
                <w:highlight w:val="yellow"/>
              </w:rPr>
            </w:pPr>
            <w:r>
              <w:rPr>
                <w:rFonts w:hint="default"/>
                <w:highlight w:val="yellow"/>
              </w:rPr>
              <w:t>username</w:t>
            </w:r>
          </w:p>
        </w:tc>
        <w:tc>
          <w:tcPr>
            <w:tcW w:w="780" w:type="pct"/>
            <w:tcBorders>
              <w:top w:val="nil"/>
              <w:left w:val="nil"/>
              <w:bottom w:val="nil"/>
              <w:right w:val="nil"/>
            </w:tcBorders>
            <w:vAlign w:val="bottom"/>
          </w:tcPr>
          <w:p w14:paraId="6E360001">
            <w:pPr>
              <w:pStyle w:val="26"/>
              <w:rPr>
                <w:rFonts w:hint="default"/>
                <w:highlight w:val="yellow"/>
              </w:rPr>
            </w:pPr>
            <w:r>
              <w:rPr>
                <w:rFonts w:hint="default"/>
                <w:highlight w:val="yellow"/>
              </w:rPr>
              <w:t>VARCHAR(50)</w:t>
            </w:r>
          </w:p>
        </w:tc>
        <w:tc>
          <w:tcPr>
            <w:tcW w:w="2012" w:type="pct"/>
            <w:tcBorders>
              <w:top w:val="nil"/>
              <w:left w:val="nil"/>
              <w:bottom w:val="nil"/>
              <w:right w:val="nil"/>
            </w:tcBorders>
            <w:vAlign w:val="bottom"/>
          </w:tcPr>
          <w:p w14:paraId="28AB0932">
            <w:pPr>
              <w:pStyle w:val="26"/>
              <w:rPr>
                <w:rFonts w:hint="default"/>
                <w:highlight w:val="yellow"/>
              </w:rPr>
            </w:pPr>
            <w:r>
              <w:rPr>
                <w:rFonts w:hint="default"/>
                <w:highlight w:val="yellow"/>
              </w:rPr>
              <w:t>Unique,NotNull</w:t>
            </w:r>
          </w:p>
        </w:tc>
        <w:tc>
          <w:tcPr>
            <w:tcW w:w="1422" w:type="pct"/>
            <w:tcBorders>
              <w:top w:val="nil"/>
              <w:left w:val="nil"/>
              <w:bottom w:val="nil"/>
              <w:right w:val="nil"/>
            </w:tcBorders>
            <w:vAlign w:val="bottom"/>
          </w:tcPr>
          <w:p w14:paraId="448C8D1E">
            <w:pPr>
              <w:pStyle w:val="26"/>
              <w:rPr>
                <w:rFonts w:hint="default"/>
                <w:highlight w:val="yellow"/>
              </w:rPr>
            </w:pPr>
            <w:r>
              <w:rPr>
                <w:rFonts w:hint="default"/>
                <w:highlight w:val="yellow"/>
              </w:rPr>
              <w:t>登录用户名</w:t>
            </w:r>
          </w:p>
        </w:tc>
      </w:tr>
      <w:tr w14:paraId="0D75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4E94DED6">
            <w:pPr>
              <w:pStyle w:val="26"/>
              <w:rPr>
                <w:rFonts w:hint="default"/>
                <w:highlight w:val="yellow"/>
              </w:rPr>
            </w:pPr>
            <w:r>
              <w:rPr>
                <w:rFonts w:hint="default"/>
                <w:highlight w:val="yellow"/>
              </w:rPr>
              <w:t>password</w:t>
            </w:r>
          </w:p>
        </w:tc>
        <w:tc>
          <w:tcPr>
            <w:tcW w:w="780" w:type="pct"/>
            <w:tcBorders>
              <w:top w:val="nil"/>
              <w:left w:val="nil"/>
              <w:bottom w:val="nil"/>
              <w:right w:val="nil"/>
            </w:tcBorders>
            <w:vAlign w:val="bottom"/>
          </w:tcPr>
          <w:p w14:paraId="4035A9A2">
            <w:pPr>
              <w:pStyle w:val="26"/>
              <w:rPr>
                <w:rFonts w:hint="default"/>
                <w:highlight w:val="yellow"/>
              </w:rPr>
            </w:pPr>
            <w:r>
              <w:rPr>
                <w:rFonts w:hint="default"/>
                <w:highlight w:val="yellow"/>
              </w:rPr>
              <w:t>VARCHAR(</w:t>
            </w:r>
            <w:r>
              <w:rPr>
                <w:highlight w:val="yellow"/>
              </w:rPr>
              <w:t>100</w:t>
            </w:r>
            <w:r>
              <w:rPr>
                <w:rFonts w:hint="default"/>
                <w:highlight w:val="yellow"/>
              </w:rPr>
              <w:t>)</w:t>
            </w:r>
          </w:p>
        </w:tc>
        <w:tc>
          <w:tcPr>
            <w:tcW w:w="2012" w:type="pct"/>
            <w:tcBorders>
              <w:top w:val="nil"/>
              <w:left w:val="nil"/>
              <w:bottom w:val="nil"/>
              <w:right w:val="nil"/>
            </w:tcBorders>
            <w:vAlign w:val="bottom"/>
          </w:tcPr>
          <w:p w14:paraId="65B98949">
            <w:pPr>
              <w:pStyle w:val="26"/>
              <w:rPr>
                <w:rFonts w:hint="default"/>
                <w:highlight w:val="yellow"/>
              </w:rPr>
            </w:pPr>
            <w:r>
              <w:rPr>
                <w:rFonts w:hint="default"/>
                <w:highlight w:val="yellow"/>
              </w:rPr>
              <w:t>NotNull</w:t>
            </w:r>
          </w:p>
        </w:tc>
        <w:tc>
          <w:tcPr>
            <w:tcW w:w="1422" w:type="pct"/>
            <w:tcBorders>
              <w:top w:val="nil"/>
              <w:left w:val="nil"/>
              <w:bottom w:val="nil"/>
              <w:right w:val="nil"/>
            </w:tcBorders>
            <w:vAlign w:val="bottom"/>
          </w:tcPr>
          <w:p w14:paraId="19D4A2C5">
            <w:pPr>
              <w:pStyle w:val="26"/>
              <w:rPr>
                <w:rFonts w:hint="default"/>
                <w:highlight w:val="yellow"/>
              </w:rPr>
            </w:pPr>
            <w:r>
              <w:rPr>
                <w:rFonts w:hint="default"/>
                <w:highlight w:val="yellow"/>
              </w:rPr>
              <w:t>加密存储的登录密码</w:t>
            </w:r>
          </w:p>
        </w:tc>
      </w:tr>
      <w:tr w14:paraId="36DA3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E7129CA">
            <w:pPr>
              <w:pStyle w:val="26"/>
              <w:rPr>
                <w:rFonts w:hint="default"/>
                <w:highlight w:val="yellow"/>
              </w:rPr>
            </w:pPr>
            <w:r>
              <w:rPr>
                <w:rFonts w:hint="default"/>
                <w:highlight w:val="yellow"/>
              </w:rPr>
              <w:t>question</w:t>
            </w:r>
          </w:p>
        </w:tc>
        <w:tc>
          <w:tcPr>
            <w:tcW w:w="780" w:type="pct"/>
            <w:tcBorders>
              <w:top w:val="nil"/>
              <w:left w:val="nil"/>
              <w:bottom w:val="nil"/>
              <w:right w:val="nil"/>
            </w:tcBorders>
            <w:vAlign w:val="bottom"/>
          </w:tcPr>
          <w:p w14:paraId="365D0CEA">
            <w:pPr>
              <w:pStyle w:val="26"/>
              <w:rPr>
                <w:rFonts w:hint="default"/>
                <w:highlight w:val="yellow"/>
              </w:rPr>
            </w:pPr>
            <w:r>
              <w:rPr>
                <w:rFonts w:hint="default"/>
                <w:highlight w:val="yellow"/>
              </w:rPr>
              <w:t>VARCHAR(</w:t>
            </w:r>
            <w:r>
              <w:rPr>
                <w:highlight w:val="yellow"/>
              </w:rPr>
              <w:t>20</w:t>
            </w:r>
            <w:r>
              <w:rPr>
                <w:rFonts w:hint="default"/>
                <w:highlight w:val="yellow"/>
              </w:rPr>
              <w:t>0)</w:t>
            </w:r>
          </w:p>
        </w:tc>
        <w:tc>
          <w:tcPr>
            <w:tcW w:w="2012" w:type="pct"/>
            <w:tcBorders>
              <w:top w:val="nil"/>
              <w:left w:val="nil"/>
              <w:bottom w:val="nil"/>
              <w:right w:val="nil"/>
            </w:tcBorders>
            <w:vAlign w:val="bottom"/>
          </w:tcPr>
          <w:p w14:paraId="2AC54161">
            <w:pPr>
              <w:pStyle w:val="26"/>
              <w:rPr>
                <w:rFonts w:hint="default"/>
                <w:highlight w:val="yellow"/>
              </w:rPr>
            </w:pPr>
            <w:r>
              <w:rPr>
                <w:rFonts w:hint="default"/>
                <w:highlight w:val="yellow"/>
              </w:rPr>
              <w:t>NotNull</w:t>
            </w:r>
          </w:p>
        </w:tc>
        <w:tc>
          <w:tcPr>
            <w:tcW w:w="1422" w:type="pct"/>
            <w:tcBorders>
              <w:top w:val="nil"/>
              <w:left w:val="nil"/>
              <w:bottom w:val="nil"/>
              <w:right w:val="nil"/>
            </w:tcBorders>
            <w:vAlign w:val="bottom"/>
          </w:tcPr>
          <w:p w14:paraId="6C69EDF1">
            <w:pPr>
              <w:pStyle w:val="26"/>
              <w:rPr>
                <w:rFonts w:hint="default"/>
                <w:highlight w:val="yellow"/>
              </w:rPr>
            </w:pPr>
            <w:r>
              <w:rPr>
                <w:rFonts w:hint="default"/>
                <w:highlight w:val="yellow"/>
              </w:rPr>
              <w:t>密码找回安全问题</w:t>
            </w:r>
          </w:p>
        </w:tc>
      </w:tr>
      <w:tr w14:paraId="5F907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6B794709">
            <w:pPr>
              <w:pStyle w:val="26"/>
              <w:rPr>
                <w:rFonts w:hint="default"/>
                <w:highlight w:val="yellow"/>
              </w:rPr>
            </w:pPr>
            <w:r>
              <w:rPr>
                <w:rFonts w:hint="default"/>
                <w:highlight w:val="yellow"/>
              </w:rPr>
              <w:t>answer</w:t>
            </w:r>
          </w:p>
        </w:tc>
        <w:tc>
          <w:tcPr>
            <w:tcW w:w="780" w:type="pct"/>
            <w:tcBorders>
              <w:top w:val="nil"/>
              <w:left w:val="nil"/>
              <w:bottom w:val="single" w:color="auto" w:sz="8" w:space="0"/>
              <w:right w:val="nil"/>
            </w:tcBorders>
            <w:vAlign w:val="bottom"/>
          </w:tcPr>
          <w:p w14:paraId="26A70AEC">
            <w:pPr>
              <w:pStyle w:val="26"/>
              <w:rPr>
                <w:rFonts w:hint="default"/>
                <w:highlight w:val="yellow"/>
              </w:rPr>
            </w:pPr>
            <w:r>
              <w:rPr>
                <w:rFonts w:hint="default"/>
                <w:highlight w:val="yellow"/>
              </w:rPr>
              <w:t>VARCHAR(</w:t>
            </w:r>
            <w:r>
              <w:rPr>
                <w:highlight w:val="yellow"/>
              </w:rPr>
              <w:t>20</w:t>
            </w:r>
            <w:r>
              <w:rPr>
                <w:rFonts w:hint="default"/>
                <w:highlight w:val="yellow"/>
              </w:rPr>
              <w:t>0)</w:t>
            </w:r>
          </w:p>
        </w:tc>
        <w:tc>
          <w:tcPr>
            <w:tcW w:w="2012" w:type="pct"/>
            <w:tcBorders>
              <w:top w:val="nil"/>
              <w:left w:val="nil"/>
              <w:bottom w:val="single" w:color="auto" w:sz="8" w:space="0"/>
              <w:right w:val="nil"/>
            </w:tcBorders>
            <w:vAlign w:val="bottom"/>
          </w:tcPr>
          <w:p w14:paraId="715AD3E0">
            <w:pPr>
              <w:pStyle w:val="26"/>
              <w:rPr>
                <w:rFonts w:hint="default"/>
                <w:highlight w:val="yellow"/>
              </w:rPr>
            </w:pPr>
            <w:r>
              <w:rPr>
                <w:rFonts w:hint="default"/>
                <w:highlight w:val="yellow"/>
              </w:rPr>
              <w:t>NotNull</w:t>
            </w:r>
          </w:p>
        </w:tc>
        <w:tc>
          <w:tcPr>
            <w:tcW w:w="1422" w:type="pct"/>
            <w:tcBorders>
              <w:top w:val="nil"/>
              <w:left w:val="nil"/>
              <w:bottom w:val="single" w:color="auto" w:sz="8" w:space="0"/>
              <w:right w:val="nil"/>
            </w:tcBorders>
            <w:vAlign w:val="bottom"/>
          </w:tcPr>
          <w:p w14:paraId="447F37E7">
            <w:pPr>
              <w:pStyle w:val="26"/>
              <w:rPr>
                <w:rFonts w:hint="default"/>
                <w:highlight w:val="yellow"/>
              </w:rPr>
            </w:pPr>
            <w:r>
              <w:rPr>
                <w:rFonts w:hint="default"/>
                <w:highlight w:val="yellow"/>
              </w:rPr>
              <w:t>密码找回安全答案</w:t>
            </w:r>
          </w:p>
        </w:tc>
      </w:tr>
    </w:tbl>
    <w:p w14:paraId="447543CD">
      <w:pPr>
        <w:ind w:firstLine="480"/>
        <w:rPr>
          <w:highlight w:val="yellow"/>
        </w:rPr>
      </w:pPr>
      <w:r>
        <w:rPr>
          <w:rFonts w:hint="eastAsia"/>
          <w:highlight w:val="yellow"/>
        </w:rPr>
        <w:t>classification_record表用于保存分类输出结果，其字段设计如表5-3所示。该表通过source字段区分单条分类和批量分类，通过batch_id字段标识同一次批量任务，从而支持按来源和按批次查询。</w:t>
      </w:r>
    </w:p>
    <w:p w14:paraId="61B6F872">
      <w:pPr>
        <w:ind w:firstLine="0" w:firstLineChars="0"/>
        <w:rPr>
          <w:highlight w:val="yellow"/>
        </w:rPr>
      </w:pPr>
    </w:p>
    <w:p w14:paraId="4316C689">
      <w:pPr>
        <w:ind w:firstLine="0" w:firstLineChars="0"/>
        <w:rPr>
          <w:highlight w:val="yellow"/>
        </w:rPr>
      </w:pPr>
    </w:p>
    <w:p w14:paraId="58EAD960">
      <w:pPr>
        <w:ind w:firstLine="0" w:firstLineChars="0"/>
        <w:rPr>
          <w:highlight w:val="yellow"/>
        </w:rPr>
      </w:pPr>
    </w:p>
    <w:p w14:paraId="4366199C">
      <w:pPr>
        <w:pStyle w:val="25"/>
        <w:rPr>
          <w:rFonts w:hint="default"/>
          <w:highlight w:val="yellow"/>
        </w:rPr>
      </w:pPr>
      <w:r>
        <w:rPr>
          <w:highlight w:val="yellow"/>
        </w:rPr>
        <w:t>表5-3  分类记录表</w:t>
      </w:r>
      <w:bookmarkStart w:id="233"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69307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3EF15A9A">
            <w:pPr>
              <w:pStyle w:val="26"/>
              <w:rPr>
                <w:rFonts w:hint="default"/>
                <w:highlight w:val="yellow"/>
              </w:rPr>
            </w:pPr>
            <w:r>
              <w:rPr>
                <w:rFonts w:hint="default"/>
                <w:highlight w:val="yellow"/>
              </w:rPr>
              <w:t>字段名称</w:t>
            </w:r>
          </w:p>
        </w:tc>
        <w:tc>
          <w:tcPr>
            <w:tcW w:w="1800" w:type="dxa"/>
            <w:tcBorders>
              <w:top w:val="single" w:color="000000" w:sz="8" w:space="0"/>
              <w:left w:val="nil"/>
              <w:bottom w:val="single" w:color="auto" w:sz="6" w:space="0"/>
              <w:right w:val="nil"/>
            </w:tcBorders>
            <w:shd w:val="clear" w:color="auto" w:fill="FFFFFF"/>
            <w:vAlign w:val="center"/>
          </w:tcPr>
          <w:p w14:paraId="4C2D931F">
            <w:pPr>
              <w:pStyle w:val="26"/>
              <w:rPr>
                <w:rFonts w:hint="default"/>
                <w:highlight w:val="yellow"/>
              </w:rPr>
            </w:pPr>
            <w:r>
              <w:rPr>
                <w:rFonts w:hint="default"/>
                <w:highlight w:val="yellow"/>
              </w:rPr>
              <w:t>数据类型</w:t>
            </w:r>
          </w:p>
        </w:tc>
        <w:tc>
          <w:tcPr>
            <w:tcW w:w="2286" w:type="dxa"/>
            <w:tcBorders>
              <w:top w:val="single" w:color="000000" w:sz="8" w:space="0"/>
              <w:left w:val="nil"/>
              <w:bottom w:val="single" w:color="auto" w:sz="6" w:space="0"/>
              <w:right w:val="nil"/>
            </w:tcBorders>
            <w:shd w:val="clear" w:color="auto" w:fill="FFFFFF"/>
            <w:vAlign w:val="center"/>
          </w:tcPr>
          <w:p w14:paraId="0B71E98D">
            <w:pPr>
              <w:pStyle w:val="26"/>
              <w:rPr>
                <w:rFonts w:hint="default"/>
                <w:highlight w:val="yellow"/>
              </w:rPr>
            </w:pPr>
            <w:r>
              <w:rPr>
                <w:rFonts w:hint="default"/>
                <w:highlight w:val="yellow"/>
              </w:rPr>
              <w:t>约束条件</w:t>
            </w:r>
          </w:p>
        </w:tc>
        <w:tc>
          <w:tcPr>
            <w:tcW w:w="2720" w:type="dxa"/>
            <w:tcBorders>
              <w:top w:val="single" w:color="000000" w:sz="8" w:space="0"/>
              <w:left w:val="nil"/>
              <w:bottom w:val="single" w:color="auto" w:sz="6" w:space="0"/>
              <w:right w:val="nil"/>
            </w:tcBorders>
            <w:shd w:val="clear" w:color="auto" w:fill="FFFFFF"/>
            <w:vAlign w:val="center"/>
          </w:tcPr>
          <w:p w14:paraId="2C197F2B">
            <w:pPr>
              <w:pStyle w:val="26"/>
              <w:rPr>
                <w:rFonts w:hint="default"/>
                <w:highlight w:val="yellow"/>
              </w:rPr>
            </w:pPr>
            <w:r>
              <w:rPr>
                <w:rFonts w:hint="default"/>
                <w:highlight w:val="yellow"/>
              </w:rPr>
              <w:t>字段说明</w:t>
            </w:r>
          </w:p>
        </w:tc>
      </w:tr>
      <w:tr w14:paraId="278D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tcPr>
          <w:p w14:paraId="024F7370">
            <w:pPr>
              <w:pStyle w:val="26"/>
              <w:rPr>
                <w:rFonts w:hint="default"/>
                <w:highlight w:val="yellow"/>
              </w:rPr>
            </w:pPr>
            <w:r>
              <w:rPr>
                <w:rFonts w:hint="default"/>
                <w:highlight w:val="yellow"/>
              </w:rPr>
              <w:t>id</w:t>
            </w:r>
          </w:p>
        </w:tc>
        <w:tc>
          <w:tcPr>
            <w:tcW w:w="1800" w:type="dxa"/>
            <w:tcBorders>
              <w:top w:val="single" w:color="auto" w:sz="6" w:space="0"/>
              <w:left w:val="nil"/>
              <w:bottom w:val="nil"/>
              <w:right w:val="nil"/>
            </w:tcBorders>
            <w:shd w:val="clear" w:color="auto" w:fill="FFFFFF"/>
          </w:tcPr>
          <w:p w14:paraId="3D0C52E6">
            <w:pPr>
              <w:pStyle w:val="26"/>
              <w:rPr>
                <w:rFonts w:hint="default"/>
                <w:highlight w:val="yellow"/>
              </w:rPr>
            </w:pPr>
            <w:r>
              <w:rPr>
                <w:rFonts w:hint="default"/>
                <w:highlight w:val="yellow"/>
              </w:rPr>
              <w:t>BIGINT</w:t>
            </w:r>
          </w:p>
        </w:tc>
        <w:tc>
          <w:tcPr>
            <w:tcW w:w="2286" w:type="dxa"/>
            <w:tcBorders>
              <w:top w:val="single" w:color="auto" w:sz="6" w:space="0"/>
              <w:left w:val="nil"/>
              <w:bottom w:val="nil"/>
              <w:right w:val="nil"/>
            </w:tcBorders>
            <w:shd w:val="clear" w:color="auto" w:fill="FFFFFF"/>
          </w:tcPr>
          <w:p w14:paraId="1CD518C7">
            <w:pPr>
              <w:pStyle w:val="26"/>
              <w:rPr>
                <w:rFonts w:hint="default"/>
                <w:highlight w:val="yellow"/>
              </w:rPr>
            </w:pPr>
            <w:r>
              <w:rPr>
                <w:rFonts w:hint="default"/>
                <w:highlight w:val="yellow"/>
              </w:rPr>
              <w:t>PrimaryKey,AutoIncrement</w:t>
            </w:r>
          </w:p>
        </w:tc>
        <w:tc>
          <w:tcPr>
            <w:tcW w:w="2720" w:type="dxa"/>
            <w:tcBorders>
              <w:top w:val="single" w:color="auto" w:sz="6" w:space="0"/>
              <w:left w:val="nil"/>
              <w:bottom w:val="nil"/>
              <w:right w:val="nil"/>
            </w:tcBorders>
            <w:shd w:val="clear" w:color="auto" w:fill="FFFFFF"/>
          </w:tcPr>
          <w:p w14:paraId="36243EE5">
            <w:pPr>
              <w:pStyle w:val="26"/>
              <w:rPr>
                <w:rFonts w:hint="default"/>
                <w:highlight w:val="yellow"/>
              </w:rPr>
            </w:pPr>
            <w:r>
              <w:rPr>
                <w:rFonts w:hint="default"/>
                <w:highlight w:val="yellow"/>
              </w:rPr>
              <w:t>记录唯一标识</w:t>
            </w:r>
          </w:p>
        </w:tc>
      </w:tr>
      <w:tr w14:paraId="1F63C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7EFEB1E8">
            <w:pPr>
              <w:pStyle w:val="26"/>
              <w:rPr>
                <w:rFonts w:hint="default"/>
                <w:highlight w:val="yellow"/>
              </w:rPr>
            </w:pPr>
            <w:r>
              <w:rPr>
                <w:rFonts w:hint="default"/>
                <w:highlight w:val="yellow"/>
              </w:rPr>
              <w:t>user_id</w:t>
            </w:r>
          </w:p>
        </w:tc>
        <w:tc>
          <w:tcPr>
            <w:tcW w:w="1800" w:type="dxa"/>
            <w:tcBorders>
              <w:top w:val="nil"/>
              <w:left w:val="nil"/>
              <w:bottom w:val="nil"/>
              <w:right w:val="nil"/>
            </w:tcBorders>
            <w:shd w:val="clear" w:color="auto" w:fill="FFFFFF"/>
          </w:tcPr>
          <w:p w14:paraId="0BFC0B7E">
            <w:pPr>
              <w:pStyle w:val="26"/>
              <w:rPr>
                <w:rFonts w:hint="default"/>
                <w:highlight w:val="yellow"/>
              </w:rPr>
            </w:pPr>
            <w:r>
              <w:rPr>
                <w:rFonts w:hint="default"/>
                <w:highlight w:val="yellow"/>
              </w:rPr>
              <w:t>INT</w:t>
            </w:r>
          </w:p>
        </w:tc>
        <w:tc>
          <w:tcPr>
            <w:tcW w:w="2286" w:type="dxa"/>
            <w:tcBorders>
              <w:top w:val="nil"/>
              <w:left w:val="nil"/>
              <w:bottom w:val="nil"/>
              <w:right w:val="nil"/>
            </w:tcBorders>
            <w:shd w:val="clear" w:color="auto" w:fill="FFFFFF"/>
          </w:tcPr>
          <w:p w14:paraId="5F519E23">
            <w:pPr>
              <w:pStyle w:val="26"/>
              <w:rPr>
                <w:rFonts w:hint="default"/>
                <w:highlight w:val="yellow"/>
              </w:rPr>
            </w:pPr>
            <w:r>
              <w:rPr>
                <w:rFonts w:hint="default"/>
                <w:highlight w:val="yellow"/>
              </w:rPr>
              <w:t>Index,NotNull</w:t>
            </w:r>
          </w:p>
        </w:tc>
        <w:tc>
          <w:tcPr>
            <w:tcW w:w="2720" w:type="dxa"/>
            <w:tcBorders>
              <w:top w:val="nil"/>
              <w:left w:val="nil"/>
              <w:bottom w:val="nil"/>
              <w:right w:val="nil"/>
            </w:tcBorders>
            <w:shd w:val="clear" w:color="auto" w:fill="FFFFFF"/>
          </w:tcPr>
          <w:p w14:paraId="592C9BDA">
            <w:pPr>
              <w:pStyle w:val="26"/>
              <w:rPr>
                <w:rFonts w:hint="default"/>
                <w:highlight w:val="yellow"/>
              </w:rPr>
            </w:pPr>
            <w:r>
              <w:rPr>
                <w:rFonts w:hint="default"/>
                <w:highlight w:val="yellow"/>
              </w:rPr>
              <w:t>用户ID，0表示匿名用户</w:t>
            </w:r>
          </w:p>
        </w:tc>
      </w:tr>
      <w:tr w14:paraId="6C764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52B07B9D">
            <w:pPr>
              <w:pStyle w:val="26"/>
              <w:rPr>
                <w:rFonts w:hint="default"/>
                <w:highlight w:val="yellow"/>
              </w:rPr>
            </w:pPr>
            <w:r>
              <w:rPr>
                <w:rFonts w:hint="default"/>
                <w:highlight w:val="yellow"/>
              </w:rPr>
              <w:t>summary</w:t>
            </w:r>
          </w:p>
        </w:tc>
        <w:tc>
          <w:tcPr>
            <w:tcW w:w="1800" w:type="dxa"/>
            <w:tcBorders>
              <w:top w:val="nil"/>
              <w:left w:val="nil"/>
              <w:bottom w:val="nil"/>
              <w:right w:val="nil"/>
            </w:tcBorders>
            <w:shd w:val="clear" w:color="auto" w:fill="FFFFFF"/>
          </w:tcPr>
          <w:p w14:paraId="578323A7">
            <w:pPr>
              <w:pStyle w:val="26"/>
              <w:rPr>
                <w:rFonts w:hint="default"/>
                <w:highlight w:val="yellow"/>
              </w:rPr>
            </w:pPr>
            <w:r>
              <w:rPr>
                <w:rFonts w:hint="default"/>
                <w:highlight w:val="yellow"/>
              </w:rPr>
              <w:t>TEXT</w:t>
            </w:r>
          </w:p>
        </w:tc>
        <w:tc>
          <w:tcPr>
            <w:tcW w:w="2286" w:type="dxa"/>
            <w:tcBorders>
              <w:top w:val="nil"/>
              <w:left w:val="nil"/>
              <w:bottom w:val="nil"/>
              <w:right w:val="nil"/>
            </w:tcBorders>
            <w:shd w:val="clear" w:color="auto" w:fill="FFFFFF"/>
          </w:tcPr>
          <w:p w14:paraId="5CFBB3E7">
            <w:pPr>
              <w:pStyle w:val="26"/>
              <w:rPr>
                <w:rFonts w:hint="default"/>
                <w:highlight w:val="yellow"/>
              </w:rPr>
            </w:pPr>
            <w:r>
              <w:rPr>
                <w:rFonts w:hint="default"/>
                <w:highlight w:val="yellow"/>
              </w:rPr>
              <w:t>NotNull</w:t>
            </w:r>
          </w:p>
        </w:tc>
        <w:tc>
          <w:tcPr>
            <w:tcW w:w="2720" w:type="dxa"/>
            <w:tcBorders>
              <w:top w:val="nil"/>
              <w:left w:val="nil"/>
              <w:bottom w:val="nil"/>
              <w:right w:val="nil"/>
            </w:tcBorders>
            <w:shd w:val="clear" w:color="auto" w:fill="FFFFFF"/>
          </w:tcPr>
          <w:p w14:paraId="3F3196E2">
            <w:pPr>
              <w:pStyle w:val="26"/>
              <w:rPr>
                <w:rFonts w:hint="default"/>
                <w:highlight w:val="yellow"/>
              </w:rPr>
            </w:pPr>
            <w:r>
              <w:rPr>
                <w:rFonts w:hint="default"/>
                <w:highlight w:val="yellow"/>
              </w:rPr>
              <w:t>输入的专利摘要文本</w:t>
            </w:r>
          </w:p>
        </w:tc>
      </w:tr>
      <w:tr w14:paraId="54DB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0F957DFE">
            <w:pPr>
              <w:pStyle w:val="26"/>
              <w:rPr>
                <w:rFonts w:hint="default"/>
                <w:highlight w:val="yellow"/>
              </w:rPr>
            </w:pPr>
            <w:r>
              <w:rPr>
                <w:rFonts w:hint="default"/>
                <w:highlight w:val="yellow"/>
              </w:rPr>
              <w:t>pred_label</w:t>
            </w:r>
          </w:p>
        </w:tc>
        <w:tc>
          <w:tcPr>
            <w:tcW w:w="1800" w:type="dxa"/>
            <w:tcBorders>
              <w:top w:val="nil"/>
              <w:left w:val="nil"/>
              <w:bottom w:val="nil"/>
              <w:right w:val="nil"/>
            </w:tcBorders>
            <w:shd w:val="clear" w:color="auto" w:fill="FFFFFF"/>
          </w:tcPr>
          <w:p w14:paraId="750F26C1">
            <w:pPr>
              <w:pStyle w:val="26"/>
              <w:rPr>
                <w:rFonts w:hint="default"/>
                <w:highlight w:val="yellow"/>
              </w:rPr>
            </w:pPr>
            <w:r>
              <w:rPr>
                <w:rFonts w:hint="default"/>
                <w:highlight w:val="yellow"/>
              </w:rPr>
              <w:t>VARCHAR(100)</w:t>
            </w:r>
          </w:p>
        </w:tc>
        <w:tc>
          <w:tcPr>
            <w:tcW w:w="2286" w:type="dxa"/>
            <w:tcBorders>
              <w:top w:val="nil"/>
              <w:left w:val="nil"/>
              <w:bottom w:val="nil"/>
              <w:right w:val="nil"/>
            </w:tcBorders>
            <w:shd w:val="clear" w:color="auto" w:fill="FFFFFF"/>
          </w:tcPr>
          <w:p w14:paraId="614E9DC4">
            <w:pPr>
              <w:pStyle w:val="26"/>
              <w:rPr>
                <w:rFonts w:hint="default"/>
                <w:highlight w:val="yellow"/>
              </w:rPr>
            </w:pPr>
            <w:r>
              <w:rPr>
                <w:rFonts w:hint="default"/>
                <w:highlight w:val="yellow"/>
              </w:rPr>
              <w:t>NotNull</w:t>
            </w:r>
          </w:p>
        </w:tc>
        <w:tc>
          <w:tcPr>
            <w:tcW w:w="2720" w:type="dxa"/>
            <w:tcBorders>
              <w:top w:val="nil"/>
              <w:left w:val="nil"/>
              <w:bottom w:val="nil"/>
              <w:right w:val="nil"/>
            </w:tcBorders>
            <w:shd w:val="clear" w:color="auto" w:fill="FFFFFF"/>
          </w:tcPr>
          <w:p w14:paraId="20075886">
            <w:pPr>
              <w:pStyle w:val="26"/>
              <w:rPr>
                <w:rFonts w:hint="default"/>
                <w:highlight w:val="yellow"/>
              </w:rPr>
            </w:pPr>
            <w:r>
              <w:rPr>
                <w:rFonts w:hint="default"/>
                <w:highlight w:val="yellow"/>
              </w:rPr>
              <w:t>模型预测类别名称</w:t>
            </w:r>
          </w:p>
        </w:tc>
      </w:tr>
      <w:tr w14:paraId="023C7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0F029DB6">
            <w:pPr>
              <w:pStyle w:val="26"/>
              <w:rPr>
                <w:rFonts w:hint="default"/>
                <w:highlight w:val="yellow"/>
              </w:rPr>
            </w:pPr>
            <w:r>
              <w:rPr>
                <w:rFonts w:hint="default"/>
                <w:highlight w:val="yellow"/>
              </w:rPr>
              <w:t>pred_index</w:t>
            </w:r>
          </w:p>
        </w:tc>
        <w:tc>
          <w:tcPr>
            <w:tcW w:w="1800" w:type="dxa"/>
            <w:tcBorders>
              <w:top w:val="nil"/>
              <w:left w:val="nil"/>
              <w:bottom w:val="nil"/>
              <w:right w:val="nil"/>
            </w:tcBorders>
            <w:shd w:val="clear" w:color="auto" w:fill="FFFFFF"/>
          </w:tcPr>
          <w:p w14:paraId="72691AA4">
            <w:pPr>
              <w:pStyle w:val="26"/>
              <w:rPr>
                <w:rFonts w:hint="default"/>
                <w:highlight w:val="yellow"/>
              </w:rPr>
            </w:pPr>
            <w:r>
              <w:rPr>
                <w:rFonts w:hint="default"/>
                <w:highlight w:val="yellow"/>
              </w:rPr>
              <w:t>INT</w:t>
            </w:r>
          </w:p>
        </w:tc>
        <w:tc>
          <w:tcPr>
            <w:tcW w:w="2286" w:type="dxa"/>
            <w:tcBorders>
              <w:top w:val="nil"/>
              <w:left w:val="nil"/>
              <w:bottom w:val="nil"/>
              <w:right w:val="nil"/>
            </w:tcBorders>
            <w:shd w:val="clear" w:color="auto" w:fill="FFFFFF"/>
          </w:tcPr>
          <w:p w14:paraId="45300961">
            <w:pPr>
              <w:pStyle w:val="26"/>
              <w:rPr>
                <w:rFonts w:hint="default"/>
                <w:highlight w:val="yellow"/>
              </w:rPr>
            </w:pPr>
            <w:r>
              <w:rPr>
                <w:rFonts w:hint="default"/>
                <w:highlight w:val="yellow"/>
              </w:rPr>
              <w:t>NotNull</w:t>
            </w:r>
          </w:p>
        </w:tc>
        <w:tc>
          <w:tcPr>
            <w:tcW w:w="2720" w:type="dxa"/>
            <w:tcBorders>
              <w:top w:val="nil"/>
              <w:left w:val="nil"/>
              <w:bottom w:val="nil"/>
              <w:right w:val="nil"/>
            </w:tcBorders>
            <w:shd w:val="clear" w:color="auto" w:fill="FFFFFF"/>
          </w:tcPr>
          <w:p w14:paraId="5EE49532">
            <w:pPr>
              <w:pStyle w:val="26"/>
              <w:rPr>
                <w:rFonts w:hint="default"/>
                <w:highlight w:val="yellow"/>
              </w:rPr>
            </w:pPr>
            <w:r>
              <w:rPr>
                <w:rFonts w:hint="default"/>
                <w:highlight w:val="yellow"/>
              </w:rPr>
              <w:t>预测类别索引</w:t>
            </w:r>
          </w:p>
        </w:tc>
      </w:tr>
      <w:tr w14:paraId="111F8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650F0C21">
            <w:pPr>
              <w:pStyle w:val="26"/>
              <w:rPr>
                <w:rFonts w:hint="default"/>
                <w:highlight w:val="yellow"/>
              </w:rPr>
            </w:pPr>
            <w:r>
              <w:rPr>
                <w:rFonts w:hint="default"/>
                <w:highlight w:val="yellow"/>
              </w:rPr>
              <w:t>pred_probability</w:t>
            </w:r>
          </w:p>
        </w:tc>
        <w:tc>
          <w:tcPr>
            <w:tcW w:w="1800" w:type="dxa"/>
            <w:tcBorders>
              <w:top w:val="nil"/>
              <w:left w:val="nil"/>
              <w:bottom w:val="nil"/>
              <w:right w:val="nil"/>
            </w:tcBorders>
            <w:shd w:val="clear" w:color="auto" w:fill="FFFFFF"/>
          </w:tcPr>
          <w:p w14:paraId="0D5130E6">
            <w:pPr>
              <w:pStyle w:val="26"/>
              <w:rPr>
                <w:rFonts w:hint="default"/>
                <w:highlight w:val="yellow"/>
              </w:rPr>
            </w:pPr>
            <w:r>
              <w:rPr>
                <w:rFonts w:hint="default"/>
                <w:highlight w:val="yellow"/>
              </w:rPr>
              <w:t>DOUBLE</w:t>
            </w:r>
          </w:p>
        </w:tc>
        <w:tc>
          <w:tcPr>
            <w:tcW w:w="2286" w:type="dxa"/>
            <w:tcBorders>
              <w:top w:val="nil"/>
              <w:left w:val="nil"/>
              <w:bottom w:val="nil"/>
              <w:right w:val="nil"/>
            </w:tcBorders>
            <w:shd w:val="clear" w:color="auto" w:fill="FFFFFF"/>
          </w:tcPr>
          <w:p w14:paraId="7ECDA90A">
            <w:pPr>
              <w:pStyle w:val="26"/>
              <w:rPr>
                <w:rFonts w:hint="default"/>
                <w:highlight w:val="yellow"/>
              </w:rPr>
            </w:pPr>
            <w:r>
              <w:rPr>
                <w:rFonts w:hint="default"/>
                <w:highlight w:val="yellow"/>
              </w:rPr>
              <w:t>NotNull</w:t>
            </w:r>
          </w:p>
        </w:tc>
        <w:tc>
          <w:tcPr>
            <w:tcW w:w="2720" w:type="dxa"/>
            <w:tcBorders>
              <w:top w:val="nil"/>
              <w:left w:val="nil"/>
              <w:bottom w:val="nil"/>
              <w:right w:val="nil"/>
            </w:tcBorders>
            <w:shd w:val="clear" w:color="auto" w:fill="FFFFFF"/>
          </w:tcPr>
          <w:p w14:paraId="32DADB65">
            <w:pPr>
              <w:pStyle w:val="26"/>
              <w:rPr>
                <w:rFonts w:hint="default"/>
                <w:highlight w:val="yellow"/>
              </w:rPr>
            </w:pPr>
            <w:r>
              <w:rPr>
                <w:rFonts w:hint="default"/>
                <w:highlight w:val="yellow"/>
              </w:rPr>
              <w:t>预测置信度</w:t>
            </w:r>
          </w:p>
        </w:tc>
      </w:tr>
      <w:tr w14:paraId="1E36B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01A8F88C">
            <w:pPr>
              <w:pStyle w:val="26"/>
              <w:rPr>
                <w:rFonts w:hint="default"/>
                <w:highlight w:val="yellow"/>
              </w:rPr>
            </w:pPr>
            <w:r>
              <w:rPr>
                <w:rFonts w:hint="default"/>
                <w:highlight w:val="yellow"/>
              </w:rPr>
              <w:t>top_categories</w:t>
            </w:r>
          </w:p>
        </w:tc>
        <w:tc>
          <w:tcPr>
            <w:tcW w:w="1800" w:type="dxa"/>
            <w:tcBorders>
              <w:top w:val="nil"/>
              <w:left w:val="nil"/>
              <w:bottom w:val="nil"/>
              <w:right w:val="nil"/>
            </w:tcBorders>
            <w:shd w:val="clear" w:color="auto" w:fill="FFFFFF"/>
          </w:tcPr>
          <w:p w14:paraId="4A53D41F">
            <w:pPr>
              <w:pStyle w:val="26"/>
              <w:rPr>
                <w:rFonts w:hint="default"/>
                <w:highlight w:val="yellow"/>
              </w:rPr>
            </w:pPr>
            <w:r>
              <w:rPr>
                <w:rFonts w:hint="default"/>
                <w:highlight w:val="yellow"/>
              </w:rPr>
              <w:t>JSON</w:t>
            </w:r>
          </w:p>
        </w:tc>
        <w:tc>
          <w:tcPr>
            <w:tcW w:w="2286" w:type="dxa"/>
            <w:tcBorders>
              <w:top w:val="nil"/>
              <w:left w:val="nil"/>
              <w:bottom w:val="nil"/>
              <w:right w:val="nil"/>
            </w:tcBorders>
            <w:shd w:val="clear" w:color="auto" w:fill="FFFFFF"/>
          </w:tcPr>
          <w:p w14:paraId="0CFD8B1F">
            <w:pPr>
              <w:pStyle w:val="26"/>
              <w:rPr>
                <w:rFonts w:hint="default"/>
                <w:highlight w:val="yellow"/>
              </w:rPr>
            </w:pPr>
            <w:r>
              <w:rPr>
                <w:rFonts w:hint="default"/>
                <w:highlight w:val="yellow"/>
              </w:rPr>
              <w:t>Nullable</w:t>
            </w:r>
          </w:p>
        </w:tc>
        <w:tc>
          <w:tcPr>
            <w:tcW w:w="2720" w:type="dxa"/>
            <w:tcBorders>
              <w:top w:val="nil"/>
              <w:left w:val="nil"/>
              <w:bottom w:val="nil"/>
              <w:right w:val="nil"/>
            </w:tcBorders>
            <w:shd w:val="clear" w:color="auto" w:fill="FFFFFF"/>
          </w:tcPr>
          <w:p w14:paraId="75CEEBBE">
            <w:pPr>
              <w:pStyle w:val="26"/>
              <w:rPr>
                <w:rFonts w:hint="default"/>
                <w:highlight w:val="yellow"/>
              </w:rPr>
            </w:pPr>
            <w:r>
              <w:rPr>
                <w:rFonts w:hint="default"/>
                <w:highlight w:val="yellow"/>
              </w:rPr>
              <w:t>22类概率分布</w:t>
            </w:r>
          </w:p>
        </w:tc>
      </w:tr>
      <w:tr w14:paraId="52C5E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34F5EA27">
            <w:pPr>
              <w:pStyle w:val="26"/>
              <w:rPr>
                <w:rFonts w:hint="default"/>
                <w:highlight w:val="yellow"/>
              </w:rPr>
            </w:pPr>
            <w:r>
              <w:rPr>
                <w:rFonts w:hint="default"/>
                <w:highlight w:val="yellow"/>
              </w:rPr>
              <w:t>source</w:t>
            </w:r>
          </w:p>
        </w:tc>
        <w:tc>
          <w:tcPr>
            <w:tcW w:w="1800" w:type="dxa"/>
            <w:tcBorders>
              <w:top w:val="nil"/>
              <w:left w:val="nil"/>
              <w:bottom w:val="nil"/>
              <w:right w:val="nil"/>
            </w:tcBorders>
            <w:shd w:val="clear" w:color="auto" w:fill="FFFFFF"/>
          </w:tcPr>
          <w:p w14:paraId="5924A04D">
            <w:pPr>
              <w:pStyle w:val="26"/>
              <w:rPr>
                <w:rFonts w:hint="default"/>
                <w:highlight w:val="yellow"/>
              </w:rPr>
            </w:pPr>
            <w:r>
              <w:rPr>
                <w:rFonts w:hint="default"/>
                <w:highlight w:val="yellow"/>
              </w:rPr>
              <w:t>VARCHAR(20)</w:t>
            </w:r>
          </w:p>
        </w:tc>
        <w:tc>
          <w:tcPr>
            <w:tcW w:w="2286" w:type="dxa"/>
            <w:tcBorders>
              <w:top w:val="nil"/>
              <w:left w:val="nil"/>
              <w:bottom w:val="nil"/>
              <w:right w:val="nil"/>
            </w:tcBorders>
            <w:shd w:val="clear" w:color="auto" w:fill="FFFFFF"/>
          </w:tcPr>
          <w:p w14:paraId="6D268469">
            <w:pPr>
              <w:pStyle w:val="26"/>
              <w:rPr>
                <w:rFonts w:hint="default"/>
                <w:highlight w:val="yellow"/>
              </w:rPr>
            </w:pPr>
            <w:r>
              <w:rPr>
                <w:rFonts w:hint="default"/>
                <w:highlight w:val="yellow"/>
              </w:rPr>
              <w:t>NotNull</w:t>
            </w:r>
          </w:p>
        </w:tc>
        <w:tc>
          <w:tcPr>
            <w:tcW w:w="2720" w:type="dxa"/>
            <w:tcBorders>
              <w:top w:val="nil"/>
              <w:left w:val="nil"/>
              <w:bottom w:val="nil"/>
              <w:right w:val="nil"/>
            </w:tcBorders>
            <w:shd w:val="clear" w:color="auto" w:fill="FFFFFF"/>
          </w:tcPr>
          <w:p w14:paraId="79B29332">
            <w:pPr>
              <w:pStyle w:val="26"/>
              <w:rPr>
                <w:rFonts w:hint="default"/>
                <w:highlight w:val="yellow"/>
              </w:rPr>
            </w:pPr>
            <w:r>
              <w:rPr>
                <w:rFonts w:hint="default"/>
                <w:highlight w:val="yellow"/>
              </w:rPr>
              <w:t>来源类型，single或batch</w:t>
            </w:r>
          </w:p>
        </w:tc>
      </w:tr>
      <w:tr w14:paraId="58B0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0DC0901B">
            <w:pPr>
              <w:pStyle w:val="26"/>
              <w:rPr>
                <w:rFonts w:hint="default"/>
                <w:highlight w:val="yellow"/>
              </w:rPr>
            </w:pPr>
            <w:r>
              <w:rPr>
                <w:rFonts w:hint="default"/>
                <w:highlight w:val="yellow"/>
              </w:rPr>
              <w:t>batch_id</w:t>
            </w:r>
          </w:p>
        </w:tc>
        <w:tc>
          <w:tcPr>
            <w:tcW w:w="1800" w:type="dxa"/>
            <w:tcBorders>
              <w:top w:val="nil"/>
              <w:left w:val="nil"/>
              <w:bottom w:val="nil"/>
              <w:right w:val="nil"/>
            </w:tcBorders>
            <w:shd w:val="clear" w:color="auto" w:fill="FFFFFF"/>
          </w:tcPr>
          <w:p w14:paraId="2F650A1E">
            <w:pPr>
              <w:pStyle w:val="26"/>
              <w:rPr>
                <w:rFonts w:hint="default"/>
                <w:highlight w:val="yellow"/>
              </w:rPr>
            </w:pPr>
            <w:r>
              <w:rPr>
                <w:rFonts w:hint="default"/>
                <w:highlight w:val="yellow"/>
              </w:rPr>
              <w:t>VARCHAR(50)</w:t>
            </w:r>
          </w:p>
        </w:tc>
        <w:tc>
          <w:tcPr>
            <w:tcW w:w="2286" w:type="dxa"/>
            <w:tcBorders>
              <w:top w:val="nil"/>
              <w:left w:val="nil"/>
              <w:bottom w:val="nil"/>
              <w:right w:val="nil"/>
            </w:tcBorders>
            <w:shd w:val="clear" w:color="auto" w:fill="FFFFFF"/>
          </w:tcPr>
          <w:p w14:paraId="5241DE1D">
            <w:pPr>
              <w:pStyle w:val="26"/>
              <w:rPr>
                <w:rFonts w:hint="default"/>
                <w:highlight w:val="yellow"/>
              </w:rPr>
            </w:pPr>
            <w:r>
              <w:rPr>
                <w:rFonts w:hint="default"/>
                <w:highlight w:val="yellow"/>
              </w:rPr>
              <w:t>Index,Nullable</w:t>
            </w:r>
          </w:p>
        </w:tc>
        <w:tc>
          <w:tcPr>
            <w:tcW w:w="2720" w:type="dxa"/>
            <w:tcBorders>
              <w:top w:val="nil"/>
              <w:left w:val="nil"/>
              <w:bottom w:val="nil"/>
              <w:right w:val="nil"/>
            </w:tcBorders>
            <w:shd w:val="clear" w:color="auto" w:fill="FFFFFF"/>
          </w:tcPr>
          <w:p w14:paraId="43F2E7BC">
            <w:pPr>
              <w:pStyle w:val="26"/>
              <w:rPr>
                <w:rFonts w:hint="default"/>
                <w:highlight w:val="yellow"/>
              </w:rPr>
            </w:pPr>
            <w:r>
              <w:rPr>
                <w:rFonts w:hint="default"/>
                <w:highlight w:val="yellow"/>
              </w:rPr>
              <w:t>批量分类批次ID</w:t>
            </w:r>
          </w:p>
        </w:tc>
      </w:tr>
      <w:tr w14:paraId="17D60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tcPr>
          <w:p w14:paraId="17421BD6">
            <w:pPr>
              <w:pStyle w:val="26"/>
              <w:rPr>
                <w:rFonts w:hint="default"/>
                <w:highlight w:val="yellow"/>
              </w:rPr>
            </w:pPr>
            <w:r>
              <w:rPr>
                <w:rFonts w:hint="default"/>
                <w:highlight w:val="yellow"/>
              </w:rPr>
              <w:t>create_time</w:t>
            </w:r>
          </w:p>
        </w:tc>
        <w:tc>
          <w:tcPr>
            <w:tcW w:w="1800" w:type="dxa"/>
            <w:tcBorders>
              <w:top w:val="nil"/>
              <w:left w:val="nil"/>
              <w:bottom w:val="single" w:color="000000" w:sz="8" w:space="0"/>
              <w:right w:val="nil"/>
            </w:tcBorders>
            <w:shd w:val="clear" w:color="auto" w:fill="FFFFFF"/>
          </w:tcPr>
          <w:p w14:paraId="5E32AF0A">
            <w:pPr>
              <w:pStyle w:val="26"/>
              <w:rPr>
                <w:rFonts w:hint="default"/>
                <w:highlight w:val="yellow"/>
              </w:rPr>
            </w:pPr>
            <w:r>
              <w:rPr>
                <w:rFonts w:hint="default"/>
                <w:highlight w:val="yellow"/>
              </w:rPr>
              <w:t>DATETIME</w:t>
            </w:r>
          </w:p>
        </w:tc>
        <w:tc>
          <w:tcPr>
            <w:tcW w:w="2286" w:type="dxa"/>
            <w:tcBorders>
              <w:top w:val="nil"/>
              <w:left w:val="nil"/>
              <w:bottom w:val="single" w:color="000000" w:sz="8" w:space="0"/>
              <w:right w:val="nil"/>
            </w:tcBorders>
            <w:shd w:val="clear" w:color="auto" w:fill="FFFFFF"/>
          </w:tcPr>
          <w:p w14:paraId="59720BB7">
            <w:pPr>
              <w:pStyle w:val="26"/>
              <w:rPr>
                <w:rFonts w:hint="default"/>
                <w:highlight w:val="yellow"/>
              </w:rPr>
            </w:pPr>
            <w:r>
              <w:rPr>
                <w:rFonts w:hint="default"/>
                <w:highlight w:val="yellow"/>
              </w:rPr>
              <w:t>Index,NotNull</w:t>
            </w:r>
          </w:p>
        </w:tc>
        <w:tc>
          <w:tcPr>
            <w:tcW w:w="2720" w:type="dxa"/>
            <w:tcBorders>
              <w:top w:val="nil"/>
              <w:left w:val="nil"/>
              <w:bottom w:val="single" w:color="000000" w:sz="8" w:space="0"/>
              <w:right w:val="nil"/>
            </w:tcBorders>
            <w:shd w:val="clear" w:color="auto" w:fill="FFFFFF"/>
          </w:tcPr>
          <w:p w14:paraId="073859B4">
            <w:pPr>
              <w:pStyle w:val="26"/>
              <w:rPr>
                <w:rFonts w:hint="default"/>
                <w:highlight w:val="yellow"/>
              </w:rPr>
            </w:pPr>
            <w:r>
              <w:rPr>
                <w:rFonts w:hint="default"/>
                <w:highlight w:val="yellow"/>
              </w:rPr>
              <w:t>分类时间</w:t>
            </w:r>
          </w:p>
        </w:tc>
      </w:tr>
    </w:tbl>
    <w:p w14:paraId="092F0685">
      <w:pPr>
        <w:pStyle w:val="3"/>
        <w:numPr>
          <w:ilvl w:val="1"/>
          <w:numId w:val="1"/>
        </w:numPr>
        <w:tabs>
          <w:tab w:val="clear" w:pos="420"/>
        </w:tabs>
      </w:pPr>
      <w:bookmarkStart w:id="234" w:name="_Toc229086909"/>
      <w:bookmarkStart w:id="235" w:name="_Toc24263"/>
      <w:r>
        <w:rPr>
          <w:rFonts w:hint="eastAsia"/>
        </w:rPr>
        <w:t>系统实现</w:t>
      </w:r>
      <w:bookmarkEnd w:id="233"/>
      <w:bookmarkEnd w:id="234"/>
      <w:bookmarkEnd w:id="235"/>
    </w:p>
    <w:p w14:paraId="6C19DD5A">
      <w:pPr>
        <w:pStyle w:val="4"/>
        <w:numPr>
          <w:ilvl w:val="2"/>
          <w:numId w:val="1"/>
        </w:numPr>
      </w:pPr>
      <w:bookmarkStart w:id="236" w:name="_Toc229086910"/>
      <w:bookmarkStart w:id="237" w:name="_Toc30417"/>
      <w:r>
        <w:rPr>
          <w:rFonts w:hint="eastAsia"/>
        </w:rPr>
        <w:t>开发环境及工具</w:t>
      </w:r>
      <w:bookmarkEnd w:id="236"/>
      <w:bookmarkEnd w:id="237"/>
    </w:p>
    <w:p w14:paraId="374DB903">
      <w:pPr>
        <w:ind w:firstLine="480"/>
      </w:pPr>
      <w:r>
        <w:rPr>
          <w:rFonts w:hint="eastAsia"/>
        </w:rPr>
        <w:t>系统的搭建与运行需要稳定且兼容的软硬件环境，为保证系统完整以及实验可复现性，本文使用较为成熟的开发工具和技术栈进行该项目开发。</w:t>
      </w:r>
    </w:p>
    <w:p w14:paraId="3BBF708C">
      <w:pPr>
        <w:pStyle w:val="25"/>
        <w:rPr>
          <w:rFonts w:hint="default"/>
        </w:rPr>
      </w:pPr>
      <w:r>
        <w:t>表5-4  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77F0F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3A4D7723">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48E0501B">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06E0635">
            <w:pPr>
              <w:pStyle w:val="26"/>
              <w:rPr>
                <w:rFonts w:hint="default"/>
              </w:rPr>
            </w:pPr>
            <w:r>
              <w:rPr>
                <w:rFonts w:hint="default"/>
              </w:rPr>
              <w:t>说明</w:t>
            </w:r>
          </w:p>
        </w:tc>
      </w:tr>
      <w:tr w14:paraId="5D39B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7229640B">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38EFF4CE">
            <w:pPr>
              <w:pStyle w:val="26"/>
              <w:rPr>
                <w:rFonts w:hint="default"/>
              </w:rPr>
            </w:pPr>
            <w:r>
              <w:rPr>
                <w:rFonts w:hint="default"/>
              </w:rPr>
              <w:t>Windows 11 (x64)</w:t>
            </w:r>
          </w:p>
        </w:tc>
        <w:tc>
          <w:tcPr>
            <w:tcW w:w="2437" w:type="dxa"/>
            <w:tcBorders>
              <w:top w:val="single" w:color="auto" w:sz="6" w:space="0"/>
              <w:left w:val="nil"/>
              <w:bottom w:val="nil"/>
              <w:right w:val="nil"/>
            </w:tcBorders>
            <w:vAlign w:val="bottom"/>
          </w:tcPr>
          <w:p w14:paraId="688F5195">
            <w:pPr>
              <w:pStyle w:val="26"/>
              <w:rPr>
                <w:rFonts w:hint="default"/>
              </w:rPr>
            </w:pPr>
            <w:r>
              <w:rPr>
                <w:rFonts w:hint="default"/>
              </w:rPr>
              <w:t>基础运行平台</w:t>
            </w:r>
          </w:p>
        </w:tc>
      </w:tr>
      <w:tr w14:paraId="019B1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0B2DD1E4">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77D9D4F7">
            <w:pPr>
              <w:pStyle w:val="26"/>
              <w:rPr>
                <w:rFonts w:hint="default"/>
              </w:rPr>
            </w:pPr>
            <w:r>
              <w:rPr>
                <w:rFonts w:hint="default"/>
              </w:rPr>
              <w:t>JDK 1.8, Python 3.11.4, Node.js 18.15.0</w:t>
            </w:r>
          </w:p>
        </w:tc>
        <w:tc>
          <w:tcPr>
            <w:tcW w:w="2437" w:type="dxa"/>
            <w:tcBorders>
              <w:top w:val="nil"/>
              <w:left w:val="nil"/>
              <w:bottom w:val="nil"/>
              <w:right w:val="nil"/>
            </w:tcBorders>
            <w:vAlign w:val="bottom"/>
          </w:tcPr>
          <w:p w14:paraId="7ACC1052">
            <w:pPr>
              <w:pStyle w:val="26"/>
              <w:rPr>
                <w:rFonts w:hint="default"/>
              </w:rPr>
            </w:pPr>
            <w:r>
              <w:rPr>
                <w:rFonts w:hint="default"/>
              </w:rPr>
              <w:t>多语言混合开发环境</w:t>
            </w:r>
          </w:p>
        </w:tc>
      </w:tr>
      <w:tr w14:paraId="2DE70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37046E3A">
            <w:pPr>
              <w:pStyle w:val="26"/>
              <w:rPr>
                <w:rFonts w:hint="default"/>
              </w:rPr>
            </w:pPr>
            <w:r>
              <w:rPr>
                <w:rFonts w:hint="default"/>
              </w:rPr>
              <w:t>深度学习环境</w:t>
            </w:r>
          </w:p>
        </w:tc>
        <w:tc>
          <w:tcPr>
            <w:tcW w:w="4171" w:type="dxa"/>
            <w:tcBorders>
              <w:top w:val="nil"/>
              <w:left w:val="nil"/>
              <w:bottom w:val="nil"/>
              <w:right w:val="nil"/>
            </w:tcBorders>
            <w:vAlign w:val="bottom"/>
          </w:tcPr>
          <w:p w14:paraId="40057BBE">
            <w:pPr>
              <w:pStyle w:val="26"/>
              <w:rPr>
                <w:rFonts w:hint="default"/>
              </w:rPr>
            </w:pPr>
            <w:r>
              <w:rPr>
                <w:rFonts w:hint="default"/>
              </w:rPr>
              <w:t>CUDA Toolkit 12.8.93, Torch 2.7.1</w:t>
            </w:r>
          </w:p>
        </w:tc>
        <w:tc>
          <w:tcPr>
            <w:tcW w:w="2437" w:type="dxa"/>
            <w:tcBorders>
              <w:top w:val="nil"/>
              <w:left w:val="nil"/>
              <w:bottom w:val="nil"/>
              <w:right w:val="nil"/>
            </w:tcBorders>
            <w:vAlign w:val="bottom"/>
          </w:tcPr>
          <w:p w14:paraId="2D68F0B5">
            <w:pPr>
              <w:pStyle w:val="26"/>
              <w:rPr>
                <w:rFonts w:hint="default"/>
              </w:rPr>
            </w:pPr>
            <w:r>
              <w:rPr>
                <w:rFonts w:hint="default"/>
              </w:rPr>
              <w:t>模型推理支持</w:t>
            </w:r>
          </w:p>
        </w:tc>
      </w:tr>
      <w:tr w14:paraId="22AD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138D736F">
            <w:pPr>
              <w:pStyle w:val="26"/>
              <w:rPr>
                <w:rFonts w:hint="default"/>
              </w:rPr>
            </w:pPr>
            <w:r>
              <w:rPr>
                <w:rFonts w:hint="default"/>
              </w:rPr>
              <w:t>开发工具</w:t>
            </w:r>
          </w:p>
        </w:tc>
        <w:tc>
          <w:tcPr>
            <w:tcW w:w="4171" w:type="dxa"/>
            <w:tcBorders>
              <w:top w:val="nil"/>
              <w:left w:val="nil"/>
              <w:bottom w:val="nil"/>
              <w:right w:val="nil"/>
            </w:tcBorders>
            <w:vAlign w:val="bottom"/>
          </w:tcPr>
          <w:p w14:paraId="34922E7C">
            <w:pPr>
              <w:pStyle w:val="26"/>
              <w:rPr>
                <w:rFonts w:hint="default"/>
              </w:rPr>
            </w:pPr>
            <w:r>
              <w:rPr>
                <w:rFonts w:hint="default"/>
              </w:rPr>
              <w:t>IntelliJ IDEA</w:t>
            </w:r>
          </w:p>
        </w:tc>
        <w:tc>
          <w:tcPr>
            <w:tcW w:w="2437" w:type="dxa"/>
            <w:tcBorders>
              <w:top w:val="nil"/>
              <w:left w:val="nil"/>
              <w:bottom w:val="nil"/>
              <w:right w:val="nil"/>
            </w:tcBorders>
            <w:vAlign w:val="bottom"/>
          </w:tcPr>
          <w:p w14:paraId="670E179F">
            <w:pPr>
              <w:pStyle w:val="26"/>
              <w:rPr>
                <w:rFonts w:hint="default"/>
              </w:rPr>
            </w:pPr>
            <w:r>
              <w:rPr>
                <w:rFonts w:hint="default"/>
              </w:rPr>
              <w:t>集成开发环境</w:t>
            </w:r>
          </w:p>
        </w:tc>
      </w:tr>
      <w:tr w14:paraId="4F20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66D8E374">
            <w:pPr>
              <w:pStyle w:val="26"/>
              <w:rPr>
                <w:rFonts w:hint="default"/>
              </w:rPr>
            </w:pPr>
            <w:r>
              <w:rPr>
                <w:rFonts w:hint="default"/>
              </w:rPr>
              <w:t>数据库</w:t>
            </w:r>
          </w:p>
        </w:tc>
        <w:tc>
          <w:tcPr>
            <w:tcW w:w="4171" w:type="dxa"/>
            <w:tcBorders>
              <w:top w:val="nil"/>
              <w:left w:val="nil"/>
              <w:bottom w:val="nil"/>
              <w:right w:val="nil"/>
            </w:tcBorders>
            <w:vAlign w:val="bottom"/>
          </w:tcPr>
          <w:p w14:paraId="299AD825">
            <w:pPr>
              <w:pStyle w:val="26"/>
              <w:rPr>
                <w:rFonts w:hint="default"/>
              </w:rPr>
            </w:pPr>
            <w:r>
              <w:rPr>
                <w:rFonts w:hint="default"/>
              </w:rPr>
              <w:t>MySQL 5.7</w:t>
            </w:r>
          </w:p>
        </w:tc>
        <w:tc>
          <w:tcPr>
            <w:tcW w:w="2437" w:type="dxa"/>
            <w:tcBorders>
              <w:top w:val="nil"/>
              <w:left w:val="nil"/>
              <w:bottom w:val="nil"/>
              <w:right w:val="nil"/>
            </w:tcBorders>
            <w:vAlign w:val="bottom"/>
          </w:tcPr>
          <w:p w14:paraId="3462D8B6">
            <w:pPr>
              <w:pStyle w:val="26"/>
              <w:rPr>
                <w:rFonts w:hint="default"/>
              </w:rPr>
            </w:pPr>
            <w:r>
              <w:rPr>
                <w:rFonts w:hint="default"/>
              </w:rPr>
              <w:t>关系型数据持久化存储</w:t>
            </w:r>
          </w:p>
        </w:tc>
      </w:tr>
      <w:tr w14:paraId="65F5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EC33713">
            <w:pPr>
              <w:pStyle w:val="26"/>
              <w:rPr>
                <w:rFonts w:hint="default"/>
              </w:rPr>
            </w:pPr>
            <w:r>
              <w:rPr>
                <w:rFonts w:hint="default"/>
              </w:rPr>
              <w:t>前端技术栈</w:t>
            </w:r>
          </w:p>
        </w:tc>
        <w:tc>
          <w:tcPr>
            <w:tcW w:w="4171" w:type="dxa"/>
            <w:tcBorders>
              <w:top w:val="nil"/>
              <w:left w:val="nil"/>
              <w:bottom w:val="nil"/>
              <w:right w:val="nil"/>
            </w:tcBorders>
            <w:vAlign w:val="bottom"/>
          </w:tcPr>
          <w:p w14:paraId="1224B1A4">
            <w:pPr>
              <w:pStyle w:val="26"/>
              <w:rPr>
                <w:rFonts w:hint="default"/>
              </w:rPr>
            </w:pPr>
            <w:r>
              <w:rPr>
                <w:rFonts w:hint="default"/>
              </w:rPr>
              <w:t>Vue 2.6.14, Element UI 2.15.14, ECharts 5.6.0</w:t>
            </w:r>
          </w:p>
        </w:tc>
        <w:tc>
          <w:tcPr>
            <w:tcW w:w="2437" w:type="dxa"/>
            <w:tcBorders>
              <w:top w:val="nil"/>
              <w:left w:val="nil"/>
              <w:bottom w:val="nil"/>
              <w:right w:val="nil"/>
            </w:tcBorders>
            <w:vAlign w:val="bottom"/>
          </w:tcPr>
          <w:p w14:paraId="24BF9CF9">
            <w:pPr>
              <w:pStyle w:val="26"/>
              <w:rPr>
                <w:rFonts w:hint="default"/>
              </w:rPr>
            </w:pPr>
            <w:r>
              <w:t>用户交互、数据展示等</w:t>
            </w:r>
          </w:p>
        </w:tc>
      </w:tr>
      <w:tr w14:paraId="6A7F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1FBB5ADB">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71995800">
            <w:pPr>
              <w:pStyle w:val="26"/>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22D1ED0A">
            <w:pPr>
              <w:pStyle w:val="26"/>
              <w:rPr>
                <w:rFonts w:hint="default"/>
              </w:rPr>
            </w:pPr>
            <w:r>
              <w:t>业务逻辑及模型支持</w:t>
            </w:r>
          </w:p>
        </w:tc>
      </w:tr>
    </w:tbl>
    <w:p w14:paraId="34C4EFBC">
      <w:pPr>
        <w:ind w:firstLine="480"/>
      </w:pPr>
      <w:r>
        <w:rPr>
          <w:rFonts w:hint="eastAsia"/>
        </w:rPr>
        <w:t>具体软硬件环境以及相关软件版本如表5-4所示。操作系统使用Windows11作为底层操作系统，开发语言采用Java与Python结合方式编写程序，在JDK</w:t>
      </w:r>
      <w:r>
        <w:rPr>
          <w:rFonts w:hint="eastAsia"/>
          <w:lang w:val="en-US" w:eastAsia="zh-CN"/>
        </w:rPr>
        <w:t xml:space="preserve"> </w:t>
      </w:r>
      <w:r>
        <w:rPr>
          <w:rFonts w:hint="eastAsia"/>
        </w:rPr>
        <w:t>1.8和Python</w:t>
      </w:r>
      <w:r>
        <w:rPr>
          <w:rFonts w:hint="eastAsia"/>
          <w:lang w:val="en-US" w:eastAsia="zh-CN"/>
        </w:rPr>
        <w:t xml:space="preserve"> </w:t>
      </w:r>
      <w:r>
        <w:rPr>
          <w:rFonts w:hint="eastAsia"/>
        </w:rPr>
        <w:t>3.11.4上实现运行时环境，在深度学习部分使用CUDA</w:t>
      </w:r>
      <w:r>
        <w:rPr>
          <w:rFonts w:hint="eastAsia"/>
          <w:lang w:val="en-US" w:eastAsia="zh-CN"/>
        </w:rPr>
        <w:t xml:space="preserve"> </w:t>
      </w:r>
      <w:r>
        <w:rPr>
          <w:rFonts w:hint="eastAsia"/>
        </w:rPr>
        <w:t>Toolkit</w:t>
      </w:r>
      <w:r>
        <w:rPr>
          <w:rFonts w:hint="eastAsia"/>
          <w:lang w:val="en-US" w:eastAsia="zh-CN"/>
        </w:rPr>
        <w:t xml:space="preserve"> </w:t>
      </w:r>
      <w:r>
        <w:rPr>
          <w:rFonts w:hint="eastAsia"/>
        </w:rPr>
        <w:t>12.8和Torch</w:t>
      </w:r>
      <w:r>
        <w:rPr>
          <w:rFonts w:hint="eastAsia"/>
          <w:lang w:val="en-US" w:eastAsia="zh-CN"/>
        </w:rPr>
        <w:t xml:space="preserve"> </w:t>
      </w:r>
      <w:r>
        <w:rPr>
          <w:rFonts w:hint="eastAsia"/>
        </w:rPr>
        <w:t>2.7.1提供计算能力。前端和后端均基于Vue全家桶、Spring</w:t>
      </w:r>
      <w:r>
        <w:rPr>
          <w:rFonts w:hint="eastAsia"/>
          <w:lang w:val="en-US" w:eastAsia="zh-CN"/>
        </w:rPr>
        <w:t xml:space="preserve"> </w:t>
      </w:r>
      <w:r>
        <w:rPr>
          <w:rFonts w:hint="eastAsia"/>
        </w:rPr>
        <w:t>Boot以及Flask框架完成，而数据库使用成熟稳定的MySQL</w:t>
      </w:r>
      <w:r>
        <w:rPr>
          <w:rFonts w:hint="eastAsia"/>
          <w:lang w:val="en-US" w:eastAsia="zh-CN"/>
        </w:rPr>
        <w:t xml:space="preserve"> </w:t>
      </w:r>
      <w:r>
        <w:rPr>
          <w:rFonts w:hint="eastAsia"/>
        </w:rPr>
        <w:t>5.7。</w:t>
      </w:r>
    </w:p>
    <w:p w14:paraId="022DDA30">
      <w:pPr>
        <w:pStyle w:val="4"/>
        <w:numPr>
          <w:ilvl w:val="2"/>
          <w:numId w:val="1"/>
        </w:numPr>
      </w:pPr>
      <w:bookmarkStart w:id="238" w:name="_Toc229086911"/>
      <w:bookmarkStart w:id="239" w:name="_Toc9668"/>
      <w:r>
        <w:rPr>
          <w:rFonts w:hint="eastAsia"/>
        </w:rPr>
        <w:t>用户模块实现</w:t>
      </w:r>
      <w:bookmarkEnd w:id="238"/>
      <w:bookmarkEnd w:id="239"/>
    </w:p>
    <w:p w14:paraId="34182394">
      <w:pPr>
        <w:ind w:firstLine="420" w:firstLineChars="0"/>
      </w:pPr>
      <w:r>
        <w:rPr>
          <w:rFonts w:hint="eastAsia"/>
        </w:rPr>
        <w:t>用户模块用于承担系统访问控制和身份认证功能，在其中负责用户的认证以及授权工作。用户模块基于Spring</w:t>
      </w:r>
      <w:r>
        <w:rPr>
          <w:rFonts w:hint="eastAsia"/>
          <w:lang w:val="en-US" w:eastAsia="zh-CN"/>
        </w:rPr>
        <w:t xml:space="preserve"> </w:t>
      </w:r>
      <w:r>
        <w:rPr>
          <w:rFonts w:hint="eastAsia"/>
        </w:rPr>
        <w:t>Boot开发实现，采用RESTful风格与前端通信，如图5-3所示，包括用户注册、登录认证和忘记密码三个部分。</w:t>
      </w:r>
    </w:p>
    <w:p w14:paraId="1D19AAD4">
      <w:pPr>
        <w:numPr>
          <w:ilvl w:val="0"/>
          <w:numId w:val="17"/>
        </w:numPr>
        <w:ind w:firstLine="480"/>
      </w:pPr>
      <w:r>
        <w:rPr>
          <w:rFonts w:hint="eastAsia"/>
        </w:rPr>
        <w:t>用户注册</w:t>
      </w:r>
    </w:p>
    <w:p w14:paraId="7CBB4B1F">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同时也会生成一个</w:t>
      </w:r>
      <w:r>
        <w:rPr>
          <w:rFonts w:hint="eastAsia"/>
          <w:lang w:val="en-US" w:eastAsia="zh-CN"/>
        </w:rPr>
        <w:t>T</w:t>
      </w:r>
      <w:r>
        <w:rPr>
          <w:rFonts w:hint="eastAsia"/>
        </w:rPr>
        <w:t>oken返回给前端使得用户能够实现注册后自动登录。</w:t>
      </w:r>
    </w:p>
    <w:p w14:paraId="383DE8BC">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3A165388">
      <w:pPr>
        <w:pStyle w:val="25"/>
        <w:rPr>
          <w:rFonts w:hint="default"/>
        </w:rPr>
      </w:pPr>
      <w:r>
        <w:t>图5-3  用户模块功能界面</w:t>
      </w:r>
    </w:p>
    <w:p w14:paraId="058F5D14">
      <w:pPr>
        <w:numPr>
          <w:ilvl w:val="0"/>
          <w:numId w:val="17"/>
        </w:numPr>
        <w:ind w:firstLine="480"/>
      </w:pPr>
      <w:r>
        <w:rPr>
          <w:rFonts w:hint="eastAsia"/>
        </w:rPr>
        <w:t>登录认证</w:t>
      </w:r>
    </w:p>
    <w:p w14:paraId="67F2857B">
      <w:pPr>
        <w:ind w:firstLine="480"/>
      </w:pPr>
      <w:r>
        <w:rPr>
          <w:rFonts w:hint="eastAsia"/>
        </w:rPr>
        <w:t>登录操作利用/api/auth/login接口来完成，当用户向服务器发送用户名及密码时，服务器会在数据库里查找是否有此账户信息，如果找到，则说明这个用户存在，后端生成唯一Token并返回前端，这个Token是包含用户id以及当前时间戳的信息，然后放在响应体里面返回到前端，前端拿到这个Token之后就保存到本地并在所有API请求头里带上这个Token作为自己的标识符，从而达到无状态会话的目的。</w:t>
      </w:r>
    </w:p>
    <w:p w14:paraId="5DF7A8E2">
      <w:pPr>
        <w:numPr>
          <w:ilvl w:val="0"/>
          <w:numId w:val="17"/>
        </w:numPr>
        <w:ind w:firstLine="480"/>
      </w:pPr>
      <w:r>
        <w:rPr>
          <w:rFonts w:hint="eastAsia"/>
        </w:rPr>
        <w:t>密码找回</w:t>
      </w:r>
    </w:p>
    <w:p w14:paraId="0116C0D8">
      <w:pPr>
        <w:ind w:firstLine="480"/>
      </w:pPr>
      <w:r>
        <w:rPr>
          <w:rFonts w:hint="eastAsia"/>
        </w:rPr>
        <w:t>当用户忘记密码时，本文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该流程可降低非授权密码重置风险，并为用户提供账号恢复途径。</w:t>
      </w:r>
    </w:p>
    <w:p w14:paraId="60F0D0AB">
      <w:pPr>
        <w:pStyle w:val="4"/>
        <w:numPr>
          <w:ilvl w:val="2"/>
          <w:numId w:val="1"/>
        </w:numPr>
      </w:pPr>
      <w:bookmarkStart w:id="240" w:name="_Toc229086912"/>
      <w:bookmarkStart w:id="241" w:name="_Toc2917"/>
      <w:r>
        <w:rPr>
          <w:rFonts w:hint="eastAsia"/>
        </w:rPr>
        <w:t>单条分类模块实现</w:t>
      </w:r>
      <w:bookmarkEnd w:id="240"/>
      <w:bookmarkEnd w:id="241"/>
    </w:p>
    <w:p w14:paraId="118224CA">
      <w:pPr>
        <w:ind w:firstLine="420" w:firstLineChars="0"/>
      </w:pPr>
      <w:r>
        <w:rPr>
          <w:rFonts w:hint="eastAsia"/>
        </w:rPr>
        <w:t>单条分类模块通过/api/patent/classify接口实现。前端提交摘要后，Java后端先判断摘要是否为空，再从Token中解析用户ID，并将摘要封装为JSON请求发送至Python推理服务的/predict接口。</w:t>
      </w:r>
    </w:p>
    <w:p w14:paraId="48CA1134">
      <w:pPr>
        <w:ind w:firstLine="420" w:firstLineChars="0"/>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0B02DE19">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080F0F45">
      <w:pPr>
        <w:pStyle w:val="25"/>
        <w:rPr>
          <w:rFonts w:hint="default"/>
        </w:rPr>
      </w:pPr>
      <w:r>
        <w:t>图5-4  单条分类界面</w:t>
      </w:r>
    </w:p>
    <w:p w14:paraId="44C987A8">
      <w:pPr>
        <w:ind w:firstLine="420" w:firstLineChars="0"/>
      </w:pPr>
      <w:r>
        <w:rPr>
          <w:rFonts w:hint="eastAsia"/>
        </w:rPr>
        <w:t>前端接收结果后展示预测类别、置信度和概率分布图，使用户既能获得最终分类标签，也能查看模型对其他类别的概率判断。</w:t>
      </w:r>
    </w:p>
    <w:p w14:paraId="02661DB7">
      <w:pPr>
        <w:pStyle w:val="4"/>
        <w:numPr>
          <w:ilvl w:val="2"/>
          <w:numId w:val="1"/>
        </w:numPr>
      </w:pPr>
      <w:bookmarkStart w:id="242" w:name="_Toc229086913"/>
      <w:bookmarkStart w:id="243" w:name="_Toc15366"/>
      <w:r>
        <w:rPr>
          <w:rFonts w:hint="eastAsia"/>
        </w:rPr>
        <w:t>批量分类模块实现</w:t>
      </w:r>
      <w:bookmarkEnd w:id="242"/>
      <w:bookmarkEnd w:id="243"/>
    </w:p>
    <w:p w14:paraId="228E9541">
      <w:pPr>
        <w:ind w:firstLine="480"/>
        <w:rPr>
          <w:highlight w:val="yellow"/>
        </w:rPr>
      </w:pPr>
      <w:r>
        <w:rPr>
          <w:rFonts w:hint="eastAsia"/>
          <w:highlight w:val="yellow"/>
        </w:rPr>
        <w:t>批量分类模块由/api/patent/upload-preview和/api/patent/batch-classify两个接口配合完成，前者负责文件预览，后者负责执行批量分类。</w:t>
      </w:r>
    </w:p>
    <w:p w14:paraId="530092B1">
      <w:pPr>
        <w:ind w:firstLine="480"/>
        <w:rPr>
          <w:highlight w:val="yellow"/>
        </w:rPr>
      </w:pPr>
      <w:r>
        <w:rPr>
          <w:rFonts w:hint="eastAsia"/>
          <w:highlight w:val="yellow"/>
        </w:rPr>
        <w:t>用户上传Excel文件后，前端将文件发送至/api/patent/upload-preview。后端检查文件是否为空，并判断文件格式是否符合批量导入要求，校验通过后，系统使用EasyExcel解析表头和数据行，返回列名列表、总行数以及前5行预览数据。用户据此选择摘要所在列。</w:t>
      </w:r>
    </w:p>
    <w:p w14:paraId="580863FF">
      <w:pPr>
        <w:ind w:firstLine="480"/>
        <w:rPr>
          <w:highlight w:val="yellow"/>
        </w:rPr>
      </w:pPr>
      <w:r>
        <w:rPr>
          <w:rFonts w:hint="eastAsia"/>
          <w:highlight w:val="yellow"/>
        </w:rPr>
        <w:t>用户确认摘要列后，前端将文件和列名提交至/api/patent/batch-classify，后端重新解析文件，检查摘要列是否存在，同时判断记录数是否超过50条，通过校验后，系统生成UUID作为本次任务的batch_id，再逐条读取摘要并调用Python推理服务。逐条调用策略能够降低模型服务瞬时压力，并便于记录单条失败原因。</w:t>
      </w:r>
    </w:p>
    <w:p w14:paraId="54F1035B">
      <w:pPr>
        <w:ind w:firstLine="480"/>
        <w:rPr>
          <w:highlight w:val="yellow"/>
        </w:rPr>
      </w:pPr>
      <w:r>
        <w:rPr>
          <w:rFonts w:hint="eastAsia"/>
          <w:highlight w:val="yellow"/>
        </w:rPr>
        <w:t>分类成功的记录被封装为ClassificationRecord对象，其中source设置为batch，batch_id设置为本次任务ID，批量任务结束后，系统将成功记录写入数据库，并向前端返回批次ID、总数、成功数、失败数、成功结果列表和失败列表。用户后续可在历史页面通过批次ID查询本次任务的全部结果。</w:t>
      </w:r>
    </w:p>
    <w:p w14:paraId="3D1A8C1B">
      <w:pPr>
        <w:ind w:firstLine="0" w:firstLineChars="0"/>
        <w:rPr>
          <w:highlight w:val="yellow"/>
        </w:rPr>
      </w:pPr>
      <w:r>
        <w:rPr>
          <w:highlight w:val="yellow"/>
        </w:rP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3E7DBDAD">
      <w:pPr>
        <w:pStyle w:val="25"/>
        <w:rPr>
          <w:rFonts w:hint="default"/>
          <w:highlight w:val="yellow"/>
        </w:rPr>
      </w:pPr>
      <w:r>
        <w:rPr>
          <w:highlight w:val="yellow"/>
        </w:rPr>
        <w:t>图5-5  批量分类功能界面</w:t>
      </w:r>
    </w:p>
    <w:p w14:paraId="78E275D4">
      <w:pPr>
        <w:pStyle w:val="4"/>
        <w:numPr>
          <w:ilvl w:val="2"/>
          <w:numId w:val="1"/>
        </w:numPr>
        <w:rPr>
          <w:highlight w:val="yellow"/>
        </w:rPr>
      </w:pPr>
      <w:bookmarkStart w:id="244" w:name="_Toc229086914"/>
      <w:bookmarkStart w:id="245" w:name="_Toc6854"/>
      <w:r>
        <w:rPr>
          <w:rFonts w:hint="eastAsia"/>
          <w:highlight w:val="yellow"/>
        </w:rPr>
        <w:t>分类历史与导出模块实现</w:t>
      </w:r>
      <w:bookmarkEnd w:id="244"/>
      <w:bookmarkEnd w:id="245"/>
    </w:p>
    <w:p w14:paraId="22CF3A02">
      <w:pPr>
        <w:ind w:firstLine="480"/>
        <w:rPr>
          <w:highlight w:val="yellow"/>
        </w:rPr>
      </w:pPr>
      <w:r>
        <w:rPr>
          <w:rFonts w:hint="eastAsia"/>
          <w:highlight w:val="yellow"/>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F1191A">
      <w:pPr>
        <w:ind w:firstLine="480"/>
        <w:rPr>
          <w:highlight w:val="yellow"/>
        </w:rPr>
      </w:pPr>
      <w:r>
        <w:rPr>
          <w:rFonts w:hint="eastAsia"/>
          <w:highlight w:val="yellow"/>
        </w:rPr>
        <w:t>详情接口返回单条记录的完整摘要和全部类别概率分布。前端在详情弹窗中复用概率图组件，使在线分类结果和历史记录详情保持一致的展示方式。</w:t>
      </w:r>
    </w:p>
    <w:p w14:paraId="765C9AA9">
      <w:pPr>
        <w:ind w:firstLine="480"/>
        <w:rPr>
          <w:highlight w:val="yellow"/>
        </w:rPr>
      </w:pPr>
      <w:r>
        <w:rPr>
          <w:rFonts w:hint="eastAsia"/>
          <w:highlight w:val="yellow"/>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w:t>
      </w:r>
      <w:r>
        <w:rPr>
          <w:rStyle w:val="33"/>
          <w:rFonts w:hint="eastAsia"/>
          <w:highlight w:val="yellow"/>
        </w:rPr>
        <w:t>[64]</w:t>
      </w:r>
      <w:r>
        <w:rPr>
          <w:rFonts w:hint="eastAsia"/>
          <w:highlight w:val="yellow"/>
        </w:rPr>
        <w:t>，以响应流形式返回前端。导出内容可用于离线复核和阶段性结果归档。</w:t>
      </w:r>
    </w:p>
    <w:p w14:paraId="59A649A5">
      <w:pPr>
        <w:ind w:firstLine="0" w:firstLineChars="0"/>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5B642046">
      <w:pPr>
        <w:pStyle w:val="25"/>
        <w:rPr>
          <w:rFonts w:hint="default"/>
        </w:rPr>
      </w:pPr>
      <w:r>
        <w:t>图5-6  分类历史与结果导出功能界面</w:t>
      </w:r>
    </w:p>
    <w:p w14:paraId="2B36F566">
      <w:pPr>
        <w:pStyle w:val="3"/>
        <w:numPr>
          <w:ilvl w:val="1"/>
          <w:numId w:val="1"/>
        </w:numPr>
        <w:tabs>
          <w:tab w:val="clear" w:pos="420"/>
        </w:tabs>
      </w:pPr>
      <w:bookmarkStart w:id="246" w:name="_Toc229086915"/>
      <w:bookmarkStart w:id="247" w:name="_Toc11527"/>
      <w:r>
        <w:t>系统测试与验证</w:t>
      </w:r>
      <w:bookmarkEnd w:id="246"/>
      <w:bookmarkEnd w:id="247"/>
    </w:p>
    <w:p w14:paraId="767106F8">
      <w:pPr>
        <w:ind w:firstLine="480"/>
      </w:pPr>
      <w: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rPr>
        <w:t>。</w:t>
      </w:r>
    </w:p>
    <w:p w14:paraId="69254BC8">
      <w:pPr>
        <w:pStyle w:val="4"/>
        <w:numPr>
          <w:ilvl w:val="2"/>
          <w:numId w:val="1"/>
        </w:numPr>
      </w:pPr>
      <w:bookmarkStart w:id="248" w:name="_Toc229086916"/>
      <w:bookmarkStart w:id="249" w:name="_Toc10614"/>
      <w:r>
        <w:rPr>
          <w:rFonts w:hint="eastAsia"/>
        </w:rPr>
        <w:t>功能测试</w:t>
      </w:r>
      <w:bookmarkEnd w:id="248"/>
      <w:bookmarkEnd w:id="249"/>
    </w:p>
    <w:p w14:paraId="56D922E1">
      <w:pPr>
        <w:ind w:firstLine="480"/>
        <w:rPr>
          <w:highlight w:val="yellow"/>
        </w:rPr>
      </w:pPr>
      <w:r>
        <w:rPr>
          <w:rFonts w:hint="eastAsia"/>
          <w:highlight w:val="yellow"/>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631BE8CE">
      <w:pPr>
        <w:pStyle w:val="25"/>
        <w:rPr>
          <w:rFonts w:hint="default"/>
          <w:highlight w:val="yellow"/>
        </w:rPr>
      </w:pPr>
      <w:r>
        <w:rPr>
          <w:highlight w:val="yellow"/>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96"/>
        <w:gridCol w:w="1104"/>
        <w:gridCol w:w="3009"/>
        <w:gridCol w:w="3313"/>
      </w:tblGrid>
      <w:tr w14:paraId="5B08F1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40BF0339">
            <w:pPr>
              <w:pStyle w:val="26"/>
              <w:rPr>
                <w:rFonts w:hint="default"/>
                <w:highlight w:val="yellow"/>
              </w:rPr>
            </w:pPr>
            <w:r>
              <w:rPr>
                <w:rFonts w:hint="default"/>
                <w:highlight w:val="yellow"/>
              </w:rPr>
              <w:t>用例编号</w:t>
            </w:r>
          </w:p>
        </w:tc>
        <w:tc>
          <w:tcPr>
            <w:tcW w:w="1104" w:type="dxa"/>
            <w:tcBorders>
              <w:bottom w:val="single" w:color="auto" w:sz="6" w:space="0"/>
              <w:tl2br w:val="nil"/>
              <w:tr2bl w:val="nil"/>
            </w:tcBorders>
            <w:shd w:val="clear" w:color="auto" w:fill="FFFFFF"/>
            <w:vAlign w:val="center"/>
          </w:tcPr>
          <w:p w14:paraId="7AEB7A1F">
            <w:pPr>
              <w:pStyle w:val="26"/>
              <w:rPr>
                <w:rFonts w:hint="default"/>
                <w:highlight w:val="yellow"/>
              </w:rPr>
            </w:pPr>
            <w:r>
              <w:rPr>
                <w:rFonts w:hint="default"/>
                <w:highlight w:val="yellow"/>
              </w:rPr>
              <w:t>测试功能</w:t>
            </w:r>
          </w:p>
        </w:tc>
        <w:tc>
          <w:tcPr>
            <w:tcW w:w="3009" w:type="dxa"/>
            <w:tcBorders>
              <w:bottom w:val="single" w:color="auto" w:sz="6" w:space="0"/>
              <w:tl2br w:val="nil"/>
              <w:tr2bl w:val="nil"/>
            </w:tcBorders>
            <w:shd w:val="clear" w:color="auto" w:fill="FFFFFF"/>
            <w:vAlign w:val="center"/>
          </w:tcPr>
          <w:p w14:paraId="36B8DDFD">
            <w:pPr>
              <w:pStyle w:val="26"/>
              <w:rPr>
                <w:rFonts w:hint="default"/>
                <w:highlight w:val="yellow"/>
              </w:rPr>
            </w:pPr>
            <w:r>
              <w:rPr>
                <w:rFonts w:hint="default"/>
                <w:highlight w:val="yellow"/>
              </w:rPr>
              <w:t>输入或操作</w:t>
            </w:r>
          </w:p>
        </w:tc>
        <w:tc>
          <w:tcPr>
            <w:tcW w:w="0" w:type="auto"/>
            <w:tcBorders>
              <w:bottom w:val="single" w:color="auto" w:sz="6" w:space="0"/>
              <w:tl2br w:val="nil"/>
              <w:tr2bl w:val="nil"/>
            </w:tcBorders>
            <w:shd w:val="clear" w:color="auto" w:fill="FFFFFF"/>
            <w:vAlign w:val="center"/>
          </w:tcPr>
          <w:p w14:paraId="6D290DF2">
            <w:pPr>
              <w:pStyle w:val="26"/>
              <w:rPr>
                <w:rFonts w:hint="default"/>
                <w:highlight w:val="yellow"/>
              </w:rPr>
            </w:pPr>
            <w:r>
              <w:rPr>
                <w:rFonts w:hint="default"/>
                <w:highlight w:val="yellow"/>
              </w:rPr>
              <w:t>预期结果</w:t>
            </w:r>
          </w:p>
        </w:tc>
      </w:tr>
      <w:tr w14:paraId="0F36C4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tcPr>
          <w:p w14:paraId="011FEE07">
            <w:pPr>
              <w:pStyle w:val="26"/>
              <w:rPr>
                <w:rFonts w:hint="default"/>
                <w:highlight w:val="yellow"/>
              </w:rPr>
            </w:pPr>
            <w:r>
              <w:rPr>
                <w:rFonts w:hint="default"/>
                <w:highlight w:val="yellow"/>
              </w:rPr>
              <w:t>TC-001</w:t>
            </w:r>
          </w:p>
        </w:tc>
        <w:tc>
          <w:tcPr>
            <w:tcW w:w="1104" w:type="dxa"/>
            <w:tcBorders>
              <w:top w:val="single" w:color="auto" w:sz="6" w:space="0"/>
            </w:tcBorders>
            <w:shd w:val="clear" w:color="auto" w:fill="FFFFFF"/>
          </w:tcPr>
          <w:p w14:paraId="40FB3E56">
            <w:pPr>
              <w:pStyle w:val="26"/>
              <w:rPr>
                <w:rFonts w:hint="default"/>
                <w:highlight w:val="yellow"/>
              </w:rPr>
            </w:pPr>
            <w:r>
              <w:rPr>
                <w:rFonts w:hint="default"/>
                <w:highlight w:val="yellow"/>
              </w:rPr>
              <w:t>用户认证</w:t>
            </w:r>
          </w:p>
        </w:tc>
        <w:tc>
          <w:tcPr>
            <w:tcW w:w="3009" w:type="dxa"/>
            <w:tcBorders>
              <w:top w:val="single" w:color="auto" w:sz="6" w:space="0"/>
            </w:tcBorders>
            <w:shd w:val="clear" w:color="auto" w:fill="FFFFFF"/>
          </w:tcPr>
          <w:p w14:paraId="01934123">
            <w:pPr>
              <w:pStyle w:val="26"/>
              <w:rPr>
                <w:rFonts w:hint="default"/>
                <w:highlight w:val="yellow"/>
              </w:rPr>
            </w:pPr>
            <w:r>
              <w:rPr>
                <w:rFonts w:hint="default"/>
                <w:highlight w:val="yellow"/>
              </w:rPr>
              <w:t>注册并使用正确账号登录</w:t>
            </w:r>
          </w:p>
        </w:tc>
        <w:tc>
          <w:tcPr>
            <w:tcW w:w="0" w:type="auto"/>
            <w:tcBorders>
              <w:top w:val="single" w:color="auto" w:sz="6" w:space="0"/>
            </w:tcBorders>
            <w:shd w:val="clear" w:color="auto" w:fill="FFFFFF"/>
          </w:tcPr>
          <w:p w14:paraId="09369D22">
            <w:pPr>
              <w:pStyle w:val="26"/>
              <w:rPr>
                <w:rFonts w:hint="default"/>
                <w:highlight w:val="yellow"/>
              </w:rPr>
            </w:pPr>
            <w:r>
              <w:rPr>
                <w:rFonts w:hint="default"/>
                <w:highlight w:val="yellow"/>
              </w:rPr>
              <w:t>注册成功，登录后返回Token</w:t>
            </w:r>
          </w:p>
        </w:tc>
      </w:tr>
      <w:tr w14:paraId="06555E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431A2283">
            <w:pPr>
              <w:pStyle w:val="26"/>
              <w:rPr>
                <w:rFonts w:hint="default"/>
                <w:highlight w:val="yellow"/>
              </w:rPr>
            </w:pPr>
            <w:r>
              <w:rPr>
                <w:rFonts w:hint="default"/>
                <w:highlight w:val="yellow"/>
              </w:rPr>
              <w:t>TC-002</w:t>
            </w:r>
          </w:p>
        </w:tc>
        <w:tc>
          <w:tcPr>
            <w:tcW w:w="1104" w:type="dxa"/>
            <w:tcBorders>
              <w:tl2br w:val="nil"/>
              <w:tr2bl w:val="nil"/>
            </w:tcBorders>
            <w:shd w:val="clear" w:color="auto" w:fill="FFFFFF"/>
          </w:tcPr>
          <w:p w14:paraId="5CAAD16B">
            <w:pPr>
              <w:pStyle w:val="26"/>
              <w:rPr>
                <w:rFonts w:hint="default"/>
                <w:highlight w:val="yellow"/>
              </w:rPr>
            </w:pPr>
            <w:r>
              <w:rPr>
                <w:rFonts w:hint="default"/>
                <w:highlight w:val="yellow"/>
              </w:rPr>
              <w:t>密码找回</w:t>
            </w:r>
          </w:p>
        </w:tc>
        <w:tc>
          <w:tcPr>
            <w:tcW w:w="3009" w:type="dxa"/>
            <w:tcBorders>
              <w:tl2br w:val="nil"/>
              <w:tr2bl w:val="nil"/>
            </w:tcBorders>
            <w:shd w:val="clear" w:color="auto" w:fill="FFFFFF"/>
          </w:tcPr>
          <w:p w14:paraId="2030E584">
            <w:pPr>
              <w:pStyle w:val="26"/>
              <w:rPr>
                <w:rFonts w:hint="default"/>
                <w:highlight w:val="yellow"/>
              </w:rPr>
            </w:pPr>
            <w:r>
              <w:rPr>
                <w:rFonts w:hint="default"/>
                <w:highlight w:val="yellow"/>
              </w:rPr>
              <w:t>输入正确密保答案设置新密码</w:t>
            </w:r>
          </w:p>
        </w:tc>
        <w:tc>
          <w:tcPr>
            <w:tcW w:w="0" w:type="auto"/>
            <w:tcBorders>
              <w:tl2br w:val="nil"/>
              <w:tr2bl w:val="nil"/>
            </w:tcBorders>
            <w:shd w:val="clear" w:color="auto" w:fill="FFFFFF"/>
          </w:tcPr>
          <w:p w14:paraId="0EE1C529">
            <w:pPr>
              <w:pStyle w:val="26"/>
              <w:rPr>
                <w:rFonts w:hint="default"/>
                <w:highlight w:val="yellow"/>
              </w:rPr>
            </w:pPr>
            <w:r>
              <w:rPr>
                <w:rFonts w:hint="default"/>
                <w:highlight w:val="yellow"/>
              </w:rPr>
              <w:t>密码重置成功</w:t>
            </w:r>
          </w:p>
        </w:tc>
      </w:tr>
      <w:tr w14:paraId="61DED1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1428A52A">
            <w:pPr>
              <w:pStyle w:val="26"/>
              <w:rPr>
                <w:rFonts w:hint="default"/>
                <w:highlight w:val="yellow"/>
              </w:rPr>
            </w:pPr>
            <w:r>
              <w:rPr>
                <w:rFonts w:hint="default"/>
                <w:highlight w:val="yellow"/>
              </w:rPr>
              <w:t>TC-003</w:t>
            </w:r>
          </w:p>
        </w:tc>
        <w:tc>
          <w:tcPr>
            <w:tcW w:w="1104" w:type="dxa"/>
            <w:tcBorders>
              <w:tl2br w:val="nil"/>
              <w:tr2bl w:val="nil"/>
            </w:tcBorders>
            <w:shd w:val="clear" w:color="auto" w:fill="FFFFFF"/>
          </w:tcPr>
          <w:p w14:paraId="7654ECA9">
            <w:pPr>
              <w:pStyle w:val="26"/>
              <w:rPr>
                <w:rFonts w:hint="default"/>
                <w:highlight w:val="yellow"/>
              </w:rPr>
            </w:pPr>
            <w:r>
              <w:rPr>
                <w:rFonts w:hint="default"/>
                <w:highlight w:val="yellow"/>
              </w:rPr>
              <w:t>单条分类</w:t>
            </w:r>
          </w:p>
        </w:tc>
        <w:tc>
          <w:tcPr>
            <w:tcW w:w="3009" w:type="dxa"/>
            <w:tcBorders>
              <w:tl2br w:val="nil"/>
              <w:tr2bl w:val="nil"/>
            </w:tcBorders>
            <w:shd w:val="clear" w:color="auto" w:fill="FFFFFF"/>
          </w:tcPr>
          <w:p w14:paraId="3307F646">
            <w:pPr>
              <w:pStyle w:val="26"/>
              <w:rPr>
                <w:rFonts w:hint="default"/>
                <w:highlight w:val="yellow"/>
              </w:rPr>
            </w:pPr>
            <w:r>
              <w:rPr>
                <w:rFonts w:hint="default"/>
                <w:highlight w:val="yellow"/>
              </w:rPr>
              <w:t>输入有效专利摘要</w:t>
            </w:r>
          </w:p>
        </w:tc>
        <w:tc>
          <w:tcPr>
            <w:tcW w:w="0" w:type="auto"/>
            <w:tcBorders>
              <w:tl2br w:val="nil"/>
              <w:tr2bl w:val="nil"/>
            </w:tcBorders>
            <w:shd w:val="clear" w:color="auto" w:fill="FFFFFF"/>
          </w:tcPr>
          <w:p w14:paraId="537F9E0A">
            <w:pPr>
              <w:pStyle w:val="26"/>
              <w:rPr>
                <w:rFonts w:hint="default"/>
                <w:highlight w:val="yellow"/>
              </w:rPr>
            </w:pPr>
            <w:r>
              <w:rPr>
                <w:rFonts w:hint="default"/>
                <w:highlight w:val="yellow"/>
              </w:rPr>
              <w:t>返回预测类别、置信度和概率分布</w:t>
            </w:r>
          </w:p>
        </w:tc>
      </w:tr>
      <w:tr w14:paraId="344C1C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3C2496F2">
            <w:pPr>
              <w:pStyle w:val="26"/>
              <w:rPr>
                <w:rFonts w:hint="default"/>
                <w:highlight w:val="yellow"/>
              </w:rPr>
            </w:pPr>
            <w:r>
              <w:rPr>
                <w:rFonts w:hint="default"/>
                <w:highlight w:val="yellow"/>
              </w:rPr>
              <w:t>TC-004</w:t>
            </w:r>
          </w:p>
        </w:tc>
        <w:tc>
          <w:tcPr>
            <w:tcW w:w="1104" w:type="dxa"/>
            <w:tcBorders>
              <w:tl2br w:val="nil"/>
              <w:tr2bl w:val="nil"/>
            </w:tcBorders>
            <w:shd w:val="clear" w:color="auto" w:fill="FFFFFF"/>
          </w:tcPr>
          <w:p w14:paraId="62BF8F17">
            <w:pPr>
              <w:pStyle w:val="26"/>
              <w:rPr>
                <w:rFonts w:hint="default"/>
                <w:highlight w:val="yellow"/>
              </w:rPr>
            </w:pPr>
            <w:r>
              <w:rPr>
                <w:rFonts w:hint="default"/>
                <w:highlight w:val="yellow"/>
              </w:rPr>
              <w:t>输入校验</w:t>
            </w:r>
          </w:p>
        </w:tc>
        <w:tc>
          <w:tcPr>
            <w:tcW w:w="3009" w:type="dxa"/>
            <w:tcBorders>
              <w:tl2br w:val="nil"/>
              <w:tr2bl w:val="nil"/>
            </w:tcBorders>
            <w:shd w:val="clear" w:color="auto" w:fill="FFFFFF"/>
          </w:tcPr>
          <w:p w14:paraId="69E142A4">
            <w:pPr>
              <w:pStyle w:val="26"/>
              <w:rPr>
                <w:rFonts w:hint="default"/>
                <w:highlight w:val="yellow"/>
              </w:rPr>
            </w:pPr>
            <w:r>
              <w:rPr>
                <w:rFonts w:hint="default"/>
                <w:highlight w:val="yellow"/>
              </w:rPr>
              <w:t>空摘要或不符合要求的文件</w:t>
            </w:r>
          </w:p>
        </w:tc>
        <w:tc>
          <w:tcPr>
            <w:tcW w:w="0" w:type="auto"/>
            <w:tcBorders>
              <w:tl2br w:val="nil"/>
              <w:tr2bl w:val="nil"/>
            </w:tcBorders>
            <w:shd w:val="clear" w:color="auto" w:fill="FFFFFF"/>
          </w:tcPr>
          <w:p w14:paraId="01C66CE4">
            <w:pPr>
              <w:pStyle w:val="26"/>
              <w:rPr>
                <w:rFonts w:hint="default"/>
                <w:highlight w:val="yellow"/>
              </w:rPr>
            </w:pPr>
            <w:r>
              <w:rPr>
                <w:rFonts w:hint="default"/>
                <w:highlight w:val="yellow"/>
              </w:rPr>
              <w:t>返回明确错误提示</w:t>
            </w:r>
          </w:p>
        </w:tc>
      </w:tr>
      <w:tr w14:paraId="18400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66DEF0E7">
            <w:pPr>
              <w:pStyle w:val="26"/>
              <w:rPr>
                <w:rFonts w:hint="default"/>
                <w:highlight w:val="yellow"/>
              </w:rPr>
            </w:pPr>
            <w:r>
              <w:rPr>
                <w:rFonts w:hint="default"/>
                <w:highlight w:val="yellow"/>
              </w:rPr>
              <w:t>TC-005</w:t>
            </w:r>
          </w:p>
        </w:tc>
        <w:tc>
          <w:tcPr>
            <w:tcW w:w="1104" w:type="dxa"/>
            <w:tcBorders>
              <w:tl2br w:val="nil"/>
              <w:tr2bl w:val="nil"/>
            </w:tcBorders>
            <w:shd w:val="clear" w:color="auto" w:fill="FFFFFF"/>
          </w:tcPr>
          <w:p w14:paraId="11CCCE80">
            <w:pPr>
              <w:pStyle w:val="26"/>
              <w:rPr>
                <w:rFonts w:hint="default"/>
                <w:highlight w:val="yellow"/>
              </w:rPr>
            </w:pPr>
            <w:r>
              <w:rPr>
                <w:rFonts w:hint="default"/>
                <w:highlight w:val="yellow"/>
              </w:rPr>
              <w:t>批量分类</w:t>
            </w:r>
          </w:p>
        </w:tc>
        <w:tc>
          <w:tcPr>
            <w:tcW w:w="3009" w:type="dxa"/>
            <w:tcBorders>
              <w:tl2br w:val="nil"/>
              <w:tr2bl w:val="nil"/>
            </w:tcBorders>
            <w:shd w:val="clear" w:color="auto" w:fill="FFFFFF"/>
          </w:tcPr>
          <w:p w14:paraId="791AAC49">
            <w:pPr>
              <w:pStyle w:val="26"/>
              <w:rPr>
                <w:rFonts w:hint="default"/>
                <w:highlight w:val="yellow"/>
              </w:rPr>
            </w:pPr>
            <w:r>
              <w:rPr>
                <w:rFonts w:hint="default"/>
                <w:highlight w:val="yellow"/>
              </w:rPr>
              <w:t>上传包含摘要列且不超过50条的Excel文件</w:t>
            </w:r>
          </w:p>
        </w:tc>
        <w:tc>
          <w:tcPr>
            <w:tcW w:w="0" w:type="auto"/>
            <w:tcBorders>
              <w:tl2br w:val="nil"/>
              <w:tr2bl w:val="nil"/>
            </w:tcBorders>
            <w:shd w:val="clear" w:color="auto" w:fill="FFFFFF"/>
          </w:tcPr>
          <w:p w14:paraId="0F5057AC">
            <w:pPr>
              <w:pStyle w:val="26"/>
              <w:rPr>
                <w:rFonts w:hint="default"/>
                <w:highlight w:val="yellow"/>
              </w:rPr>
            </w:pPr>
            <w:r>
              <w:rPr>
                <w:rFonts w:hint="default"/>
                <w:highlight w:val="yellow"/>
              </w:rPr>
              <w:t>返回批次ID、成功数和失败数</w:t>
            </w:r>
          </w:p>
        </w:tc>
      </w:tr>
      <w:tr w14:paraId="506FDA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6C010397">
            <w:pPr>
              <w:pStyle w:val="26"/>
              <w:rPr>
                <w:rFonts w:hint="default"/>
                <w:highlight w:val="yellow"/>
              </w:rPr>
            </w:pPr>
            <w:r>
              <w:rPr>
                <w:rFonts w:hint="default"/>
                <w:highlight w:val="yellow"/>
              </w:rPr>
              <w:t>TC-006</w:t>
            </w:r>
          </w:p>
        </w:tc>
        <w:tc>
          <w:tcPr>
            <w:tcW w:w="1104" w:type="dxa"/>
            <w:tcBorders>
              <w:tl2br w:val="nil"/>
              <w:tr2bl w:val="nil"/>
            </w:tcBorders>
            <w:shd w:val="clear" w:color="auto" w:fill="FFFFFF"/>
          </w:tcPr>
          <w:p w14:paraId="7DF3AE04">
            <w:pPr>
              <w:pStyle w:val="26"/>
              <w:rPr>
                <w:rFonts w:hint="default"/>
                <w:highlight w:val="yellow"/>
              </w:rPr>
            </w:pPr>
            <w:r>
              <w:rPr>
                <w:rFonts w:hint="default"/>
                <w:highlight w:val="yellow"/>
              </w:rPr>
              <w:t>历史查询</w:t>
            </w:r>
          </w:p>
        </w:tc>
        <w:tc>
          <w:tcPr>
            <w:tcW w:w="3009" w:type="dxa"/>
            <w:tcBorders>
              <w:tl2br w:val="nil"/>
              <w:tr2bl w:val="nil"/>
            </w:tcBorders>
            <w:shd w:val="clear" w:color="auto" w:fill="FFFFFF"/>
          </w:tcPr>
          <w:p w14:paraId="0867BA88">
            <w:pPr>
              <w:pStyle w:val="26"/>
              <w:rPr>
                <w:rFonts w:hint="default"/>
                <w:highlight w:val="yellow"/>
              </w:rPr>
            </w:pPr>
            <w:r>
              <w:rPr>
                <w:rFonts w:hint="default"/>
                <w:highlight w:val="yellow"/>
              </w:rPr>
              <w:t>按类别、时间、来源、关键字或批次ID筛选</w:t>
            </w:r>
          </w:p>
        </w:tc>
        <w:tc>
          <w:tcPr>
            <w:tcW w:w="0" w:type="auto"/>
            <w:tcBorders>
              <w:tl2br w:val="nil"/>
              <w:tr2bl w:val="nil"/>
            </w:tcBorders>
            <w:shd w:val="clear" w:color="auto" w:fill="FFFFFF"/>
          </w:tcPr>
          <w:p w14:paraId="0E6B9640">
            <w:pPr>
              <w:pStyle w:val="26"/>
              <w:rPr>
                <w:rFonts w:hint="default"/>
                <w:highlight w:val="yellow"/>
              </w:rPr>
            </w:pPr>
            <w:r>
              <w:rPr>
                <w:rFonts w:hint="default"/>
                <w:highlight w:val="yellow"/>
              </w:rPr>
              <w:t>返回符合条件的分类记录</w:t>
            </w:r>
          </w:p>
        </w:tc>
      </w:tr>
      <w:tr w14:paraId="77E63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6E1D9A97">
            <w:pPr>
              <w:pStyle w:val="26"/>
              <w:rPr>
                <w:rFonts w:hint="default"/>
                <w:highlight w:val="yellow"/>
              </w:rPr>
            </w:pPr>
            <w:r>
              <w:rPr>
                <w:rFonts w:hint="default"/>
                <w:highlight w:val="yellow"/>
              </w:rPr>
              <w:t>TC-007</w:t>
            </w:r>
          </w:p>
        </w:tc>
        <w:tc>
          <w:tcPr>
            <w:tcW w:w="1104" w:type="dxa"/>
            <w:tcBorders>
              <w:tl2br w:val="nil"/>
              <w:tr2bl w:val="nil"/>
            </w:tcBorders>
            <w:shd w:val="clear" w:color="auto" w:fill="FFFFFF"/>
          </w:tcPr>
          <w:p w14:paraId="00C08101">
            <w:pPr>
              <w:pStyle w:val="26"/>
              <w:rPr>
                <w:rFonts w:hint="default"/>
                <w:highlight w:val="yellow"/>
              </w:rPr>
            </w:pPr>
            <w:r>
              <w:rPr>
                <w:rFonts w:hint="default"/>
                <w:highlight w:val="yellow"/>
              </w:rPr>
              <w:t>记录详情</w:t>
            </w:r>
          </w:p>
        </w:tc>
        <w:tc>
          <w:tcPr>
            <w:tcW w:w="3009" w:type="dxa"/>
            <w:tcBorders>
              <w:tl2br w:val="nil"/>
              <w:tr2bl w:val="nil"/>
            </w:tcBorders>
            <w:shd w:val="clear" w:color="auto" w:fill="FFFFFF"/>
          </w:tcPr>
          <w:p w14:paraId="7421B770">
            <w:pPr>
              <w:pStyle w:val="26"/>
              <w:rPr>
                <w:rFonts w:hint="default"/>
                <w:highlight w:val="yellow"/>
              </w:rPr>
            </w:pPr>
            <w:r>
              <w:rPr>
                <w:rFonts w:hint="default"/>
                <w:highlight w:val="yellow"/>
              </w:rPr>
              <w:t>点击历史记录详情</w:t>
            </w:r>
          </w:p>
        </w:tc>
        <w:tc>
          <w:tcPr>
            <w:tcW w:w="0" w:type="auto"/>
            <w:tcBorders>
              <w:tl2br w:val="nil"/>
              <w:tr2bl w:val="nil"/>
            </w:tcBorders>
            <w:shd w:val="clear" w:color="auto" w:fill="FFFFFF"/>
          </w:tcPr>
          <w:p w14:paraId="4C8726BE">
            <w:pPr>
              <w:pStyle w:val="26"/>
              <w:rPr>
                <w:rFonts w:hint="default"/>
                <w:highlight w:val="yellow"/>
              </w:rPr>
            </w:pPr>
            <w:r>
              <w:rPr>
                <w:rFonts w:hint="default"/>
                <w:highlight w:val="yellow"/>
              </w:rPr>
              <w:t>展示完整摘要和22类概率分布</w:t>
            </w:r>
          </w:p>
        </w:tc>
      </w:tr>
      <w:tr w14:paraId="0F408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54FFF381">
            <w:pPr>
              <w:pStyle w:val="26"/>
              <w:rPr>
                <w:rFonts w:hint="default"/>
                <w:highlight w:val="yellow"/>
              </w:rPr>
            </w:pPr>
            <w:r>
              <w:rPr>
                <w:rFonts w:hint="default"/>
                <w:highlight w:val="yellow"/>
              </w:rPr>
              <w:t>TC-008</w:t>
            </w:r>
          </w:p>
        </w:tc>
        <w:tc>
          <w:tcPr>
            <w:tcW w:w="1104" w:type="dxa"/>
            <w:tcBorders>
              <w:tl2br w:val="nil"/>
              <w:tr2bl w:val="nil"/>
            </w:tcBorders>
            <w:shd w:val="clear" w:color="auto" w:fill="FFFFFF"/>
          </w:tcPr>
          <w:p w14:paraId="7A2D837C">
            <w:pPr>
              <w:pStyle w:val="26"/>
              <w:rPr>
                <w:rFonts w:hint="default"/>
                <w:highlight w:val="yellow"/>
              </w:rPr>
            </w:pPr>
            <w:r>
              <w:rPr>
                <w:rFonts w:hint="default"/>
                <w:highlight w:val="yellow"/>
              </w:rPr>
              <w:t>结果导出</w:t>
            </w:r>
          </w:p>
        </w:tc>
        <w:tc>
          <w:tcPr>
            <w:tcW w:w="3009" w:type="dxa"/>
            <w:tcBorders>
              <w:tl2br w:val="nil"/>
              <w:tr2bl w:val="nil"/>
            </w:tcBorders>
            <w:shd w:val="clear" w:color="auto" w:fill="FFFFFF"/>
          </w:tcPr>
          <w:p w14:paraId="3F1A3444">
            <w:pPr>
              <w:pStyle w:val="26"/>
              <w:rPr>
                <w:rFonts w:hint="default"/>
                <w:highlight w:val="yellow"/>
              </w:rPr>
            </w:pPr>
            <w:r>
              <w:rPr>
                <w:rFonts w:hint="default"/>
                <w:highlight w:val="yellow"/>
              </w:rPr>
              <w:t>对筛选结果执行Excel导出</w:t>
            </w:r>
          </w:p>
        </w:tc>
        <w:tc>
          <w:tcPr>
            <w:tcW w:w="0" w:type="auto"/>
            <w:tcBorders>
              <w:tl2br w:val="nil"/>
              <w:tr2bl w:val="nil"/>
            </w:tcBorders>
            <w:shd w:val="clear" w:color="auto" w:fill="FFFFFF"/>
          </w:tcPr>
          <w:p w14:paraId="6B53F73B">
            <w:pPr>
              <w:pStyle w:val="26"/>
              <w:rPr>
                <w:rFonts w:hint="default"/>
                <w:highlight w:val="yellow"/>
              </w:rPr>
            </w:pPr>
            <w:r>
              <w:rPr>
                <w:rFonts w:hint="default"/>
                <w:highlight w:val="yellow"/>
              </w:rPr>
              <w:t>200条以内可导出，超出上限时提示缩小范围</w:t>
            </w:r>
          </w:p>
        </w:tc>
      </w:tr>
    </w:tbl>
    <w:p w14:paraId="3A74727A">
      <w:pPr>
        <w:pStyle w:val="4"/>
        <w:numPr>
          <w:ilvl w:val="2"/>
          <w:numId w:val="1"/>
        </w:numPr>
        <w:rPr>
          <w:highlight w:val="yellow"/>
        </w:rPr>
      </w:pPr>
      <w:bookmarkStart w:id="250" w:name="_Toc229086917"/>
      <w:bookmarkStart w:id="251" w:name="_Toc7815"/>
      <w:r>
        <w:rPr>
          <w:rFonts w:hint="eastAsia"/>
          <w:highlight w:val="yellow"/>
        </w:rPr>
        <w:t>非功能测试</w:t>
      </w:r>
      <w:bookmarkEnd w:id="250"/>
      <w:bookmarkEnd w:id="251"/>
    </w:p>
    <w:p w14:paraId="20589394">
      <w:pPr>
        <w:ind w:firstLine="480"/>
        <w:rPr>
          <w:highlight w:val="yellow"/>
        </w:rPr>
      </w:pPr>
      <w:r>
        <w:rPr>
          <w:highlight w:val="yellow"/>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012265C4">
      <w:pPr>
        <w:ind w:firstLine="480"/>
        <w:rPr>
          <w:highlight w:val="yellow"/>
        </w:rPr>
      </w:pPr>
      <w:r>
        <w:rPr>
          <w:rFonts w:hint="eastAsia"/>
          <w:highlight w:val="yellow"/>
        </w:rPr>
        <w:t>功能测试与非功能测试结果表明，系统主要业务流程能够按预期执行，运行状态基本稳定，能够满足原型系统的功能验证和应用测试要求。</w:t>
      </w:r>
    </w:p>
    <w:p w14:paraId="2AD69034">
      <w:pPr>
        <w:ind w:firstLine="480"/>
        <w:rPr>
          <w:highlight w:val="yellow"/>
        </w:rPr>
      </w:pPr>
    </w:p>
    <w:p w14:paraId="0466EED0">
      <w:pPr>
        <w:ind w:firstLine="480"/>
        <w:rPr>
          <w:highlight w:val="yellow"/>
        </w:rPr>
      </w:pPr>
    </w:p>
    <w:p w14:paraId="7BE465D2">
      <w:pPr>
        <w:pStyle w:val="25"/>
        <w:rPr>
          <w:rFonts w:hint="default"/>
          <w:highlight w:val="yellow"/>
        </w:rPr>
      </w:pPr>
      <w:r>
        <w:rPr>
          <w:rFonts w:hint="default"/>
          <w:highlight w:val="yellow"/>
        </w:rPr>
        <w:t>表5-6</w:t>
      </w:r>
      <w:r>
        <w:rPr>
          <w:highlight w:val="yellow"/>
        </w:rPr>
        <w:t xml:space="preserve">  </w:t>
      </w:r>
      <w:r>
        <w:rPr>
          <w:rFonts w:hint="default"/>
          <w:highlight w:val="yellow"/>
        </w:rPr>
        <w:t>系统非功能测试结果</w:t>
      </w:r>
    </w:p>
    <w:tbl>
      <w:tblPr>
        <w:tblStyle w:val="15"/>
        <w:tblW w:w="5000" w:type="pct"/>
        <w:tblInd w:w="0" w:type="dxa"/>
        <w:tblLayout w:type="autofit"/>
        <w:tblCellMar>
          <w:top w:w="0" w:type="dxa"/>
          <w:left w:w="108" w:type="dxa"/>
          <w:bottom w:w="0" w:type="dxa"/>
          <w:right w:w="108" w:type="dxa"/>
        </w:tblCellMar>
      </w:tblPr>
      <w:tblGrid>
        <w:gridCol w:w="1628"/>
        <w:gridCol w:w="2841"/>
        <w:gridCol w:w="4053"/>
      </w:tblGrid>
      <w:tr w14:paraId="637E084C">
        <w:tblPrEx>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04231557">
            <w:pPr>
              <w:pStyle w:val="26"/>
              <w:rPr>
                <w:rFonts w:hint="default"/>
                <w:highlight w:val="yellow"/>
              </w:rPr>
            </w:pPr>
            <w:r>
              <w:rPr>
                <w:rFonts w:hint="default"/>
                <w:highlight w:val="yellow"/>
              </w:rPr>
              <w:t>测试项</w:t>
            </w:r>
          </w:p>
        </w:tc>
        <w:tc>
          <w:tcPr>
            <w:tcW w:w="1666" w:type="pct"/>
            <w:tcBorders>
              <w:top w:val="single" w:color="auto" w:sz="8" w:space="0"/>
              <w:left w:val="nil"/>
              <w:bottom w:val="single" w:color="auto" w:sz="6" w:space="0"/>
              <w:right w:val="nil"/>
            </w:tcBorders>
            <w:shd w:val="clear" w:color="auto" w:fill="FFFFFF"/>
            <w:vAlign w:val="center"/>
          </w:tcPr>
          <w:p w14:paraId="50F65B62">
            <w:pPr>
              <w:pStyle w:val="26"/>
              <w:rPr>
                <w:rFonts w:hint="default"/>
                <w:highlight w:val="yellow"/>
              </w:rPr>
            </w:pPr>
            <w:r>
              <w:rPr>
                <w:rFonts w:hint="default"/>
                <w:highlight w:val="yellow"/>
              </w:rPr>
              <w:t>验收要求</w:t>
            </w:r>
          </w:p>
        </w:tc>
        <w:tc>
          <w:tcPr>
            <w:tcW w:w="2377" w:type="pct"/>
            <w:tcBorders>
              <w:top w:val="single" w:color="auto" w:sz="8" w:space="0"/>
              <w:left w:val="nil"/>
              <w:bottom w:val="single" w:color="auto" w:sz="6" w:space="0"/>
              <w:right w:val="nil"/>
            </w:tcBorders>
            <w:shd w:val="clear" w:color="auto" w:fill="FFFFFF"/>
            <w:vAlign w:val="center"/>
          </w:tcPr>
          <w:p w14:paraId="161CA1F6">
            <w:pPr>
              <w:pStyle w:val="26"/>
              <w:rPr>
                <w:rFonts w:hint="default"/>
                <w:highlight w:val="yellow"/>
              </w:rPr>
            </w:pPr>
            <w:r>
              <w:rPr>
                <w:rFonts w:hint="default"/>
                <w:highlight w:val="yellow"/>
              </w:rPr>
              <w:t>测试结果</w:t>
            </w:r>
          </w:p>
        </w:tc>
      </w:tr>
      <w:tr w14:paraId="0E54229C">
        <w:trPr>
          <w:trHeight w:val="170" w:hRule="atLeast"/>
        </w:trPr>
        <w:tc>
          <w:tcPr>
            <w:tcW w:w="955" w:type="pct"/>
            <w:tcBorders>
              <w:top w:val="single" w:color="auto" w:sz="6" w:space="0"/>
              <w:left w:val="nil"/>
              <w:bottom w:val="nil"/>
              <w:right w:val="nil"/>
            </w:tcBorders>
            <w:shd w:val="clear" w:color="auto" w:fill="FFFFFF"/>
          </w:tcPr>
          <w:p w14:paraId="751132B5">
            <w:pPr>
              <w:pStyle w:val="26"/>
              <w:rPr>
                <w:rFonts w:hint="default"/>
                <w:highlight w:val="yellow"/>
              </w:rPr>
            </w:pPr>
            <w:r>
              <w:rPr>
                <w:rFonts w:hint="default"/>
                <w:highlight w:val="yellow"/>
              </w:rPr>
              <w:t>单条分类响应</w:t>
            </w:r>
          </w:p>
        </w:tc>
        <w:tc>
          <w:tcPr>
            <w:tcW w:w="1666" w:type="pct"/>
            <w:tcBorders>
              <w:top w:val="single" w:color="auto" w:sz="6" w:space="0"/>
              <w:left w:val="nil"/>
              <w:bottom w:val="nil"/>
              <w:right w:val="nil"/>
            </w:tcBorders>
            <w:shd w:val="clear" w:color="auto" w:fill="FFFFFF"/>
          </w:tcPr>
          <w:p w14:paraId="2FD3478F">
            <w:pPr>
              <w:pStyle w:val="26"/>
              <w:rPr>
                <w:rFonts w:hint="default"/>
                <w:highlight w:val="yellow"/>
              </w:rPr>
            </w:pPr>
            <w:r>
              <w:rPr>
                <w:rFonts w:hint="default"/>
                <w:highlight w:val="yellow"/>
              </w:rPr>
              <w:t>t95响应时间不超过3s</w:t>
            </w:r>
          </w:p>
        </w:tc>
        <w:tc>
          <w:tcPr>
            <w:tcW w:w="2377" w:type="pct"/>
            <w:tcBorders>
              <w:top w:val="single" w:color="auto" w:sz="6" w:space="0"/>
              <w:left w:val="nil"/>
              <w:bottom w:val="nil"/>
              <w:right w:val="nil"/>
            </w:tcBorders>
            <w:shd w:val="clear" w:color="auto" w:fill="FFFFFF"/>
          </w:tcPr>
          <w:p w14:paraId="576D11E3">
            <w:pPr>
              <w:pStyle w:val="26"/>
              <w:rPr>
                <w:rFonts w:hint="default"/>
                <w:highlight w:val="yellow"/>
              </w:rPr>
            </w:pPr>
            <w:r>
              <w:rPr>
                <w:rFonts w:hint="default"/>
                <w:highlight w:val="yellow"/>
              </w:rPr>
              <w:t>模型服务预加载后，连续提交测试摘要，响应时间满足要求</w:t>
            </w:r>
          </w:p>
        </w:tc>
      </w:tr>
      <w:tr w14:paraId="11A38F23">
        <w:tblPrEx>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tcPr>
          <w:p w14:paraId="4CC078C9">
            <w:pPr>
              <w:pStyle w:val="26"/>
              <w:rPr>
                <w:rFonts w:hint="default"/>
                <w:highlight w:val="yellow"/>
              </w:rPr>
            </w:pPr>
            <w:r>
              <w:rPr>
                <w:rFonts w:hint="default"/>
                <w:highlight w:val="yellow"/>
              </w:rPr>
              <w:t>批量分类能力</w:t>
            </w:r>
          </w:p>
        </w:tc>
        <w:tc>
          <w:tcPr>
            <w:tcW w:w="1666" w:type="pct"/>
            <w:tcBorders>
              <w:top w:val="nil"/>
              <w:left w:val="nil"/>
              <w:bottom w:val="nil"/>
              <w:right w:val="nil"/>
            </w:tcBorders>
            <w:shd w:val="clear" w:color="auto" w:fill="FFFFFF"/>
          </w:tcPr>
          <w:p w14:paraId="0EE6A71E">
            <w:pPr>
              <w:pStyle w:val="26"/>
              <w:rPr>
                <w:rFonts w:hint="default"/>
                <w:highlight w:val="yellow"/>
              </w:rPr>
            </w:pPr>
            <w:r>
              <w:rPr>
                <w:rFonts w:hint="default"/>
                <w:highlight w:val="yellow"/>
              </w:rPr>
              <w:t>50条以内任务在5min内完成</w:t>
            </w:r>
          </w:p>
        </w:tc>
        <w:tc>
          <w:tcPr>
            <w:tcW w:w="2377" w:type="pct"/>
            <w:tcBorders>
              <w:top w:val="nil"/>
              <w:left w:val="nil"/>
              <w:bottom w:val="nil"/>
              <w:right w:val="nil"/>
            </w:tcBorders>
            <w:shd w:val="clear" w:color="auto" w:fill="FFFFFF"/>
          </w:tcPr>
          <w:p w14:paraId="41A5D32F">
            <w:pPr>
              <w:pStyle w:val="26"/>
              <w:rPr>
                <w:rFonts w:hint="default"/>
                <w:highlight w:val="yellow"/>
              </w:rPr>
            </w:pPr>
            <w:r>
              <w:rPr>
                <w:rFonts w:hint="default"/>
                <w:highlight w:val="yellow"/>
              </w:rPr>
              <w:t>系统能够返回批次ID、成功数和失败数</w:t>
            </w:r>
          </w:p>
        </w:tc>
      </w:tr>
      <w:tr w14:paraId="5368DB9A">
        <w:tblPrEx>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tcPr>
          <w:p w14:paraId="4AB6FC1E">
            <w:pPr>
              <w:pStyle w:val="26"/>
              <w:rPr>
                <w:rFonts w:hint="default"/>
                <w:highlight w:val="yellow"/>
              </w:rPr>
            </w:pPr>
            <w:r>
              <w:rPr>
                <w:rFonts w:hint="default"/>
                <w:highlight w:val="yellow"/>
              </w:rPr>
              <w:t>历史查询与导出</w:t>
            </w:r>
          </w:p>
        </w:tc>
        <w:tc>
          <w:tcPr>
            <w:tcW w:w="1666" w:type="pct"/>
            <w:tcBorders>
              <w:top w:val="nil"/>
              <w:left w:val="nil"/>
              <w:bottom w:val="nil"/>
              <w:right w:val="nil"/>
            </w:tcBorders>
            <w:shd w:val="clear" w:color="auto" w:fill="FFFFFF"/>
          </w:tcPr>
          <w:p w14:paraId="68F2F2E6">
            <w:pPr>
              <w:pStyle w:val="26"/>
              <w:rPr>
                <w:rFonts w:hint="default"/>
                <w:highlight w:val="yellow"/>
              </w:rPr>
            </w:pPr>
            <w:r>
              <w:rPr>
                <w:rFonts w:hint="default"/>
                <w:highlight w:val="yellow"/>
              </w:rPr>
              <w:t>查询t95不超过2s，导出不超过200条</w:t>
            </w:r>
          </w:p>
        </w:tc>
        <w:tc>
          <w:tcPr>
            <w:tcW w:w="2377" w:type="pct"/>
            <w:tcBorders>
              <w:top w:val="nil"/>
              <w:left w:val="nil"/>
              <w:bottom w:val="nil"/>
              <w:right w:val="nil"/>
            </w:tcBorders>
            <w:shd w:val="clear" w:color="auto" w:fill="FFFFFF"/>
          </w:tcPr>
          <w:p w14:paraId="4B5D3FE4">
            <w:pPr>
              <w:pStyle w:val="26"/>
              <w:rPr>
                <w:rFonts w:hint="default"/>
                <w:highlight w:val="yellow"/>
              </w:rPr>
            </w:pPr>
            <w:r>
              <w:rPr>
                <w:rFonts w:hint="default"/>
                <w:highlight w:val="yellow"/>
              </w:rPr>
              <w:t>筛选查询正常返回，200条以内数据可导出</w:t>
            </w:r>
          </w:p>
        </w:tc>
      </w:tr>
      <w:tr w14:paraId="15E7CBE6">
        <w:tblPrEx>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tcPr>
          <w:p w14:paraId="78BD919C">
            <w:pPr>
              <w:pStyle w:val="26"/>
              <w:rPr>
                <w:rFonts w:hint="default"/>
                <w:highlight w:val="yellow"/>
              </w:rPr>
            </w:pPr>
            <w:r>
              <w:rPr>
                <w:rFonts w:hint="default"/>
                <w:highlight w:val="yellow"/>
              </w:rPr>
              <w:t>用户数据隔离</w:t>
            </w:r>
          </w:p>
        </w:tc>
        <w:tc>
          <w:tcPr>
            <w:tcW w:w="1666" w:type="pct"/>
            <w:tcBorders>
              <w:top w:val="nil"/>
              <w:left w:val="nil"/>
              <w:bottom w:val="nil"/>
              <w:right w:val="nil"/>
            </w:tcBorders>
            <w:shd w:val="clear" w:color="auto" w:fill="FFFFFF"/>
          </w:tcPr>
          <w:p w14:paraId="1B8818BE">
            <w:pPr>
              <w:pStyle w:val="26"/>
              <w:rPr>
                <w:rFonts w:hint="default"/>
                <w:highlight w:val="yellow"/>
              </w:rPr>
            </w:pPr>
            <w:r>
              <w:rPr>
                <w:rFonts w:hint="default"/>
                <w:highlight w:val="yellow"/>
              </w:rPr>
              <w:t>未登录请求被拒绝，用户不能访问他人记录</w:t>
            </w:r>
          </w:p>
        </w:tc>
        <w:tc>
          <w:tcPr>
            <w:tcW w:w="2377" w:type="pct"/>
            <w:tcBorders>
              <w:top w:val="nil"/>
              <w:left w:val="nil"/>
              <w:bottom w:val="nil"/>
              <w:right w:val="nil"/>
            </w:tcBorders>
            <w:shd w:val="clear" w:color="auto" w:fill="FFFFFF"/>
          </w:tcPr>
          <w:p w14:paraId="4F29E94B">
            <w:pPr>
              <w:pStyle w:val="26"/>
              <w:rPr>
                <w:rFonts w:hint="default"/>
                <w:highlight w:val="yellow"/>
              </w:rPr>
            </w:pPr>
            <w:r>
              <w:rPr>
                <w:rFonts w:hint="default"/>
                <w:highlight w:val="yellow"/>
              </w:rPr>
              <w:t>历史记录、详情和导出接口均按用户ID过滤</w:t>
            </w:r>
          </w:p>
        </w:tc>
      </w:tr>
      <w:tr w14:paraId="53833984">
        <w:tblPrEx>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tcPr>
          <w:p w14:paraId="7885EE60">
            <w:pPr>
              <w:pStyle w:val="26"/>
              <w:rPr>
                <w:rFonts w:hint="default"/>
                <w:highlight w:val="yellow"/>
              </w:rPr>
            </w:pPr>
            <w:r>
              <w:rPr>
                <w:rFonts w:hint="default"/>
                <w:highlight w:val="yellow"/>
              </w:rPr>
              <w:t>异常处理</w:t>
            </w:r>
          </w:p>
        </w:tc>
        <w:tc>
          <w:tcPr>
            <w:tcW w:w="1666" w:type="pct"/>
            <w:tcBorders>
              <w:top w:val="nil"/>
              <w:left w:val="nil"/>
              <w:bottom w:val="single" w:color="auto" w:sz="8" w:space="0"/>
              <w:right w:val="nil"/>
            </w:tcBorders>
            <w:shd w:val="clear" w:color="auto" w:fill="FFFFFF"/>
          </w:tcPr>
          <w:p w14:paraId="4516BF14">
            <w:pPr>
              <w:pStyle w:val="26"/>
              <w:rPr>
                <w:rFonts w:hint="default"/>
                <w:highlight w:val="yellow"/>
              </w:rPr>
            </w:pPr>
            <w:r>
              <w:rPr>
                <w:rFonts w:hint="default"/>
                <w:highlight w:val="yellow"/>
              </w:rPr>
              <w:t>下游异常或单条失败不导致批量任务整体中断</w:t>
            </w:r>
          </w:p>
        </w:tc>
        <w:tc>
          <w:tcPr>
            <w:tcW w:w="2377" w:type="pct"/>
            <w:tcBorders>
              <w:top w:val="nil"/>
              <w:left w:val="nil"/>
              <w:bottom w:val="single" w:color="auto" w:sz="8" w:space="0"/>
              <w:right w:val="nil"/>
            </w:tcBorders>
            <w:shd w:val="clear" w:color="auto" w:fill="FFFFFF"/>
          </w:tcPr>
          <w:p w14:paraId="14AD32D1">
            <w:pPr>
              <w:pStyle w:val="26"/>
              <w:rPr>
                <w:rFonts w:hint="default"/>
                <w:highlight w:val="yellow"/>
              </w:rPr>
            </w:pPr>
            <w:r>
              <w:rPr>
                <w:rFonts w:hint="default"/>
                <w:highlight w:val="yellow"/>
              </w:rPr>
              <w:t>异常记录进入失败列表，前端能够获得错误提示</w:t>
            </w:r>
          </w:p>
        </w:tc>
      </w:tr>
    </w:tbl>
    <w:p w14:paraId="6C4262A1">
      <w:pPr>
        <w:ind w:firstLine="480"/>
        <w:sectPr>
          <w:pgSz w:w="11906" w:h="16838"/>
          <w:pgMar w:top="1440" w:right="1800" w:bottom="1440" w:left="1800" w:header="851" w:footer="992" w:gutter="0"/>
          <w:cols w:space="0" w:num="1"/>
          <w:docGrid w:type="lines" w:linePitch="312" w:charSpace="0"/>
        </w:sectPr>
      </w:pPr>
    </w:p>
    <w:p w14:paraId="49CEA6FC">
      <w:pPr>
        <w:pStyle w:val="2"/>
        <w:numPr>
          <w:ilvl w:val="0"/>
          <w:numId w:val="1"/>
        </w:numPr>
        <w:tabs>
          <w:tab w:val="clear" w:pos="0"/>
        </w:tabs>
      </w:pPr>
      <w:bookmarkStart w:id="252" w:name="_Toc216114528"/>
      <w:bookmarkStart w:id="253" w:name="_Toc229086918"/>
      <w:bookmarkStart w:id="254" w:name="_Toc13415"/>
      <w:r>
        <w:rPr>
          <w:rFonts w:hint="eastAsia"/>
        </w:rPr>
        <w:t>总结与展望</w:t>
      </w:r>
      <w:bookmarkEnd w:id="252"/>
      <w:bookmarkEnd w:id="253"/>
      <w:bookmarkEnd w:id="254"/>
      <w:bookmarkStart w:id="255" w:name="_Toc216114689"/>
      <w:bookmarkEnd w:id="255"/>
      <w:bookmarkStart w:id="256" w:name="_Toc216114529"/>
      <w:bookmarkEnd w:id="256"/>
      <w:bookmarkStart w:id="257" w:name="_Toc216116663"/>
      <w:bookmarkEnd w:id="257"/>
      <w:bookmarkStart w:id="258" w:name="_Toc216117093"/>
      <w:bookmarkEnd w:id="258"/>
      <w:bookmarkStart w:id="259" w:name="_Toc216114387"/>
      <w:bookmarkEnd w:id="259"/>
      <w:bookmarkStart w:id="260" w:name="_Toc216114458"/>
      <w:bookmarkEnd w:id="260"/>
      <w:bookmarkStart w:id="261" w:name="_Toc216115396"/>
      <w:bookmarkEnd w:id="261"/>
      <w:bookmarkStart w:id="262" w:name="_Toc216116735"/>
      <w:bookmarkEnd w:id="262"/>
      <w:bookmarkStart w:id="263" w:name="_Toc216115327"/>
      <w:bookmarkEnd w:id="263"/>
    </w:p>
    <w:p w14:paraId="17E8EBFD">
      <w:pPr>
        <w:pStyle w:val="3"/>
        <w:numPr>
          <w:ilvl w:val="1"/>
          <w:numId w:val="1"/>
        </w:numPr>
        <w:tabs>
          <w:tab w:val="clear" w:pos="420"/>
        </w:tabs>
      </w:pPr>
      <w:bookmarkStart w:id="264" w:name="_Toc216114530"/>
      <w:bookmarkStart w:id="265" w:name="_Toc229086919"/>
      <w:bookmarkStart w:id="266" w:name="_Toc14079"/>
      <w:r>
        <w:rPr>
          <w:rFonts w:hint="eastAsia"/>
        </w:rPr>
        <w:t>总结</w:t>
      </w:r>
      <w:bookmarkEnd w:id="264"/>
      <w:bookmarkEnd w:id="265"/>
      <w:bookmarkEnd w:id="266"/>
    </w:p>
    <w:p w14:paraId="5DB2059A">
      <w:pPr>
        <w:ind w:firstLine="480"/>
      </w:pPr>
      <w:r>
        <w:rPr>
          <w:rFonts w:hint="eastAsia"/>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的原始标签存在噪声，医疗器械专利文本又具有术语密集、类别边界交叉和长尾类别明显等特点，直接制约了分类模型的训练效果和应用可靠性。针对上述问题，本文围绕数据质量控制、跨体系分类建模以及模型验证与应用三个环节开展研究，重点解决弱标签条件下训练数据构建、专利技术文本向监管目录类别映射以及模型实际应用效果验证等问题。</w:t>
      </w:r>
    </w:p>
    <w:p w14:paraId="118DC3BC">
      <w:pPr>
        <w:numPr>
          <w:ilvl w:val="0"/>
          <w:numId w:val="18"/>
        </w:numPr>
        <w:ind w:firstLine="480"/>
      </w:pPr>
      <w:r>
        <w:rPr>
          <w:rFonts w:hint="eastAsia"/>
        </w:rPr>
        <w:t>构建了面向弱标签条件的医疗器械专利数据治理流程</w:t>
      </w:r>
    </w:p>
    <w:p w14:paraId="069AAE29">
      <w:pPr>
        <w:ind w:firstLine="480"/>
      </w:pPr>
      <w:r>
        <w:rPr>
          <w:rFonts w:hint="eastAsia"/>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专家校对数据集D2，并通过二级类别预测、分层抽样和JS散度评估尽量保持抽样子集与原始数据分布的一致性。</w:t>
      </w:r>
    </w:p>
    <w:p w14:paraId="77180A79">
      <w:pPr>
        <w:numPr>
          <w:ilvl w:val="0"/>
          <w:numId w:val="18"/>
        </w:numPr>
        <w:ind w:firstLine="480"/>
      </w:pPr>
      <w:r>
        <w:rPr>
          <w:rFonts w:hint="eastAsia"/>
        </w:rPr>
        <w:t>构建了引入分类目录知识和规则校验的自动标注流程</w:t>
      </w:r>
    </w:p>
    <w:p w14:paraId="7056AAE8">
      <w:pPr>
        <w:ind w:firstLine="480"/>
      </w:pPr>
      <w:r>
        <w:rPr>
          <w:rFonts w:hint="eastAsia"/>
        </w:rPr>
        <w:t>针对原始标签存在噪声和人工标注成本较高的问题，本文基于Qwen大模型、Dify工作流、《医疗器械分类目录》和《医疗器械分类规则》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47E7764D">
      <w:pPr>
        <w:numPr>
          <w:ilvl w:val="0"/>
          <w:numId w:val="18"/>
        </w:numPr>
        <w:ind w:firstLine="480"/>
      </w:pPr>
      <w:r>
        <w:rPr>
          <w:rFonts w:hint="eastAsia"/>
        </w:rPr>
        <w:t>形成了从案例分析、置信度过滤到增强质量控制的数据质量闭环</w:t>
      </w:r>
    </w:p>
    <w:p w14:paraId="15B230BB">
      <w:pPr>
        <w:ind w:firstLine="480"/>
      </w:pPr>
      <w:r>
        <w:rPr>
          <w:rFonts w:hint="eastAsia"/>
        </w:rPr>
        <w:t>本文没有直接将自动标注结果作为训练数据，而是以专家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专家校对成本和训练数据质量之间作出的权衡。</w:t>
      </w:r>
    </w:p>
    <w:p w14:paraId="700437B8">
      <w:pPr>
        <w:ind w:firstLine="480"/>
      </w:pPr>
      <w:r>
        <w:rPr>
          <w:rFonts w:hint="eastAsia"/>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6CDA7A1D">
      <w:pPr>
        <w:numPr>
          <w:ilvl w:val="0"/>
          <w:numId w:val="18"/>
        </w:numPr>
        <w:ind w:firstLine="480"/>
      </w:pPr>
      <w:r>
        <w:rPr>
          <w:rFonts w:hint="eastAsia"/>
        </w:rPr>
        <w:t>完成了医疗器械专利一级产品类别分类模型的设计与评估</w:t>
      </w:r>
    </w:p>
    <w:p w14:paraId="148B9683">
      <w:pPr>
        <w:ind w:firstLine="480"/>
      </w:pPr>
      <w:r>
        <w:rPr>
          <w:rFonts w:hint="eastAsia"/>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4A19C953">
      <w:pPr>
        <w:numPr>
          <w:ilvl w:val="0"/>
          <w:numId w:val="18"/>
        </w:numPr>
        <w:ind w:firstLine="480"/>
      </w:pPr>
      <w:r>
        <w:rPr>
          <w:rFonts w:hint="eastAsia"/>
        </w:rPr>
        <w:t>通过外部验证和系统实现检验了方法的应用可行性</w:t>
      </w:r>
    </w:p>
    <w:p w14:paraId="5A4D55A9">
      <w:pPr>
        <w:ind w:firstLine="480"/>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63DC0C6F">
      <w:pPr>
        <w:ind w:firstLine="480"/>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p>
    <w:p w14:paraId="0BD5E893">
      <w:pPr>
        <w:pStyle w:val="3"/>
        <w:numPr>
          <w:ilvl w:val="1"/>
          <w:numId w:val="1"/>
        </w:numPr>
        <w:tabs>
          <w:tab w:val="clear" w:pos="420"/>
        </w:tabs>
      </w:pPr>
      <w:bookmarkStart w:id="267" w:name="_Toc229086920"/>
      <w:bookmarkStart w:id="268" w:name="_Toc14394"/>
      <w:r>
        <w:rPr>
          <w:rFonts w:hint="eastAsia"/>
        </w:rPr>
        <w:t>创新点</w:t>
      </w:r>
      <w:bookmarkEnd w:id="267"/>
      <w:bookmarkEnd w:id="268"/>
    </w:p>
    <w:p w14:paraId="2848189C">
      <w:pPr>
        <w:ind w:firstLine="480"/>
      </w:pPr>
      <w:r>
        <w:rPr>
          <w:rFonts w:hint="eastAsia"/>
        </w:rPr>
        <w:t>本文针对医疗器械专利分类所面临的问题进行改进，主要包括以下几个方面的内容：</w:t>
      </w:r>
    </w:p>
    <w:p w14:paraId="70E4DDE7">
      <w:pPr>
        <w:ind w:firstLine="480"/>
      </w:pPr>
      <w:r>
        <w:rPr>
          <w:rFonts w:hint="eastAsia"/>
        </w:rPr>
        <w:t>（1）构建了面向弱标签条件的医疗器械专利数据治理流程</w:t>
      </w:r>
    </w:p>
    <w:p w14:paraId="1721E0D4">
      <w:pPr>
        <w:ind w:firstLine="480"/>
      </w:pPr>
      <w:r>
        <w:rPr>
          <w:rFonts w:hint="eastAsia"/>
        </w:rPr>
        <w:t>针对医疗器械专利缺少公开高质量标注数据的问题，本文没有直接使用原始标签，而是通过专家校对数据集、自动标注方法对比、案例分析、双信号一致性分析、抽样验证和TOST等价性检验逐步筛选训练数据。该流程将专家校对、自动标注和统计检验结合起来，为弱标签条件下构建医疗器械专利分类数据集提供了一种可复查的实现路径。</w:t>
      </w:r>
    </w:p>
    <w:p w14:paraId="09BAECE0">
      <w:pPr>
        <w:ind w:firstLine="480"/>
      </w:pPr>
      <w:r>
        <w:rPr>
          <w:rFonts w:hint="eastAsia"/>
        </w:rPr>
        <w:t>（2）设计了引入医疗器械分类知识的自动标注工作流</w:t>
      </w:r>
    </w:p>
    <w:p w14:paraId="631E0844">
      <w:pPr>
        <w:ind w:firstLine="480"/>
      </w:pPr>
      <w:r>
        <w:rPr>
          <w:rFonts w:hint="eastAsia"/>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对比实验和消融实验表明，该设计能够提升医疗器械一级产品类别标注质量。</w:t>
      </w:r>
    </w:p>
    <w:p w14:paraId="12301011">
      <w:pPr>
        <w:ind w:firstLine="480"/>
      </w:pPr>
      <w:r>
        <w:rPr>
          <w:rFonts w:hint="eastAsia"/>
        </w:rPr>
        <w:t>（3）实现专利分类体系到医疗器械分类目录之间跨体系匹配及应用落地</w:t>
      </w:r>
    </w:p>
    <w:p w14:paraId="58E51D36">
      <w:pPr>
        <w:ind w:firstLine="480"/>
      </w:pPr>
      <w:r>
        <w:rPr>
          <w:rFonts w:hint="eastAsia"/>
        </w:rPr>
        <w:t>本文不同于仅在IPC或CPC体系内部开展类别细分的专利分类研究，而是面向医疗器械专利文本与《医疗器械分类目录》之间的跨体系映射任务，建立了从专利技术描述到监管目录类别的自动分类路径。在此基础上，本文借助B/S架构实现在线专利自动分类工具，验证了模型在批量分类、历史留存和结果导出等实际流程中的接入方式。该系统目前仍属于原型系统，其价值主要体现在应用验证层面，可为后续医疗器械垂直领域专利分类数据平台建设提供参考。</w:t>
      </w:r>
    </w:p>
    <w:p w14:paraId="689E93EE">
      <w:pPr>
        <w:pStyle w:val="3"/>
        <w:numPr>
          <w:ilvl w:val="1"/>
          <w:numId w:val="1"/>
        </w:numPr>
        <w:tabs>
          <w:tab w:val="clear" w:pos="420"/>
        </w:tabs>
      </w:pPr>
      <w:bookmarkStart w:id="269" w:name="_Toc216114531"/>
      <w:bookmarkStart w:id="270" w:name="_Toc229086921"/>
      <w:bookmarkStart w:id="271" w:name="_Toc22641"/>
      <w:r>
        <w:rPr>
          <w:rFonts w:hint="eastAsia"/>
        </w:rPr>
        <w:t>展望</w:t>
      </w:r>
      <w:bookmarkEnd w:id="269"/>
      <w:bookmarkEnd w:id="270"/>
      <w:bookmarkEnd w:id="271"/>
    </w:p>
    <w:p w14:paraId="269E0035">
      <w:pPr>
        <w:ind w:firstLine="480"/>
      </w:pPr>
      <w:r>
        <w:rPr>
          <w:rFonts w:hint="eastAsia"/>
        </w:rPr>
        <w:t>尽管本文围绕医疗器械发明专利自动分类完成了数据质量控制、分类模型构建和应用验证，但受数据来源、标注成本、实验条件和研究周期限制，仍有若干问题需要在后续工作中进一步完善。</w:t>
      </w:r>
    </w:p>
    <w:p w14:paraId="167AB691">
      <w:pPr>
        <w:numPr>
          <w:ilvl w:val="0"/>
          <w:numId w:val="19"/>
        </w:numPr>
        <w:ind w:firstLine="480"/>
        <w:rPr>
          <w:highlight w:val="yellow"/>
        </w:rPr>
      </w:pPr>
      <w:r>
        <w:rPr>
          <w:rFonts w:hint="eastAsia"/>
          <w:highlight w:val="yellow"/>
        </w:rPr>
        <w:t>进一步开展二级、三级目录的层次化分类研究</w:t>
      </w:r>
    </w:p>
    <w:p w14:paraId="7CBA8CD3">
      <w:pPr>
        <w:ind w:firstLine="480" w:firstLineChars="0"/>
        <w:rPr>
          <w:highlight w:val="yellow"/>
        </w:rPr>
      </w:pPr>
      <w:r>
        <w:rPr>
          <w:rFonts w:hint="eastAsia"/>
          <w:highlight w:val="yellow"/>
        </w:rPr>
        <w:t>本文当前聚焦《医疗器械分类目录》中的22个一级产品类别，并非忽略目录本身的层级结构，而是在原始数据缺少稳定二级、三级标签的条件下，先建立专利文本向监管目录的第一层级映射基准。若直接开展二级、三级分类，部分类别样本不足会放大监督信号噪声，影响模型评估的可靠性。因此，后续研究可在一级分类结果稳定后，引入层次化文本分类模型或路径约束机制，使模型在预测细粒度类别时保持上下级目录之间的逻辑一致性</w:t>
      </w:r>
      <w:r>
        <w:rPr>
          <w:rStyle w:val="33"/>
          <w:rFonts w:hint="eastAsia"/>
          <w:highlight w:val="yellow"/>
        </w:rPr>
        <w:t>[65]</w:t>
      </w:r>
      <w:r>
        <w:rPr>
          <w:rFonts w:hint="eastAsia"/>
          <w:highlight w:val="yellow"/>
        </w:rPr>
        <w:t>。同时，还需要解决二级、三级类别样本稀疏和类间边界更细的问题。</w:t>
      </w:r>
    </w:p>
    <w:p w14:paraId="1BB964AE">
      <w:pPr>
        <w:numPr>
          <w:ilvl w:val="0"/>
          <w:numId w:val="19"/>
        </w:numPr>
        <w:ind w:firstLine="480"/>
        <w:rPr>
          <w:highlight w:val="yellow"/>
        </w:rPr>
      </w:pPr>
      <w:r>
        <w:rPr>
          <w:rFonts w:hint="eastAsia"/>
          <w:highlight w:val="yellow"/>
        </w:rPr>
        <w:t>扩大专家校对规模</w:t>
      </w:r>
    </w:p>
    <w:p w14:paraId="32581B96">
      <w:pPr>
        <w:ind w:firstLine="480" w:firstLineChars="0"/>
        <w:rPr>
          <w:highlight w:val="yellow"/>
        </w:rPr>
      </w:pPr>
      <w:r>
        <w:rPr>
          <w:rFonts w:hint="eastAsia"/>
          <w:highlight w:val="yellow"/>
        </w:rPr>
        <w:t>本文构建了1104条专家校对数据集D2，并进一步对D3高低置信层进行抽样验证。该设计能够在有限人工成本下评估自动标注结果和置信度过滤策略，但专家校对规模仍然有限，尚不能完全覆盖所有类别边界和复杂样本形态。后续研究可扩大专家校对样本规模，特别是增加低置信样本和模型预测不确定样本的人工复核比例</w:t>
      </w:r>
      <w:r>
        <w:rPr>
          <w:rStyle w:val="33"/>
          <w:rFonts w:hint="eastAsia"/>
          <w:highlight w:val="yellow"/>
        </w:rPr>
        <w:t>[66-68]</w:t>
      </w:r>
      <w:r>
        <w:rPr>
          <w:rFonts w:hint="eastAsia"/>
          <w:highlight w:val="yellow"/>
        </w:rPr>
        <w:t>。</w:t>
      </w:r>
    </w:p>
    <w:p w14:paraId="7927220E">
      <w:pPr>
        <w:numPr>
          <w:ilvl w:val="0"/>
          <w:numId w:val="19"/>
        </w:numPr>
        <w:ind w:firstLine="480"/>
        <w:rPr>
          <w:highlight w:val="yellow"/>
        </w:rPr>
      </w:pPr>
      <w:r>
        <w:rPr>
          <w:rFonts w:hint="eastAsia"/>
          <w:highlight w:val="yellow"/>
        </w:rPr>
        <w:t>完善低置信样本的纠错与再利用机制</w:t>
      </w:r>
    </w:p>
    <w:p w14:paraId="6D5267BF">
      <w:pPr>
        <w:ind w:firstLine="480"/>
        <w:rPr>
          <w:highlight w:val="yellow"/>
        </w:rPr>
      </w:pPr>
      <w:r>
        <w:rPr>
          <w:rFonts w:hint="eastAsia"/>
          <w:highlight w:val="yellow"/>
        </w:rPr>
        <w:t>本文为保证训练标签质量，最终只保留通过验证的高置信样本，并剔除了低置信样本。这样的处理能够降低噪声标签对模型训练的影响，但也可能使训练数据更偏向于类别边界相对清晰的样本。受专家校对成本限制，本文尚未对上万条低置信样本逐条纠错，这是本研究的重要局限。</w:t>
      </w:r>
    </w:p>
    <w:p w14:paraId="0D63038D">
      <w:pPr>
        <w:ind w:firstLine="480"/>
        <w:rPr>
          <w:highlight w:val="yellow"/>
        </w:rPr>
      </w:pPr>
      <w:r>
        <w:rPr>
          <w:rFonts w:hint="eastAsia"/>
          <w:highlight w:val="yellow"/>
        </w:rPr>
        <w:t>后续工作可引入主动学习策略，优先选择模型不确定性高、原始标签与自动标注标签冲突的样本进行专家复核</w:t>
      </w:r>
      <w:r>
        <w:rPr>
          <w:rStyle w:val="33"/>
          <w:rFonts w:hint="eastAsia"/>
          <w:highlight w:val="yellow"/>
        </w:rPr>
        <w:t>[69]</w:t>
      </w:r>
      <w:r>
        <w:rPr>
          <w:rFonts w:hint="eastAsia"/>
          <w:highlight w:val="yellow"/>
        </w:rPr>
        <w:t>；也可以结合规则校验、相似案例检索和多轮人工复查，对低置信样本进行分批纠错</w:t>
      </w:r>
      <w:r>
        <w:rPr>
          <w:rStyle w:val="33"/>
          <w:rFonts w:hint="eastAsia"/>
          <w:highlight w:val="yellow"/>
        </w:rPr>
        <w:t>[70]</w:t>
      </w:r>
      <w:r>
        <w:rPr>
          <w:rFonts w:hint="eastAsia"/>
          <w:highlight w:val="yellow"/>
        </w:rPr>
        <w:t>。在此基础上，可将纠错后的低置信样本重新纳入训练集，进一步检验模型在复杂边界样本上的表现。</w:t>
      </w:r>
    </w:p>
    <w:p w14:paraId="2A8BE0C3">
      <w:pPr>
        <w:numPr>
          <w:ilvl w:val="0"/>
          <w:numId w:val="19"/>
        </w:numPr>
        <w:ind w:firstLine="480"/>
      </w:pPr>
      <w:r>
        <w:rPr>
          <w:rFonts w:hint="eastAsia"/>
        </w:rPr>
        <w:t>多模态数据融合</w:t>
      </w:r>
    </w:p>
    <w:p w14:paraId="533A5694">
      <w:pPr>
        <w:ind w:firstLine="480"/>
      </w:pPr>
      <w:r>
        <w:rPr>
          <w:rFonts w:hint="eastAsia"/>
        </w:rPr>
        <w:t>本文主要是根据专利摘要来进行分类工作，在实际中，专利文件中的图片包含大量的形状以及结构上的内容，这对功能相近但结构不同设备的区分具有参考价值，后续可考虑引入图像处理方法对专利附图进行特征提取，利用多模态的方法融合文本以及图片的信息，提高分类效果</w:t>
      </w:r>
      <w:r>
        <w:rPr>
          <w:rStyle w:val="33"/>
        </w:rPr>
        <w:fldChar w:fldCharType="begin"/>
      </w:r>
      <w:r>
        <w:rPr>
          <w:rStyle w:val="33"/>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3"/>
        </w:rPr>
        <w:fldChar w:fldCharType="separate"/>
      </w:r>
      <w:r>
        <w:rPr>
          <w:rStyle w:val="33"/>
        </w:rPr>
        <w:t>[71]</w:t>
      </w:r>
      <w:r>
        <w:rPr>
          <w:rStyle w:val="33"/>
        </w:rPr>
        <w:fldChar w:fldCharType="end"/>
      </w:r>
      <w:r>
        <w:rPr>
          <w:rFonts w:hint="eastAsia"/>
        </w:rPr>
        <w:t>。</w:t>
      </w:r>
    </w:p>
    <w:p w14:paraId="00185F62">
      <w:pPr>
        <w:numPr>
          <w:ilvl w:val="0"/>
          <w:numId w:val="19"/>
        </w:numPr>
        <w:ind w:firstLine="480"/>
      </w:pPr>
      <w:r>
        <w:rPr>
          <w:rFonts w:hint="eastAsia"/>
        </w:rPr>
        <w:t>数据范围的扩展</w:t>
      </w:r>
    </w:p>
    <w:p w14:paraId="420FF07E">
      <w:pPr>
        <w:ind w:firstLine="480"/>
      </w:pPr>
      <w:r>
        <w:rPr>
          <w:rFonts w:hint="eastAsia"/>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7889ECF6">
      <w:pPr>
        <w:ind w:firstLine="480"/>
      </w:pPr>
      <w:r>
        <w:rPr>
          <w:rFonts w:hint="eastAsia"/>
        </w:rPr>
        <w:t>另外，后续工作还可以加入英文专利文献，在已有工作的基础上开展跨语言、跨领域医疗器械专利自动分类研究。专利文本具有较强的技术性、法律性和结构化表达特征，相关综述研究也表明，专利领域NLP仍然需要结合专利文本特点进行任务适配</w:t>
      </w:r>
      <w:r>
        <w:rPr>
          <w:rStyle w:val="33"/>
          <w:rFonts w:hint="eastAsia"/>
        </w:rPr>
        <w:t>[72]</w:t>
      </w:r>
      <w:r>
        <w:rPr>
          <w:rFonts w:hint="eastAsia"/>
        </w:rPr>
        <w:t>。因此，扩大数据来源和语言范围有助于进一步提升分类器的适用范围和稳健性。</w:t>
      </w:r>
    </w:p>
    <w:p w14:paraId="5E548304">
      <w:pPr>
        <w:numPr>
          <w:ilvl w:val="0"/>
          <w:numId w:val="19"/>
        </w:numPr>
        <w:ind w:firstLine="480"/>
      </w:pPr>
      <w:r>
        <w:t>模型的可解释性研究</w:t>
      </w:r>
    </w:p>
    <w:p w14:paraId="6B330EC9">
      <w:pPr>
        <w:ind w:firstLine="480"/>
        <w:sectPr>
          <w:headerReference r:id="rId26" w:type="default"/>
          <w:footerReference r:id="rId28" w:type="default"/>
          <w:headerReference r:id="rId27" w:type="even"/>
          <w:footerReference r:id="rId29" w:type="even"/>
          <w:pgSz w:w="11906" w:h="16838"/>
          <w:pgMar w:top="1440" w:right="1800" w:bottom="1440" w:left="1800" w:header="851" w:footer="992" w:gutter="0"/>
          <w:cols w:space="0" w:num="1"/>
          <w:docGrid w:type="lines" w:linePitch="312" w:charSpace="0"/>
        </w:sectPr>
      </w:pPr>
      <w:r>
        <w:rPr>
          <w:rFonts w:hint="eastAsia"/>
        </w:rPr>
        <w:t>当前的BERT-TextCNN模型虽然具有较高的分类准确率，但是仍然存在一定程度的“黑盒”问题</w:t>
      </w:r>
      <w:r>
        <w:rPr>
          <w:rStyle w:val="33"/>
          <w:rFonts w:hint="eastAsia"/>
        </w:rPr>
        <w:t>[73,74]</w:t>
      </w:r>
      <w:r>
        <w:rPr>
          <w:rFonts w:hint="eastAsia"/>
        </w:rPr>
        <w:t>。而在医疗器械监管以及专利审查的工作环境中，审核人员除了关心分类的结果外，还需要知道模型是如何得出这个结论的</w:t>
      </w:r>
      <w:r>
        <w:rPr>
          <w:rStyle w:val="33"/>
        </w:rPr>
        <w:fldChar w:fldCharType="begin"/>
      </w:r>
      <w:r>
        <w:rPr>
          <w:rStyle w:val="33"/>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3"/>
        </w:rPr>
        <w:fldChar w:fldCharType="separate"/>
      </w:r>
      <w:r>
        <w:rPr>
          <w:rStyle w:val="33"/>
        </w:rPr>
        <w:t>[74]</w:t>
      </w:r>
      <w:r>
        <w:rPr>
          <w:rStyle w:val="33"/>
        </w:rPr>
        <w:fldChar w:fldCharType="end"/>
      </w:r>
      <w:r>
        <w:rPr>
          <w:rFonts w:hint="eastAsia"/>
        </w:rPr>
        <w:t>，比如为什么该发明会被认为是“有源手术器械”，而不是“无源手术器械”。加强模型透明度可以提高监管部门对于自动化的接受程度，也可以帮助找到一些问题所在从而改进模型。</w:t>
      </w:r>
    </w:p>
    <w:p w14:paraId="20CB2929">
      <w:pPr>
        <w:pStyle w:val="2"/>
      </w:pPr>
      <w:bookmarkStart w:id="272" w:name="_Toc229086922"/>
      <w:bookmarkStart w:id="273" w:name="_Toc216114532"/>
      <w:bookmarkStart w:id="274" w:name="_Toc3912"/>
      <w:r>
        <w:rPr>
          <w:rFonts w:hint="eastAsia"/>
        </w:rPr>
        <w:t>参考文献</w:t>
      </w:r>
      <w:bookmarkEnd w:id="272"/>
      <w:bookmarkEnd w:id="273"/>
      <w:bookmarkEnd w:id="274"/>
    </w:p>
    <w:p w14:paraId="2CF6D25A">
      <w:pPr>
        <w:pStyle w:val="31"/>
        <w:ind w:left="420" w:hanging="420"/>
      </w:pPr>
    </w:p>
    <w:p w14:paraId="13F092FA">
      <w:pPr>
        <w:pStyle w:val="30"/>
        <w:numPr>
          <w:ilvl w:val="0"/>
          <w:numId w:val="20"/>
        </w:numPr>
        <w:ind w:left="420" w:hanging="420"/>
      </w:pPr>
      <w:r>
        <w:rPr>
          <w:rFonts w:hint="eastAsia"/>
        </w:rPr>
        <w:t>邢文中.我国创新医疗器械产业发展布局与思考[J].中国医疗器械信息,2022,28(23):1-3.DOI:10.15971/j.cnki.cmdi.2022.23.053.</w:t>
      </w:r>
      <w:r>
        <w:t xml:space="preserve"> </w:t>
      </w:r>
    </w:p>
    <w:p w14:paraId="0F4330DA">
      <w:pPr>
        <w:pStyle w:val="30"/>
        <w:numPr>
          <w:ilvl w:val="0"/>
          <w:numId w:val="20"/>
        </w:numPr>
        <w:ind w:left="420" w:hanging="420"/>
      </w:pPr>
      <w:r>
        <w:t>TOPOL E J. High-performance medicine: the convergence of human and artificial intelligence[J]. Nature Medicine, 2019, 25(1): 44-56</w:t>
      </w:r>
      <w:r>
        <w:rPr>
          <w:rFonts w:hint="eastAsia"/>
        </w:rPr>
        <w:t>.</w:t>
      </w:r>
    </w:p>
    <w:p w14:paraId="1FB5DF3C">
      <w:pPr>
        <w:pStyle w:val="30"/>
        <w:numPr>
          <w:ilvl w:val="0"/>
          <w:numId w:val="20"/>
        </w:numPr>
        <w:ind w:left="420" w:hanging="420"/>
      </w:pP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F41B194">
      <w:pPr>
        <w:pStyle w:val="30"/>
        <w:numPr>
          <w:ilvl w:val="0"/>
          <w:numId w:val="20"/>
        </w:numPr>
        <w:ind w:left="420" w:hanging="420"/>
      </w:pPr>
      <w:r>
        <w:rPr>
          <w:rFonts w:hint="eastAsia"/>
        </w:rPr>
        <w:t>冯晓青. 企业知识产权战略[M]. 3版. 北京: 知识产权出版社, 20</w:t>
      </w:r>
      <w:r>
        <w:t>08</w:t>
      </w:r>
      <w:r>
        <w:rPr>
          <w:rFonts w:hint="eastAsia"/>
        </w:rPr>
        <w:t>: 156-180</w:t>
      </w:r>
      <w:r>
        <w:t>.</w:t>
      </w:r>
    </w:p>
    <w:p w14:paraId="364637C2">
      <w:pPr>
        <w:pStyle w:val="30"/>
        <w:numPr>
          <w:ilvl w:val="0"/>
          <w:numId w:val="20"/>
        </w:numPr>
        <w:ind w:left="420" w:hanging="420"/>
      </w:pPr>
      <w:r>
        <w:t xml:space="preserve">European Patent Office. Patent Index 2024: Statistics and trends in medical technology[R]. Munich: EPO, 2025. </w:t>
      </w:r>
    </w:p>
    <w:p w14:paraId="3ED5E1C5">
      <w:pPr>
        <w:pStyle w:val="30"/>
        <w:numPr>
          <w:ilvl w:val="0"/>
          <w:numId w:val="20"/>
        </w:numPr>
        <w:ind w:left="420" w:hanging="420"/>
      </w:pPr>
      <w:r>
        <w:t>2024年度医疗器械注册工作报告[EB/OL]. [2026-0</w:t>
      </w:r>
      <w:r>
        <w:rPr>
          <w:rFonts w:hint="eastAsia"/>
        </w:rPr>
        <w:t>3</w:t>
      </w:r>
      <w:r>
        <w:t>-</w:t>
      </w:r>
      <w:r>
        <w:rPr>
          <w:rFonts w:hint="eastAsia"/>
        </w:rPr>
        <w:t>16</w:t>
      </w:r>
      <w:r>
        <w:t>]. https://www.nmpa.gov.cn/xxgk/fgwj/gzwj/gzwjylqx/20250213095700131.html.</w:t>
      </w:r>
    </w:p>
    <w:p w14:paraId="2E4329AB">
      <w:pPr>
        <w:pStyle w:val="30"/>
        <w:numPr>
          <w:ilvl w:val="0"/>
          <w:numId w:val="20"/>
        </w:numPr>
        <w:ind w:left="420" w:hanging="420"/>
      </w:pPr>
      <w:r>
        <w:t>Locarno Agreement Establishing an International Classification for Industrial Designs[EB/OL]. [2026-03-17]. https://www.wipo.int/en/web/treaties/classification/locarno/index.</w:t>
      </w:r>
    </w:p>
    <w:p w14:paraId="61A25C90">
      <w:pPr>
        <w:pStyle w:val="30"/>
        <w:numPr>
          <w:ilvl w:val="0"/>
          <w:numId w:val="20"/>
        </w:numPr>
        <w:ind w:left="420" w:hanging="420"/>
      </w:pPr>
      <w:r>
        <w:t>CPC Definition - G16H HEALTHCARE INFORMATICS, i.e. INFORMATION AND COMMUNICATION TECHNOLOGY [ICT]...[EB/OL]. [2026-03-16]. https://www.uspto.gov/web/patents/classification/cpc/html/defG16H.html.</w:t>
      </w:r>
    </w:p>
    <w:p w14:paraId="2CC5D92E">
      <w:pPr>
        <w:pStyle w:val="30"/>
        <w:numPr>
          <w:ilvl w:val="0"/>
          <w:numId w:val="20"/>
        </w:numPr>
        <w:ind w:left="420" w:hanging="420"/>
      </w:pPr>
      <w:r>
        <w:t>医疗器械分类目录[EB/OL]. [2026-03-16]. https://baike.baidu.hk/item/%E5%8C%BB%E7%96%97%E5%99%A8%E6%A2%B0%E5%88%86%E7%B1%BB%E7%9B%AE%E5%BD%95/9893267.</w:t>
      </w:r>
    </w:p>
    <w:p w14:paraId="3D297D86">
      <w:pPr>
        <w:pStyle w:val="30"/>
        <w:numPr>
          <w:ilvl w:val="0"/>
          <w:numId w:val="20"/>
        </w:numPr>
        <w:ind w:left="420" w:hanging="420"/>
      </w:pPr>
      <w:r>
        <w:t>NMPA Classification Specifications - China Med Device[EB/OL]. [2026-03-16]. https://chinameddevice.com/services/regulatory-services/ra-strategy/nmpa-classification/.</w:t>
      </w:r>
    </w:p>
    <w:p w14:paraId="7BC13FEA">
      <w:pPr>
        <w:pStyle w:val="30"/>
        <w:numPr>
          <w:ilvl w:val="0"/>
          <w:numId w:val="20"/>
        </w:numPr>
        <w:ind w:left="420" w:hanging="420"/>
      </w:pPr>
      <w:r>
        <w:t>SHIMANUKI S, SAIKI T. Technological diversity management of medical device enterprises[J]. Journal of Strategy and Management, 2012, 5(4): 420-436.</w:t>
      </w:r>
    </w:p>
    <w:p w14:paraId="3FBDE3BA">
      <w:pPr>
        <w:pStyle w:val="30"/>
        <w:numPr>
          <w:ilvl w:val="0"/>
          <w:numId w:val="20"/>
        </w:numPr>
        <w:ind w:left="420" w:hanging="420"/>
      </w:pPr>
      <w:r>
        <w:t>XIE X, WU J, XIANG M, et al. Enhancing the efficiency of patent classification: a multimodal classification approach for design patents[J]. Journal of King Saud University Computer and Information Sciences, 2025, 37(7): 183.</w:t>
      </w:r>
    </w:p>
    <w:p w14:paraId="72D629D0">
      <w:pPr>
        <w:pStyle w:val="30"/>
        <w:numPr>
          <w:ilvl w:val="0"/>
          <w:numId w:val="20"/>
        </w:numPr>
        <w:ind w:left="420" w:hanging="420"/>
      </w:pPr>
      <w:r>
        <w:rPr>
          <w:rFonts w:hint="eastAsia"/>
        </w:rPr>
        <w:t>PUJARI S C, MANTIUK F, GIERETH M, et al. Evaluating neural multi-field document representations for patent classification[C]//FROMMHOLZ I, MAYR P, CABANAC G, et al. BIR 2022: Proceedings of the 12th International Workshop on Bibliometric-enhanced Information Retrieval. Aachen: CEUR-WS, 2022: 13-27[2026-05-07]. https://ceur-ws.org/Vol-3230/paper-04.pdf</w:t>
      </w:r>
      <w:r>
        <w:t>.</w:t>
      </w:r>
    </w:p>
    <w:p w14:paraId="1D0F0933">
      <w:pPr>
        <w:pStyle w:val="30"/>
        <w:numPr>
          <w:ilvl w:val="0"/>
          <w:numId w:val="20"/>
        </w:numPr>
        <w:ind w:left="420" w:hanging="420"/>
      </w:pPr>
      <w:r>
        <w:t>LIU Z, LIU L. Patent protection of biological genetic resources based on deep learning and artificial intelligence[J]. Scientific Reports, 2025, 15(1): 41302.</w:t>
      </w:r>
    </w:p>
    <w:p w14:paraId="64E0AE16">
      <w:pPr>
        <w:pStyle w:val="30"/>
        <w:numPr>
          <w:ilvl w:val="0"/>
          <w:numId w:val="20"/>
        </w:numPr>
        <w:ind w:left="420" w:hanging="420"/>
      </w:pPr>
      <w:r>
        <w:rPr>
          <w:rFonts w:hint="eastAsia"/>
        </w:rPr>
        <w:t>HARRIS Z S. Distributional structure[J]. Word, 1954, 10(2/3): 146-162. DOI:10.1080/00437956.1954.11659520</w:t>
      </w:r>
      <w:r>
        <w:t>.</w:t>
      </w:r>
    </w:p>
    <w:p w14:paraId="1A83638D">
      <w:pPr>
        <w:pStyle w:val="30"/>
        <w:numPr>
          <w:ilvl w:val="0"/>
          <w:numId w:val="20"/>
        </w:numPr>
        <w:ind w:left="420" w:hanging="420"/>
      </w:pPr>
      <w:r>
        <w:rPr>
          <w:rFonts w:hint="eastAsia"/>
        </w:rPr>
        <w:t>SALTON G, BUCKLEY C. Term-weighting approaches in automatic text retrieval[J]. Information Processing &amp; Management, 1988, 24(5): 513-523. DOI:10.1016/0306-4573(88)90021-0</w:t>
      </w:r>
      <w:r>
        <w:t>.</w:t>
      </w:r>
    </w:p>
    <w:p w14:paraId="3D8EDEBB">
      <w:pPr>
        <w:pStyle w:val="30"/>
        <w:numPr>
          <w:ilvl w:val="0"/>
          <w:numId w:val="20"/>
        </w:numPr>
        <w:ind w:left="420" w:hanging="420"/>
      </w:pPr>
      <w:r>
        <w:rPr>
          <w:rFonts w:hint="eastAsia"/>
        </w:rPr>
        <w:t>CAVNAR W B, TRENKLE J M. N-gram-based text categorization[C]//Proceedings of the 3rd Annual Symposium on Document Analysis and Information Retrieval. Las Vegas: University of Nevada, 1994: 161-169.</w:t>
      </w:r>
    </w:p>
    <w:p w14:paraId="2D0382DA">
      <w:pPr>
        <w:pStyle w:val="30"/>
        <w:numPr>
          <w:ilvl w:val="0"/>
          <w:numId w:val="20"/>
        </w:numPr>
        <w:ind w:left="420" w:hanging="420"/>
      </w:pPr>
      <w:r>
        <w:rPr>
          <w:rFonts w:hint="eastAsia"/>
        </w:rPr>
        <w:t>KIM Y. Convolutional neural networks for sentence classification[C]//Proceedings of the 2014 Conference on Empirical Methods in Natural Language Processing. Doha: Association for Computational Linguistics, 2014: 1746-1751</w:t>
      </w:r>
      <w:r>
        <w:t>.</w:t>
      </w:r>
    </w:p>
    <w:p w14:paraId="7ABFB3A4">
      <w:pPr>
        <w:pStyle w:val="30"/>
        <w:numPr>
          <w:ilvl w:val="0"/>
          <w:numId w:val="20"/>
        </w:numPr>
        <w:ind w:left="420" w:hanging="420"/>
      </w:pPr>
      <w:r>
        <w:rPr>
          <w:rFonts w:hint="eastAsia"/>
        </w:rPr>
        <w:t>HOCHREITER S, SCHMIDHUBER J. Long short-term memory[J]. Neural Computation, 1997, 9(8): 1735-1780. DOI:10.1162/neco.1997.9.8.1735.</w:t>
      </w:r>
    </w:p>
    <w:p w14:paraId="275BA19A">
      <w:pPr>
        <w:pStyle w:val="30"/>
        <w:numPr>
          <w:ilvl w:val="0"/>
          <w:numId w:val="20"/>
        </w:numPr>
        <w:ind w:left="420" w:hanging="420"/>
      </w:pPr>
      <w:r>
        <w:rPr>
          <w:rFonts w:hint="eastAsia"/>
        </w:rPr>
        <w:t>DEVLIN J, CHANG M W, LEE K, et al. BERT: Pre-training of deep bidirectional transformers for language understanding[C]//Proceedings of the 2019 Conference of the North American Chapter of the Association for Computational Linguistics: Human Language Technologies. Minneapolis: Association for Computational Linguistics, 2019: 4171-4186. DOI:10.18653/v1/N19-1423.</w:t>
      </w:r>
    </w:p>
    <w:p w14:paraId="015350B7">
      <w:pPr>
        <w:pStyle w:val="30"/>
        <w:numPr>
          <w:ilvl w:val="0"/>
          <w:numId w:val="20"/>
        </w:numPr>
        <w:ind w:left="420" w:hanging="420"/>
      </w:pPr>
      <w:r>
        <w:rPr>
          <w:rFonts w:hint="eastAsia"/>
        </w:rPr>
        <w:t>BELTAGY I, PETERS M E, COHAN A. Longformer: The long-document transformer[EB/OL]. arXiv, 2020[2026-05-07]. https://arxiv.org/abs/2004.05150.</w:t>
      </w:r>
    </w:p>
    <w:p w14:paraId="744C1FB2">
      <w:pPr>
        <w:pStyle w:val="30"/>
        <w:numPr>
          <w:ilvl w:val="0"/>
          <w:numId w:val="20"/>
        </w:numPr>
        <w:ind w:left="420" w:hanging="420"/>
      </w:pPr>
      <w:r>
        <w:rPr>
          <w:rFonts w:hint="eastAsia"/>
        </w:rPr>
        <w:t>YANG Z, YANG D, DYER C, et al. Hierarchical attention networks for document classification[C]//Proceedings of the 2016 Conference of the North American Chapter of the Association for Computational Linguistics: Human Language Technologies. San Diego: Association for Computational Linguistics, 2016: 1480-1489. DOI:10.18653/v1/N16-1174.</w:t>
      </w:r>
    </w:p>
    <w:p w14:paraId="2768D7BE">
      <w:pPr>
        <w:pStyle w:val="30"/>
        <w:numPr>
          <w:ilvl w:val="0"/>
          <w:numId w:val="20"/>
        </w:numPr>
        <w:ind w:left="420" w:hanging="420"/>
      </w:pPr>
      <w:r>
        <w:rPr>
          <w:rFonts w:hint="eastAsia"/>
        </w:rPr>
        <w:t>BAI J, BAI S, CHU Y, et al. Qwen technical report[EB/OL]. arXiv, 2023[2026-05-07]. https://arxiv.org/abs/2309.16609.</w:t>
      </w:r>
    </w:p>
    <w:p w14:paraId="7C295E93">
      <w:pPr>
        <w:pStyle w:val="30"/>
        <w:numPr>
          <w:ilvl w:val="0"/>
          <w:numId w:val="20"/>
        </w:numPr>
        <w:ind w:left="420" w:hanging="420"/>
      </w:pPr>
      <w:r>
        <w:rPr>
          <w:rFonts w:hint="eastAsia"/>
        </w:rPr>
        <w:t>BAI Y, LV X, ZHANG J, et al. LongAlign: A recipe for long context alignment of large language models[EB/OL]. arXiv, 2024[2026-05-07]. https://arxiv.org/abs/2401.18058.</w:t>
      </w:r>
    </w:p>
    <w:p w14:paraId="5A1E2357">
      <w:pPr>
        <w:pStyle w:val="30"/>
        <w:numPr>
          <w:ilvl w:val="0"/>
          <w:numId w:val="20"/>
        </w:numPr>
        <w:ind w:left="420" w:hanging="420"/>
      </w:pPr>
      <w:r>
        <w:rPr>
          <w:rFonts w:hint="eastAsia"/>
        </w:rPr>
        <w:t>CHEN S, WONG S, CHEN L, et al. Extending context window of large language models via positional interpolation[EB/OL]. arXiv, 2023[2026-05-07]. https://arxiv.org/abs/2306.15595.</w:t>
      </w:r>
    </w:p>
    <w:p w14:paraId="513E96D9">
      <w:pPr>
        <w:pStyle w:val="30"/>
        <w:numPr>
          <w:ilvl w:val="0"/>
          <w:numId w:val="20"/>
        </w:numPr>
        <w:ind w:left="420" w:hanging="420"/>
      </w:pPr>
      <w:r>
        <w:t>LEE J S, HSIANG J. PatentBERT: Patent Classification with Fine-Tuning a pre-trained BERT Model[EB/OL]. arXiv, 2019[2026-03-17]. http://arxiv.org/abs/1906.02124.</w:t>
      </w:r>
    </w:p>
    <w:p w14:paraId="692DDF4B">
      <w:pPr>
        <w:pStyle w:val="30"/>
        <w:numPr>
          <w:ilvl w:val="0"/>
          <w:numId w:val="20"/>
        </w:numPr>
        <w:ind w:left="420" w:hanging="420"/>
      </w:pPr>
      <w:r>
        <w:t>BEKAMIRI H, HAIN D S, JUROWETZKI R. PatentSBERTa: A Deep NLP based Hybrid Model for Patent Distance and Classification using Augmented SBERT[EB/OL]. arXiv, 2021[2026-03-17]. http://arxiv.org/abs/2103.11933.</w:t>
      </w:r>
    </w:p>
    <w:p w14:paraId="1FDC1FA2">
      <w:pPr>
        <w:pStyle w:val="30"/>
        <w:numPr>
          <w:ilvl w:val="0"/>
          <w:numId w:val="20"/>
        </w:numPr>
        <w:ind w:left="420" w:hanging="420"/>
      </w:pPr>
      <w:r>
        <w:t>LIU Y, OTT M, GOYAL N, et al. RoBERTa: A Robustly Optimized BERT Pretraining Approach[EB/OL]. arXiv, 2019[2026-03-17]. http://arxiv.org/abs/1907.11692.</w:t>
      </w:r>
    </w:p>
    <w:p w14:paraId="5AB64618">
      <w:pPr>
        <w:pStyle w:val="30"/>
        <w:numPr>
          <w:ilvl w:val="0"/>
          <w:numId w:val="20"/>
        </w:numPr>
        <w:ind w:left="420" w:hanging="420"/>
      </w:pP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1DABE20F">
      <w:pPr>
        <w:pStyle w:val="30"/>
        <w:numPr>
          <w:ilvl w:val="0"/>
          <w:numId w:val="20"/>
        </w:numPr>
        <w:ind w:left="420" w:hanging="420"/>
      </w:pP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660C1D08">
      <w:pPr>
        <w:pStyle w:val="30"/>
        <w:numPr>
          <w:ilvl w:val="0"/>
          <w:numId w:val="20"/>
        </w:numPr>
        <w:ind w:left="420" w:hanging="420"/>
      </w:pPr>
      <w:r>
        <w:t xml:space="preserve">LEWIS P, PEREZ E, PIKTUS A, et al. Retrieval-Augmented Generation for Knowledge-Intensive NLP Tasks[EB/OL]. arXiv, 2021[2026-03-17]. http://arxiv.org/abs/2005.11401. </w:t>
      </w:r>
    </w:p>
    <w:p w14:paraId="79C2B5F6">
      <w:pPr>
        <w:pStyle w:val="30"/>
        <w:numPr>
          <w:ilvl w:val="0"/>
          <w:numId w:val="20"/>
        </w:numPr>
        <w:ind w:left="420" w:hanging="420"/>
      </w:pPr>
      <w:r>
        <w:t xml:space="preserve">langgenius/dify[CP/OL]. LangGenius, 2026[2026-03-17]. https://github.com/langgenius/dify. </w:t>
      </w:r>
    </w:p>
    <w:p w14:paraId="3DCB9A73">
      <w:pPr>
        <w:pStyle w:val="30"/>
        <w:numPr>
          <w:ilvl w:val="0"/>
          <w:numId w:val="20"/>
        </w:numPr>
        <w:ind w:left="420" w:hanging="420"/>
      </w:pPr>
      <w:r>
        <w:rPr>
          <w:rFonts w:hint="eastAsia"/>
        </w:rPr>
        <w:t>GHOSH M, ERHARDT S, ROSE M E, et al. PaECTER: Patent-level representation learning using citation-informed transformers[EB/OL]. arXiv, 2024[2026-05-07]. https://arxiv.org/abs/2402.19411</w:t>
      </w:r>
      <w:r>
        <w:t xml:space="preserve">. </w:t>
      </w:r>
    </w:p>
    <w:p w14:paraId="46F0FFD3">
      <w:pPr>
        <w:pStyle w:val="30"/>
        <w:numPr>
          <w:ilvl w:val="0"/>
          <w:numId w:val="20"/>
        </w:numPr>
        <w:ind w:left="420" w:hanging="420"/>
      </w:pPr>
      <w:r>
        <w:rPr>
          <w:rFonts w:hint="eastAsia"/>
        </w:rPr>
        <w:t>KUMAR M, KHAN L, CHOI A. RAMHA: A hybrid social text-based transformer with adapter for mental health emotion classification[J]. Mathematics, 2025, 13(18): 2918. DOI:10.3390/math13182918</w:t>
      </w:r>
      <w:r>
        <w:t xml:space="preserve">. </w:t>
      </w:r>
    </w:p>
    <w:p w14:paraId="26931786">
      <w:pPr>
        <w:pStyle w:val="30"/>
        <w:numPr>
          <w:ilvl w:val="0"/>
          <w:numId w:val="20"/>
        </w:numPr>
        <w:ind w:left="420" w:hanging="420"/>
      </w:pPr>
      <w:r>
        <w:rPr>
          <w:rFonts w:hint="eastAsia"/>
        </w:rPr>
        <w:t>智慧芽官网: 更懂技术创新的AI Agent平台[EB/OL]. [2026-05-07]. https://www.zhihuiya.com/</w:t>
      </w:r>
      <w:r>
        <w:t>.</w:t>
      </w:r>
    </w:p>
    <w:p w14:paraId="73FA294C">
      <w:pPr>
        <w:pStyle w:val="30"/>
        <w:numPr>
          <w:ilvl w:val="0"/>
          <w:numId w:val="20"/>
        </w:numPr>
        <w:ind w:left="420" w:hanging="420"/>
      </w:pPr>
      <w:r>
        <w:rPr>
          <w:rFonts w:hint="eastAsia"/>
        </w:rPr>
        <w:t xml:space="preserve">医知桥[EB/OL]. [2026-03-17]. https://www.mediplink.com.cn/login. </w:t>
      </w:r>
    </w:p>
    <w:p w14:paraId="5F0F3C99">
      <w:pPr>
        <w:pStyle w:val="30"/>
        <w:numPr>
          <w:ilvl w:val="0"/>
          <w:numId w:val="20"/>
        </w:numPr>
        <w:ind w:left="420" w:hanging="420"/>
      </w:pPr>
      <w:r>
        <w:rPr>
          <w:rFonts w:hint="eastAsia"/>
        </w:rPr>
        <w:t>国家食品药品监督管理总局. 关于发布《医疗器械分类目录》动态调整工作程序的公告（2021年第60号）[EB/OL]. (2021-04-27). https://www.nmpa.gov.cn.</w:t>
      </w:r>
      <w:r>
        <w:t xml:space="preserve"> </w:t>
      </w:r>
    </w:p>
    <w:p w14:paraId="66949A50">
      <w:pPr>
        <w:pStyle w:val="30"/>
        <w:numPr>
          <w:ilvl w:val="0"/>
          <w:numId w:val="20"/>
        </w:numPr>
        <w:ind w:left="420" w:hanging="420"/>
      </w:pPr>
      <w:r>
        <w:rPr>
          <w:rFonts w:hint="eastAsia"/>
        </w:rPr>
        <w:t>国家食品药品监督管理总局. 关于发布医疗器械分类目录的公告: 2017年第104号[EB/OL]. (2017-08-31)[2026-05-06]. https://www.nmpa.gov.cn/xxgk/ggtg/ylqxggtg/ylqxqtggtg/20170904150301406.html</w:t>
      </w:r>
      <w:r>
        <w:t>.</w:t>
      </w:r>
    </w:p>
    <w:p w14:paraId="6DF0DC01">
      <w:pPr>
        <w:pStyle w:val="30"/>
        <w:numPr>
          <w:ilvl w:val="0"/>
          <w:numId w:val="20"/>
        </w:numPr>
        <w:ind w:left="420" w:hanging="420"/>
      </w:pPr>
      <w:r>
        <w:t>Northcutt C G, Jiang L, Chuang I L. Confident Learning: Estimating Uncertainty in Dataset Labels[J]. Journal of Artificial Intelligence Research, 2021, 70: 1373-1411. DOI: 10.1613/jair.1.12125 .</w:t>
      </w:r>
    </w:p>
    <w:p w14:paraId="4C35169C">
      <w:pPr>
        <w:pStyle w:val="30"/>
        <w:numPr>
          <w:ilvl w:val="0"/>
          <w:numId w:val="20"/>
        </w:numPr>
        <w:ind w:left="420" w:hanging="420"/>
      </w:pPr>
      <w:r>
        <w:t xml:space="preserve">Gilardi F, Alizadeh M, Kubli M. ChatGPT out-performs crowd-workers for text-annotation tasks[J]. Proceedings of the National Academy of Sciences (PNAS), 2023, 120(28): e2305016120. DOI: 10.1073/pnas.2305016120. </w:t>
      </w:r>
    </w:p>
    <w:p w14:paraId="2BB14F71">
      <w:pPr>
        <w:pStyle w:val="30"/>
        <w:numPr>
          <w:ilvl w:val="0"/>
          <w:numId w:val="20"/>
        </w:numPr>
        <w:ind w:left="420" w:hanging="420"/>
      </w:pPr>
      <w:r>
        <w:t xml:space="preserve">SCHUIRMANN D J. A comparison of the two one-sided tests procedure and the power approach for assessing the equivalence of average bioavailability[J]. Journal of Pharmacokinetics and Biopharmaceutics, 1987, 15(6): 657-680. DOI: 10.1007/BF01068419. </w:t>
      </w:r>
    </w:p>
    <w:p w14:paraId="4C4163B0">
      <w:pPr>
        <w:pStyle w:val="30"/>
        <w:numPr>
          <w:ilvl w:val="0"/>
          <w:numId w:val="20"/>
        </w:numPr>
        <w:ind w:left="420" w:hanging="420"/>
      </w:pPr>
      <w:r>
        <w:t xml:space="preserve">COX D R. The Regression Analysis of Binary Sequences[J]. Journal of the Royal Statistical Society: Series B (Methodological), 1958, 20(2): 215-242. </w:t>
      </w:r>
    </w:p>
    <w:p w14:paraId="039A3547">
      <w:pPr>
        <w:pStyle w:val="30"/>
        <w:numPr>
          <w:ilvl w:val="0"/>
          <w:numId w:val="20"/>
        </w:numPr>
        <w:ind w:left="420" w:hanging="420"/>
      </w:pPr>
      <w:r>
        <w:t xml:space="preserve">COVER T, HART P. Nearest neighbor pattern classification[J]. IEEE Transactions on Information Theory, 1967, 13(1): 21-27. </w:t>
      </w:r>
    </w:p>
    <w:p w14:paraId="4DFA8C34">
      <w:pPr>
        <w:pStyle w:val="30"/>
        <w:numPr>
          <w:ilvl w:val="0"/>
          <w:numId w:val="20"/>
        </w:numPr>
        <w:ind w:left="420" w:hanging="420"/>
      </w:pPr>
      <w:r>
        <w:t xml:space="preserve">BREIMAN L. Random Forests[J]. Machine Learning, 2001, 45(1): 5-32. </w:t>
      </w:r>
    </w:p>
    <w:p w14:paraId="1FE19590">
      <w:pPr>
        <w:pStyle w:val="30"/>
        <w:numPr>
          <w:ilvl w:val="0"/>
          <w:numId w:val="20"/>
        </w:numPr>
        <w:ind w:left="420" w:hanging="420"/>
      </w:pPr>
      <w:r>
        <w:t xml:space="preserve">CHEN T, GUESTRIN C. XGBoost: A scalable tree boosting system[C]//Proceedings of the 22nd ACM SIGKDD International Conference on Knowledge Discovery and Data Mining. San Francisco: ACM, 2016: 785-794. </w:t>
      </w:r>
    </w:p>
    <w:p w14:paraId="2C3373A8">
      <w:pPr>
        <w:pStyle w:val="30"/>
        <w:numPr>
          <w:ilvl w:val="0"/>
          <w:numId w:val="20"/>
        </w:numPr>
        <w:ind w:left="420" w:hanging="420"/>
      </w:pPr>
      <w:r>
        <w:t>google-bert/bert-base-chinese · Hugging Face[EB/OL]. (2018-10-11)[2026-03-17]. https://huggingface.co/google-bert/bert-base-chinese.</w:t>
      </w:r>
    </w:p>
    <w:p w14:paraId="4CE8AC4D">
      <w:pPr>
        <w:pStyle w:val="30"/>
        <w:numPr>
          <w:ilvl w:val="0"/>
          <w:numId w:val="20"/>
        </w:numPr>
        <w:ind w:left="420" w:hanging="420"/>
      </w:pPr>
      <w:r>
        <w:t>hfl/chinese-roberta-wwm-ext · Hugging Face[EB/OL]. (2024-05-07)[2026-03-17]. https://huggingface.co/hfl/chinese-roberta-wwm-ext.</w:t>
      </w:r>
    </w:p>
    <w:p w14:paraId="1526EFA0">
      <w:pPr>
        <w:pStyle w:val="30"/>
        <w:numPr>
          <w:ilvl w:val="0"/>
          <w:numId w:val="20"/>
        </w:numPr>
        <w:ind w:left="420" w:hanging="420"/>
      </w:pPr>
      <w:r>
        <w:t xml:space="preserve">hfl/chinese-macbert-base · Hugging Face[EB/OL]. (2024-05-07)[2026-03-17]. https://huggingface.co/hfl/chinese-macbert-base. </w:t>
      </w:r>
    </w:p>
    <w:p w14:paraId="11C384F3">
      <w:pPr>
        <w:pStyle w:val="30"/>
        <w:numPr>
          <w:ilvl w:val="0"/>
          <w:numId w:val="20"/>
        </w:numPr>
        <w:ind w:left="420" w:hanging="420"/>
      </w:pPr>
      <w:r>
        <w:t xml:space="preserve">CUI Y, CHE W, LIU T, et al. Pre-training with Whole Word Masking for Chinese BERT[J]. IEEE/ACM Transactions on Audio, Speech, and Language Processing, 2021, 29: 3504-3514. DOI: 10.1109/TASLP.2021.3124368. </w:t>
      </w:r>
    </w:p>
    <w:p w14:paraId="14D01E1F">
      <w:pPr>
        <w:pStyle w:val="30"/>
        <w:numPr>
          <w:ilvl w:val="0"/>
          <w:numId w:val="20"/>
        </w:numPr>
        <w:ind w:left="420" w:hanging="420"/>
      </w:pP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0F203573">
      <w:pPr>
        <w:pStyle w:val="30"/>
        <w:numPr>
          <w:ilvl w:val="0"/>
          <w:numId w:val="20"/>
        </w:numPr>
        <w:ind w:left="420" w:hanging="420"/>
      </w:pPr>
      <w:r>
        <w:t>BAAI/bge-large-zh-v1.5 · Hugging Face[EB/OL]. (2026-02-04)[2026-03-17]. https://huggingface.co/BAAI/bge-large-zh-v1.5.</w:t>
      </w:r>
    </w:p>
    <w:p w14:paraId="61AF3A5E">
      <w:pPr>
        <w:pStyle w:val="30"/>
        <w:numPr>
          <w:ilvl w:val="0"/>
          <w:numId w:val="20"/>
        </w:numPr>
        <w:ind w:left="420" w:hanging="420"/>
      </w:pPr>
      <w:r>
        <w:t>ollama/ollama[CP/OL]. Ollama, 2026[2026-03-17]. https://github.com/ollama/ollama.</w:t>
      </w:r>
    </w:p>
    <w:p w14:paraId="1A5F0DD4">
      <w:pPr>
        <w:pStyle w:val="30"/>
        <w:numPr>
          <w:ilvl w:val="0"/>
          <w:numId w:val="20"/>
        </w:numPr>
        <w:ind w:left="420" w:hanging="420"/>
      </w:pPr>
      <w:r>
        <w:t>Docker: lightweight Linux containers for consistent development and deployment: Linux Journal: Vol 2014, No 239[EB/OL]. [2026-03-17]. https://dl.acm.org/doi/10.5555/2600239.2600241.</w:t>
      </w:r>
    </w:p>
    <w:p w14:paraId="4BA24426">
      <w:pPr>
        <w:pStyle w:val="30"/>
        <w:numPr>
          <w:ilvl w:val="0"/>
          <w:numId w:val="20"/>
        </w:numPr>
        <w:ind w:left="420" w:hanging="420"/>
      </w:pPr>
      <w:r>
        <w:t>Li S, Hu J, Cui Y, et al. DeepPatent: patent classification with convolutional neural networks and word embedding[J]. Scientometrics, 2018, 117(2): 721-744.</w:t>
      </w:r>
    </w:p>
    <w:p w14:paraId="2B1D403F">
      <w:pPr>
        <w:pStyle w:val="30"/>
        <w:numPr>
          <w:ilvl w:val="0"/>
          <w:numId w:val="20"/>
        </w:numPr>
        <w:ind w:left="420" w:hanging="420"/>
      </w:pPr>
      <w:r>
        <w:rPr>
          <w:rFonts w:hint="eastAsia"/>
        </w:rPr>
        <w:t>VUE.JS. Introduction — Vue.js[EB/OL]. [2026-03-17]. https://v2.vuejs.org/v2/guide/.</w:t>
      </w:r>
    </w:p>
    <w:p w14:paraId="1C366D95">
      <w:pPr>
        <w:pStyle w:val="30"/>
        <w:numPr>
          <w:ilvl w:val="0"/>
          <w:numId w:val="20"/>
        </w:numPr>
        <w:ind w:left="420" w:hanging="420"/>
      </w:pPr>
      <w:r>
        <w:rPr>
          <w:rFonts w:hint="eastAsia"/>
        </w:rPr>
        <w:t>ELEMENT. Element - The world's most popular Vue UI framework[EB/OL]. [2026-03-17]. https://element.eleme.io/.</w:t>
      </w:r>
    </w:p>
    <w:p w14:paraId="6F16A58C">
      <w:pPr>
        <w:pStyle w:val="30"/>
        <w:numPr>
          <w:ilvl w:val="0"/>
          <w:numId w:val="20"/>
        </w:numPr>
        <w:ind w:left="420" w:hanging="420"/>
      </w:pPr>
      <w:r>
        <w:rPr>
          <w:rFonts w:hint="eastAsia"/>
        </w:rPr>
        <w:t>APACHE ECHARTS. Apache ECharts Handbook[EB/OL]. [2026-03-17]. https://echarts.apache.org/handbook/en/get-started/.</w:t>
      </w:r>
    </w:p>
    <w:p w14:paraId="52D9E372">
      <w:pPr>
        <w:pStyle w:val="30"/>
        <w:numPr>
          <w:ilvl w:val="0"/>
          <w:numId w:val="20"/>
        </w:numPr>
        <w:ind w:left="420" w:hanging="420"/>
      </w:pPr>
      <w:r>
        <w:rPr>
          <w:rFonts w:hint="eastAsia"/>
        </w:rPr>
        <w:t>SPRING. Spring Boot Reference Documentation 2.6.13[EB/OL]. [2026-03-17]. https://docs.spring.io/spring-boot/docs/2.6.13/reference/html/.</w:t>
      </w:r>
    </w:p>
    <w:p w14:paraId="0BF7625C">
      <w:pPr>
        <w:pStyle w:val="30"/>
        <w:numPr>
          <w:ilvl w:val="0"/>
          <w:numId w:val="20"/>
        </w:numPr>
        <w:ind w:left="420" w:hanging="420"/>
      </w:pPr>
      <w:r>
        <w:rPr>
          <w:rFonts w:hint="eastAsia"/>
        </w:rPr>
        <w:t>PALLETS. Flask Documentation[EB/OL]. [2026-03-17]. https://flask.palletsprojects.com/.</w:t>
      </w:r>
    </w:p>
    <w:p w14:paraId="2C852403">
      <w:pPr>
        <w:pStyle w:val="30"/>
        <w:numPr>
          <w:ilvl w:val="0"/>
          <w:numId w:val="20"/>
        </w:numPr>
        <w:ind w:left="420" w:hanging="420"/>
      </w:pPr>
      <w:r>
        <w:rPr>
          <w:rFonts w:hint="eastAsia"/>
        </w:rPr>
        <w:t>ORACLE. MySQL 5.7 Reference Manual[EB/OL]. [2026-03-17]. https://dev.mysql.com/doc/refman/5.7/en/.</w:t>
      </w:r>
    </w:p>
    <w:p w14:paraId="0AC35099">
      <w:pPr>
        <w:pStyle w:val="30"/>
        <w:numPr>
          <w:ilvl w:val="0"/>
          <w:numId w:val="20"/>
        </w:numPr>
        <w:ind w:left="420" w:hanging="420"/>
      </w:pPr>
      <w:r>
        <w:rPr>
          <w:rFonts w:hint="eastAsia"/>
        </w:rPr>
        <w:t>ELEMENT. Element UI Documentation[EB/OL]. [2026-03-17]. https://element.eleme.io/.</w:t>
      </w:r>
    </w:p>
    <w:p w14:paraId="01F7B854">
      <w:pPr>
        <w:pStyle w:val="30"/>
        <w:numPr>
          <w:ilvl w:val="0"/>
          <w:numId w:val="20"/>
        </w:numPr>
        <w:ind w:left="420" w:hanging="420"/>
      </w:pPr>
      <w:r>
        <w:rPr>
          <w:rFonts w:hint="eastAsia"/>
        </w:rPr>
        <w:t>APACHE ECHARTS. Documentation - Apache ECharts[EB/OL]. [2026-03-17]. https://echarts.apache.org/en/index.html.</w:t>
      </w:r>
    </w:p>
    <w:p w14:paraId="17673194">
      <w:pPr>
        <w:pStyle w:val="30"/>
        <w:numPr>
          <w:ilvl w:val="0"/>
          <w:numId w:val="20"/>
        </w:numPr>
        <w:ind w:left="420" w:hanging="420"/>
      </w:pPr>
      <w:r>
        <w:rPr>
          <w:rFonts w:hint="eastAsia"/>
        </w:rPr>
        <w:t>JONES M, HARDT D. The OAuth 2.0 Authorization Framework: Bearer Token Usage: RFC 6750[S/OL]. 2012[2026-05-07]. https://www.rfc-editor.org/rfc/rfc6750.</w:t>
      </w:r>
    </w:p>
    <w:p w14:paraId="6CE5C40C">
      <w:pPr>
        <w:pStyle w:val="30"/>
        <w:numPr>
          <w:ilvl w:val="0"/>
          <w:numId w:val="20"/>
        </w:numPr>
        <w:ind w:left="420" w:hanging="420"/>
      </w:pPr>
      <w:r>
        <w:rPr>
          <w:rFonts w:hint="eastAsia"/>
        </w:rPr>
        <w:t xml:space="preserve">ALIBABA. EasyExcel: 快速、简洁、解决大文件内存溢出的Java处理Excel工具[CP/OL]. [2026-03-17]. </w:t>
      </w:r>
      <w:r>
        <w:fldChar w:fldCharType="begin"/>
      </w:r>
      <w:r>
        <w:instrText xml:space="preserve"> HYPERLINK "https://github.com/alibaba/easyexcel." </w:instrText>
      </w:r>
      <w:r>
        <w:fldChar w:fldCharType="separate"/>
      </w:r>
      <w:r>
        <w:rPr>
          <w:rFonts w:hint="eastAsia"/>
        </w:rPr>
        <w:t>https://github.com/alibaba/easyexcel.</w:t>
      </w:r>
      <w:r>
        <w:rPr>
          <w:rFonts w:hint="eastAsia"/>
        </w:rPr>
        <w:fldChar w:fldCharType="end"/>
      </w:r>
    </w:p>
    <w:p w14:paraId="459EE390">
      <w:pPr>
        <w:pStyle w:val="30"/>
        <w:numPr>
          <w:ilvl w:val="0"/>
          <w:numId w:val="20"/>
        </w:numPr>
        <w:ind w:left="420" w:hanging="420"/>
      </w:pPr>
      <w:r>
        <w:rPr>
          <w:rFonts w:hint="eastAsia"/>
        </w:rPr>
        <w:t>SOERGEL D, LAUSER B, LIANG A, et al. Automated patent categorization and guided patent search using IPC as inspired by MeSH and PubMed[J/OL]. Journal of Biomedical Semantics, 2013, 4(Suppl 1): S3[2026-03-17]. https://doi.org/10.1186/2041-1480-4-S1-S3.</w:t>
      </w:r>
    </w:p>
    <w:p w14:paraId="7B8CF808">
      <w:pPr>
        <w:pStyle w:val="30"/>
        <w:numPr>
          <w:ilvl w:val="0"/>
          <w:numId w:val="20"/>
        </w:numPr>
        <w:ind w:left="420" w:hanging="420"/>
      </w:pPr>
      <w:r>
        <w:rPr>
          <w:rFonts w:hint="eastAsia"/>
        </w:rPr>
        <w:t>COHEN J. A coefficient of agreement for nominal scales[J]. Educational and Psychological Measurement, 1960, 20(1): 37-46. DOI: 10.1177/001316446002000104.</w:t>
      </w:r>
    </w:p>
    <w:p w14:paraId="6A143A3F">
      <w:pPr>
        <w:pStyle w:val="30"/>
        <w:numPr>
          <w:ilvl w:val="0"/>
          <w:numId w:val="20"/>
        </w:numPr>
        <w:ind w:left="420" w:hanging="420"/>
      </w:pPr>
      <w:r>
        <w:t>SZE V, CHEN Y H, YANG T J, et al. Efficient Processing of Deep Neural Networks: A Tutorial and Survey[J]. Proceedings of the IEEE, 2017, 105(12): 2295-2329. DOI:10.1109/JPROC.2017.2761740.</w:t>
      </w:r>
    </w:p>
    <w:p w14:paraId="250B8018">
      <w:pPr>
        <w:pStyle w:val="30"/>
        <w:numPr>
          <w:ilvl w:val="0"/>
          <w:numId w:val="20"/>
        </w:numPr>
        <w:ind w:left="420" w:hanging="420"/>
      </w:pPr>
      <w:r>
        <w:rPr>
          <w:rFonts w:hint="eastAsia"/>
        </w:rPr>
        <w:t>ARTSTEIN R, POESIO M. Inter-coder agreement for computational linguistics[J]. Computational Linguistics, 2008, 34(4): 555-596. DOI: 10.1162/coli.07-034-R2.</w:t>
      </w:r>
    </w:p>
    <w:p w14:paraId="453DE033">
      <w:pPr>
        <w:pStyle w:val="30"/>
        <w:numPr>
          <w:ilvl w:val="0"/>
          <w:numId w:val="20"/>
        </w:numPr>
        <w:ind w:left="420" w:hanging="420"/>
      </w:pPr>
      <w:r>
        <w:rPr>
          <w:rFonts w:hint="eastAsia"/>
        </w:rPr>
        <w:t>SETTLES B. Active learning literature survey[R/OL]. Madison: University of Wisconsin-Madison, 2009[2026-03-17]. https://burrsettles.com/pub/settles.activelearning_20090109.pdf.</w:t>
      </w:r>
    </w:p>
    <w:p w14:paraId="71CEE94E">
      <w:pPr>
        <w:pStyle w:val="30"/>
        <w:numPr>
          <w:ilvl w:val="0"/>
          <w:numId w:val="20"/>
        </w:numPr>
        <w:ind w:left="420" w:hanging="420"/>
      </w:pPr>
      <w:r>
        <w:rPr>
          <w:rFonts w:hint="eastAsia"/>
        </w:rPr>
        <w:t>ZHANG J, REN H, GUO S, et al. Multi-model collaboration and prompt-driven patent classification methods[C/OL]//Proceedings of the 2024 4th International Conference on Artificial Intelligence, Big Data and Algorithms. New York: Association for Computing Machinery, 2024: 332-336[2026-03-16]. https://dl.acm.org/doi/10.1145/3690407.3690464.</w:t>
      </w:r>
    </w:p>
    <w:p w14:paraId="29D93AF1">
      <w:pPr>
        <w:pStyle w:val="30"/>
        <w:numPr>
          <w:ilvl w:val="0"/>
          <w:numId w:val="20"/>
        </w:numPr>
        <w:ind w:left="420" w:hanging="420"/>
      </w:pPr>
      <w:r>
        <w:rPr>
          <w:rFonts w:hint="eastAsia"/>
        </w:rPr>
        <w:t>BALTRUŠAITIS T, AHUJA C, MORENCY L P. Multimodal machine learning: a survey and taxonomy[J]. IEEE Transactions on Pattern Analysis and Machine Intelligence, 2019, 41(2): 423-443. DOI: 10.1109/TPAMI.2018.2798607.</w:t>
      </w:r>
    </w:p>
    <w:p w14:paraId="0DB6EEB8">
      <w:pPr>
        <w:pStyle w:val="30"/>
        <w:numPr>
          <w:ilvl w:val="0"/>
          <w:numId w:val="20"/>
        </w:numPr>
        <w:ind w:left="420" w:hanging="420"/>
      </w:pPr>
      <w:r>
        <w:rPr>
          <w:rFonts w:hint="eastAsia"/>
        </w:rPr>
        <w:t>JIANG L, GOETZ S M. Natural language processing in the patent domain: a survey[J]. Artificial Intelligence Review, 2025, 58(7): 214. DOI: 10.1007/s10462-025-11168-z.</w:t>
      </w:r>
    </w:p>
    <w:p w14:paraId="3DF0C10A">
      <w:pPr>
        <w:pStyle w:val="30"/>
        <w:numPr>
          <w:ilvl w:val="0"/>
          <w:numId w:val="20"/>
        </w:numPr>
        <w:ind w:left="420" w:hanging="420"/>
      </w:pPr>
      <w:r>
        <w:rPr>
          <w:rFonts w:hint="eastAsia"/>
        </w:rPr>
        <w:t>SZCZEPAŃSKI M, PAWLICKI M, KOZIK R, et al. New explainability method for BERT-based model in fake news detection[J]. Scientific Reports, 2021, 11(1): 23705. DOI: 10.1038/s41598-021-03100-6.</w:t>
      </w:r>
    </w:p>
    <w:p w14:paraId="582A7F50">
      <w:pPr>
        <w:pStyle w:val="30"/>
        <w:numPr>
          <w:ilvl w:val="0"/>
          <w:numId w:val="20"/>
        </w:numPr>
        <w:ind w:left="420" w:hanging="420"/>
      </w:pPr>
      <w:r>
        <w:rPr>
          <w:rFonts w:hint="eastAsia"/>
        </w:rPr>
        <w:t>ZHANG X, LIU S. Explainable judgment prediction and article-violation analysis using deep LexFaith hierarchical BERT model[J]. Scientific Reports, 2026, 16(1): 2974. DOI: 10.1038/s41598-025-32833-x.</w:t>
      </w:r>
    </w:p>
    <w:p w14:paraId="7163025E">
      <w:pPr>
        <w:pStyle w:val="30"/>
        <w:ind w:left="0" w:firstLine="0" w:firstLineChars="0"/>
      </w:pPr>
    </w:p>
    <w:p w14:paraId="7E5EB5F9">
      <w:pPr>
        <w:pStyle w:val="31"/>
        <w:ind w:left="420" w:hanging="420"/>
      </w:pPr>
    </w:p>
    <w:p w14:paraId="12780BF8">
      <w:pPr>
        <w:widowControl/>
        <w:spacing w:line="240" w:lineRule="auto"/>
        <w:ind w:firstLine="0" w:firstLineChars="0"/>
        <w:jc w:val="left"/>
        <w:rPr>
          <w:sz w:val="21"/>
        </w:rPr>
      </w:pPr>
      <w:r>
        <w:br w:type="page"/>
      </w:r>
    </w:p>
    <w:p w14:paraId="226FDBF9">
      <w:pPr>
        <w:pStyle w:val="2"/>
      </w:pPr>
      <w:bookmarkStart w:id="275" w:name="_Toc216114533"/>
      <w:bookmarkStart w:id="276" w:name="_Toc229086923"/>
      <w:bookmarkStart w:id="277" w:name="_Toc23234"/>
      <w:r>
        <w:rPr>
          <w:rFonts w:hint="eastAsia"/>
        </w:rPr>
        <w:t>致谢</w:t>
      </w:r>
      <w:bookmarkEnd w:id="275"/>
      <w:bookmarkEnd w:id="276"/>
      <w:bookmarkEnd w:id="277"/>
    </w:p>
    <w:p w14:paraId="38569FBF">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6E3B3661">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70A218D4">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159F64F2">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EF048FF">
      <w:pPr>
        <w:ind w:firstLine="480"/>
      </w:pPr>
      <w:r>
        <w:rPr>
          <w:rFonts w:hint="eastAsia"/>
        </w:rPr>
        <w:t>最后，向所有参加本论文评阅、答辩的各位老师表示衷心感谢，在百忙之中对我论文审阅并提出许多有益建议。</w:t>
      </w:r>
    </w:p>
    <w:p w14:paraId="032D1124">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Liberation Mono"/>
    <w:panose1 w:val="00000000000000000000"/>
    <w:charset w:val="00"/>
    <w:family w:val="auto"/>
    <w:pitch w:val="default"/>
    <w:sig w:usb0="00000000" w:usb1="00000000" w:usb2="00000000" w:usb3="00000000" w:csb0="00000000" w:csb1="00000000"/>
  </w:font>
  <w:font w:name="sans-serif">
    <w:altName w:val="Segoe Print"/>
    <w:panose1 w:val="020B0604020202020204"/>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Yu Gothic UI">
    <w:panose1 w:val="020B0500000000000000"/>
    <w:charset w:val="80"/>
    <w:family w:val="auto"/>
    <w:pitch w:val="default"/>
    <w:sig w:usb0="E00002FF" w:usb1="2AC7FDFF" w:usb2="00000016" w:usb3="00000000" w:csb0="2002009F" w:csb1="00000000"/>
  </w:font>
  <w:font w:name="Liberation Mono">
    <w:panose1 w:val="02070409020205020404"/>
    <w:charset w:val="00"/>
    <w:family w:val="auto"/>
    <w:pitch w:val="default"/>
    <w:sig w:usb0="E0000AFF" w:usb1="400078FF" w:usb2="00000001" w:usb3="00000000" w:csb0="600001BF" w:csb1="DFF70000"/>
  </w:font>
  <w:font w:name="MS Mincho">
    <w:altName w:val="Liberation Mon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CBB05F">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3A8CD">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7F83D">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9E859">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57D43">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FC72D">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D55E1E">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AD55E1E">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28825">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CF943C">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9CF943C">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1878F">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0CDB98">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4F0CDB98">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4FE60">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D5684B">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36D5684B">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92FF1">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E80AD3">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35E80AD3">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FA0DD">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B4A4EE">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2CB4A4EE">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4B3A6">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7FAF70DE">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0889FF0B">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7FAF70DE">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0889FF0B">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52A74">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BDF09">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69FBDF09">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8443E4">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77A510">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1B77A510">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D8845C">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EB6973">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30EB6973">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CE66D">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972F3">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759972F3">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4CDE95">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36BBA2">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7F36BBA2">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8D0AE2">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21887">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B072D">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63E33D">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16C4C">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6E163D">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90281">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8515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医疗器械专利分类模型相关理论基础</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4A1842">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66824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医疗器械专利分类模型相关理论基础</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C817F">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6D18C">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医疗器械专利分类模型相关理论基础</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139594"/>
    <w:multiLevelType w:val="singleLevel"/>
    <w:tmpl w:val="8F139594"/>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6152A68"/>
    <w:multiLevelType w:val="singleLevel"/>
    <w:tmpl w:val="F6152A68"/>
    <w:lvl w:ilvl="0" w:tentative="0">
      <w:start w:val="1"/>
      <w:numFmt w:val="decimal"/>
      <w:suff w:val="nothing"/>
      <w:lvlText w:val="（%1）"/>
      <w:lvlJc w:val="left"/>
    </w:lvl>
  </w:abstractNum>
  <w:abstractNum w:abstractNumId="11">
    <w:nsid w:val="FF982225"/>
    <w:multiLevelType w:val="singleLevel"/>
    <w:tmpl w:val="FF982225"/>
    <w:lvl w:ilvl="0" w:tentative="0">
      <w:start w:val="1"/>
      <w:numFmt w:val="decimal"/>
      <w:suff w:val="nothing"/>
      <w:lvlText w:val="（%1）"/>
      <w:lvlJc w:val="left"/>
    </w:lvl>
  </w:abstractNum>
  <w:abstractNum w:abstractNumId="12">
    <w:nsid w:val="00A563DD"/>
    <w:multiLevelType w:val="singleLevel"/>
    <w:tmpl w:val="00A563DD"/>
    <w:lvl w:ilvl="0" w:tentative="0">
      <w:start w:val="1"/>
      <w:numFmt w:val="decimal"/>
      <w:suff w:val="nothing"/>
      <w:lvlText w:val="（%1）"/>
      <w:lvlJc w:val="left"/>
    </w:lvl>
  </w:abstractNum>
  <w:abstractNum w:abstractNumId="13">
    <w:nsid w:val="23C14C71"/>
    <w:multiLevelType w:val="singleLevel"/>
    <w:tmpl w:val="23C14C71"/>
    <w:lvl w:ilvl="0" w:tentative="0">
      <w:start w:val="1"/>
      <w:numFmt w:val="decimal"/>
      <w:suff w:val="nothing"/>
      <w:lvlText w:val="（%1）"/>
      <w:lvlJc w:val="left"/>
    </w:lvl>
  </w:abstractNum>
  <w:abstractNum w:abstractNumId="14">
    <w:nsid w:val="329F0348"/>
    <w:multiLevelType w:val="singleLevel"/>
    <w:tmpl w:val="329F0348"/>
    <w:lvl w:ilvl="0" w:tentative="0">
      <w:start w:val="1"/>
      <w:numFmt w:val="decimal"/>
      <w:suff w:val="nothing"/>
      <w:lvlText w:val="（%1）"/>
      <w:lvlJc w:val="left"/>
    </w:lvl>
  </w:abstractNum>
  <w:abstractNum w:abstractNumId="15">
    <w:nsid w:val="3F6F29BD"/>
    <w:multiLevelType w:val="singleLevel"/>
    <w:tmpl w:val="3F6F29BD"/>
    <w:lvl w:ilvl="0" w:tentative="0">
      <w:start w:val="1"/>
      <w:numFmt w:val="decimal"/>
      <w:lvlText w:val="[%1]"/>
      <w:lvlJc w:val="left"/>
      <w:pPr>
        <w:tabs>
          <w:tab w:val="left" w:pos="420"/>
        </w:tabs>
        <w:ind w:left="425" w:hanging="425"/>
      </w:pPr>
      <w:rPr>
        <w:rFonts w:hint="default"/>
      </w:rPr>
    </w:lvl>
  </w:abstractNum>
  <w:abstractNum w:abstractNumId="16">
    <w:nsid w:val="440B27EA"/>
    <w:multiLevelType w:val="singleLevel"/>
    <w:tmpl w:val="440B27EA"/>
    <w:lvl w:ilvl="0" w:tentative="0">
      <w:start w:val="1"/>
      <w:numFmt w:val="decimal"/>
      <w:suff w:val="nothing"/>
      <w:lvlText w:val="（%1）"/>
      <w:lvlJc w:val="left"/>
    </w:lvl>
  </w:abstractNum>
  <w:abstractNum w:abstractNumId="17">
    <w:nsid w:val="5EB05F2C"/>
    <w:multiLevelType w:val="singleLevel"/>
    <w:tmpl w:val="5EB05F2C"/>
    <w:lvl w:ilvl="0" w:tentative="0">
      <w:start w:val="1"/>
      <w:numFmt w:val="decimal"/>
      <w:suff w:val="nothing"/>
      <w:lvlText w:val="（%1）"/>
      <w:lvlJc w:val="left"/>
    </w:lvl>
  </w:abstractNum>
  <w:abstractNum w:abstractNumId="18">
    <w:nsid w:val="7A08BD12"/>
    <w:multiLevelType w:val="singleLevel"/>
    <w:tmpl w:val="7A08BD12"/>
    <w:lvl w:ilvl="0" w:tentative="0">
      <w:start w:val="1"/>
      <w:numFmt w:val="decimal"/>
      <w:suff w:val="space"/>
      <w:lvlText w:val="%1."/>
      <w:lvlJc w:val="left"/>
    </w:lvl>
  </w:abstractNum>
  <w:abstractNum w:abstractNumId="19">
    <w:nsid w:val="7EACDF80"/>
    <w:multiLevelType w:val="singleLevel"/>
    <w:tmpl w:val="7EACDF80"/>
    <w:lvl w:ilvl="0" w:tentative="0">
      <w:start w:val="1"/>
      <w:numFmt w:val="decimal"/>
      <w:suff w:val="nothing"/>
      <w:lvlText w:val="（%1）"/>
      <w:lvlJc w:val="left"/>
    </w:lvl>
  </w:abstractNum>
  <w:num w:numId="1">
    <w:abstractNumId w:val="3"/>
  </w:num>
  <w:num w:numId="2">
    <w:abstractNumId w:val="0"/>
  </w:num>
  <w:num w:numId="3">
    <w:abstractNumId w:val="1"/>
  </w:num>
  <w:num w:numId="4">
    <w:abstractNumId w:val="10"/>
  </w:num>
  <w:num w:numId="5">
    <w:abstractNumId w:val="16"/>
  </w:num>
  <w:num w:numId="6">
    <w:abstractNumId w:val="13"/>
  </w:num>
  <w:num w:numId="7">
    <w:abstractNumId w:val="8"/>
  </w:num>
  <w:num w:numId="8">
    <w:abstractNumId w:val="18"/>
  </w:num>
  <w:num w:numId="9">
    <w:abstractNumId w:val="14"/>
  </w:num>
  <w:num w:numId="10">
    <w:abstractNumId w:val="11"/>
  </w:num>
  <w:num w:numId="11">
    <w:abstractNumId w:val="4"/>
  </w:num>
  <w:num w:numId="12">
    <w:abstractNumId w:val="9"/>
  </w:num>
  <w:num w:numId="13">
    <w:abstractNumId w:val="5"/>
  </w:num>
  <w:num w:numId="14">
    <w:abstractNumId w:val="2"/>
  </w:num>
  <w:num w:numId="15">
    <w:abstractNumId w:val="7"/>
  </w:num>
  <w:num w:numId="16">
    <w:abstractNumId w:val="12"/>
  </w:num>
  <w:num w:numId="17">
    <w:abstractNumId w:val="19"/>
  </w:num>
  <w:num w:numId="18">
    <w:abstractNumId w:val="17"/>
  </w:num>
  <w:num w:numId="19">
    <w:abstractNumId w:val="6"/>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evenAndOddHeaders w:val="1"/>
  <w:drawingGridHorizontalSpacing w:val="120"/>
  <w:drawingGridVerticalSpacing w:val="163"/>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2C3D"/>
    <w:rsid w:val="0006462D"/>
    <w:rsid w:val="00064699"/>
    <w:rsid w:val="00066861"/>
    <w:rsid w:val="0007431A"/>
    <w:rsid w:val="00084BCF"/>
    <w:rsid w:val="000855DE"/>
    <w:rsid w:val="00087D95"/>
    <w:rsid w:val="000A1732"/>
    <w:rsid w:val="000A57B9"/>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D0C09"/>
    <w:rsid w:val="001F2819"/>
    <w:rsid w:val="00204751"/>
    <w:rsid w:val="00206C23"/>
    <w:rsid w:val="002101AB"/>
    <w:rsid w:val="002213BB"/>
    <w:rsid w:val="00224BA1"/>
    <w:rsid w:val="00227783"/>
    <w:rsid w:val="002344AB"/>
    <w:rsid w:val="00254AAB"/>
    <w:rsid w:val="00255218"/>
    <w:rsid w:val="002553B0"/>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2F7A8D"/>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445"/>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092F"/>
    <w:rsid w:val="00451B1B"/>
    <w:rsid w:val="004674D9"/>
    <w:rsid w:val="004724FC"/>
    <w:rsid w:val="00483E11"/>
    <w:rsid w:val="00486DF8"/>
    <w:rsid w:val="0049308D"/>
    <w:rsid w:val="00493DE8"/>
    <w:rsid w:val="00494AEF"/>
    <w:rsid w:val="00495AF0"/>
    <w:rsid w:val="004A6A91"/>
    <w:rsid w:val="004B3C72"/>
    <w:rsid w:val="004B3FED"/>
    <w:rsid w:val="004D1F14"/>
    <w:rsid w:val="004E225E"/>
    <w:rsid w:val="004E31E1"/>
    <w:rsid w:val="004F53F6"/>
    <w:rsid w:val="00502C25"/>
    <w:rsid w:val="00505368"/>
    <w:rsid w:val="005062D6"/>
    <w:rsid w:val="00507E72"/>
    <w:rsid w:val="00511700"/>
    <w:rsid w:val="0052765F"/>
    <w:rsid w:val="00530A14"/>
    <w:rsid w:val="00536FCE"/>
    <w:rsid w:val="005466D2"/>
    <w:rsid w:val="00550216"/>
    <w:rsid w:val="0056021D"/>
    <w:rsid w:val="00570D72"/>
    <w:rsid w:val="00574DB7"/>
    <w:rsid w:val="005753AD"/>
    <w:rsid w:val="00582716"/>
    <w:rsid w:val="00582F50"/>
    <w:rsid w:val="00584F5C"/>
    <w:rsid w:val="005874FF"/>
    <w:rsid w:val="00587AE6"/>
    <w:rsid w:val="005925D7"/>
    <w:rsid w:val="005967FA"/>
    <w:rsid w:val="005A7088"/>
    <w:rsid w:val="005C4949"/>
    <w:rsid w:val="005C5F40"/>
    <w:rsid w:val="005D0F79"/>
    <w:rsid w:val="005E047A"/>
    <w:rsid w:val="005F20FE"/>
    <w:rsid w:val="00603127"/>
    <w:rsid w:val="00611F33"/>
    <w:rsid w:val="00624D15"/>
    <w:rsid w:val="00625A37"/>
    <w:rsid w:val="0064355E"/>
    <w:rsid w:val="00650D15"/>
    <w:rsid w:val="00663E04"/>
    <w:rsid w:val="006710BC"/>
    <w:rsid w:val="00674210"/>
    <w:rsid w:val="0067511D"/>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A047E"/>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C6B43"/>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06F"/>
    <w:rsid w:val="009E1FEC"/>
    <w:rsid w:val="009E3FD2"/>
    <w:rsid w:val="009E42D6"/>
    <w:rsid w:val="009E5FC6"/>
    <w:rsid w:val="009F543E"/>
    <w:rsid w:val="00A1379D"/>
    <w:rsid w:val="00A1731F"/>
    <w:rsid w:val="00A212B3"/>
    <w:rsid w:val="00A24022"/>
    <w:rsid w:val="00A33A82"/>
    <w:rsid w:val="00A459DA"/>
    <w:rsid w:val="00A4647F"/>
    <w:rsid w:val="00A46EAB"/>
    <w:rsid w:val="00A50A33"/>
    <w:rsid w:val="00A52B63"/>
    <w:rsid w:val="00A57835"/>
    <w:rsid w:val="00A605AC"/>
    <w:rsid w:val="00A6333E"/>
    <w:rsid w:val="00A73747"/>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2F0C"/>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8655E"/>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66624"/>
    <w:rsid w:val="00D73839"/>
    <w:rsid w:val="00D73B50"/>
    <w:rsid w:val="00D75C5C"/>
    <w:rsid w:val="00D772D7"/>
    <w:rsid w:val="00D90FD2"/>
    <w:rsid w:val="00D91DC7"/>
    <w:rsid w:val="00D963A1"/>
    <w:rsid w:val="00DA10C6"/>
    <w:rsid w:val="00DD7B2D"/>
    <w:rsid w:val="00DE0144"/>
    <w:rsid w:val="00DF2BAA"/>
    <w:rsid w:val="00DF72B6"/>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0D28"/>
    <w:rsid w:val="00F23400"/>
    <w:rsid w:val="00F2465C"/>
    <w:rsid w:val="00F264CF"/>
    <w:rsid w:val="00F26B1C"/>
    <w:rsid w:val="00F35A02"/>
    <w:rsid w:val="00F419A9"/>
    <w:rsid w:val="00F44AAD"/>
    <w:rsid w:val="00F559CB"/>
    <w:rsid w:val="00F620E1"/>
    <w:rsid w:val="00F811D2"/>
    <w:rsid w:val="00F926D7"/>
    <w:rsid w:val="00FA10B2"/>
    <w:rsid w:val="00FA6C6A"/>
    <w:rsid w:val="00FB0E6B"/>
    <w:rsid w:val="00FB7C19"/>
    <w:rsid w:val="00FC259E"/>
    <w:rsid w:val="00FC77AB"/>
    <w:rsid w:val="00FE48D3"/>
    <w:rsid w:val="00FF177B"/>
    <w:rsid w:val="012F0C91"/>
    <w:rsid w:val="0149240B"/>
    <w:rsid w:val="015C4E83"/>
    <w:rsid w:val="02001ACA"/>
    <w:rsid w:val="02245871"/>
    <w:rsid w:val="022C21A4"/>
    <w:rsid w:val="023A0BBE"/>
    <w:rsid w:val="02585732"/>
    <w:rsid w:val="025E4FFD"/>
    <w:rsid w:val="0280333D"/>
    <w:rsid w:val="02A9180D"/>
    <w:rsid w:val="02E910F0"/>
    <w:rsid w:val="02FF6BBC"/>
    <w:rsid w:val="031C10D7"/>
    <w:rsid w:val="038419E8"/>
    <w:rsid w:val="03EE3EEF"/>
    <w:rsid w:val="04013771"/>
    <w:rsid w:val="043976A1"/>
    <w:rsid w:val="04422673"/>
    <w:rsid w:val="047D7964"/>
    <w:rsid w:val="04B9492C"/>
    <w:rsid w:val="04BA53B0"/>
    <w:rsid w:val="0540295E"/>
    <w:rsid w:val="05663A99"/>
    <w:rsid w:val="05A3302E"/>
    <w:rsid w:val="05FE4F98"/>
    <w:rsid w:val="06017F04"/>
    <w:rsid w:val="061E4834"/>
    <w:rsid w:val="063113E0"/>
    <w:rsid w:val="06316315"/>
    <w:rsid w:val="067A000D"/>
    <w:rsid w:val="071F1601"/>
    <w:rsid w:val="07296CD4"/>
    <w:rsid w:val="073B1607"/>
    <w:rsid w:val="07850251"/>
    <w:rsid w:val="078B4A32"/>
    <w:rsid w:val="079E7F01"/>
    <w:rsid w:val="07A84224"/>
    <w:rsid w:val="08741249"/>
    <w:rsid w:val="0888482E"/>
    <w:rsid w:val="08F4242E"/>
    <w:rsid w:val="09087B7F"/>
    <w:rsid w:val="093255A9"/>
    <w:rsid w:val="09513C21"/>
    <w:rsid w:val="095A1021"/>
    <w:rsid w:val="09696037"/>
    <w:rsid w:val="09B93488"/>
    <w:rsid w:val="0A5C3A6A"/>
    <w:rsid w:val="0A5E5C25"/>
    <w:rsid w:val="0A946BD1"/>
    <w:rsid w:val="0A9D666F"/>
    <w:rsid w:val="0ABB4D47"/>
    <w:rsid w:val="0AE72FFC"/>
    <w:rsid w:val="0B441769"/>
    <w:rsid w:val="0B7A69B0"/>
    <w:rsid w:val="0BC63052"/>
    <w:rsid w:val="0BDB44E9"/>
    <w:rsid w:val="0C444873"/>
    <w:rsid w:val="0C4D671C"/>
    <w:rsid w:val="0C6F1A68"/>
    <w:rsid w:val="0CA32E1E"/>
    <w:rsid w:val="0CB11B60"/>
    <w:rsid w:val="0D196723"/>
    <w:rsid w:val="0D2E1801"/>
    <w:rsid w:val="0D49488C"/>
    <w:rsid w:val="0D61456E"/>
    <w:rsid w:val="0D727E7E"/>
    <w:rsid w:val="0D7362E8"/>
    <w:rsid w:val="0D9B30A7"/>
    <w:rsid w:val="0DC25AE2"/>
    <w:rsid w:val="0DFB18C2"/>
    <w:rsid w:val="0E2F3F20"/>
    <w:rsid w:val="0E344BF5"/>
    <w:rsid w:val="0E4A4418"/>
    <w:rsid w:val="0E5D1762"/>
    <w:rsid w:val="0E762242"/>
    <w:rsid w:val="0E7F7A02"/>
    <w:rsid w:val="0E963B01"/>
    <w:rsid w:val="0EA6675B"/>
    <w:rsid w:val="0EB6385C"/>
    <w:rsid w:val="0ED24B54"/>
    <w:rsid w:val="0F0C4970"/>
    <w:rsid w:val="0F5D008C"/>
    <w:rsid w:val="0F8E594E"/>
    <w:rsid w:val="0F9028B3"/>
    <w:rsid w:val="0FB8503A"/>
    <w:rsid w:val="0FD45C91"/>
    <w:rsid w:val="105340A3"/>
    <w:rsid w:val="10763895"/>
    <w:rsid w:val="10921754"/>
    <w:rsid w:val="10E34B41"/>
    <w:rsid w:val="10E77FAD"/>
    <w:rsid w:val="10EB2EDA"/>
    <w:rsid w:val="110D5F06"/>
    <w:rsid w:val="11221850"/>
    <w:rsid w:val="11577520"/>
    <w:rsid w:val="115C4694"/>
    <w:rsid w:val="116729A4"/>
    <w:rsid w:val="117552E9"/>
    <w:rsid w:val="118C636C"/>
    <w:rsid w:val="119D52FB"/>
    <w:rsid w:val="11CD24C5"/>
    <w:rsid w:val="11DF6E61"/>
    <w:rsid w:val="11EF15CF"/>
    <w:rsid w:val="11F75647"/>
    <w:rsid w:val="120766D3"/>
    <w:rsid w:val="121073DE"/>
    <w:rsid w:val="121216F1"/>
    <w:rsid w:val="125448F5"/>
    <w:rsid w:val="126D6927"/>
    <w:rsid w:val="131F3A5F"/>
    <w:rsid w:val="13695A71"/>
    <w:rsid w:val="13962935"/>
    <w:rsid w:val="13A54AE5"/>
    <w:rsid w:val="13E3118F"/>
    <w:rsid w:val="143824FF"/>
    <w:rsid w:val="14386B00"/>
    <w:rsid w:val="147A0371"/>
    <w:rsid w:val="14942097"/>
    <w:rsid w:val="14AF5969"/>
    <w:rsid w:val="14CD59AD"/>
    <w:rsid w:val="14FF6F54"/>
    <w:rsid w:val="15741C3B"/>
    <w:rsid w:val="15793835"/>
    <w:rsid w:val="15915022"/>
    <w:rsid w:val="15CC7E09"/>
    <w:rsid w:val="15ED0DD5"/>
    <w:rsid w:val="15F01D49"/>
    <w:rsid w:val="161F262E"/>
    <w:rsid w:val="16214DEF"/>
    <w:rsid w:val="162E2871"/>
    <w:rsid w:val="165321B7"/>
    <w:rsid w:val="1674196D"/>
    <w:rsid w:val="167B11B6"/>
    <w:rsid w:val="168D25F7"/>
    <w:rsid w:val="169D53AA"/>
    <w:rsid w:val="16C06033"/>
    <w:rsid w:val="16CF7AEA"/>
    <w:rsid w:val="171E35E1"/>
    <w:rsid w:val="177E0095"/>
    <w:rsid w:val="17AD57E5"/>
    <w:rsid w:val="17FF4F97"/>
    <w:rsid w:val="18355424"/>
    <w:rsid w:val="18572C4B"/>
    <w:rsid w:val="185C3635"/>
    <w:rsid w:val="188D5A23"/>
    <w:rsid w:val="18C37C83"/>
    <w:rsid w:val="18D15CFF"/>
    <w:rsid w:val="18F0265B"/>
    <w:rsid w:val="194C6343"/>
    <w:rsid w:val="195F55F7"/>
    <w:rsid w:val="19BD49C8"/>
    <w:rsid w:val="19C4446E"/>
    <w:rsid w:val="1A5B26D0"/>
    <w:rsid w:val="1A616756"/>
    <w:rsid w:val="1A715802"/>
    <w:rsid w:val="1A7A7554"/>
    <w:rsid w:val="1A8149E7"/>
    <w:rsid w:val="1A825833"/>
    <w:rsid w:val="1AE95EC6"/>
    <w:rsid w:val="1AFA0F3D"/>
    <w:rsid w:val="1B410951"/>
    <w:rsid w:val="1B5E4ACA"/>
    <w:rsid w:val="1B897DD2"/>
    <w:rsid w:val="1B9A0C46"/>
    <w:rsid w:val="1B9F4DE1"/>
    <w:rsid w:val="1BB47E61"/>
    <w:rsid w:val="1C07072D"/>
    <w:rsid w:val="1C09341C"/>
    <w:rsid w:val="1C842D60"/>
    <w:rsid w:val="1C8E7BFF"/>
    <w:rsid w:val="1CAC7FFA"/>
    <w:rsid w:val="1CBD1C6D"/>
    <w:rsid w:val="1CCC02D7"/>
    <w:rsid w:val="1CD83537"/>
    <w:rsid w:val="1CD867B6"/>
    <w:rsid w:val="1CDE7254"/>
    <w:rsid w:val="1D181B85"/>
    <w:rsid w:val="1D3E44A2"/>
    <w:rsid w:val="1D497EC4"/>
    <w:rsid w:val="1D7B31AC"/>
    <w:rsid w:val="1D7D6213"/>
    <w:rsid w:val="1D812A56"/>
    <w:rsid w:val="1D952DC8"/>
    <w:rsid w:val="1DA05B37"/>
    <w:rsid w:val="1DDD21D6"/>
    <w:rsid w:val="1E030979"/>
    <w:rsid w:val="1E06228A"/>
    <w:rsid w:val="1E253203"/>
    <w:rsid w:val="1E2E44E7"/>
    <w:rsid w:val="1E34479D"/>
    <w:rsid w:val="1E555448"/>
    <w:rsid w:val="1E7A39C3"/>
    <w:rsid w:val="1E816080"/>
    <w:rsid w:val="1EDE6925"/>
    <w:rsid w:val="1EF83A1C"/>
    <w:rsid w:val="1F0F73FB"/>
    <w:rsid w:val="1F3F61F7"/>
    <w:rsid w:val="1FF21B8B"/>
    <w:rsid w:val="200E1F83"/>
    <w:rsid w:val="201E4236"/>
    <w:rsid w:val="20234AC9"/>
    <w:rsid w:val="202D4925"/>
    <w:rsid w:val="203E4B48"/>
    <w:rsid w:val="20964804"/>
    <w:rsid w:val="20AC4CD8"/>
    <w:rsid w:val="20B62501"/>
    <w:rsid w:val="20E00C0C"/>
    <w:rsid w:val="20E43CE3"/>
    <w:rsid w:val="21197C6C"/>
    <w:rsid w:val="2140228F"/>
    <w:rsid w:val="2180399D"/>
    <w:rsid w:val="224C49F2"/>
    <w:rsid w:val="229609E2"/>
    <w:rsid w:val="22AA7366"/>
    <w:rsid w:val="22CA49AE"/>
    <w:rsid w:val="22DC4E21"/>
    <w:rsid w:val="22DF6967"/>
    <w:rsid w:val="22F35816"/>
    <w:rsid w:val="230961F8"/>
    <w:rsid w:val="23450B58"/>
    <w:rsid w:val="236427EF"/>
    <w:rsid w:val="23A07597"/>
    <w:rsid w:val="241D5F5E"/>
    <w:rsid w:val="24437EF8"/>
    <w:rsid w:val="244F00B3"/>
    <w:rsid w:val="2457471E"/>
    <w:rsid w:val="246359A6"/>
    <w:rsid w:val="24641342"/>
    <w:rsid w:val="24690E02"/>
    <w:rsid w:val="24863746"/>
    <w:rsid w:val="248D3338"/>
    <w:rsid w:val="24B93311"/>
    <w:rsid w:val="24DB5972"/>
    <w:rsid w:val="250C778C"/>
    <w:rsid w:val="25146FAB"/>
    <w:rsid w:val="25237B49"/>
    <w:rsid w:val="253C5676"/>
    <w:rsid w:val="25633D72"/>
    <w:rsid w:val="25783D19"/>
    <w:rsid w:val="25B35B86"/>
    <w:rsid w:val="25B72FDD"/>
    <w:rsid w:val="25B94E62"/>
    <w:rsid w:val="25FA6BAC"/>
    <w:rsid w:val="25FC1F6F"/>
    <w:rsid w:val="25FD3DB9"/>
    <w:rsid w:val="26191380"/>
    <w:rsid w:val="262048F9"/>
    <w:rsid w:val="262818BC"/>
    <w:rsid w:val="26650806"/>
    <w:rsid w:val="266601FB"/>
    <w:rsid w:val="26C22BCA"/>
    <w:rsid w:val="27B76AB5"/>
    <w:rsid w:val="27FC3B40"/>
    <w:rsid w:val="286B3401"/>
    <w:rsid w:val="28750EB3"/>
    <w:rsid w:val="28C66939"/>
    <w:rsid w:val="29334C83"/>
    <w:rsid w:val="293B10D5"/>
    <w:rsid w:val="293E4722"/>
    <w:rsid w:val="2958608A"/>
    <w:rsid w:val="29666A14"/>
    <w:rsid w:val="296A63B5"/>
    <w:rsid w:val="298A5BB9"/>
    <w:rsid w:val="299F5316"/>
    <w:rsid w:val="29C829D9"/>
    <w:rsid w:val="29EC500B"/>
    <w:rsid w:val="2A033A63"/>
    <w:rsid w:val="2A146738"/>
    <w:rsid w:val="2A1A4ADF"/>
    <w:rsid w:val="2A3F0EF2"/>
    <w:rsid w:val="2A575DBA"/>
    <w:rsid w:val="2A647C1A"/>
    <w:rsid w:val="2A785553"/>
    <w:rsid w:val="2AFB18E4"/>
    <w:rsid w:val="2B2F4FA9"/>
    <w:rsid w:val="2B91548B"/>
    <w:rsid w:val="2BC76878"/>
    <w:rsid w:val="2BE42285"/>
    <w:rsid w:val="2C022066"/>
    <w:rsid w:val="2C0E0D23"/>
    <w:rsid w:val="2C253137"/>
    <w:rsid w:val="2C2674A1"/>
    <w:rsid w:val="2C2B2026"/>
    <w:rsid w:val="2C3229FF"/>
    <w:rsid w:val="2CB8403C"/>
    <w:rsid w:val="2CB8438F"/>
    <w:rsid w:val="2CFE784A"/>
    <w:rsid w:val="2D606F0F"/>
    <w:rsid w:val="2D865AD4"/>
    <w:rsid w:val="2D8E5ADB"/>
    <w:rsid w:val="2D9F7082"/>
    <w:rsid w:val="2DD408F3"/>
    <w:rsid w:val="2DE46318"/>
    <w:rsid w:val="2E490605"/>
    <w:rsid w:val="2E4A1A89"/>
    <w:rsid w:val="2E612507"/>
    <w:rsid w:val="2EAD4823"/>
    <w:rsid w:val="2EE338FA"/>
    <w:rsid w:val="2F2F683F"/>
    <w:rsid w:val="2F3E203D"/>
    <w:rsid w:val="2F822586"/>
    <w:rsid w:val="2FAB0B10"/>
    <w:rsid w:val="2FC07A5E"/>
    <w:rsid w:val="2FC647D1"/>
    <w:rsid w:val="3031392A"/>
    <w:rsid w:val="30870C1D"/>
    <w:rsid w:val="30AB4416"/>
    <w:rsid w:val="30BA4FD6"/>
    <w:rsid w:val="30D72AF4"/>
    <w:rsid w:val="310C1587"/>
    <w:rsid w:val="31315C42"/>
    <w:rsid w:val="315C20B8"/>
    <w:rsid w:val="319E7876"/>
    <w:rsid w:val="31EC5663"/>
    <w:rsid w:val="31FF307E"/>
    <w:rsid w:val="3202689B"/>
    <w:rsid w:val="32770273"/>
    <w:rsid w:val="32924E88"/>
    <w:rsid w:val="32B40A15"/>
    <w:rsid w:val="32B77FEB"/>
    <w:rsid w:val="32DC4FA3"/>
    <w:rsid w:val="32F825DE"/>
    <w:rsid w:val="3341553A"/>
    <w:rsid w:val="334B63B9"/>
    <w:rsid w:val="33514297"/>
    <w:rsid w:val="33582884"/>
    <w:rsid w:val="339C2714"/>
    <w:rsid w:val="33A0604C"/>
    <w:rsid w:val="33DE035B"/>
    <w:rsid w:val="342E6182"/>
    <w:rsid w:val="34376A99"/>
    <w:rsid w:val="343B7963"/>
    <w:rsid w:val="34621C0C"/>
    <w:rsid w:val="348341CB"/>
    <w:rsid w:val="34A75871"/>
    <w:rsid w:val="34AE56C2"/>
    <w:rsid w:val="34B425D2"/>
    <w:rsid w:val="350D2D6B"/>
    <w:rsid w:val="35163E4C"/>
    <w:rsid w:val="352275ED"/>
    <w:rsid w:val="3525070E"/>
    <w:rsid w:val="354C3B03"/>
    <w:rsid w:val="3561261E"/>
    <w:rsid w:val="35685AD6"/>
    <w:rsid w:val="356B3EAB"/>
    <w:rsid w:val="359D6409"/>
    <w:rsid w:val="35A10580"/>
    <w:rsid w:val="35CC6392"/>
    <w:rsid w:val="361F1978"/>
    <w:rsid w:val="3635639C"/>
    <w:rsid w:val="367E4A76"/>
    <w:rsid w:val="369150BD"/>
    <w:rsid w:val="36995CE6"/>
    <w:rsid w:val="369B1405"/>
    <w:rsid w:val="36A42101"/>
    <w:rsid w:val="36AD70DB"/>
    <w:rsid w:val="36B35215"/>
    <w:rsid w:val="36CE75A7"/>
    <w:rsid w:val="36D230CA"/>
    <w:rsid w:val="36E0194A"/>
    <w:rsid w:val="36E36908"/>
    <w:rsid w:val="36E44089"/>
    <w:rsid w:val="37047564"/>
    <w:rsid w:val="371A7C27"/>
    <w:rsid w:val="373B252E"/>
    <w:rsid w:val="376C4B50"/>
    <w:rsid w:val="377037F6"/>
    <w:rsid w:val="37844317"/>
    <w:rsid w:val="37977C07"/>
    <w:rsid w:val="37A81254"/>
    <w:rsid w:val="37AF29E9"/>
    <w:rsid w:val="37DD5C4A"/>
    <w:rsid w:val="37E86F0F"/>
    <w:rsid w:val="381E4888"/>
    <w:rsid w:val="3842549E"/>
    <w:rsid w:val="38470F23"/>
    <w:rsid w:val="38683569"/>
    <w:rsid w:val="3885236D"/>
    <w:rsid w:val="38B3351B"/>
    <w:rsid w:val="38C3401D"/>
    <w:rsid w:val="38EB0B78"/>
    <w:rsid w:val="38EC25F0"/>
    <w:rsid w:val="391261C2"/>
    <w:rsid w:val="39381EFD"/>
    <w:rsid w:val="39453290"/>
    <w:rsid w:val="396B46A5"/>
    <w:rsid w:val="39777F08"/>
    <w:rsid w:val="39FE2691"/>
    <w:rsid w:val="3A0637EB"/>
    <w:rsid w:val="3A5B1F3A"/>
    <w:rsid w:val="3AA7481D"/>
    <w:rsid w:val="3AAD2378"/>
    <w:rsid w:val="3ABA3B8B"/>
    <w:rsid w:val="3AC16B02"/>
    <w:rsid w:val="3ACC5134"/>
    <w:rsid w:val="3ADC38B4"/>
    <w:rsid w:val="3B024F0B"/>
    <w:rsid w:val="3B037579"/>
    <w:rsid w:val="3B2D393F"/>
    <w:rsid w:val="3B5E431C"/>
    <w:rsid w:val="3B716F4F"/>
    <w:rsid w:val="3B78414B"/>
    <w:rsid w:val="3B86193A"/>
    <w:rsid w:val="3B8C62A3"/>
    <w:rsid w:val="3BA3035E"/>
    <w:rsid w:val="3BB62BE8"/>
    <w:rsid w:val="3BBE0795"/>
    <w:rsid w:val="3BC10768"/>
    <w:rsid w:val="3BC136BC"/>
    <w:rsid w:val="3BF3780A"/>
    <w:rsid w:val="3C025DA2"/>
    <w:rsid w:val="3C436FDE"/>
    <w:rsid w:val="3C4C0023"/>
    <w:rsid w:val="3C8A1488"/>
    <w:rsid w:val="3D242E36"/>
    <w:rsid w:val="3D516B41"/>
    <w:rsid w:val="3D580050"/>
    <w:rsid w:val="3D696D70"/>
    <w:rsid w:val="3D8A0952"/>
    <w:rsid w:val="3D950C61"/>
    <w:rsid w:val="3D9D26B3"/>
    <w:rsid w:val="3DE33C07"/>
    <w:rsid w:val="3E642CE2"/>
    <w:rsid w:val="3E852A39"/>
    <w:rsid w:val="3ED0092C"/>
    <w:rsid w:val="3EDF4E5E"/>
    <w:rsid w:val="3EF60D22"/>
    <w:rsid w:val="3F0E4029"/>
    <w:rsid w:val="3F6946EE"/>
    <w:rsid w:val="3F9421F4"/>
    <w:rsid w:val="3F991334"/>
    <w:rsid w:val="3FA60A28"/>
    <w:rsid w:val="3FEC4A80"/>
    <w:rsid w:val="3FED0FCE"/>
    <w:rsid w:val="3FF43FD3"/>
    <w:rsid w:val="3FF61040"/>
    <w:rsid w:val="407924B5"/>
    <w:rsid w:val="40A335F7"/>
    <w:rsid w:val="40E51029"/>
    <w:rsid w:val="40FF0993"/>
    <w:rsid w:val="41966C29"/>
    <w:rsid w:val="41B33AA7"/>
    <w:rsid w:val="425A1A7E"/>
    <w:rsid w:val="425F45F1"/>
    <w:rsid w:val="427E58D8"/>
    <w:rsid w:val="4298117D"/>
    <w:rsid w:val="43222685"/>
    <w:rsid w:val="432602A9"/>
    <w:rsid w:val="43484C07"/>
    <w:rsid w:val="436A352E"/>
    <w:rsid w:val="43EA2ABB"/>
    <w:rsid w:val="444B6AAA"/>
    <w:rsid w:val="44784D45"/>
    <w:rsid w:val="44C723C4"/>
    <w:rsid w:val="45043F93"/>
    <w:rsid w:val="455F2012"/>
    <w:rsid w:val="459B14D9"/>
    <w:rsid w:val="45B778DE"/>
    <w:rsid w:val="45BD24D3"/>
    <w:rsid w:val="45BF1A1E"/>
    <w:rsid w:val="45C74F7C"/>
    <w:rsid w:val="45E7158D"/>
    <w:rsid w:val="460913D3"/>
    <w:rsid w:val="460C3B5D"/>
    <w:rsid w:val="4611121F"/>
    <w:rsid w:val="464242FA"/>
    <w:rsid w:val="464476A6"/>
    <w:rsid w:val="46771E8F"/>
    <w:rsid w:val="46780578"/>
    <w:rsid w:val="46AC2993"/>
    <w:rsid w:val="474419DA"/>
    <w:rsid w:val="47493072"/>
    <w:rsid w:val="47636CC4"/>
    <w:rsid w:val="47782540"/>
    <w:rsid w:val="477E357C"/>
    <w:rsid w:val="47B45253"/>
    <w:rsid w:val="47DD4C0C"/>
    <w:rsid w:val="47DD7AD0"/>
    <w:rsid w:val="47F6087B"/>
    <w:rsid w:val="48084421"/>
    <w:rsid w:val="487815A6"/>
    <w:rsid w:val="489E5807"/>
    <w:rsid w:val="48A17848"/>
    <w:rsid w:val="48D75130"/>
    <w:rsid w:val="490F2643"/>
    <w:rsid w:val="493D4B4E"/>
    <w:rsid w:val="49493A19"/>
    <w:rsid w:val="494A4C66"/>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2734EA"/>
    <w:rsid w:val="4E3E34B5"/>
    <w:rsid w:val="4EB46B62"/>
    <w:rsid w:val="4ED8458A"/>
    <w:rsid w:val="4EF77942"/>
    <w:rsid w:val="4F004723"/>
    <w:rsid w:val="4F0C3101"/>
    <w:rsid w:val="4F7640F5"/>
    <w:rsid w:val="4F815F97"/>
    <w:rsid w:val="4FC17CDE"/>
    <w:rsid w:val="4FC755F2"/>
    <w:rsid w:val="4FE647B0"/>
    <w:rsid w:val="503725C2"/>
    <w:rsid w:val="507A3A97"/>
    <w:rsid w:val="507C18B2"/>
    <w:rsid w:val="50852AB2"/>
    <w:rsid w:val="50A17466"/>
    <w:rsid w:val="50EF211F"/>
    <w:rsid w:val="516E5C3E"/>
    <w:rsid w:val="5180042D"/>
    <w:rsid w:val="5196484B"/>
    <w:rsid w:val="51BD037A"/>
    <w:rsid w:val="51F51A37"/>
    <w:rsid w:val="526F5D91"/>
    <w:rsid w:val="52DF030A"/>
    <w:rsid w:val="52F61A46"/>
    <w:rsid w:val="53251CD0"/>
    <w:rsid w:val="533A0528"/>
    <w:rsid w:val="53505BC6"/>
    <w:rsid w:val="53560736"/>
    <w:rsid w:val="53843B25"/>
    <w:rsid w:val="53C0050E"/>
    <w:rsid w:val="540B1675"/>
    <w:rsid w:val="540C5D72"/>
    <w:rsid w:val="542A24AA"/>
    <w:rsid w:val="5458228C"/>
    <w:rsid w:val="54A1510B"/>
    <w:rsid w:val="54A764C1"/>
    <w:rsid w:val="54C86751"/>
    <w:rsid w:val="54EC26AA"/>
    <w:rsid w:val="54F770D8"/>
    <w:rsid w:val="54FA7A9E"/>
    <w:rsid w:val="54FD1327"/>
    <w:rsid w:val="553064E9"/>
    <w:rsid w:val="553D637D"/>
    <w:rsid w:val="55C027DF"/>
    <w:rsid w:val="56217714"/>
    <w:rsid w:val="568E5B9B"/>
    <w:rsid w:val="56A676EB"/>
    <w:rsid w:val="56C4643B"/>
    <w:rsid w:val="56E006CE"/>
    <w:rsid w:val="572A5A70"/>
    <w:rsid w:val="5750411A"/>
    <w:rsid w:val="57863747"/>
    <w:rsid w:val="57C6532A"/>
    <w:rsid w:val="584E0792"/>
    <w:rsid w:val="5850446E"/>
    <w:rsid w:val="587F428B"/>
    <w:rsid w:val="58B612AB"/>
    <w:rsid w:val="58D324F7"/>
    <w:rsid w:val="58D93418"/>
    <w:rsid w:val="59017499"/>
    <w:rsid w:val="59555AFD"/>
    <w:rsid w:val="597045F3"/>
    <w:rsid w:val="597B707C"/>
    <w:rsid w:val="597F7DE2"/>
    <w:rsid w:val="59A629D0"/>
    <w:rsid w:val="5A4450F4"/>
    <w:rsid w:val="5A9A07E3"/>
    <w:rsid w:val="5AB75AE4"/>
    <w:rsid w:val="5AF50ACF"/>
    <w:rsid w:val="5B124F92"/>
    <w:rsid w:val="5B2A513B"/>
    <w:rsid w:val="5B463D7C"/>
    <w:rsid w:val="5B655A75"/>
    <w:rsid w:val="5B843542"/>
    <w:rsid w:val="5BB6088D"/>
    <w:rsid w:val="5C203C2E"/>
    <w:rsid w:val="5C473E4D"/>
    <w:rsid w:val="5C6A6763"/>
    <w:rsid w:val="5C8D4726"/>
    <w:rsid w:val="5CBA5B65"/>
    <w:rsid w:val="5CD64792"/>
    <w:rsid w:val="5D4E0737"/>
    <w:rsid w:val="5D953969"/>
    <w:rsid w:val="5DBC348C"/>
    <w:rsid w:val="5DED4FE5"/>
    <w:rsid w:val="5DF03C42"/>
    <w:rsid w:val="5E0B087C"/>
    <w:rsid w:val="5E242507"/>
    <w:rsid w:val="5E2E3013"/>
    <w:rsid w:val="5E54656D"/>
    <w:rsid w:val="5E5A203A"/>
    <w:rsid w:val="5E600C5B"/>
    <w:rsid w:val="5EA762EA"/>
    <w:rsid w:val="5F2D785C"/>
    <w:rsid w:val="5F440E28"/>
    <w:rsid w:val="5F517FEB"/>
    <w:rsid w:val="5F9340F2"/>
    <w:rsid w:val="5FB30ED5"/>
    <w:rsid w:val="5FB96354"/>
    <w:rsid w:val="5FF849B0"/>
    <w:rsid w:val="601A7BEA"/>
    <w:rsid w:val="60344795"/>
    <w:rsid w:val="60667327"/>
    <w:rsid w:val="606B3AEB"/>
    <w:rsid w:val="60787F3E"/>
    <w:rsid w:val="60A928F5"/>
    <w:rsid w:val="60AC0895"/>
    <w:rsid w:val="60B3720A"/>
    <w:rsid w:val="60C03693"/>
    <w:rsid w:val="61000AA8"/>
    <w:rsid w:val="610C1F51"/>
    <w:rsid w:val="61194F52"/>
    <w:rsid w:val="61284CC2"/>
    <w:rsid w:val="61474223"/>
    <w:rsid w:val="615D357C"/>
    <w:rsid w:val="619E3DB7"/>
    <w:rsid w:val="61EA0670"/>
    <w:rsid w:val="61EB473F"/>
    <w:rsid w:val="62266F76"/>
    <w:rsid w:val="622B50F0"/>
    <w:rsid w:val="624C307F"/>
    <w:rsid w:val="62986C7A"/>
    <w:rsid w:val="632B774E"/>
    <w:rsid w:val="6330170C"/>
    <w:rsid w:val="63323E90"/>
    <w:rsid w:val="63597E24"/>
    <w:rsid w:val="63923686"/>
    <w:rsid w:val="64233E52"/>
    <w:rsid w:val="645B798F"/>
    <w:rsid w:val="64AF29A7"/>
    <w:rsid w:val="64B22D8B"/>
    <w:rsid w:val="65117739"/>
    <w:rsid w:val="653D7CA3"/>
    <w:rsid w:val="655C7271"/>
    <w:rsid w:val="65607D06"/>
    <w:rsid w:val="657C2A83"/>
    <w:rsid w:val="65A40AF7"/>
    <w:rsid w:val="65B116C2"/>
    <w:rsid w:val="65B62F8A"/>
    <w:rsid w:val="65DF51A0"/>
    <w:rsid w:val="65E25C80"/>
    <w:rsid w:val="65E47FE5"/>
    <w:rsid w:val="65F46891"/>
    <w:rsid w:val="661E6346"/>
    <w:rsid w:val="663C396E"/>
    <w:rsid w:val="66525E15"/>
    <w:rsid w:val="66873AE4"/>
    <w:rsid w:val="668B04E6"/>
    <w:rsid w:val="66A7157D"/>
    <w:rsid w:val="66B06F8E"/>
    <w:rsid w:val="66CA279C"/>
    <w:rsid w:val="66F24689"/>
    <w:rsid w:val="67410D56"/>
    <w:rsid w:val="67620FE6"/>
    <w:rsid w:val="67871780"/>
    <w:rsid w:val="67884BE4"/>
    <w:rsid w:val="67B20F17"/>
    <w:rsid w:val="67C24A44"/>
    <w:rsid w:val="67E1404B"/>
    <w:rsid w:val="67E8797B"/>
    <w:rsid w:val="67F073BE"/>
    <w:rsid w:val="67F74755"/>
    <w:rsid w:val="68010C18"/>
    <w:rsid w:val="682E0CCD"/>
    <w:rsid w:val="682F0E28"/>
    <w:rsid w:val="68480D45"/>
    <w:rsid w:val="686C3165"/>
    <w:rsid w:val="687A681D"/>
    <w:rsid w:val="68927F63"/>
    <w:rsid w:val="68C83319"/>
    <w:rsid w:val="68D66648"/>
    <w:rsid w:val="68E007FE"/>
    <w:rsid w:val="69027FDB"/>
    <w:rsid w:val="69097E8C"/>
    <w:rsid w:val="691A3C19"/>
    <w:rsid w:val="691B21AC"/>
    <w:rsid w:val="696E52AE"/>
    <w:rsid w:val="699761C3"/>
    <w:rsid w:val="69AD6FB5"/>
    <w:rsid w:val="69B10A98"/>
    <w:rsid w:val="69D7387A"/>
    <w:rsid w:val="69FC44A6"/>
    <w:rsid w:val="6A187379"/>
    <w:rsid w:val="6A2531A4"/>
    <w:rsid w:val="6A31184A"/>
    <w:rsid w:val="6A372519"/>
    <w:rsid w:val="6A3C19EC"/>
    <w:rsid w:val="6A481AA9"/>
    <w:rsid w:val="6ABE14AD"/>
    <w:rsid w:val="6B607F4C"/>
    <w:rsid w:val="6B6C7832"/>
    <w:rsid w:val="6B7F12E5"/>
    <w:rsid w:val="6BAD76D9"/>
    <w:rsid w:val="6BE239E2"/>
    <w:rsid w:val="6C0A21F8"/>
    <w:rsid w:val="6C152AE5"/>
    <w:rsid w:val="6C25069C"/>
    <w:rsid w:val="6C442E9D"/>
    <w:rsid w:val="6C805D14"/>
    <w:rsid w:val="6CF43042"/>
    <w:rsid w:val="6D286848"/>
    <w:rsid w:val="6D87412D"/>
    <w:rsid w:val="6DB7546C"/>
    <w:rsid w:val="6DDF010C"/>
    <w:rsid w:val="6E1C6AC3"/>
    <w:rsid w:val="6EB03039"/>
    <w:rsid w:val="6ECD02A6"/>
    <w:rsid w:val="6ED816BC"/>
    <w:rsid w:val="6F2968A7"/>
    <w:rsid w:val="6F3E2828"/>
    <w:rsid w:val="6F6A72D7"/>
    <w:rsid w:val="6F6D07EC"/>
    <w:rsid w:val="6F7271AA"/>
    <w:rsid w:val="6F8B1E14"/>
    <w:rsid w:val="6F8F2B24"/>
    <w:rsid w:val="6FB6638D"/>
    <w:rsid w:val="6FBE44A1"/>
    <w:rsid w:val="6FC45835"/>
    <w:rsid w:val="6FE55EDD"/>
    <w:rsid w:val="6FEA266A"/>
    <w:rsid w:val="6FF040AB"/>
    <w:rsid w:val="6FFC7634"/>
    <w:rsid w:val="70223DF2"/>
    <w:rsid w:val="70362992"/>
    <w:rsid w:val="705D2381"/>
    <w:rsid w:val="707C543A"/>
    <w:rsid w:val="70B61ED2"/>
    <w:rsid w:val="70C8125E"/>
    <w:rsid w:val="70FA5E92"/>
    <w:rsid w:val="712B4B60"/>
    <w:rsid w:val="71361216"/>
    <w:rsid w:val="714B3AB2"/>
    <w:rsid w:val="714E6AC7"/>
    <w:rsid w:val="71C9076D"/>
    <w:rsid w:val="71CF3736"/>
    <w:rsid w:val="71F87FE7"/>
    <w:rsid w:val="72084CEF"/>
    <w:rsid w:val="720A0BFF"/>
    <w:rsid w:val="724F4877"/>
    <w:rsid w:val="726A0115"/>
    <w:rsid w:val="729A1B21"/>
    <w:rsid w:val="72E23702"/>
    <w:rsid w:val="72E87022"/>
    <w:rsid w:val="73110C0E"/>
    <w:rsid w:val="73605BCD"/>
    <w:rsid w:val="739724CE"/>
    <w:rsid w:val="73A87BE1"/>
    <w:rsid w:val="73AF248A"/>
    <w:rsid w:val="73B44184"/>
    <w:rsid w:val="73EE4A30"/>
    <w:rsid w:val="743624CE"/>
    <w:rsid w:val="74B86703"/>
    <w:rsid w:val="751B470E"/>
    <w:rsid w:val="758A27DE"/>
    <w:rsid w:val="75932809"/>
    <w:rsid w:val="75B034CD"/>
    <w:rsid w:val="75C21AE1"/>
    <w:rsid w:val="75CF01A8"/>
    <w:rsid w:val="75D22519"/>
    <w:rsid w:val="76322E1E"/>
    <w:rsid w:val="764D5571"/>
    <w:rsid w:val="76966F18"/>
    <w:rsid w:val="76C1043C"/>
    <w:rsid w:val="76E54DC5"/>
    <w:rsid w:val="77143175"/>
    <w:rsid w:val="774E76A8"/>
    <w:rsid w:val="77C17FC5"/>
    <w:rsid w:val="77EB7DB5"/>
    <w:rsid w:val="78191B58"/>
    <w:rsid w:val="78250206"/>
    <w:rsid w:val="78272E80"/>
    <w:rsid w:val="7872473C"/>
    <w:rsid w:val="789C2C49"/>
    <w:rsid w:val="789F5FB6"/>
    <w:rsid w:val="78A71634"/>
    <w:rsid w:val="78FB2499"/>
    <w:rsid w:val="79B156AC"/>
    <w:rsid w:val="79EF15A4"/>
    <w:rsid w:val="79FB7128"/>
    <w:rsid w:val="7A1136B2"/>
    <w:rsid w:val="7A526DB4"/>
    <w:rsid w:val="7A640A40"/>
    <w:rsid w:val="7A7035E5"/>
    <w:rsid w:val="7B0251E6"/>
    <w:rsid w:val="7B0525F0"/>
    <w:rsid w:val="7B1448AF"/>
    <w:rsid w:val="7B1D733E"/>
    <w:rsid w:val="7B294BBC"/>
    <w:rsid w:val="7B87251F"/>
    <w:rsid w:val="7C4A67DB"/>
    <w:rsid w:val="7C7C2599"/>
    <w:rsid w:val="7CC876B0"/>
    <w:rsid w:val="7D4D5E56"/>
    <w:rsid w:val="7D5F0BDC"/>
    <w:rsid w:val="7D6526D0"/>
    <w:rsid w:val="7D7D03C5"/>
    <w:rsid w:val="7DD46DBA"/>
    <w:rsid w:val="7E612918"/>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spacing w:line="240" w:lineRule="auto"/>
      <w:ind w:left="480" w:hanging="480" w:hangingChars="200"/>
      <w:jc w:val="left"/>
    </w:pPr>
    <w:rPr>
      <w:rFonts w:cs="宋体"/>
      <w:sz w:val="21"/>
    </w:rPr>
  </w:style>
  <w:style w:type="paragraph" w:customStyle="1" w:styleId="31">
    <w:name w:val="参考文献"/>
    <w:basedOn w:val="1"/>
    <w:link w:val="33"/>
    <w:qFormat/>
    <w:uiPriority w:val="0"/>
    <w:pPr>
      <w:spacing w:line="240" w:lineRule="auto"/>
      <w:ind w:left="200" w:hanging="200" w:hangingChars="200"/>
      <w:jc w:val="left"/>
    </w:pPr>
    <w:rPr>
      <w:sz w:val="21"/>
      <w:vertAlign w:val="superscript"/>
    </w:rPr>
  </w:style>
  <w:style w:type="character" w:customStyle="1" w:styleId="32">
    <w:name w:val="参考文献正文 字符"/>
    <w:basedOn w:val="17"/>
    <w:link w:val="30"/>
    <w:qFormat/>
    <w:uiPriority w:val="0"/>
    <w:rPr>
      <w:rFonts w:eastAsia="宋体" w:cs="宋体"/>
      <w:kern w:val="2"/>
      <w:sz w:val="21"/>
      <w:szCs w:val="24"/>
      <w:vertAlign w:val="baseline"/>
    </w:rPr>
  </w:style>
  <w:style w:type="character" w:customStyle="1" w:styleId="33">
    <w:name w:val="参考文献 字符"/>
    <w:basedOn w:val="17"/>
    <w:link w:val="31"/>
    <w:qFormat/>
    <w:uiPriority w:val="0"/>
    <w:rPr>
      <w:rFonts w:eastAsia="宋体" w:cstheme="minorBidi"/>
      <w:kern w:val="2"/>
      <w:sz w:val="21"/>
      <w:szCs w:val="24"/>
      <w:vertAlign w:val="superscript"/>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书目2"/>
    <w:basedOn w:val="1"/>
    <w:next w:val="1"/>
    <w:unhideWhenUsed/>
    <w:qFormat/>
    <w:uiPriority w:val="37"/>
  </w:style>
  <w:style w:type="paragraph" w:customStyle="1" w:styleId="37">
    <w:name w:val="Revision"/>
    <w:hidden/>
    <w:semiHidden/>
    <w:qFormat/>
    <w:uiPriority w:val="99"/>
    <w:rPr>
      <w:rFonts w:ascii="Times New Roman" w:hAnsi="Times New Roman" w:eastAsia="宋体" w:cstheme="minorBidi"/>
      <w:kern w:val="2"/>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01CA8C6-9177-4863-A1A1-91270CEA385B}">
  <ds:schemaRefs/>
</ds:datastoreItem>
</file>

<file path=customXml/itemProps3.xml><?xml version="1.0" encoding="utf-8"?>
<ds:datastoreItem xmlns:ds="http://schemas.openxmlformats.org/officeDocument/2006/customXml" ds:itemID="{1679644C-F32D-4626-8FF3-25390B2B985C}">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1476</Words>
  <Characters>1884</Characters>
  <Lines>769</Lines>
  <Paragraphs>216</Paragraphs>
  <TotalTime>17</TotalTime>
  <ScaleCrop>false</ScaleCrop>
  <LinksUpToDate>false</LinksUpToDate>
  <CharactersWithSpaces>2500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2026-05-07T16:12:03Z</dcterms:modified>
  <cp:revision>288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B8B64656676742A6B7C946C2C1F9AD49_13</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