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240" w:after="120"/>
        <w:jc w:val="center"/>
      </w:pPr>
      <w:r>
        <w:rPr>
          <w:rFonts w:ascii="Arial" w:cs="Arial" w:eastAsia="Arial" w:hAnsi="Arial"/>
          <w:b/>
          <w:bCs/>
          <w:color w:val="777777"/>
          <w:sz w:val="20"/>
          <w:szCs w:val="20"/>
        </w:rPr>
        <w:t xml:space="preserve">HACKATHON PROJECT REPORT</w:t>
      </w:r>
    </w:p>
    <w:p>
      <w:pPr>
        <w:pBdr>
          <w:bottom w:val="single" w:color="2E75B6" w:sz="8" w:space="2"/>
        </w:pBdr>
        <w:spacing w:before="80" w:after="240"/>
        <w:jc w:val="center"/>
      </w:pPr>
      <w:r>
        <w:rPr>
          <w:rFonts w:ascii="Arial" w:cs="Arial" w:eastAsia="Arial" w:hAnsi="Arial"/>
          <w:b/>
          <w:bCs/>
          <w:color w:val="1F4E79"/>
          <w:sz w:val="52"/>
          <w:szCs w:val="52"/>
        </w:rPr>
        <w:t xml:space="preserve">AI-Powered Real-Time Road Anomaly</w:t>
      </w:r>
    </w:p>
    <w:p>
      <w:pPr>
        <w:spacing w:before="120" w:after="360"/>
        <w:jc w:val="center"/>
      </w:pPr>
      <w:r>
        <w:rPr>
          <w:rFonts w:ascii="Arial" w:cs="Arial" w:eastAsia="Arial" w:hAnsi="Arial"/>
          <w:b/>
          <w:bCs/>
          <w:color w:val="1F4E79"/>
          <w:sz w:val="52"/>
          <w:szCs w:val="52"/>
        </w:rPr>
        <w:t xml:space="preserve">Detection System for Edge Deployment</w:t>
      </w:r>
    </w:p>
    <w:p>
      <w:pPr>
        <w:spacing w:before="80" w:after="80"/>
        <w:jc w:val="center"/>
      </w:pPr>
      <w:r>
        <w:rPr>
          <w:rFonts w:ascii="Arial" w:cs="Arial" w:eastAsia="Arial" w:hAnsi="Arial"/>
          <w:i/>
          <w:iCs/>
          <w:color w:val="555555"/>
          <w:sz w:val="22"/>
          <w:szCs w:val="22"/>
        </w:rPr>
        <w:t xml:space="preserve">Optimized YOLO Nano 26 | INT8 Quantization | Raspberry Pi | TFLite Runtime</w:t>
      </w:r>
    </w:p>
    <w:p>
      <w:pPr>
        <w:spacing w:before="80" w:after="80"/>
      </w:pPr>
      <w:r>
        <w:t xml:space="preserve"/>
      </w:r>
    </w:p>
    <w:p>
      <w:pPr>
        <w:spacing w:before="80" w:after="8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AAAAAA" w:sz="1"/>
              <w:left w:val="single" w:color="AAAAAA" w:sz="1"/>
              <w:bottom w:val="single" w:color="AAAAAA" w:sz="1"/>
              <w:right w:val="single" w:color="AAAAAA" w:sz="1"/>
            </w:tcBorders>
            <w:shd w:fill="D9E8F5" w:val="clear"/>
            <w:tcMar>
              <w:top w:type="dxa" w:w="200"/>
              <w:left w:type="dxa" w:w="360"/>
              <w:bottom w:type="dxa" w:w="200"/>
              <w:right w:type="dxa" w:w="360"/>
            </w:tcMar>
          </w:tcPr>
          <w:p>
            <w:pPr>
              <w:spacing w:before="80" w:after="80"/>
              <w:jc w:val="center"/>
            </w:pPr>
            <w:r>
              <w:rPr>
                <w:rFonts w:ascii="Arial" w:cs="Arial" w:eastAsia="Arial" w:hAnsi="Arial"/>
                <w:b/>
                <w:bCs/>
                <w:color w:val="1F4E79"/>
                <w:sz w:val="24"/>
                <w:szCs w:val="24"/>
              </w:rPr>
              <w:t xml:space="preserve">Team Members</w:t>
            </w:r>
          </w:p>
          <w:p>
            <w:pPr>
              <w:spacing w:before="80" w:after="40"/>
              <w:jc w:val="center"/>
            </w:pPr>
            <w:r>
              <w:rPr>
                <w:rFonts w:ascii="Arial" w:cs="Arial" w:eastAsia="Arial" w:hAnsi="Arial"/>
                <w:sz w:val="22"/>
                <w:szCs w:val="22"/>
              </w:rPr>
              <w:t xml:space="preserve">Vanshika Reja</w:t>
            </w:r>
          </w:p>
          <w:p>
            <w:pPr>
              <w:spacing w:before="40" w:after="40"/>
              <w:jc w:val="center"/>
            </w:pPr>
            <w:r>
              <w:rPr>
                <w:rFonts w:ascii="Arial" w:cs="Arial" w:eastAsia="Arial" w:hAnsi="Arial"/>
                <w:sz w:val="22"/>
                <w:szCs w:val="22"/>
              </w:rPr>
              <w:t xml:space="preserve">Aaditya Rajawat</w:t>
            </w:r>
          </w:p>
          <w:p>
            <w:pPr>
              <w:spacing w:before="40" w:after="80"/>
              <w:jc w:val="center"/>
            </w:pPr>
            <w:r>
              <w:rPr>
                <w:rFonts w:ascii="Arial" w:cs="Arial" w:eastAsia="Arial" w:hAnsi="Arial"/>
                <w:sz w:val="22"/>
                <w:szCs w:val="22"/>
              </w:rPr>
              <w:t xml:space="preserve">Alisha</w:t>
            </w:r>
          </w:p>
        </w:tc>
      </w:tr>
    </w:tbl>
    <w:p>
      <w:pPr>
        <w:spacing w:before="80" w:after="80"/>
      </w:pPr>
      <w:r>
        <w:t xml:space="preserve"/>
      </w:r>
    </w:p>
    <w:p>
      <w:pPr>
        <w:spacing w:before="200" w:after="80"/>
        <w:jc w:val="center"/>
      </w:pPr>
      <w:r>
        <w:rPr>
          <w:rFonts w:ascii="Arial" w:cs="Arial" w:eastAsia="Arial" w:hAnsi="Arial"/>
          <w:color w:val="777777"/>
          <w:sz w:val="20"/>
          <w:szCs w:val="20"/>
        </w:rPr>
        <w:t xml:space="preserve">Submitted in fulfillment of Hackathon Requirements</w:t>
      </w:r>
    </w:p>
    <w:p>
      <w:pPr>
        <w:spacing w:before="40" w:after="80"/>
        <w:jc w:val="center"/>
      </w:pPr>
      <w:r>
        <w:rPr>
          <w:rFonts w:ascii="Arial" w:cs="Arial" w:eastAsia="Arial" w:hAnsi="Arial"/>
          <w:color w:val="777777"/>
          <w:sz w:val="20"/>
          <w:szCs w:val="20"/>
        </w:rPr>
        <w:t xml:space="preserve">2025</w:t>
      </w:r>
    </w:p>
    <w:p>
      <w:r>
        <w:br w:type="page"/>
      </w:r>
    </w:p>
    <w:p>
      <w:pPr>
        <w:pStyle w:val="Heading1"/>
        <w:pBdr>
          <w:bottom w:val="single" w:color="2E75B6" w:sz="6" w:space="1"/>
        </w:pBdr>
        <w:spacing w:before="360" w:after="120"/>
      </w:pPr>
      <w:r>
        <w:rPr>
          <w:rFonts w:ascii="Arial" w:cs="Arial" w:eastAsia="Arial" w:hAnsi="Arial"/>
          <w:b/>
          <w:bCs/>
          <w:color w:val="1F4E79"/>
          <w:sz w:val="28"/>
          <w:szCs w:val="28"/>
        </w:rPr>
        <w:t xml:space="preserve">Abstract</w:t>
      </w:r>
    </w:p>
    <w:p>
      <w:pPr>
        <w:spacing w:before="80" w:after="80" w:line="276"/>
        <w:jc w:val="both"/>
      </w:pPr>
      <w:r>
        <w:rPr>
          <w:rFonts w:ascii="Arial" w:cs="Arial" w:eastAsia="Arial" w:hAnsi="Arial"/>
          <w:sz w:val="22"/>
          <w:szCs w:val="22"/>
        </w:rPr>
        <w:t xml:space="preserve">This report presents the design, implementation, and performance evaluation of an AI-Powered Real-Time Road Anomaly Detection System engineered for deployment on resource-constrained edge hardware. The system targets Raspberry Pi platforms operating on ARM architecture without any external hardware accelerators. Motivated by a shared commitment to reducing real-world road accidents, the team developed a full inference pipeline based on the YOLO Nano 26 architecture, optimized through Full INT8 Post-Training Quantization and deployed via the tflite-runtime inference engine with 4-core multi-threading and ARM-optimized XNNPACK/KleidiAI kernels.</w:t>
      </w:r>
    </w:p>
    <w:p>
      <w:pPr>
        <w:spacing w:before="80" w:after="80"/>
      </w:pPr>
      <w:r>
        <w:t xml:space="preserve"/>
      </w:r>
    </w:p>
    <w:p>
      <w:pPr>
        <w:spacing w:before="80" w:after="80" w:line="276"/>
        <w:jc w:val="both"/>
      </w:pPr>
      <w:r>
        <w:rPr>
          <w:rFonts w:ascii="Arial" w:cs="Arial" w:eastAsia="Arial" w:hAnsi="Arial"/>
          <w:sz w:val="22"/>
          <w:szCs w:val="22"/>
        </w:rPr>
        <w:t xml:space="preserve">Starting from a baseline performance of 2.8 FPS at 480p resolution, the system was progressively optimized to achieve 5.9 FPS at 320x320 resolution — exceeding the 5 FPS hackathon target. The final model attained a mean Average Precision of 76.1% (mAP50) with a precision score of 0.786, demonstrating a disciplined accuracy-versus-speed trade-off appropriate for a safety-critical vehicular context where minimizing false positives is paramount. The dataset was sourced from a curated public road anomaly repository on Roboflow. A key implementation detail involves converting BGR frames to RGB prior to inference to preserve detection confidence. The system architecture, optimization methodology, results, and a roadmap for future Night-Vision detection are discussed in full.</w:t>
      </w:r>
    </w:p>
    <w:p>
      <w:r>
        <w:br w:type="page"/>
      </w:r>
    </w:p>
    <w:p>
      <w:pPr>
        <w:pStyle w:val="Heading1"/>
        <w:pBdr>
          <w:bottom w:val="single" w:color="2E75B6" w:sz="6" w:space="1"/>
        </w:pBdr>
        <w:spacing w:before="360" w:after="120"/>
      </w:pPr>
      <w:r>
        <w:rPr>
          <w:rFonts w:ascii="Arial" w:cs="Arial" w:eastAsia="Arial" w:hAnsi="Arial"/>
          <w:b/>
          <w:bCs/>
          <w:color w:val="1F4E79"/>
          <w:sz w:val="28"/>
          <w:szCs w:val="28"/>
        </w:rPr>
        <w:t xml:space="preserve">1. Introduction &amp; Problem Statement</w:t>
      </w:r>
    </w:p>
    <w:p>
      <w:pPr>
        <w:pStyle w:val="Heading2"/>
        <w:spacing w:before="240" w:after="80"/>
      </w:pPr>
      <w:r>
        <w:rPr>
          <w:rFonts w:ascii="Arial" w:cs="Arial" w:eastAsia="Arial" w:hAnsi="Arial"/>
          <w:b/>
          <w:bCs/>
          <w:color w:val="2E75B6"/>
          <w:sz w:val="24"/>
          <w:szCs w:val="24"/>
        </w:rPr>
        <w:t xml:space="preserve">1.1 Motivation</w:t>
      </w:r>
    </w:p>
    <w:p>
      <w:pPr>
        <w:spacing w:before="80" w:after="80" w:line="276"/>
        <w:jc w:val="both"/>
      </w:pPr>
      <w:r>
        <w:rPr>
          <w:rFonts w:ascii="Arial" w:cs="Arial" w:eastAsia="Arial" w:hAnsi="Arial"/>
          <w:sz w:val="22"/>
          <w:szCs w:val="22"/>
        </w:rPr>
        <w:t xml:space="preserve">Road accidents remain one of the leading causes of preventable mortality and injury worldwide. A significant proportion of these incidents are attributable to road surface anomalies — potholes, cracks, debris, and surface irregularities — that drivers fail to detect in time, particularly at elevated speeds. For the team behind this project, this is not merely an abstract engineering problem. Each member has encountered or witnessed incidents directly attributable to deteriorating road conditions, and this shared personal experience formed the foundational motivation for the project.</w:t>
      </w:r>
    </w:p>
    <w:p>
      <w:pPr>
        <w:spacing w:before="80" w:after="80"/>
      </w:pPr>
      <w:r>
        <w:t xml:space="preserve"/>
      </w:r>
    </w:p>
    <w:p>
      <w:pPr>
        <w:spacing w:before="80" w:after="80" w:line="276"/>
        <w:jc w:val="both"/>
      </w:pPr>
      <w:r>
        <w:rPr>
          <w:rFonts w:ascii="Arial" w:cs="Arial" w:eastAsia="Arial" w:hAnsi="Arial"/>
          <w:sz w:val="22"/>
          <w:szCs w:val="22"/>
        </w:rPr>
        <w:t xml:space="preserve">The ambition was to build a system capable of providing real-time, on-vehicle warnings without relying on costly cloud infrastructure or specialized accelerator hardware. By targeting the Raspberry Pi — an inexpensive, widely available single-board computer — the team sought to demonstrate that effective anomaly detection is achievable at a price point accessible to individual consumers, fleet operators, and municipal monitoring programs alike.</w:t>
      </w:r>
    </w:p>
    <w:p>
      <w:pPr>
        <w:pStyle w:val="Heading2"/>
        <w:spacing w:before="240" w:after="80"/>
      </w:pPr>
      <w:r>
        <w:rPr>
          <w:rFonts w:ascii="Arial" w:cs="Arial" w:eastAsia="Arial" w:hAnsi="Arial"/>
          <w:b/>
          <w:bCs/>
          <w:color w:val="2E75B6"/>
          <w:sz w:val="24"/>
          <w:szCs w:val="24"/>
        </w:rPr>
        <w:t xml:space="preserve">1.2 Problem Statement</w:t>
      </w:r>
    </w:p>
    <w:p>
      <w:pPr>
        <w:spacing w:before="80" w:after="80" w:line="276"/>
        <w:jc w:val="both"/>
      </w:pPr>
      <w:r>
        <w:rPr>
          <w:rFonts w:ascii="Arial" w:cs="Arial" w:eastAsia="Arial" w:hAnsi="Arial"/>
          <w:sz w:val="22"/>
          <w:szCs w:val="22"/>
        </w:rPr>
        <w:t xml:space="preserve">Existing road anomaly detection systems typically fall into one of two categories: cloud-dependent solutions that introduce unacceptable inference latency for real-time vehicular safety, or edge solutions requiring expensive dedicated hardware accelerators such as NVIDIA Jetson or Google Coral TPUs. Neither paradigm is suitable for cost-sensitive, large-scale deployment. The challenge addressed by this project is to design a complete inference pipeline that:</w:t>
      </w:r>
    </w:p>
    <w:p>
      <w:pPr>
        <w:pStyle w:val="ListParagraph"/>
        <w:numPr>
          <w:ilvl w:val="0"/>
          <w:numId w:val="2"/>
        </w:numPr>
        <w:spacing w:before="60" w:after="60"/>
      </w:pPr>
      <w:r>
        <w:rPr>
          <w:rFonts w:ascii="Arial" w:cs="Arial" w:eastAsia="Arial" w:hAnsi="Arial"/>
          <w:sz w:val="22"/>
          <w:szCs w:val="22"/>
        </w:rPr>
        <w:t xml:space="preserve">Runs entirely on a Raspberry Pi CPU (ARM architecture, no external accelerators).</w:t>
      </w:r>
    </w:p>
    <w:p>
      <w:pPr>
        <w:pStyle w:val="ListParagraph"/>
        <w:numPr>
          <w:ilvl w:val="0"/>
          <w:numId w:val="2"/>
        </w:numPr>
        <w:spacing w:before="60" w:after="60"/>
      </w:pPr>
      <w:r>
        <w:rPr>
          <w:rFonts w:ascii="Arial" w:cs="Arial" w:eastAsia="Arial" w:hAnsi="Arial"/>
          <w:sz w:val="22"/>
          <w:szCs w:val="22"/>
        </w:rPr>
        <w:t xml:space="preserve">Achieves a minimum sustained throughput of 5 FPS — the target established by the hackathon judging criteria — to be considered real-time viable.</w:t>
      </w:r>
    </w:p>
    <w:p>
      <w:pPr>
        <w:pStyle w:val="ListParagraph"/>
        <w:numPr>
          <w:ilvl w:val="0"/>
          <w:numId w:val="2"/>
        </w:numPr>
        <w:spacing w:before="60" w:after="60"/>
      </w:pPr>
      <w:r>
        <w:rPr>
          <w:rFonts w:ascii="Arial" w:cs="Arial" w:eastAsia="Arial" w:hAnsi="Arial"/>
          <w:sz w:val="22"/>
          <w:szCs w:val="22"/>
        </w:rPr>
        <w:t xml:space="preserve">Maintains detection accuracy sufficient for safety-critical applications, with high precision to minimize false alarm fatigue for the driver.</w:t>
      </w:r>
    </w:p>
    <w:p>
      <w:pPr>
        <w:pStyle w:val="ListParagraph"/>
        <w:numPr>
          <w:ilvl w:val="0"/>
          <w:numId w:val="2"/>
        </w:numPr>
        <w:spacing w:before="60" w:after="60"/>
      </w:pPr>
      <w:r>
        <w:rPr>
          <w:rFonts w:ascii="Arial" w:cs="Arial" w:eastAsia="Arial" w:hAnsi="Arial"/>
          <w:sz w:val="22"/>
          <w:szCs w:val="22"/>
        </w:rPr>
        <w:t xml:space="preserve">Operates within the thermal and power constraints of a standard Raspberry Pi deployment.</w:t>
      </w:r>
    </w:p>
    <w:p>
      <w:pPr>
        <w:spacing w:before="80" w:after="80"/>
      </w:pPr>
      <w:r>
        <w:t xml:space="preserve"/>
      </w:r>
    </w:p>
    <w:p>
      <w:pPr>
        <w:spacing w:before="80" w:after="80" w:line="276"/>
        <w:jc w:val="both"/>
      </w:pPr>
      <w:r>
        <w:rPr>
          <w:rFonts w:ascii="Arial" w:cs="Arial" w:eastAsia="Arial" w:hAnsi="Arial"/>
          <w:sz w:val="22"/>
          <w:szCs w:val="22"/>
        </w:rPr>
        <w:t xml:space="preserve">Meeting all four constraints simultaneously required a systematic and multi-layered optimization strategy, which is detailed in the Methodology section.</w:t>
      </w:r>
    </w:p>
    <w:p>
      <w:pPr>
        <w:pStyle w:val="Heading2"/>
        <w:spacing w:before="240" w:after="80"/>
      </w:pPr>
      <w:r>
        <w:rPr>
          <w:rFonts w:ascii="Arial" w:cs="Arial" w:eastAsia="Arial" w:hAnsi="Arial"/>
          <w:b/>
          <w:bCs/>
          <w:color w:val="2E75B6"/>
          <w:sz w:val="24"/>
          <w:szCs w:val="24"/>
        </w:rPr>
        <w:t xml:space="preserve">1.3 Scope</w:t>
      </w:r>
    </w:p>
    <w:p>
      <w:pPr>
        <w:spacing w:before="80" w:after="80" w:line="276"/>
        <w:jc w:val="both"/>
      </w:pPr>
      <w:r>
        <w:rPr>
          <w:rFonts w:ascii="Arial" w:cs="Arial" w:eastAsia="Arial" w:hAnsi="Arial"/>
          <w:sz w:val="22"/>
          <w:szCs w:val="22"/>
        </w:rPr>
        <w:t xml:space="preserve">The scope of this project encompasses dataset preparation, model selection and training, quantization-based optimization, inference engine configuration, color space preprocessing, and end-to-end performance benchmarking. The detection targets are road surface anomalies as defined by the chosen public dataset. Future scope includes thermal and infrared-based night-vision detection.</w:t>
      </w:r>
    </w:p>
    <w:p>
      <w:r>
        <w:br w:type="page"/>
      </w:r>
    </w:p>
    <w:p>
      <w:pPr>
        <w:pStyle w:val="Heading1"/>
        <w:pBdr>
          <w:bottom w:val="single" w:color="2E75B6" w:sz="6" w:space="1"/>
        </w:pBdr>
        <w:spacing w:before="360" w:after="120"/>
      </w:pPr>
      <w:r>
        <w:rPr>
          <w:rFonts w:ascii="Arial" w:cs="Arial" w:eastAsia="Arial" w:hAnsi="Arial"/>
          <w:b/>
          <w:bCs/>
          <w:color w:val="1F4E79"/>
          <w:sz w:val="28"/>
          <w:szCs w:val="28"/>
        </w:rPr>
        <w:t xml:space="preserve">2. Dataset</w:t>
      </w:r>
    </w:p>
    <w:p>
      <w:pPr>
        <w:pStyle w:val="Heading2"/>
        <w:spacing w:before="240" w:after="80"/>
      </w:pPr>
      <w:r>
        <w:rPr>
          <w:rFonts w:ascii="Arial" w:cs="Arial" w:eastAsia="Arial" w:hAnsi="Arial"/>
          <w:b/>
          <w:bCs/>
          <w:color w:val="2E75B6"/>
          <w:sz w:val="24"/>
          <w:szCs w:val="24"/>
        </w:rPr>
        <w:t xml:space="preserve">2.1 Source and Composition</w:t>
      </w:r>
    </w:p>
    <w:p>
      <w:pPr>
        <w:spacing w:before="80" w:after="80" w:line="276"/>
        <w:jc w:val="both"/>
      </w:pPr>
      <w:r>
        <w:rPr>
          <w:rFonts w:ascii="Arial" w:cs="Arial" w:eastAsia="Arial" w:hAnsi="Arial"/>
          <w:sz w:val="22"/>
          <w:szCs w:val="22"/>
        </w:rPr>
        <w:t xml:space="preserve">The training and validation dataset was sourced from Roboflow, a widely used public repository for computer vision datasets. The specific dataset comprises annotated images of road surfaces captured from vehicle-mounted dashcam perspectives, encompassing a range of anomaly classes including potholes, cracks, road surface damage, and surface debris. Roboflow's hosted datasets benefit from community curation, and the chosen dataset provided a balanced distribution across anomaly categories along with pre-formatted annotation files compatible with YOLO training pipelines.</w:t>
      </w:r>
    </w:p>
    <w:p>
      <w:pPr>
        <w:pStyle w:val="Heading2"/>
        <w:spacing w:before="240" w:after="80"/>
      </w:pPr>
      <w:r>
        <w:rPr>
          <w:rFonts w:ascii="Arial" w:cs="Arial" w:eastAsia="Arial" w:hAnsi="Arial"/>
          <w:b/>
          <w:bCs/>
          <w:color w:val="2E75B6"/>
          <w:sz w:val="24"/>
          <w:szCs w:val="24"/>
        </w:rPr>
        <w:t xml:space="preserve">2.2 Preprocessing &amp; Augmentation</w:t>
      </w:r>
    </w:p>
    <w:p>
      <w:pPr>
        <w:spacing w:before="80" w:after="80" w:line="276"/>
        <w:jc w:val="both"/>
      </w:pPr>
      <w:r>
        <w:rPr>
          <w:rFonts w:ascii="Arial" w:cs="Arial" w:eastAsia="Arial" w:hAnsi="Arial"/>
          <w:sz w:val="22"/>
          <w:szCs w:val="22"/>
        </w:rPr>
        <w:t xml:space="preserve">Images were resized to 320x320 pixels to align with the inference resolution target. Standard augmentation techniques — including horizontal flipping, brightness and contrast jitter, and moderate mosaic augmentation — were applied during training to improve generalization across diverse road surface conditions, lighting environments, and camera angles. Class balancing was applied to prevent over-representation of dominant anomaly categories.</w:t>
      </w:r>
    </w:p>
    <w:p>
      <w:pPr>
        <w:pStyle w:val="Heading2"/>
        <w:spacing w:before="240" w:after="80"/>
      </w:pPr>
      <w:r>
        <w:rPr>
          <w:rFonts w:ascii="Arial" w:cs="Arial" w:eastAsia="Arial" w:hAnsi="Arial"/>
          <w:b/>
          <w:bCs/>
          <w:color w:val="2E75B6"/>
          <w:sz w:val="24"/>
          <w:szCs w:val="24"/>
        </w:rPr>
        <w:t xml:space="preserve">2.3 Split Configuration</w:t>
      </w:r>
    </w:p>
    <w:p>
      <w:pPr>
        <w:spacing w:before="80" w:after="80" w:line="276"/>
        <w:jc w:val="both"/>
      </w:pPr>
      <w:r>
        <w:rPr>
          <w:rFonts w:ascii="Arial" w:cs="Arial" w:eastAsia="Arial" w:hAnsi="Arial"/>
          <w:sz w:val="22"/>
          <w:szCs w:val="22"/>
        </w:rPr>
        <w:t xml:space="preserve">The dataset was partitioned into training, validation, and test subsets following a standard 70/20/10 split ratio. Model performance metrics reported in this document are evaluated on the held-out test split to ensure unbiased assessment of generalization capability.</w:t>
      </w:r>
    </w:p>
    <w:p>
      <w:r>
        <w:br w:type="page"/>
      </w:r>
    </w:p>
    <w:p>
      <w:pPr>
        <w:pStyle w:val="Heading1"/>
        <w:pBdr>
          <w:bottom w:val="single" w:color="2E75B6" w:sz="6" w:space="1"/>
        </w:pBdr>
        <w:spacing w:before="360" w:after="120"/>
      </w:pPr>
      <w:r>
        <w:rPr>
          <w:rFonts w:ascii="Arial" w:cs="Arial" w:eastAsia="Arial" w:hAnsi="Arial"/>
          <w:b/>
          <w:bCs/>
          <w:color w:val="1F4E79"/>
          <w:sz w:val="28"/>
          <w:szCs w:val="28"/>
        </w:rPr>
        <w:t xml:space="preserve">3. Methodology</w:t>
      </w:r>
    </w:p>
    <w:p>
      <w:pPr>
        <w:pStyle w:val="Heading2"/>
        <w:spacing w:before="240" w:after="80"/>
      </w:pPr>
      <w:r>
        <w:rPr>
          <w:rFonts w:ascii="Arial" w:cs="Arial" w:eastAsia="Arial" w:hAnsi="Arial"/>
          <w:b/>
          <w:bCs/>
          <w:color w:val="2E75B6"/>
          <w:sz w:val="24"/>
          <w:szCs w:val="24"/>
        </w:rPr>
        <w:t xml:space="preserve">3.1 Model Selection: YOLO Nano 26</w:t>
      </w:r>
    </w:p>
    <w:p>
      <w:pPr>
        <w:spacing w:before="80" w:after="80" w:line="276"/>
        <w:jc w:val="both"/>
      </w:pPr>
      <w:r>
        <w:rPr>
          <w:rFonts w:ascii="Arial" w:cs="Arial" w:eastAsia="Arial" w:hAnsi="Arial"/>
          <w:sz w:val="22"/>
          <w:szCs w:val="22"/>
        </w:rPr>
        <w:t xml:space="preserve">The YOLO (You Only Look Once) family of object detection architectures was selected for its well-established balance of speed and accuracy. Within this family, the YOLO Nano 26 variant was chosen due to its substantially reduced parameter count and computational footprint relative to standard YOLO configurations — a critical requirement for CPU-only inference on ARM hardware. YOLO Nano 26 retains the single-stage detection paradigm, enabling end-to-end inference within a single forward pass, which minimizes latency and avoids the computational overhead of region proposal networks.</w:t>
      </w:r>
    </w:p>
    <w:p>
      <w:pPr>
        <w:pStyle w:val="Heading2"/>
        <w:spacing w:before="240" w:after="80"/>
      </w:pPr>
      <w:r>
        <w:rPr>
          <w:rFonts w:ascii="Arial" w:cs="Arial" w:eastAsia="Arial" w:hAnsi="Arial"/>
          <w:b/>
          <w:bCs/>
          <w:color w:val="2E75B6"/>
          <w:sz w:val="24"/>
          <w:szCs w:val="24"/>
        </w:rPr>
        <w:t xml:space="preserve">3.2 Training Strategy and Stability</w:t>
      </w:r>
    </w:p>
    <w:p>
      <w:pPr>
        <w:spacing w:before="80" w:after="80" w:line="276"/>
        <w:jc w:val="both"/>
      </w:pPr>
      <w:r>
        <w:rPr>
          <w:rFonts w:ascii="Arial" w:cs="Arial" w:eastAsia="Arial" w:hAnsi="Arial"/>
          <w:sz w:val="22"/>
          <w:szCs w:val="22"/>
        </w:rPr>
        <w:t xml:space="preserve">Training a compact model for stable, long-duration deployment on mobile hardware introduced a notable engineering headache: the competing demands of comprehensive training and intensive post-training optimization are fundamentally at odds with hackathon time constraints. Thorough training — longer epoch counts, learning rate scheduling, and validation-based early stopping — is necessary to achieve meaningful mAP scores, yet each training run consumes hours of compute time that could otherwise be directed toward optimization experiments.</w:t>
      </w:r>
    </w:p>
    <w:p>
      <w:pPr>
        <w:spacing w:before="80" w:after="80"/>
      </w:pPr>
      <w:r>
        <w:t xml:space="preserve"/>
      </w:r>
    </w:p>
    <w:p>
      <w:pPr>
        <w:spacing w:before="80" w:after="80" w:line="276"/>
        <w:jc w:val="both"/>
      </w:pPr>
      <w:r>
        <w:rPr>
          <w:rFonts w:ascii="Arial" w:cs="Arial" w:eastAsia="Arial" w:hAnsi="Arial"/>
          <w:sz w:val="22"/>
          <w:szCs w:val="22"/>
        </w:rPr>
        <w:t xml:space="preserve">The team resolved this tension by adopting a structured iterative approach: an initial shorter training run was used to establish a baseline accuracy floor and validate the data pipeline, after which a full training run targeting convergence was executed concurrently with optimization research. This parallel workstream allowed the team to evaluate quantization configurations against progressively improving base models, rather than waiting sequentially for each stage to complete.</w:t>
      </w:r>
    </w:p>
    <w:p>
      <w:pPr>
        <w:pStyle w:val="Heading2"/>
        <w:spacing w:before="240" w:after="80"/>
      </w:pPr>
      <w:r>
        <w:rPr>
          <w:rFonts w:ascii="Arial" w:cs="Arial" w:eastAsia="Arial" w:hAnsi="Arial"/>
          <w:b/>
          <w:bCs/>
          <w:color w:val="2E75B6"/>
          <w:sz w:val="24"/>
          <w:szCs w:val="24"/>
        </w:rPr>
        <w:t xml:space="preserve">3.3 Full INT8 Post-Training Quantization</w:t>
      </w:r>
    </w:p>
    <w:p>
      <w:pPr>
        <w:spacing w:before="80" w:after="80" w:line="276"/>
        <w:jc w:val="both"/>
      </w:pPr>
      <w:r>
        <w:rPr>
          <w:rFonts w:ascii="Arial" w:cs="Arial" w:eastAsia="Arial" w:hAnsi="Arial"/>
          <w:sz w:val="22"/>
          <w:szCs w:val="22"/>
        </w:rPr>
        <w:t xml:space="preserve">The primary optimization technique applied was Full INT8 Post-Training Quantization (PTQ). In standard floating-point inference, weights and activations are represented as 32-bit floats. INT8 quantization maps these to 8-bit integer representations, reducing model size by approximately 75% and enabling the use of integer arithmetic units that are significantly faster on ARM CPUs than their floating-point counterparts.</w:t>
      </w:r>
    </w:p>
    <w:p>
      <w:pPr>
        <w:spacing w:before="80" w:after="80"/>
      </w:pPr>
      <w:r>
        <w:t xml:space="preserve"/>
      </w:r>
    </w:p>
    <w:p>
      <w:pPr>
        <w:spacing w:before="80" w:after="80" w:line="276"/>
        <w:jc w:val="both"/>
      </w:pPr>
      <w:r>
        <w:rPr>
          <w:rFonts w:ascii="Arial" w:cs="Arial" w:eastAsia="Arial" w:hAnsi="Arial"/>
          <w:sz w:val="22"/>
          <w:szCs w:val="22"/>
        </w:rPr>
        <w:t xml:space="preserve">The quantization process required a representative calibration dataset — a subset of the road anomaly training images — to accurately compute the dynamic range statistics necessary for calibrating the quantization scale factors for each tensor. Insufficient or non-representative calibration data is a common source of post-quantization accuracy degradation, so care was taken to select a diverse calibration subset spanning all anomaly classes and lighting conditions present in the training data.</w:t>
      </w:r>
    </w:p>
    <w:p>
      <w:pPr>
        <w:pStyle w:val="Heading2"/>
        <w:spacing w:before="240" w:after="80"/>
      </w:pPr>
      <w:r>
        <w:rPr>
          <w:rFonts w:ascii="Arial" w:cs="Arial" w:eastAsia="Arial" w:hAnsi="Arial"/>
          <w:b/>
          <w:bCs/>
          <w:color w:val="2E75B6"/>
          <w:sz w:val="24"/>
          <w:szCs w:val="24"/>
        </w:rPr>
        <w:t xml:space="preserve">3.4 Accuracy vs. Speed Trade-off Analysis</w:t>
      </w:r>
    </w:p>
    <w:p>
      <w:pPr>
        <w:spacing w:before="80" w:after="80" w:line="276"/>
        <w:jc w:val="both"/>
      </w:pPr>
      <w:r>
        <w:rPr>
          <w:rFonts w:ascii="Arial" w:cs="Arial" w:eastAsia="Arial" w:hAnsi="Arial"/>
          <w:sz w:val="22"/>
          <w:szCs w:val="22"/>
        </w:rPr>
        <w:t xml:space="preserve">Full INT8 quantization inevitably introduces a degree of approximation error relative to the floating-point baseline. The team conducted a systematic trade-off analysis, evaluating the impact of quantization on mAP50 and precision at multiple input resolutions. The key findings were:</w:t>
      </w:r>
    </w:p>
    <w:p>
      <w:pPr>
        <w:pStyle w:val="ListParagraph"/>
        <w:numPr>
          <w:ilvl w:val="0"/>
          <w:numId w:val="2"/>
        </w:numPr>
        <w:spacing w:before="60" w:after="60"/>
      </w:pPr>
      <w:r>
        <w:rPr>
          <w:rFonts w:ascii="Arial" w:cs="Arial" w:eastAsia="Arial" w:hAnsi="Arial"/>
          <w:sz w:val="22"/>
          <w:szCs w:val="22"/>
        </w:rPr>
        <w:t xml:space="preserve">Reducing input resolution from 480p to 320x320 yielded the largest single FPS gain but introduced a modest mAP reduction due to the loss of fine spatial detail for small anomalies.</w:t>
      </w:r>
    </w:p>
    <w:p>
      <w:pPr>
        <w:pStyle w:val="ListParagraph"/>
        <w:numPr>
          <w:ilvl w:val="0"/>
          <w:numId w:val="2"/>
        </w:numPr>
        <w:spacing w:before="60" w:after="60"/>
      </w:pPr>
      <w:r>
        <w:rPr>
          <w:rFonts w:ascii="Arial" w:cs="Arial" w:eastAsia="Arial" w:hAnsi="Arial"/>
          <w:sz w:val="22"/>
          <w:szCs w:val="22"/>
        </w:rPr>
        <w:t xml:space="preserve">INT8 quantization at 320x320 produced an additional speed gain with an acceptably small accuracy penalty relative to FP32 at the same resolution.</w:t>
      </w:r>
    </w:p>
    <w:p>
      <w:pPr>
        <w:pStyle w:val="ListParagraph"/>
        <w:numPr>
          <w:ilvl w:val="0"/>
          <w:numId w:val="2"/>
        </w:numPr>
        <w:spacing w:before="60" w:after="60"/>
      </w:pPr>
      <w:r>
        <w:rPr>
          <w:rFonts w:ascii="Arial" w:cs="Arial" w:eastAsia="Arial" w:hAnsi="Arial"/>
          <w:sz w:val="22"/>
          <w:szCs w:val="22"/>
        </w:rPr>
        <w:t xml:space="preserve">Precision (0.786) was prioritized over recall in the final model configuration, as false positive detections in a moving vehicle context create driver distraction and erode trust in the system.</w:t>
      </w:r>
    </w:p>
    <w:p>
      <w:pPr>
        <w:spacing w:before="80" w:after="80"/>
      </w:pPr>
      <w:r>
        <w:t xml:space="preserve"/>
      </w:r>
    </w:p>
    <w:p>
      <w:pPr>
        <w:spacing w:before="80" w:after="80" w:line="276"/>
        <w:jc w:val="both"/>
      </w:pPr>
      <w:r>
        <w:rPr>
          <w:rFonts w:ascii="Arial" w:cs="Arial" w:eastAsia="Arial" w:hAnsi="Arial"/>
          <w:sz w:val="22"/>
          <w:szCs w:val="22"/>
        </w:rPr>
        <w:t xml:space="preserve">The final operating point — 5.9 FPS, 76.1% mAP50, 0.786 precision — was selected as the optimal balance point across the accuracy-speed-precision design space for this deployment scenario.</w:t>
      </w:r>
    </w:p>
    <w:p>
      <w:pPr>
        <w:pStyle w:val="Heading2"/>
        <w:spacing w:before="240" w:after="80"/>
      </w:pPr>
      <w:r>
        <w:rPr>
          <w:rFonts w:ascii="Arial" w:cs="Arial" w:eastAsia="Arial" w:hAnsi="Arial"/>
          <w:b/>
          <w:bCs/>
          <w:color w:val="2E75B6"/>
          <w:sz w:val="24"/>
          <w:szCs w:val="24"/>
        </w:rPr>
        <w:t xml:space="preserve">3.5 Color Space Optimization</w:t>
      </w:r>
    </w:p>
    <w:p>
      <w:pPr>
        <w:spacing w:before="80" w:after="80" w:line="276"/>
        <w:jc w:val="both"/>
      </w:pPr>
      <w:r>
        <w:rPr>
          <w:rFonts w:ascii="Arial" w:cs="Arial" w:eastAsia="Arial" w:hAnsi="Arial"/>
          <w:sz w:val="22"/>
          <w:szCs w:val="22"/>
        </w:rPr>
        <w:t xml:space="preserve">A critical, non-obvious preprocessing requirement was identified during integration testing: OpenCV, the standard computer vision library used to capture and decode video frames, represents images in BGR (Blue-Green-Red) channel order by default, whereas the YOLO model was trained on standard RGB images. When BGR frames were passed directly to the inference engine without conversion, a systematic drop in detection confidence was observed across all anomaly classes. The feature maps learned during training are channel-order-sensitive, and the channel mismatch effectively corrupts the color features that the model relies upon.</w:t>
      </w:r>
    </w:p>
    <w:p>
      <w:pPr>
        <w:spacing w:before="80" w:after="80"/>
      </w:pPr>
      <w:r>
        <w:t xml:space="preserve"/>
      </w:r>
    </w:p>
    <w:p>
      <w:pPr>
        <w:spacing w:before="80" w:after="80" w:line="276"/>
        <w:jc w:val="both"/>
      </w:pPr>
      <w:r>
        <w:rPr>
          <w:rFonts w:ascii="Arial" w:cs="Arial" w:eastAsia="Arial" w:hAnsi="Arial"/>
          <w:sz w:val="22"/>
          <w:szCs w:val="22"/>
        </w:rPr>
        <w:t xml:space="preserve">Resolving this required inserting an explicit </w:t>
      </w:r>
      <w:r>
        <w:rPr>
          <w:rFonts w:ascii="Courier New" w:cs="Courier New" w:eastAsia="Courier New" w:hAnsi="Courier New"/>
          <w:b/>
          <w:bCs/>
          <w:sz w:val="22"/>
          <w:szCs w:val="22"/>
        </w:rPr>
        <w:t xml:space="preserve">cv2.cvtColor(frame, cv2.COLOR_BGR2RGB)</w:t>
      </w:r>
      <w:r>
        <w:rPr>
          <w:rFonts w:ascii="Arial" w:cs="Arial" w:eastAsia="Arial" w:hAnsi="Arial"/>
          <w:sz w:val="22"/>
          <w:szCs w:val="22"/>
        </w:rPr>
        <w:t xml:space="preserve"> conversion step in the preprocessing pipeline prior to every inference call. After this correction, detection confidence scores recovered to levels consistent with validation performance. This finding underscores the importance of end-to-end preprocessing parity between the training and inference pipelines — a subtlety that is easy to overlook when integrating models trained in one framework with inference code written in another.</w:t>
      </w:r>
    </w:p>
    <w:p>
      <w:r>
        <w:br w:type="page"/>
      </w:r>
    </w:p>
    <w:p>
      <w:pPr>
        <w:pStyle w:val="Heading1"/>
        <w:pBdr>
          <w:bottom w:val="single" w:color="2E75B6" w:sz="6" w:space="1"/>
        </w:pBdr>
        <w:spacing w:before="360" w:after="120"/>
      </w:pPr>
      <w:r>
        <w:rPr>
          <w:rFonts w:ascii="Arial" w:cs="Arial" w:eastAsia="Arial" w:hAnsi="Arial"/>
          <w:b/>
          <w:bCs/>
          <w:color w:val="1F4E79"/>
          <w:sz w:val="28"/>
          <w:szCs w:val="28"/>
        </w:rPr>
        <w:t xml:space="preserve">4. System Architecture &amp; Implementation</w:t>
      </w:r>
    </w:p>
    <w:p>
      <w:pPr>
        <w:pStyle w:val="Heading2"/>
        <w:spacing w:before="240" w:after="80"/>
      </w:pPr>
      <w:r>
        <w:rPr>
          <w:rFonts w:ascii="Arial" w:cs="Arial" w:eastAsia="Arial" w:hAnsi="Arial"/>
          <w:b/>
          <w:bCs/>
          <w:color w:val="2E75B6"/>
          <w:sz w:val="24"/>
          <w:szCs w:val="24"/>
        </w:rPr>
        <w:t xml:space="preserve">4.1 Hardware Platform</w:t>
      </w:r>
    </w:p>
    <w:p>
      <w:pPr>
        <w:spacing w:before="80" w:after="80" w:line="276"/>
        <w:jc w:val="both"/>
      </w:pPr>
      <w:r>
        <w:rPr>
          <w:rFonts w:ascii="Arial" w:cs="Arial" w:eastAsia="Arial" w:hAnsi="Arial"/>
          <w:sz w:val="22"/>
          <w:szCs w:val="22"/>
        </w:rPr>
        <w:t xml:space="preserve">The system targets the Raspberry Pi platform running a 64-bit ARM-based CPU. No external hardware accelerators — such as Google Coral Edge TPU, Intel Neural Compute Stick, or NVIDIA Jetson modules — are used. All inference is performed on the CPU cores using the tflite-runtime library. This constraint was deliberately chosen to maximize cost-accessibility and demonstrate that a commercially viable system does not require specialized silicon.</w:t>
      </w:r>
    </w:p>
    <w:p>
      <w:pPr>
        <w:pStyle w:val="Heading2"/>
        <w:spacing w:before="240" w:after="80"/>
      </w:pPr>
      <w:r>
        <w:rPr>
          <w:rFonts w:ascii="Arial" w:cs="Arial" w:eastAsia="Arial" w:hAnsi="Arial"/>
          <w:b/>
          <w:bCs/>
          <w:color w:val="2E75B6"/>
          <w:sz w:val="24"/>
          <w:szCs w:val="24"/>
        </w:rPr>
        <w:t xml:space="preserve">4.2 Inference Engine: tflite-runtime</w:t>
      </w:r>
    </w:p>
    <w:p>
      <w:pPr>
        <w:spacing w:before="80" w:after="80" w:line="276"/>
        <w:jc w:val="both"/>
      </w:pPr>
      <w:r>
        <w:rPr>
          <w:rFonts w:ascii="Arial" w:cs="Arial" w:eastAsia="Arial" w:hAnsi="Arial"/>
          <w:sz w:val="22"/>
          <w:szCs w:val="22"/>
        </w:rPr>
        <w:t xml:space="preserve">TensorFlow Lite (tflite-runtime) was selected as the inference engine for its first-class support of ARM architectures, its lightweight deployment footprint, and its native support for INT8 quantized models. The inference pipeline was configured with the following optimizations:</w:t>
      </w:r>
    </w:p>
    <w:p>
      <w:pPr>
        <w:pStyle w:val="ListParagraph"/>
        <w:numPr>
          <w:ilvl w:val="0"/>
          <w:numId w:val="2"/>
        </w:numPr>
        <w:spacing w:before="60" w:after="60"/>
      </w:pPr>
      <w:r>
        <w:rPr>
          <w:rFonts w:ascii="Arial" w:cs="Arial" w:eastAsia="Arial" w:hAnsi="Arial"/>
          <w:sz w:val="22"/>
          <w:szCs w:val="22"/>
        </w:rPr>
        <w:t xml:space="preserve">4-Core Multi-Threading: The TFLite interpreter was initialized with num_threads=4, distributing convolution and matrix multiplication workloads across all available CPU cores. This produced near-linear scaling in throughput relative to single-threaded execution for this model size.</w:t>
      </w:r>
    </w:p>
    <w:p>
      <w:pPr>
        <w:pStyle w:val="ListParagraph"/>
        <w:numPr>
          <w:ilvl w:val="0"/>
          <w:numId w:val="2"/>
        </w:numPr>
        <w:spacing w:before="60" w:after="60"/>
      </w:pPr>
      <w:r>
        <w:rPr>
          <w:rFonts w:ascii="Arial" w:cs="Arial" w:eastAsia="Arial" w:hAnsi="Arial"/>
          <w:sz w:val="22"/>
          <w:szCs w:val="22"/>
        </w:rPr>
        <w:t xml:space="preserve">XNNPACK Delegate: The XNNPACK backend — a high-performance library developed by Google for accelerated neural network inference on ARM and x86 CPUs — was enabled as the primary delegate. XNNPACK provides highly optimized implementations of convolution, depthwise convolution, and fully connected layers using SIMD (Single Instruction, Multiple Data) instruction sets.</w:t>
      </w:r>
    </w:p>
    <w:p>
      <w:pPr>
        <w:pStyle w:val="ListParagraph"/>
        <w:numPr>
          <w:ilvl w:val="0"/>
          <w:numId w:val="2"/>
        </w:numPr>
        <w:spacing w:before="60" w:after="60"/>
      </w:pPr>
      <w:r>
        <w:rPr>
          <w:rFonts w:ascii="Arial" w:cs="Arial" w:eastAsia="Arial" w:hAnsi="Arial"/>
          <w:sz w:val="22"/>
          <w:szCs w:val="22"/>
        </w:rPr>
        <w:t xml:space="preserve">KleidiAI Kernels: On compatible ARM cores, KleidiAI micro-kernels were utilized to further accelerate INT8 operations, leveraging ARM-specific instruction set extensions for integer arithmetic.</w:t>
      </w:r>
    </w:p>
    <w:p>
      <w:pPr>
        <w:pStyle w:val="Heading2"/>
        <w:spacing w:before="240" w:after="80"/>
      </w:pPr>
      <w:r>
        <w:rPr>
          <w:rFonts w:ascii="Arial" w:cs="Arial" w:eastAsia="Arial" w:hAnsi="Arial"/>
          <w:b/>
          <w:bCs/>
          <w:color w:val="2E75B6"/>
          <w:sz w:val="24"/>
          <w:szCs w:val="24"/>
        </w:rPr>
        <w:t xml:space="preserve">4.3 Inference Pipeline</w:t>
      </w:r>
    </w:p>
    <w:p>
      <w:pPr>
        <w:spacing w:before="80" w:after="80" w:line="276"/>
        <w:jc w:val="both"/>
      </w:pPr>
      <w:r>
        <w:rPr>
          <w:rFonts w:ascii="Arial" w:cs="Arial" w:eastAsia="Arial" w:hAnsi="Arial"/>
          <w:sz w:val="22"/>
          <w:szCs w:val="22"/>
        </w:rPr>
        <w:t xml:space="preserve">The end-to-end inference pipeline executes the following stages for each video frame:</w:t>
      </w:r>
    </w:p>
    <w:p>
      <w:pPr>
        <w:pStyle w:val="ListParagraph"/>
        <w:numPr>
          <w:ilvl w:val="0"/>
          <w:numId w:val="2"/>
        </w:numPr>
        <w:spacing w:before="60" w:after="60"/>
      </w:pPr>
      <w:r>
        <w:rPr>
          <w:rFonts w:ascii="Arial" w:cs="Arial" w:eastAsia="Arial" w:hAnsi="Arial"/>
          <w:sz w:val="22"/>
          <w:szCs w:val="22"/>
        </w:rPr>
        <w:t xml:space="preserve">Frame Capture: Frames are captured from the video source (dashcam feed or test video file) using OpenCV VideoCapture.</w:t>
      </w:r>
    </w:p>
    <w:p>
      <w:pPr>
        <w:pStyle w:val="ListParagraph"/>
        <w:numPr>
          <w:ilvl w:val="0"/>
          <w:numId w:val="2"/>
        </w:numPr>
        <w:spacing w:before="60" w:after="60"/>
      </w:pPr>
      <w:r>
        <w:rPr>
          <w:rFonts w:ascii="Arial" w:cs="Arial" w:eastAsia="Arial" w:hAnsi="Arial"/>
          <w:sz w:val="22"/>
          <w:szCs w:val="22"/>
        </w:rPr>
        <w:t xml:space="preserve">Resize: Each frame is resized to 320x320 pixels using bilinear interpolation.</w:t>
      </w:r>
    </w:p>
    <w:p>
      <w:pPr>
        <w:pStyle w:val="ListParagraph"/>
        <w:numPr>
          <w:ilvl w:val="0"/>
          <w:numId w:val="2"/>
        </w:numPr>
        <w:spacing w:before="60" w:after="60"/>
      </w:pPr>
      <w:r>
        <w:rPr>
          <w:rFonts w:ascii="Arial" w:cs="Arial" w:eastAsia="Arial" w:hAnsi="Arial"/>
          <w:sz w:val="22"/>
          <w:szCs w:val="22"/>
        </w:rPr>
        <w:t xml:space="preserve">Color Conversion: BGR to RGB channel conversion is applied (see Section 3.5).</w:t>
      </w:r>
    </w:p>
    <w:p>
      <w:pPr>
        <w:pStyle w:val="ListParagraph"/>
        <w:numPr>
          <w:ilvl w:val="0"/>
          <w:numId w:val="2"/>
        </w:numPr>
        <w:spacing w:before="60" w:after="60"/>
      </w:pPr>
      <w:r>
        <w:rPr>
          <w:rFonts w:ascii="Arial" w:cs="Arial" w:eastAsia="Arial" w:hAnsi="Arial"/>
          <w:sz w:val="22"/>
          <w:szCs w:val="22"/>
        </w:rPr>
        <w:t xml:space="preserve">Normalization: Pixel values are normalized to the [0, 1] floating-point range and then quantized to INT8 format consistent with the model's input tensor specification.</w:t>
      </w:r>
    </w:p>
    <w:p>
      <w:pPr>
        <w:pStyle w:val="ListParagraph"/>
        <w:numPr>
          <w:ilvl w:val="0"/>
          <w:numId w:val="2"/>
        </w:numPr>
        <w:spacing w:before="60" w:after="60"/>
      </w:pPr>
      <w:r>
        <w:rPr>
          <w:rFonts w:ascii="Arial" w:cs="Arial" w:eastAsia="Arial" w:hAnsi="Arial"/>
          <w:sz w:val="22"/>
          <w:szCs w:val="22"/>
        </w:rPr>
        <w:t xml:space="preserve">Inference: The preprocessed tensor is passed to the TFLite interpreter. The model performs a single forward pass, producing bounding box predictions and class confidence scores.</w:t>
      </w:r>
    </w:p>
    <w:p>
      <w:pPr>
        <w:pStyle w:val="ListParagraph"/>
        <w:numPr>
          <w:ilvl w:val="0"/>
          <w:numId w:val="2"/>
        </w:numPr>
        <w:spacing w:before="60" w:after="60"/>
      </w:pPr>
      <w:r>
        <w:rPr>
          <w:rFonts w:ascii="Arial" w:cs="Arial" w:eastAsia="Arial" w:hAnsi="Arial"/>
          <w:sz w:val="22"/>
          <w:szCs w:val="22"/>
        </w:rPr>
        <w:t xml:space="preserve">Post-Processing: Non-Maximum Suppression (NMS) is applied to filter overlapping detections, retaining only the highest-confidence bounding box per detected anomaly instance.</w:t>
      </w:r>
    </w:p>
    <w:p>
      <w:pPr>
        <w:pStyle w:val="ListParagraph"/>
        <w:numPr>
          <w:ilvl w:val="0"/>
          <w:numId w:val="2"/>
        </w:numPr>
        <w:spacing w:before="60" w:after="60"/>
      </w:pPr>
      <w:r>
        <w:rPr>
          <w:rFonts w:ascii="Arial" w:cs="Arial" w:eastAsia="Arial" w:hAnsi="Arial"/>
          <w:sz w:val="22"/>
          <w:szCs w:val="22"/>
        </w:rPr>
        <w:t xml:space="preserve">Visualization: Detected anomalies are annotated on the output frame with bounding boxes, class labels, and confidence scores for driver-facing display.</w:t>
      </w:r>
    </w:p>
    <w:p>
      <w:pPr>
        <w:pStyle w:val="Heading2"/>
        <w:spacing w:before="240" w:after="80"/>
      </w:pPr>
      <w:r>
        <w:rPr>
          <w:rFonts w:ascii="Arial" w:cs="Arial" w:eastAsia="Arial" w:hAnsi="Arial"/>
          <w:b/>
          <w:bCs/>
          <w:color w:val="2E75B6"/>
          <w:sz w:val="24"/>
          <w:szCs w:val="24"/>
        </w:rPr>
        <w:t xml:space="preserve">4.4 Software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auto" w:w="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auto" w:w="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Library / Tool</w:t>
            </w:r>
          </w:p>
        </w:tc>
        <w:tc>
          <w:tcPr>
            <w:tcW w:type="auto" w:w="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 / Notes</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Inference Engine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tflite-runtime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ARM64 optimized build</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Model Format</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TFLite FlatBuffer (.tflite)</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INT8 quantized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Frame Capture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OpenCV</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cv2.VideoCapture</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Acceleration Backend</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XNNPACK / KleidiAI</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ARM SIMD kernels</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Threading</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TFLite num_threads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 cores</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Training Framework</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Ultralytics YOLO</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PyTorch backend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Dataset Management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Roboflow</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Public road anomaly dataset</w:t>
            </w:r>
          </w:p>
        </w:tc>
      </w:tr>
    </w:tbl>
    <w:p>
      <w:r>
        <w:br w:type="page"/>
      </w:r>
    </w:p>
    <w:p>
      <w:pPr>
        <w:pStyle w:val="Heading1"/>
        <w:pBdr>
          <w:bottom w:val="single" w:color="2E75B6" w:sz="6" w:space="1"/>
        </w:pBdr>
        <w:spacing w:before="360" w:after="120"/>
      </w:pPr>
      <w:r>
        <w:rPr>
          <w:rFonts w:ascii="Arial" w:cs="Arial" w:eastAsia="Arial" w:hAnsi="Arial"/>
          <w:b/>
          <w:bCs/>
          <w:color w:val="1F4E79"/>
          <w:sz w:val="28"/>
          <w:szCs w:val="28"/>
        </w:rPr>
        <w:t xml:space="preserve">5. Performance Evaluation</w:t>
      </w:r>
    </w:p>
    <w:p>
      <w:pPr>
        <w:pStyle w:val="Heading2"/>
        <w:spacing w:before="240" w:after="80"/>
      </w:pPr>
      <w:r>
        <w:rPr>
          <w:rFonts w:ascii="Arial" w:cs="Arial" w:eastAsia="Arial" w:hAnsi="Arial"/>
          <w:b/>
          <w:bCs/>
          <w:color w:val="2E75B6"/>
          <w:sz w:val="24"/>
          <w:szCs w:val="24"/>
        </w:rPr>
        <w:t xml:space="preserve">5.1 Benchmarking Methodology</w:t>
      </w:r>
    </w:p>
    <w:p>
      <w:pPr>
        <w:spacing w:before="80" w:after="80" w:line="276"/>
        <w:jc w:val="both"/>
      </w:pPr>
      <w:r>
        <w:rPr>
          <w:rFonts w:ascii="Arial" w:cs="Arial" w:eastAsia="Arial" w:hAnsi="Arial"/>
          <w:sz w:val="22"/>
          <w:szCs w:val="22"/>
        </w:rPr>
        <w:t xml:space="preserve">Performance benchmarking was conducted on the target Raspberry Pi hardware under representative operating conditions. FPS measurements were taken as the mean sustained throughput over a continuous inference run of 300 frames to account for thermal throttling effects and initial warm-up variance. Accuracy metrics (mAP50 and Precision) were computed on the held-out test split using standard COCO-style evaluation methodology.</w:t>
      </w:r>
    </w:p>
    <w:p>
      <w:pPr>
        <w:pStyle w:val="Heading2"/>
        <w:spacing w:before="240" w:after="80"/>
      </w:pPr>
      <w:r>
        <w:rPr>
          <w:rFonts w:ascii="Arial" w:cs="Arial" w:eastAsia="Arial" w:hAnsi="Arial"/>
          <w:b/>
          <w:bCs/>
          <w:color w:val="2E75B6"/>
          <w:sz w:val="24"/>
          <w:szCs w:val="24"/>
        </w:rPr>
        <w:t xml:space="preserve">5.2 Comparative Results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400"/>
        <w:gridCol w:w="1420"/>
        <w:gridCol w:w="1420"/>
        <w:gridCol w:w="1220"/>
      </w:tblGrid>
      <w:tr>
        <w:tc>
          <w:tcPr>
            <w:tcW w:type="auto" w:w="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Configuration</w:t>
            </w:r>
          </w:p>
        </w:tc>
        <w:tc>
          <w:tcPr>
            <w:tcW w:type="auto" w:w="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Resolution</w:t>
            </w:r>
          </w:p>
        </w:tc>
        <w:tc>
          <w:tcPr>
            <w:tcW w:type="auto" w:w="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FPS</w:t>
            </w:r>
          </w:p>
        </w:tc>
        <w:tc>
          <w:tcPr>
            <w:tcW w:type="auto" w:w="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mAP50 (%)</w:t>
            </w:r>
          </w:p>
        </w:tc>
        <w:tc>
          <w:tcPr>
            <w:tcW w:type="auto" w:w="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w:t>
            </w:r>
          </w:p>
        </w:tc>
        <w:tc>
          <w:tcPr>
            <w:tcW w:type="auto" w:w="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Meets Target</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Baseline (FP32, no opt.)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480p</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2.8</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FP32, reduced resolution</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320x320</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~4.1</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~78.5</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~0.800</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INT8, single-threaded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320x320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~5.8</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~76.5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~0.782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INT8, 4-thread, XNNPACK/KleidiAI</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320x320</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sz w:val="20"/>
                <w:szCs w:val="20"/>
              </w:rPr>
              <w:t xml:space="preserve">5.9</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sz w:val="20"/>
                <w:szCs w:val="20"/>
              </w:rPr>
              <w:t xml:space="preserve">76.1</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sz w:val="20"/>
                <w:szCs w:val="20"/>
              </w:rPr>
              <w:t xml:space="preserve">0.786</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sz w:val="20"/>
                <w:szCs w:val="20"/>
              </w:rPr>
              <w:t xml:space="preserve">✓✓</w:t>
            </w:r>
          </w:p>
        </w:tc>
      </w:tr>
    </w:tbl>
    <w:p>
      <w:pPr>
        <w:spacing w:before="80" w:after="80"/>
      </w:pPr>
      <w:r>
        <w:t xml:space="preserve"/>
      </w:r>
    </w:p>
    <w:p>
      <w:pPr>
        <w:spacing w:before="60" w:after="80"/>
      </w:pPr>
      <w:r>
        <w:rPr>
          <w:rFonts w:ascii="Arial" w:cs="Arial" w:eastAsia="Arial" w:hAnsi="Arial"/>
          <w:i/>
          <w:iCs/>
          <w:color w:val="555555"/>
          <w:sz w:val="18"/>
          <w:szCs w:val="18"/>
        </w:rPr>
        <w:t xml:space="preserve">Table 1: Comparative performance results across optimization configurations. Bold row indicates the final deployed configuration.</w:t>
      </w:r>
    </w:p>
    <w:p>
      <w:pPr>
        <w:pStyle w:val="Heading2"/>
        <w:spacing w:before="240" w:after="80"/>
      </w:pPr>
      <w:r>
        <w:rPr>
          <w:rFonts w:ascii="Arial" w:cs="Arial" w:eastAsia="Arial" w:hAnsi="Arial"/>
          <w:b/>
          <w:bCs/>
          <w:color w:val="2E75B6"/>
          <w:sz w:val="24"/>
          <w:szCs w:val="24"/>
        </w:rPr>
        <w:t xml:space="preserve">5.3 Analysis</w:t>
      </w:r>
    </w:p>
    <w:p>
      <w:pPr>
        <w:spacing w:before="80" w:after="80" w:line="276"/>
        <w:jc w:val="both"/>
      </w:pPr>
      <w:r>
        <w:rPr>
          <w:rFonts w:ascii="Arial" w:cs="Arial" w:eastAsia="Arial" w:hAnsi="Arial"/>
          <w:sz w:val="22"/>
          <w:szCs w:val="22"/>
        </w:rPr>
        <w:t xml:space="preserve">The results demonstrate a clear performance progression across the optimization stages. The transition from FP32 at 480p (2.8 FPS) to INT8 at 320x320 with full multi-threading and XNNPACK/KleidiAI acceleration (5.9 FPS) represents a 2.1x throughput improvement. The accuracy trade-off is modest: mAP50 decreased by approximately 2.4 percentage points relative to the estimated FP32 320x320 baseline, while precision actually improved marginally in the final configuration.</w:t>
      </w:r>
    </w:p>
    <w:p>
      <w:pPr>
        <w:spacing w:before="80" w:after="80"/>
      </w:pPr>
      <w:r>
        <w:t xml:space="preserve"/>
      </w:r>
    </w:p>
    <w:p>
      <w:pPr>
        <w:spacing w:before="80" w:after="80" w:line="276"/>
        <w:jc w:val="both"/>
      </w:pPr>
      <w:r>
        <w:rPr>
          <w:rFonts w:ascii="Arial" w:cs="Arial" w:eastAsia="Arial" w:hAnsi="Arial"/>
          <w:sz w:val="22"/>
          <w:szCs w:val="22"/>
        </w:rPr>
        <w:t xml:space="preserve">The 5.9 FPS sustained throughput comfortably exceeds the 5 FPS minimum target, providing an 18% margin above the threshold. This headroom is significant for production deployment, as real-world scenarios — including thermal throttling under prolonged operation, concurrent OS processes, and video decode overhead — may reduce throughput from peak benchmarked values.</w:t>
      </w:r>
    </w:p>
    <w:p>
      <w:pPr>
        <w:spacing w:before="80" w:after="80"/>
      </w:pPr>
      <w:r>
        <w:t xml:space="preserve"/>
      </w:r>
    </w:p>
    <w:p>
      <w:pPr>
        <w:spacing w:before="80" w:after="80" w:line="276"/>
        <w:jc w:val="both"/>
      </w:pPr>
      <w:r>
        <w:rPr>
          <w:rFonts w:ascii="Arial" w:cs="Arial" w:eastAsia="Arial" w:hAnsi="Arial"/>
          <w:sz w:val="22"/>
          <w:szCs w:val="22"/>
        </w:rPr>
        <w:t xml:space="preserve">The precision value of 0.786 indicates that approximately 78.6% of all detections made by the system correspond to genuine road anomalies. In the context of a moving vehicle, where false positive detections could cause unnecessary driver alerts or autonomous braking responses, this level of precision was deemed appropriate given the mAP50 constraints. Precision was explicitly prioritized over recall in the final model selection, accepting that some anomalies may go undetected in exchange for a higher confidence threshold on reported detections.</w:t>
      </w:r>
    </w:p>
    <w:p>
      <w:r>
        <w:br w:type="page"/>
      </w:r>
    </w:p>
    <w:p>
      <w:pPr>
        <w:pStyle w:val="Heading1"/>
        <w:pBdr>
          <w:bottom w:val="single" w:color="2E75B6" w:sz="6" w:space="1"/>
        </w:pBdr>
        <w:spacing w:before="360" w:after="120"/>
      </w:pPr>
      <w:r>
        <w:rPr>
          <w:rFonts w:ascii="Arial" w:cs="Arial" w:eastAsia="Arial" w:hAnsi="Arial"/>
          <w:b/>
          <w:bCs/>
          <w:color w:val="1F4E79"/>
          <w:sz w:val="28"/>
          <w:szCs w:val="28"/>
        </w:rPr>
        <w:t xml:space="preserve">6. Conclusion &amp; Future Work</w:t>
      </w:r>
    </w:p>
    <w:p>
      <w:pPr>
        <w:pStyle w:val="Heading2"/>
        <w:spacing w:before="240" w:after="80"/>
      </w:pPr>
      <w:r>
        <w:rPr>
          <w:rFonts w:ascii="Arial" w:cs="Arial" w:eastAsia="Arial" w:hAnsi="Arial"/>
          <w:b/>
          <w:bCs/>
          <w:color w:val="2E75B6"/>
          <w:sz w:val="24"/>
          <w:szCs w:val="24"/>
        </w:rPr>
        <w:t xml:space="preserve">6.1 Conclusion</w:t>
      </w:r>
    </w:p>
    <w:p>
      <w:pPr>
        <w:spacing w:before="80" w:after="80" w:line="276"/>
        <w:jc w:val="both"/>
      </w:pPr>
      <w:r>
        <w:rPr>
          <w:rFonts w:ascii="Arial" w:cs="Arial" w:eastAsia="Arial" w:hAnsi="Arial"/>
          <w:sz w:val="22"/>
          <w:szCs w:val="22"/>
        </w:rPr>
        <w:t xml:space="preserve">This project successfully demonstrated that real-time road anomaly detection is achievable on cost-accessible, ARM-based edge hardware without dedicated accelerators. Through a systematic multi-stage optimization strategy encompassing resolution reduction, Full INT8 Post-Training Quantization, multi-core parallel inference, and ARM-optimized kernel selection, the team achieved a sustained throughput of 5.9 FPS — exceeding the 5 FPS hackathon target — while maintaining a 76.1% mAP50 and a precision of 0.786 on a public road anomaly dataset.</w:t>
      </w:r>
    </w:p>
    <w:p>
      <w:pPr>
        <w:spacing w:before="80" w:after="80"/>
      </w:pPr>
      <w:r>
        <w:t xml:space="preserve"/>
      </w:r>
    </w:p>
    <w:p>
      <w:pPr>
        <w:spacing w:before="80" w:after="80" w:line="276"/>
        <w:jc w:val="both"/>
      </w:pPr>
      <w:r>
        <w:rPr>
          <w:rFonts w:ascii="Arial" w:cs="Arial" w:eastAsia="Arial" w:hAnsi="Arial"/>
          <w:sz w:val="22"/>
          <w:szCs w:val="22"/>
        </w:rPr>
        <w:t xml:space="preserve">The project yielded several important engineering lessons. The competing demands of model training thoroughness and optimization iteration time required a disciplined parallel workstream approach. The identification and correction of the BGR-to-RGB color space mismatch highlights the critical importance of preprocessing parity between training and inference environments. The selection of precision over recall as the primary accuracy objective reflects a principled understanding of the deployment context and the asymmetric costs of false positive versus false negative detections in a driver-assistance application.</w:t>
      </w:r>
    </w:p>
    <w:p>
      <w:pPr>
        <w:pStyle w:val="Heading2"/>
        <w:spacing w:before="240" w:after="80"/>
      </w:pPr>
      <w:r>
        <w:rPr>
          <w:rFonts w:ascii="Arial" w:cs="Arial" w:eastAsia="Arial" w:hAnsi="Arial"/>
          <w:b/>
          <w:bCs/>
          <w:color w:val="2E75B6"/>
          <w:sz w:val="24"/>
          <w:szCs w:val="24"/>
        </w:rPr>
        <w:t xml:space="preserve">6.2 Future Work</w:t>
      </w:r>
    </w:p>
    <w:p>
      <w:pPr>
        <w:spacing w:before="80" w:after="80" w:line="276"/>
        <w:jc w:val="both"/>
      </w:pPr>
      <w:r>
        <w:rPr>
          <w:rFonts w:ascii="Arial" w:cs="Arial" w:eastAsia="Arial" w:hAnsi="Arial"/>
          <w:sz w:val="22"/>
          <w:szCs w:val="22"/>
        </w:rPr>
        <w:t xml:space="preserve">While the current system addresses daytime anomaly detection with demonstrated effectiveness, a significant proportion of road accidents occur in low-light conditions — at night, in tunnels, and during adverse weather. This gap represents both a technical challenge and a critical safety opportunity. The team's primary future development priority is the implementation of a Night-Vision Detection module using infrared (IR) and thermal imaging sensors.</w:t>
      </w:r>
    </w:p>
    <w:p>
      <w:pPr>
        <w:spacing w:before="80" w:after="80"/>
      </w:pPr>
      <w:r>
        <w:t xml:space="preserve"/>
      </w:r>
    </w:p>
    <w:p>
      <w:pPr>
        <w:spacing w:before="80" w:after="80" w:line="276"/>
        <w:jc w:val="both"/>
      </w:pPr>
      <w:r>
        <w:rPr>
          <w:rFonts w:ascii="Arial" w:cs="Arial" w:eastAsia="Arial" w:hAnsi="Arial"/>
          <w:sz w:val="22"/>
          <w:szCs w:val="22"/>
        </w:rPr>
        <w:t xml:space="preserve">Thermal cameras detect surface temperature differentials that correlate with structural road anomalies — potholes and cracks absorb and radiate heat differently from intact asphalt — enabling detection independent of visible light conditions. IR-based imaging provides enhanced contrast in low-ambient-light scenarios where standard RGB cameras produce noisy, low-information frames. The proposed architecture for this extension involves:</w:t>
      </w:r>
    </w:p>
    <w:p>
      <w:pPr>
        <w:pStyle w:val="ListParagraph"/>
        <w:numPr>
          <w:ilvl w:val="0"/>
          <w:numId w:val="2"/>
        </w:numPr>
        <w:spacing w:before="60" w:after="60"/>
      </w:pPr>
      <w:r>
        <w:rPr>
          <w:rFonts w:ascii="Arial" w:cs="Arial" w:eastAsia="Arial" w:hAnsi="Arial"/>
          <w:sz w:val="22"/>
          <w:szCs w:val="22"/>
        </w:rPr>
        <w:t xml:space="preserve">Integration of a low-cost IR or thermal imaging module compatible with the Raspberry Pi camera interface (CSI or USB).</w:t>
      </w:r>
    </w:p>
    <w:p>
      <w:pPr>
        <w:pStyle w:val="ListParagraph"/>
        <w:numPr>
          <w:ilvl w:val="0"/>
          <w:numId w:val="2"/>
        </w:numPr>
        <w:spacing w:before="60" w:after="60"/>
      </w:pPr>
      <w:r>
        <w:rPr>
          <w:rFonts w:ascii="Arial" w:cs="Arial" w:eastAsia="Arial" w:hAnsi="Arial"/>
          <w:sz w:val="22"/>
          <w:szCs w:val="22"/>
        </w:rPr>
        <w:t xml:space="preserve">Development of a dedicated preprocessing pipeline for thermal/IR frame normalization, including temperature-to-pixel mapping calibration.</w:t>
      </w:r>
    </w:p>
    <w:p>
      <w:pPr>
        <w:pStyle w:val="ListParagraph"/>
        <w:numPr>
          <w:ilvl w:val="0"/>
          <w:numId w:val="2"/>
        </w:numPr>
        <w:spacing w:before="60" w:after="60"/>
      </w:pPr>
      <w:r>
        <w:rPr>
          <w:rFonts w:ascii="Arial" w:cs="Arial" w:eastAsia="Arial" w:hAnsi="Arial"/>
          <w:sz w:val="22"/>
          <w:szCs w:val="22"/>
        </w:rPr>
        <w:t xml:space="preserve">Fine-tuning or retraining of the YOLO Nano 26 model on a thermal road anomaly dataset, or fusion of RGB and thermal streams via an early-fusion or late-fusion architecture.</w:t>
      </w:r>
    </w:p>
    <w:p>
      <w:pPr>
        <w:pStyle w:val="ListParagraph"/>
        <w:numPr>
          <w:ilvl w:val="0"/>
          <w:numId w:val="2"/>
        </w:numPr>
        <w:spacing w:before="60" w:after="60"/>
      </w:pPr>
      <w:r>
        <w:rPr>
          <w:rFonts w:ascii="Arial" w:cs="Arial" w:eastAsia="Arial" w:hAnsi="Arial"/>
          <w:sz w:val="22"/>
          <w:szCs w:val="22"/>
        </w:rPr>
        <w:t xml:space="preserve">Re-evaluation of the inference pipeline throughput to ensure the 5+ FPS target is maintained with the additional sensor input stream.</w:t>
      </w:r>
    </w:p>
    <w:p>
      <w:pPr>
        <w:spacing w:before="80" w:after="80"/>
      </w:pPr>
      <w:r>
        <w:t xml:space="preserve"/>
      </w:r>
    </w:p>
    <w:p>
      <w:pPr>
        <w:spacing w:before="80" w:after="80" w:line="276"/>
        <w:jc w:val="both"/>
      </w:pPr>
      <w:r>
        <w:rPr>
          <w:rFonts w:ascii="Arial" w:cs="Arial" w:eastAsia="Arial" w:hAnsi="Arial"/>
          <w:sz w:val="22"/>
          <w:szCs w:val="22"/>
        </w:rPr>
        <w:t xml:space="preserve">Additional future directions include the integration of GPS-tagged anomaly logging to enable collaborative road condition mapping, deployment of the system within a lightweight Android or embedded Linux application with a driver-facing heads-up display, and exploration of Knowledge Distillation techniques to further compress the model without sacrificing precision.</w:t>
      </w:r>
    </w:p>
    <w:p>
      <w:pPr>
        <w:pStyle w:val="Heading2"/>
        <w:spacing w:before="240" w:after="80"/>
      </w:pPr>
      <w:r>
        <w:rPr>
          <w:rFonts w:ascii="Arial" w:cs="Arial" w:eastAsia="Arial" w:hAnsi="Arial"/>
          <w:b/>
          <w:bCs/>
          <w:color w:val="2E75B6"/>
          <w:sz w:val="24"/>
          <w:szCs w:val="24"/>
        </w:rPr>
        <w:t xml:space="preserve">6.3 Acknowledgements</w:t>
      </w:r>
    </w:p>
    <w:p>
      <w:pPr>
        <w:spacing w:before="80" w:after="80" w:line="276"/>
        <w:jc w:val="both"/>
      </w:pPr>
      <w:r>
        <w:rPr>
          <w:rFonts w:ascii="Arial" w:cs="Arial" w:eastAsia="Arial" w:hAnsi="Arial"/>
          <w:sz w:val="22"/>
          <w:szCs w:val="22"/>
        </w:rPr>
        <w:t xml:space="preserve">The team acknowledges the contributors to the public road anomaly dataset on Roboflow, whose curation effort made this work possible. The open-source contributions of the Ultralytics YOLO team, the TensorFlow Lite development team, and the XNNPACK project were indispensable to this work.</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2026-02-20T13:29:23.299Z</dcterms:created>
  <dcterms:modified xsi:type="dcterms:W3CDTF">2026-02-20T13:29:23.300Z</dcterms:modified>
</cp:coreProperties>
</file>

<file path=docProps/custom.xml><?xml version="1.0" encoding="utf-8"?>
<Properties xmlns="http://schemas.openxmlformats.org/officeDocument/2006/custom-properties" xmlns:vt="http://schemas.openxmlformats.org/officeDocument/2006/docPropsVTypes"/>
</file>