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01A604" w14:textId="77777777" w:rsidR="00071343" w:rsidRDefault="00071343">
      <w:pPr>
        <w:pStyle w:val="classification"/>
        <w:spacing w:before="80" w:after="80"/>
        <w:rPr>
          <w:rFonts w:ascii="Calibri" w:hAnsi="Calibri" w:cs="Calibri"/>
          <w:lang w:val="en"/>
        </w:rPr>
      </w:pPr>
      <w:r>
        <w:rPr>
          <w:rFonts w:ascii="Calibri" w:hAnsi="Calibri" w:cs="Calibri"/>
          <w:lang w:val="en"/>
        </w:rPr>
        <w:t>CONFIDENTIAL</w:t>
      </w:r>
    </w:p>
    <w:p w14:paraId="244AC783" w14:textId="77777777" w:rsidR="00071343" w:rsidRDefault="00071343">
      <w:pPr>
        <w:pStyle w:val="Heading1"/>
        <w:rPr>
          <w:rFonts w:eastAsia="Times New Roman" w:cs="Calibri"/>
          <w:lang w:val="en"/>
        </w:rPr>
      </w:pPr>
      <w:r>
        <w:rPr>
          <w:rFonts w:eastAsia="Times New Roman" w:cs="Calibri"/>
          <w:lang w:val="en"/>
        </w:rPr>
        <w:t>Appendices</w:t>
      </w:r>
    </w:p>
    <w:p w14:paraId="63D4C12F" w14:textId="77777777" w:rsidR="00071343" w:rsidRDefault="00071343">
      <w:pPr>
        <w:pStyle w:val="Heading1"/>
        <w:spacing w:after="280"/>
        <w:rPr>
          <w:rFonts w:eastAsia="Times New Roman" w:cs="Calibri"/>
          <w:i/>
          <w:iCs/>
          <w:color w:val="333333"/>
          <w:sz w:val="28"/>
          <w:szCs w:val="28"/>
          <w:lang w:val="en"/>
        </w:rPr>
      </w:pPr>
      <w:r>
        <w:rPr>
          <w:rFonts w:eastAsia="Times New Roman" w:cs="Calibri"/>
          <w:i/>
          <w:iCs/>
          <w:color w:val="333333"/>
          <w:sz w:val="28"/>
          <w:szCs w:val="28"/>
          <w:lang w:val="en"/>
        </w:rPr>
        <w:t>Vulnerability Assessment &amp; Penetration Test (VAPT)</w:t>
      </w:r>
    </w:p>
    <w:p w14:paraId="740404AF" w14:textId="77777777" w:rsidR="00071343" w:rsidRDefault="00071343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GMR Sunrise — Transformation Maturity Dashboard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3"/>
        <w:gridCol w:w="6667"/>
      </w:tblGrid>
      <w:tr w:rsidR="00812890" w14:paraId="41A88C8B" w14:textId="77777777">
        <w:tc>
          <w:tcPr>
            <w:tcW w:w="1300" w:type="pct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shd w:val="clear" w:color="auto" w:fill="EEF2F7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9349AE5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  <w:t>Accompanies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2271DA1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VAPT Security Assessment Report v1.0 (13 July 2026)</w:t>
            </w:r>
          </w:p>
        </w:tc>
      </w:tr>
      <w:tr w:rsidR="00812890" w14:paraId="08F7F52F" w14:textId="77777777">
        <w:tc>
          <w:tcPr>
            <w:tcW w:w="1300" w:type="pct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shd w:val="clear" w:color="auto" w:fill="EEF2F7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A248F47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  <w:t>Application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7998E60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GMR Sunrise — Transformation Maturity Dashboard v1.0.0</w:t>
            </w:r>
          </w:p>
        </w:tc>
      </w:tr>
      <w:tr w:rsidR="00812890" w14:paraId="4D986E72" w14:textId="77777777">
        <w:tc>
          <w:tcPr>
            <w:tcW w:w="1300" w:type="pct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shd w:val="clear" w:color="auto" w:fill="EEF2F7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B85CCAA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  <w:t>Prepared by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7095F43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Madhanraj &amp; Naresh</w:t>
            </w:r>
          </w:p>
        </w:tc>
      </w:tr>
      <w:tr w:rsidR="00812890" w14:paraId="5D979351" w14:textId="77777777">
        <w:tc>
          <w:tcPr>
            <w:tcW w:w="1300" w:type="pct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shd w:val="clear" w:color="auto" w:fill="EEF2F7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BD1F4D6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  <w:t>Prepared for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0AAA562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GMR SSC</w:t>
            </w:r>
          </w:p>
        </w:tc>
      </w:tr>
      <w:tr w:rsidR="00812890" w14:paraId="6E2C5504" w14:textId="77777777">
        <w:tc>
          <w:tcPr>
            <w:tcW w:w="1300" w:type="pct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shd w:val="clear" w:color="auto" w:fill="EEF2F7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AFB67DD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  <w:t>Assessment dates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9CC502B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11–13 July 2026</w:t>
            </w:r>
          </w:p>
        </w:tc>
      </w:tr>
      <w:tr w:rsidR="00812890" w14:paraId="731E4377" w14:textId="77777777">
        <w:tc>
          <w:tcPr>
            <w:tcW w:w="1300" w:type="pct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shd w:val="clear" w:color="auto" w:fill="EEF2F7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5C65AA9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  <w:t>Classification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590E7EE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Confidential</w:t>
            </w:r>
          </w:p>
        </w:tc>
      </w:tr>
    </w:tbl>
    <w:p w14:paraId="6B0F1A4C" w14:textId="77777777" w:rsidR="00071343" w:rsidRDefault="00071343">
      <w:pPr>
        <w:pStyle w:val="note"/>
        <w:spacing w:before="80" w:after="80"/>
        <w:rPr>
          <w:rFonts w:ascii="Calibri" w:hAnsi="Calibri" w:cs="Calibri"/>
          <w:lang w:val="en"/>
        </w:rPr>
      </w:pPr>
      <w:r>
        <w:rPr>
          <w:rFonts w:ascii="Calibri" w:hAnsi="Calibri" w:cs="Calibri"/>
          <w:lang w:val="en"/>
        </w:rPr>
        <w:t>This document holds the supporting evidence and reference material for the VAPT report. It does not repeat the findings, methodology, or results in the main report; where relevant it refers to them by ID (e.g. F-01, D-6).</w:t>
      </w:r>
    </w:p>
    <w:p w14:paraId="3D70CF5E" w14:textId="77777777" w:rsidR="00071343" w:rsidRDefault="00071343">
      <w:pPr>
        <w:pStyle w:val="Heading2"/>
        <w:rPr>
          <w:rFonts w:eastAsia="Times New Roman" w:cs="Calibri"/>
          <w:lang w:val="en"/>
        </w:rPr>
      </w:pPr>
      <w:r>
        <w:rPr>
          <w:rFonts w:eastAsia="Times New Roman" w:cs="Calibri"/>
          <w:lang w:val="en"/>
        </w:rPr>
        <w:t>Appendix A — Tooling &amp; versions</w:t>
      </w:r>
    </w:p>
    <w:p w14:paraId="2BD0296F" w14:textId="77777777" w:rsidR="00071343" w:rsidRDefault="00071343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>Tools and services used during the assessment.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5"/>
        <w:gridCol w:w="1412"/>
        <w:gridCol w:w="912"/>
        <w:gridCol w:w="4341"/>
      </w:tblGrid>
      <w:tr w:rsidR="00812890" w14:paraId="0C57E8F2" w14:textId="77777777">
        <w:tc>
          <w:tcPr>
            <w:tcW w:w="0" w:type="auto"/>
            <w:tcBorders>
              <w:top w:val="single" w:sz="6" w:space="0" w:color="16395C"/>
              <w:left w:val="single" w:sz="6" w:space="0" w:color="16395C"/>
              <w:bottom w:val="single" w:sz="6" w:space="0" w:color="16395C"/>
              <w:right w:val="single" w:sz="6" w:space="0" w:color="16395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BD24A75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Tool / service</w:t>
            </w:r>
          </w:p>
        </w:tc>
        <w:tc>
          <w:tcPr>
            <w:tcW w:w="0" w:type="auto"/>
            <w:tcBorders>
              <w:top w:val="single" w:sz="6" w:space="0" w:color="16395C"/>
              <w:left w:val="single" w:sz="6" w:space="0" w:color="16395C"/>
              <w:bottom w:val="single" w:sz="6" w:space="0" w:color="16395C"/>
              <w:right w:val="single" w:sz="6" w:space="0" w:color="16395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D7F611D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16395C"/>
              <w:left w:val="single" w:sz="6" w:space="0" w:color="16395C"/>
              <w:bottom w:val="single" w:sz="6" w:space="0" w:color="16395C"/>
              <w:right w:val="single" w:sz="6" w:space="0" w:color="16395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1ABD840F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When</w:t>
            </w:r>
          </w:p>
        </w:tc>
        <w:tc>
          <w:tcPr>
            <w:tcW w:w="0" w:type="auto"/>
            <w:tcBorders>
              <w:top w:val="single" w:sz="6" w:space="0" w:color="16395C"/>
              <w:left w:val="single" w:sz="6" w:space="0" w:color="16395C"/>
              <w:bottom w:val="single" w:sz="6" w:space="0" w:color="16395C"/>
              <w:right w:val="single" w:sz="6" w:space="0" w:color="16395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37FE3ED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812890" w14:paraId="0618ADD3" w14:textId="77777777"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3904A7B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Manual source-code review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1861DDB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SAST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1345E35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11 Jul 2026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10EF6A4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Reviewed all source for dangerous DOM sinks, authentication/token handling, secrets, and CSP configuration.</w:t>
            </w:r>
          </w:p>
        </w:tc>
      </w:tr>
      <w:tr w:rsidR="00812890" w14:paraId="4C3072CD" w14:textId="77777777"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BD12CA0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Snyk Code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2A9E013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SAST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A060CBF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13 Jul 2026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523DF0C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Automated static analysis of the source — 0 issues across 24 analyzed files.</w:t>
            </w:r>
          </w:p>
        </w:tc>
      </w:tr>
      <w:tr w:rsidR="00812890" w14:paraId="3298B909" w14:textId="77777777"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9B0F916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npm audit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550C04C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SCA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5EDEE76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13 Jul 2026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3E21051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Dependency vulnerability audit — 0 vulnerabilities.</w:t>
            </w:r>
          </w:p>
        </w:tc>
      </w:tr>
      <w:tr w:rsidR="00812890" w14:paraId="4C5F3F12" w14:textId="77777777"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7F7AA2F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Snyk API &amp; Web (formerly Probely)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3489EC0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DAST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3FEDEC7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13 Jul 2026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3B54686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Automated dynamic scan (crawl + active checks) of the deployed application.</w:t>
            </w:r>
          </w:p>
        </w:tc>
      </w:tr>
      <w:tr w:rsidR="00812890" w14:paraId="1BFF91E8" w14:textId="77777777"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D037ECF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securityheaders.com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A24D346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Header check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1C9D283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11 Jul 2026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69DBA43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HTTP security-header grade — A+.</w:t>
            </w:r>
          </w:p>
        </w:tc>
      </w:tr>
      <w:tr w:rsidR="00632203" w14:paraId="5117EA0C" w14:textId="77777777"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04237B" w14:textId="77777777" w:rsidR="00632203" w:rsidRDefault="0063220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D205BE" w14:textId="77777777" w:rsidR="00632203" w:rsidRDefault="0063220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331E9D" w14:textId="77777777" w:rsidR="00632203" w:rsidRDefault="0063220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2A7003" w14:textId="77777777" w:rsidR="00632203" w:rsidRDefault="0063220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</w:p>
        </w:tc>
      </w:tr>
      <w:tr w:rsidR="00812890" w14:paraId="0F57B059" w14:textId="77777777"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68D249C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Qualys SSL Labs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FC23868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TLS check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8FACF6A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11 Jul 2026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8F3E2FD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TLS/SSL configuration grade — A.</w:t>
            </w:r>
          </w:p>
        </w:tc>
      </w:tr>
      <w:tr w:rsidR="00812890" w14:paraId="2EFADE74" w14:textId="77777777"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214EECB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Browser DevTools (manual)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819BEE1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Manual verification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EBCB579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11 Jul 2026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88AC6D6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Clickjacking, unassigned-account, and session/token-handling checks.</w:t>
            </w:r>
          </w:p>
        </w:tc>
      </w:tr>
    </w:tbl>
    <w:p w14:paraId="6934D264" w14:textId="77777777" w:rsidR="00071343" w:rsidRDefault="00071343">
      <w:pPr>
        <w:pStyle w:val="Heading2"/>
        <w:rPr>
          <w:rFonts w:eastAsia="Times New Roman" w:cs="Calibri"/>
          <w:lang w:val="en"/>
        </w:rPr>
      </w:pPr>
      <w:r>
        <w:rPr>
          <w:rFonts w:eastAsia="Times New Roman" w:cs="Calibri"/>
          <w:lang w:val="en"/>
        </w:rPr>
        <w:t>Appendix B — Evidence log</w:t>
      </w:r>
    </w:p>
    <w:p w14:paraId="2A7846C2" w14:textId="77777777" w:rsidR="00071343" w:rsidRDefault="00071343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>Screenshots captured during testing. Paste each image into the slot below its caption, then delete the placeholder text.</w:t>
      </w:r>
    </w:p>
    <w:p w14:paraId="633F40B0" w14:textId="77777777" w:rsidR="00071343" w:rsidRDefault="00071343">
      <w:pPr>
        <w:pStyle w:val="Heading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B-1 · Security headers (D-1) — securityheaders.com, Grade A+</w:t>
      </w:r>
    </w:p>
    <w:p w14:paraId="20CCD0E7" w14:textId="5DB07CB8" w:rsidR="000A3393" w:rsidRPr="000A3393" w:rsidRDefault="00071343" w:rsidP="000A3393">
      <w:pPr>
        <w:pStyle w:val="cap"/>
        <w:rPr>
          <w:rFonts w:ascii="Calibri" w:hAnsi="Calibri" w:cs="Calibri"/>
        </w:rPr>
      </w:pPr>
      <w:r>
        <w:rPr>
          <w:rFonts w:ascii="Calibri" w:hAnsi="Calibri" w:cs="Calibri"/>
          <w:lang w:val="en"/>
        </w:rPr>
        <w:t>Expected: all six headers present (CSP, HSTS, X-Frame-Options, X-Content-Type-Options, Referrer-Policy, Permissions-Policy).</w:t>
      </w:r>
      <w:r w:rsidR="000A3393">
        <w:rPr>
          <w:rFonts w:ascii="Calibri" w:hAnsi="Calibri" w:cs="Calibri"/>
          <w:lang w:val="en"/>
        </w:rPr>
        <w:br/>
      </w:r>
    </w:p>
    <w:p w14:paraId="0CA19355" w14:textId="6C76FD6A" w:rsidR="00071343" w:rsidRDefault="00071343">
      <w:pPr>
        <w:pStyle w:val="cap"/>
        <w:rPr>
          <w:rFonts w:ascii="Calibri" w:hAnsi="Calibri" w:cs="Calibri"/>
          <w:lang w:val="en"/>
        </w:rPr>
      </w:pPr>
    </w:p>
    <w:p w14:paraId="11369CB7" w14:textId="45399975" w:rsidR="000A3393" w:rsidRPr="000A3393" w:rsidRDefault="000A3393" w:rsidP="000A3393">
      <w:pPr>
        <w:shd w:val="clear" w:color="auto" w:fill="F5F6F9"/>
        <w:spacing w:after="240"/>
        <w:jc w:val="center"/>
        <w:divId w:val="1846049023"/>
        <w:rPr>
          <w:rFonts w:ascii="Calibri" w:eastAsia="Times New Roman" w:hAnsi="Calibri" w:cs="Calibri"/>
          <w:i/>
          <w:iCs/>
          <w:color w:val="6B7383"/>
          <w:sz w:val="22"/>
          <w:szCs w:val="22"/>
        </w:rPr>
      </w:pPr>
      <w:r w:rsidRPr="000A3393">
        <w:rPr>
          <w:rFonts w:ascii="Calibri" w:eastAsia="Times New Roman" w:hAnsi="Calibri" w:cs="Calibri"/>
          <w:i/>
          <w:iCs/>
          <w:noProof/>
          <w:color w:val="6B7383"/>
          <w:sz w:val="22"/>
          <w:szCs w:val="22"/>
        </w:rPr>
        <w:drawing>
          <wp:inline distT="0" distB="0" distL="0" distR="0" wp14:anchorId="34613B8F" wp14:editId="2D05D1B8">
            <wp:extent cx="5731510" cy="1519555"/>
            <wp:effectExtent l="0" t="0" r="2540" b="4445"/>
            <wp:docPr id="114247096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19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9DCCDE" w14:textId="7726E20F" w:rsidR="00071343" w:rsidRDefault="00071343">
      <w:pPr>
        <w:shd w:val="clear" w:color="auto" w:fill="F5F6F9"/>
        <w:jc w:val="center"/>
        <w:divId w:val="1846049023"/>
        <w:rPr>
          <w:rFonts w:ascii="Calibri" w:eastAsia="Times New Roman" w:hAnsi="Calibri" w:cs="Calibri"/>
          <w:i/>
          <w:iCs/>
          <w:color w:val="6B7383"/>
          <w:sz w:val="22"/>
          <w:szCs w:val="22"/>
          <w:lang w:val="en"/>
        </w:rPr>
      </w:pPr>
    </w:p>
    <w:p w14:paraId="19C921D7" w14:textId="77777777" w:rsidR="00071343" w:rsidRDefault="00071343">
      <w:pPr>
        <w:pStyle w:val="Heading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B-2 · TLS/SSL (D-2) — Qualys SSL Labs, Grade A</w:t>
      </w:r>
    </w:p>
    <w:p w14:paraId="5423E9A1" w14:textId="77777777" w:rsidR="00071343" w:rsidRDefault="00071343">
      <w:pPr>
        <w:pStyle w:val="cap"/>
        <w:rPr>
          <w:rFonts w:ascii="Calibri" w:hAnsi="Calibri" w:cs="Calibri"/>
          <w:lang w:val="en"/>
        </w:rPr>
      </w:pPr>
      <w:r>
        <w:rPr>
          <w:rFonts w:ascii="Calibri" w:hAnsi="Calibri" w:cs="Calibri"/>
          <w:lang w:val="en"/>
        </w:rPr>
        <w:t>Expected: TLS 1.3 supported, valid certificate, CAA policy present.</w:t>
      </w:r>
    </w:p>
    <w:p w14:paraId="00C6ABFF" w14:textId="53A6051C" w:rsidR="00071343" w:rsidRDefault="000A3393" w:rsidP="000A3393">
      <w:pPr>
        <w:shd w:val="clear" w:color="auto" w:fill="F5F6F9"/>
        <w:divId w:val="210772626"/>
        <w:rPr>
          <w:rFonts w:ascii="Calibri" w:eastAsia="Times New Roman" w:hAnsi="Calibri" w:cs="Calibri"/>
          <w:i/>
          <w:iCs/>
          <w:color w:val="6B7383"/>
          <w:sz w:val="22"/>
          <w:szCs w:val="22"/>
          <w:lang w:val="en"/>
        </w:rPr>
      </w:pPr>
      <w:r>
        <w:rPr>
          <w:noProof/>
        </w:rPr>
        <w:lastRenderedPageBreak/>
        <w:drawing>
          <wp:inline distT="0" distB="0" distL="0" distR="0" wp14:anchorId="1BD8F32F" wp14:editId="1D360FC4">
            <wp:extent cx="5731510" cy="3479800"/>
            <wp:effectExtent l="0" t="0" r="2540" b="6350"/>
            <wp:docPr id="135409550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7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C0F554" w14:textId="77777777" w:rsidR="00071343" w:rsidRDefault="00071343">
      <w:pPr>
        <w:pStyle w:val="Heading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B-3 · Static analysis (SAST) — Snyk Code, 0 issues</w:t>
      </w:r>
    </w:p>
    <w:p w14:paraId="65909159" w14:textId="77777777" w:rsidR="00071343" w:rsidRDefault="00071343">
      <w:pPr>
        <w:pStyle w:val="cap"/>
        <w:rPr>
          <w:rFonts w:ascii="Calibri" w:hAnsi="Calibri" w:cs="Calibri"/>
          <w:lang w:val="en"/>
        </w:rPr>
      </w:pPr>
      <w:r>
        <w:rPr>
          <w:rFonts w:ascii="Calibri" w:hAnsi="Calibri" w:cs="Calibri"/>
          <w:lang w:val="en"/>
        </w:rPr>
        <w:t>Expected: "There are no issues for this project" — 24 analyzed files.</w:t>
      </w:r>
    </w:p>
    <w:p w14:paraId="74420B9A" w14:textId="27CC7F3D" w:rsidR="000A3393" w:rsidRPr="000A3393" w:rsidRDefault="000A3393" w:rsidP="000A3393">
      <w:pPr>
        <w:shd w:val="clear" w:color="auto" w:fill="F5F6F9"/>
        <w:spacing w:after="240"/>
        <w:jc w:val="center"/>
        <w:divId w:val="1368947818"/>
        <w:rPr>
          <w:rFonts w:ascii="Calibri" w:eastAsia="Times New Roman" w:hAnsi="Calibri" w:cs="Calibri"/>
          <w:i/>
          <w:iCs/>
          <w:color w:val="6B7383"/>
          <w:sz w:val="22"/>
          <w:szCs w:val="22"/>
        </w:rPr>
      </w:pPr>
      <w:r w:rsidRPr="000A3393">
        <w:rPr>
          <w:rFonts w:ascii="Calibri" w:eastAsia="Times New Roman" w:hAnsi="Calibri" w:cs="Calibri"/>
          <w:i/>
          <w:iCs/>
          <w:noProof/>
          <w:color w:val="6B7383"/>
          <w:sz w:val="22"/>
          <w:szCs w:val="22"/>
        </w:rPr>
        <w:drawing>
          <wp:inline distT="0" distB="0" distL="0" distR="0" wp14:anchorId="51B3A808" wp14:editId="6B3A0CB1">
            <wp:extent cx="5731510" cy="2656840"/>
            <wp:effectExtent l="0" t="0" r="2540" b="0"/>
            <wp:docPr id="132209437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56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A28074" w14:textId="216A08EB" w:rsidR="00071343" w:rsidRDefault="00071343" w:rsidP="00632203">
      <w:pPr>
        <w:pStyle w:val="Heading3"/>
        <w:rPr>
          <w:rFonts w:ascii="Calibri" w:eastAsia="Times New Roman" w:hAnsi="Calibri" w:cs="Calibri"/>
          <w:i/>
          <w:iCs/>
          <w:color w:val="6B7383"/>
          <w:sz w:val="22"/>
          <w:szCs w:val="22"/>
          <w:lang w:val="en"/>
        </w:rPr>
      </w:pPr>
    </w:p>
    <w:p w14:paraId="45268BA7" w14:textId="1987264F" w:rsidR="00071343" w:rsidRDefault="00071343">
      <w:pPr>
        <w:pStyle w:val="Heading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B-</w:t>
      </w:r>
      <w:r w:rsidR="00632203">
        <w:rPr>
          <w:rFonts w:ascii="Calibri" w:eastAsia="Times New Roman" w:hAnsi="Calibri" w:cs="Calibri"/>
          <w:lang w:val="en"/>
        </w:rPr>
        <w:t>4</w:t>
      </w:r>
      <w:r>
        <w:rPr>
          <w:rFonts w:ascii="Calibri" w:eastAsia="Times New Roman" w:hAnsi="Calibri" w:cs="Calibri"/>
          <w:lang w:val="en"/>
        </w:rPr>
        <w:t xml:space="preserve"> · Dynamic scan summary (D-3/D-4/D-8/D-9) — Snyk API &amp; Web</w:t>
      </w:r>
    </w:p>
    <w:p w14:paraId="72C85145" w14:textId="77777777" w:rsidR="00071343" w:rsidRDefault="00071343">
      <w:pPr>
        <w:pStyle w:val="cap"/>
        <w:rPr>
          <w:rFonts w:ascii="Calibri" w:hAnsi="Calibri" w:cs="Calibri"/>
          <w:lang w:val="en"/>
        </w:rPr>
      </w:pPr>
      <w:r>
        <w:rPr>
          <w:rFonts w:ascii="Calibri" w:hAnsi="Calibri" w:cs="Calibri"/>
          <w:lang w:val="en"/>
        </w:rPr>
        <w:t>Expected: scan Completed; 0 Critical / 0 High / 0 Medium.</w:t>
      </w:r>
    </w:p>
    <w:p w14:paraId="09E2A879" w14:textId="1FFD2E40" w:rsidR="00071343" w:rsidRDefault="00632203">
      <w:pPr>
        <w:shd w:val="clear" w:color="auto" w:fill="F5F6F9"/>
        <w:jc w:val="center"/>
        <w:divId w:val="1023168556"/>
        <w:rPr>
          <w:rFonts w:ascii="Calibri" w:eastAsia="Times New Roman" w:hAnsi="Calibri" w:cs="Calibri"/>
          <w:i/>
          <w:iCs/>
          <w:color w:val="6B7383"/>
          <w:sz w:val="22"/>
          <w:szCs w:val="22"/>
          <w:lang w:val="en"/>
        </w:rPr>
      </w:pPr>
      <w:r w:rsidRPr="00632203">
        <w:rPr>
          <w:rFonts w:ascii="Calibri" w:eastAsia="Times New Roman" w:hAnsi="Calibri" w:cs="Calibri"/>
          <w:i/>
          <w:iCs/>
          <w:noProof/>
          <w:color w:val="6B7383"/>
          <w:sz w:val="22"/>
          <w:szCs w:val="22"/>
          <w:lang w:val="en"/>
        </w:rPr>
        <w:drawing>
          <wp:inline distT="0" distB="0" distL="0" distR="0" wp14:anchorId="4EE40346" wp14:editId="2CFFDBC3">
            <wp:extent cx="5731510" cy="2484120"/>
            <wp:effectExtent l="0" t="0" r="2540" b="0"/>
            <wp:docPr id="2033984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98465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5ECB8" w14:textId="548B3A74" w:rsidR="00071343" w:rsidRDefault="00071343">
      <w:pPr>
        <w:pStyle w:val="Heading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B-</w:t>
      </w:r>
      <w:r w:rsidR="00632203">
        <w:rPr>
          <w:rFonts w:ascii="Calibri" w:eastAsia="Times New Roman" w:hAnsi="Calibri" w:cs="Calibri"/>
          <w:lang w:val="en"/>
        </w:rPr>
        <w:t>5</w:t>
      </w:r>
      <w:r>
        <w:rPr>
          <w:rFonts w:ascii="Calibri" w:eastAsia="Times New Roman" w:hAnsi="Calibri" w:cs="Calibri"/>
          <w:lang w:val="en"/>
        </w:rPr>
        <w:t xml:space="preserve"> · Dynamic scan findings — the two Low items (F-01, F-03)</w:t>
      </w:r>
    </w:p>
    <w:p w14:paraId="7C37229C" w14:textId="77777777" w:rsidR="00071343" w:rsidRDefault="00071343">
      <w:pPr>
        <w:pStyle w:val="cap"/>
        <w:rPr>
          <w:rFonts w:ascii="Calibri" w:hAnsi="Calibri" w:cs="Calibri"/>
          <w:lang w:val="en"/>
        </w:rPr>
      </w:pPr>
      <w:r>
        <w:rPr>
          <w:rFonts w:ascii="Calibri" w:hAnsi="Calibri" w:cs="Calibri"/>
          <w:lang w:val="en"/>
        </w:rPr>
        <w:t>The Findings list showing "Insecure Content Security Policy" (F-01) and "Weak cipher suites enabled" (F-03), both Low.</w:t>
      </w:r>
    </w:p>
    <w:p w14:paraId="6A37BDB8" w14:textId="0AB95A25" w:rsidR="00071343" w:rsidRDefault="00632203">
      <w:pPr>
        <w:shd w:val="clear" w:color="auto" w:fill="F5F6F9"/>
        <w:jc w:val="center"/>
        <w:divId w:val="1015695177"/>
        <w:rPr>
          <w:rFonts w:ascii="Calibri" w:eastAsia="Times New Roman" w:hAnsi="Calibri" w:cs="Calibri"/>
          <w:i/>
          <w:iCs/>
          <w:color w:val="6B7383"/>
          <w:sz w:val="22"/>
          <w:szCs w:val="22"/>
          <w:lang w:val="en"/>
        </w:rPr>
      </w:pPr>
      <w:r w:rsidRPr="00632203">
        <w:rPr>
          <w:rFonts w:ascii="Calibri" w:eastAsia="Times New Roman" w:hAnsi="Calibri" w:cs="Calibri"/>
          <w:i/>
          <w:iCs/>
          <w:noProof/>
          <w:color w:val="6B7383"/>
          <w:sz w:val="22"/>
          <w:szCs w:val="22"/>
          <w:lang w:val="en"/>
        </w:rPr>
        <w:drawing>
          <wp:inline distT="0" distB="0" distL="0" distR="0" wp14:anchorId="6184E622" wp14:editId="510DA02F">
            <wp:extent cx="5731510" cy="2250440"/>
            <wp:effectExtent l="0" t="0" r="2540" b="0"/>
            <wp:docPr id="1400278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2612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63034" w14:textId="655CCD79" w:rsidR="00071343" w:rsidRDefault="00071343">
      <w:pPr>
        <w:pStyle w:val="Heading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B-</w:t>
      </w:r>
      <w:r w:rsidR="00632203">
        <w:rPr>
          <w:rFonts w:ascii="Calibri" w:eastAsia="Times New Roman" w:hAnsi="Calibri" w:cs="Calibri"/>
          <w:lang w:val="en"/>
        </w:rPr>
        <w:t>6</w:t>
      </w:r>
      <w:r>
        <w:rPr>
          <w:rFonts w:ascii="Calibri" w:eastAsia="Times New Roman" w:hAnsi="Calibri" w:cs="Calibri"/>
          <w:lang w:val="en"/>
        </w:rPr>
        <w:t xml:space="preserve"> · Clickjacking (D-5) — framing blocked</w:t>
      </w:r>
    </w:p>
    <w:p w14:paraId="0C243E78" w14:textId="77777777" w:rsidR="00071343" w:rsidRDefault="00071343">
      <w:pPr>
        <w:pStyle w:val="cap"/>
        <w:rPr>
          <w:rFonts w:ascii="Calibri" w:hAnsi="Calibri" w:cs="Calibri"/>
          <w:lang w:val="en"/>
        </w:rPr>
      </w:pPr>
      <w:r>
        <w:rPr>
          <w:rFonts w:ascii="Calibri" w:hAnsi="Calibri" w:cs="Calibri"/>
          <w:lang w:val="en"/>
        </w:rPr>
        <w:t>Expected: the test page's iframe is blank; browser console shows the X-Frame-Options: DENY refusal.</w:t>
      </w:r>
    </w:p>
    <w:p w14:paraId="740D2569" w14:textId="608301C0" w:rsidR="00632203" w:rsidRPr="00632203" w:rsidRDefault="00632203" w:rsidP="00632203">
      <w:pPr>
        <w:shd w:val="clear" w:color="auto" w:fill="F5F6F9"/>
        <w:spacing w:after="240"/>
        <w:jc w:val="center"/>
        <w:divId w:val="1493525775"/>
        <w:rPr>
          <w:rFonts w:ascii="Calibri" w:eastAsia="Times New Roman" w:hAnsi="Calibri" w:cs="Calibri"/>
          <w:i/>
          <w:iCs/>
          <w:color w:val="6B7383"/>
          <w:sz w:val="22"/>
          <w:szCs w:val="22"/>
        </w:rPr>
      </w:pPr>
      <w:r w:rsidRPr="00632203">
        <w:rPr>
          <w:rFonts w:ascii="Calibri" w:eastAsia="Times New Roman" w:hAnsi="Calibri" w:cs="Calibri"/>
          <w:i/>
          <w:iCs/>
          <w:noProof/>
          <w:color w:val="6B7383"/>
          <w:sz w:val="22"/>
          <w:szCs w:val="22"/>
        </w:rPr>
        <w:drawing>
          <wp:inline distT="0" distB="0" distL="0" distR="0" wp14:anchorId="3BF2FE28" wp14:editId="6CB70495">
            <wp:extent cx="5731510" cy="4349750"/>
            <wp:effectExtent l="0" t="0" r="2540" b="0"/>
            <wp:docPr id="35772499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4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7D3392" w14:textId="37612807" w:rsidR="00071343" w:rsidRDefault="00071343">
      <w:pPr>
        <w:shd w:val="clear" w:color="auto" w:fill="F5F6F9"/>
        <w:jc w:val="center"/>
        <w:divId w:val="1493525775"/>
        <w:rPr>
          <w:rFonts w:ascii="Calibri" w:eastAsia="Times New Roman" w:hAnsi="Calibri" w:cs="Calibri"/>
          <w:i/>
          <w:iCs/>
          <w:color w:val="6B7383"/>
          <w:sz w:val="22"/>
          <w:szCs w:val="22"/>
          <w:lang w:val="en"/>
        </w:rPr>
      </w:pPr>
    </w:p>
    <w:p w14:paraId="0F3047CD" w14:textId="48405A72" w:rsidR="00071343" w:rsidRDefault="00071343">
      <w:pPr>
        <w:pStyle w:val="Heading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B-</w:t>
      </w:r>
      <w:r w:rsidR="00632203">
        <w:rPr>
          <w:rFonts w:ascii="Calibri" w:eastAsia="Times New Roman" w:hAnsi="Calibri" w:cs="Calibri"/>
          <w:lang w:val="en"/>
        </w:rPr>
        <w:t>7</w:t>
      </w:r>
      <w:r>
        <w:rPr>
          <w:rFonts w:ascii="Calibri" w:eastAsia="Times New Roman" w:hAnsi="Calibri" w:cs="Calibri"/>
          <w:lang w:val="en"/>
        </w:rPr>
        <w:t xml:space="preserve"> · Unassigned account blocked (D-6) — AADSTS50105</w:t>
      </w:r>
    </w:p>
    <w:p w14:paraId="4A3F3C31" w14:textId="77777777" w:rsidR="00071343" w:rsidRDefault="00071343">
      <w:pPr>
        <w:pStyle w:val="cap"/>
        <w:rPr>
          <w:rFonts w:ascii="Calibri" w:hAnsi="Calibri" w:cs="Calibri"/>
          <w:lang w:val="en"/>
        </w:rPr>
      </w:pPr>
      <w:r>
        <w:rPr>
          <w:rFonts w:ascii="Calibri" w:hAnsi="Calibri" w:cs="Calibri"/>
          <w:lang w:val="en"/>
        </w:rPr>
        <w:t>Expected: Microsoft rejects an unassigned user before the app loads (error AADSTS50105).</w:t>
      </w:r>
    </w:p>
    <w:p w14:paraId="3365EFD8" w14:textId="05BB944B" w:rsidR="00632203" w:rsidRPr="00632203" w:rsidRDefault="00632203" w:rsidP="00632203">
      <w:pPr>
        <w:shd w:val="clear" w:color="auto" w:fill="F5F6F9"/>
        <w:spacing w:before="80" w:after="240"/>
        <w:jc w:val="center"/>
        <w:divId w:val="286666796"/>
        <w:rPr>
          <w:rFonts w:ascii="Calibri" w:eastAsia="Times New Roman" w:hAnsi="Calibri" w:cs="Calibri"/>
          <w:i/>
          <w:iCs/>
          <w:color w:val="6B7383"/>
          <w:sz w:val="22"/>
          <w:szCs w:val="22"/>
        </w:rPr>
      </w:pPr>
      <w:r w:rsidRPr="00632203">
        <w:rPr>
          <w:rFonts w:ascii="Calibri" w:eastAsia="Times New Roman" w:hAnsi="Calibri" w:cs="Calibri"/>
          <w:i/>
          <w:iCs/>
          <w:noProof/>
          <w:color w:val="6B7383"/>
          <w:sz w:val="22"/>
          <w:szCs w:val="22"/>
        </w:rPr>
        <w:drawing>
          <wp:inline distT="0" distB="0" distL="0" distR="0" wp14:anchorId="3EF40B65" wp14:editId="2F6E08BE">
            <wp:extent cx="5731510" cy="3632200"/>
            <wp:effectExtent l="0" t="0" r="2540" b="6350"/>
            <wp:docPr id="85174483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3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F510E5" w14:textId="68AEF640" w:rsidR="00071343" w:rsidRDefault="00071343">
      <w:pPr>
        <w:shd w:val="clear" w:color="auto" w:fill="F5F6F9"/>
        <w:jc w:val="center"/>
        <w:divId w:val="286666796"/>
        <w:rPr>
          <w:rFonts w:ascii="Calibri" w:eastAsia="Times New Roman" w:hAnsi="Calibri" w:cs="Calibri"/>
          <w:i/>
          <w:iCs/>
          <w:color w:val="6B7383"/>
          <w:sz w:val="22"/>
          <w:szCs w:val="22"/>
          <w:lang w:val="en"/>
        </w:rPr>
      </w:pPr>
    </w:p>
    <w:p w14:paraId="32960D04" w14:textId="4766836F" w:rsidR="00071343" w:rsidRDefault="00071343">
      <w:pPr>
        <w:pStyle w:val="Heading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B-</w:t>
      </w:r>
      <w:r w:rsidR="00632203">
        <w:rPr>
          <w:rFonts w:ascii="Calibri" w:eastAsia="Times New Roman" w:hAnsi="Calibri" w:cs="Calibri"/>
          <w:lang w:val="en"/>
        </w:rPr>
        <w:t>8</w:t>
      </w:r>
      <w:r>
        <w:rPr>
          <w:rFonts w:ascii="Calibri" w:eastAsia="Times New Roman" w:hAnsi="Calibri" w:cs="Calibri"/>
          <w:lang w:val="en"/>
        </w:rPr>
        <w:t xml:space="preserve"> · Session tokens present while signed in (D-7)</w:t>
      </w:r>
    </w:p>
    <w:p w14:paraId="417E149D" w14:textId="77777777" w:rsidR="00071343" w:rsidRDefault="00071343">
      <w:pPr>
        <w:pStyle w:val="cap"/>
        <w:rPr>
          <w:rFonts w:ascii="Calibri" w:hAnsi="Calibri" w:cs="Calibri"/>
          <w:lang w:val="en"/>
        </w:rPr>
      </w:pPr>
      <w:r>
        <w:rPr>
          <w:rFonts w:ascii="Calibri" w:hAnsi="Calibri" w:cs="Calibri"/>
          <w:lang w:val="en"/>
        </w:rPr>
        <w:t>Session Storage showing MSAL token entries while authenticated.</w:t>
      </w:r>
    </w:p>
    <w:p w14:paraId="197436FF" w14:textId="2A1DC0E6" w:rsidR="00632203" w:rsidRPr="00632203" w:rsidRDefault="00632203" w:rsidP="00632203">
      <w:pPr>
        <w:shd w:val="clear" w:color="auto" w:fill="F5F6F9"/>
        <w:spacing w:after="240"/>
        <w:jc w:val="center"/>
        <w:divId w:val="619337845"/>
        <w:rPr>
          <w:rFonts w:ascii="Calibri" w:eastAsia="Times New Roman" w:hAnsi="Calibri" w:cs="Calibri"/>
          <w:i/>
          <w:iCs/>
          <w:color w:val="6B7383"/>
          <w:sz w:val="22"/>
          <w:szCs w:val="22"/>
        </w:rPr>
      </w:pPr>
      <w:r w:rsidRPr="00632203">
        <w:rPr>
          <w:rFonts w:ascii="Calibri" w:eastAsia="Times New Roman" w:hAnsi="Calibri" w:cs="Calibri"/>
          <w:i/>
          <w:iCs/>
          <w:noProof/>
          <w:color w:val="6B7383"/>
          <w:sz w:val="22"/>
          <w:szCs w:val="22"/>
        </w:rPr>
        <w:drawing>
          <wp:inline distT="0" distB="0" distL="0" distR="0" wp14:anchorId="140185BC" wp14:editId="462976B8">
            <wp:extent cx="5731510" cy="2843530"/>
            <wp:effectExtent l="0" t="0" r="2540" b="0"/>
            <wp:docPr id="145333258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43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E9B3CA" w14:textId="1A6E82DF" w:rsidR="00071343" w:rsidRDefault="00071343">
      <w:pPr>
        <w:shd w:val="clear" w:color="auto" w:fill="F5F6F9"/>
        <w:jc w:val="center"/>
        <w:divId w:val="619337845"/>
        <w:rPr>
          <w:rFonts w:ascii="Calibri" w:eastAsia="Times New Roman" w:hAnsi="Calibri" w:cs="Calibri"/>
          <w:i/>
          <w:iCs/>
          <w:color w:val="6B7383"/>
          <w:sz w:val="22"/>
          <w:szCs w:val="22"/>
          <w:lang w:val="en"/>
        </w:rPr>
      </w:pPr>
    </w:p>
    <w:p w14:paraId="4CA2FD4F" w14:textId="1EDC84B7" w:rsidR="00071343" w:rsidRDefault="00071343">
      <w:pPr>
        <w:pStyle w:val="Heading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B-</w:t>
      </w:r>
      <w:r w:rsidR="00632203">
        <w:rPr>
          <w:rFonts w:ascii="Calibri" w:eastAsia="Times New Roman" w:hAnsi="Calibri" w:cs="Calibri"/>
          <w:lang w:val="en"/>
        </w:rPr>
        <w:t>9</w:t>
      </w:r>
      <w:r>
        <w:rPr>
          <w:rFonts w:ascii="Calibri" w:eastAsia="Times New Roman" w:hAnsi="Calibri" w:cs="Calibri"/>
          <w:lang w:val="en"/>
        </w:rPr>
        <w:t xml:space="preserve"> · Session tokens cleared after sign-out (D-7)</w:t>
      </w:r>
    </w:p>
    <w:p w14:paraId="23DCB0FE" w14:textId="77777777" w:rsidR="00071343" w:rsidRDefault="00071343">
      <w:pPr>
        <w:pStyle w:val="cap"/>
        <w:rPr>
          <w:rFonts w:ascii="Calibri" w:hAnsi="Calibri" w:cs="Calibri"/>
          <w:lang w:val="en"/>
        </w:rPr>
      </w:pPr>
      <w:r>
        <w:rPr>
          <w:rFonts w:ascii="Calibri" w:hAnsi="Calibri" w:cs="Calibri"/>
          <w:lang w:val="en"/>
        </w:rPr>
        <w:t>Expected: after sign-out, the app returns to the sign-in screen and Session Storage is empty.</w:t>
      </w:r>
    </w:p>
    <w:p w14:paraId="647ECC53" w14:textId="6D4913AC" w:rsidR="00071343" w:rsidRDefault="00632203">
      <w:pPr>
        <w:shd w:val="clear" w:color="auto" w:fill="F5F6F9"/>
        <w:jc w:val="center"/>
        <w:divId w:val="421342038"/>
        <w:rPr>
          <w:rFonts w:ascii="Calibri" w:eastAsia="Times New Roman" w:hAnsi="Calibri" w:cs="Calibri"/>
          <w:i/>
          <w:iCs/>
          <w:color w:val="6B7383"/>
          <w:sz w:val="22"/>
          <w:szCs w:val="22"/>
          <w:lang w:val="en"/>
        </w:rPr>
      </w:pPr>
      <w:r>
        <w:rPr>
          <w:noProof/>
        </w:rPr>
        <w:drawing>
          <wp:inline distT="0" distB="0" distL="0" distR="0" wp14:anchorId="481913AA" wp14:editId="0D938CF4">
            <wp:extent cx="5731510" cy="2146935"/>
            <wp:effectExtent l="0" t="0" r="2540" b="5715"/>
            <wp:docPr id="163165992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46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717400" w14:textId="77777777" w:rsidR="00071343" w:rsidRDefault="00071343">
      <w:pPr>
        <w:pStyle w:val="Heading2"/>
        <w:rPr>
          <w:rFonts w:eastAsia="Times New Roman" w:cs="Calibri"/>
          <w:lang w:val="en"/>
        </w:rPr>
      </w:pPr>
      <w:r>
        <w:rPr>
          <w:rFonts w:eastAsia="Times New Roman" w:cs="Calibri"/>
          <w:lang w:val="en"/>
        </w:rPr>
        <w:t>Appendix C — Scope, environment &amp; rules of engagement</w:t>
      </w:r>
    </w:p>
    <w:p w14:paraId="6E7C1AC2" w14:textId="77777777" w:rsidR="00071343" w:rsidRDefault="00071343">
      <w:pPr>
        <w:pStyle w:val="Heading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Authorization</w:t>
      </w:r>
    </w:p>
    <w:p w14:paraId="2A1B80EF" w14:textId="77777777" w:rsidR="00071343" w:rsidRDefault="00071343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Testing was performed by the delivering vendor (Madhanraj &amp; Naresh) as part of the application handover to GMR SSC, on infrastructure and accounts belonging to the project. </w:t>
      </w:r>
      <w:r>
        <w:rPr>
          <w:rStyle w:val="note1"/>
          <w:rFonts w:ascii="Calibri" w:hAnsi="Calibri" w:cs="Calibri"/>
          <w:lang w:val="en"/>
        </w:rPr>
        <w:t>(Adjust this statement to match your engagement's formal authorization.)</w:t>
      </w:r>
    </w:p>
    <w:p w14:paraId="7C2E1F6C" w14:textId="77777777" w:rsidR="00071343" w:rsidRDefault="00071343">
      <w:pPr>
        <w:pStyle w:val="Heading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Test window</w:t>
      </w:r>
    </w:p>
    <w:p w14:paraId="107860D5" w14:textId="77777777" w:rsidR="00071343" w:rsidRDefault="00071343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>11–13 July 2026.</w:t>
      </w:r>
    </w:p>
    <w:p w14:paraId="752782BF" w14:textId="77777777" w:rsidR="00071343" w:rsidRDefault="00071343">
      <w:pPr>
        <w:pStyle w:val="Heading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Environments tested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99"/>
        <w:gridCol w:w="5511"/>
      </w:tblGrid>
      <w:tr w:rsidR="00812890" w14:paraId="7914D829" w14:textId="77777777">
        <w:tc>
          <w:tcPr>
            <w:tcW w:w="0" w:type="auto"/>
            <w:tcBorders>
              <w:top w:val="single" w:sz="6" w:space="0" w:color="16395C"/>
              <w:left w:val="single" w:sz="6" w:space="0" w:color="16395C"/>
              <w:bottom w:val="single" w:sz="6" w:space="0" w:color="16395C"/>
              <w:right w:val="single" w:sz="6" w:space="0" w:color="16395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07CFE282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Assessment activity</w:t>
            </w:r>
          </w:p>
        </w:tc>
        <w:tc>
          <w:tcPr>
            <w:tcW w:w="0" w:type="auto"/>
            <w:tcBorders>
              <w:top w:val="single" w:sz="6" w:space="0" w:color="16395C"/>
              <w:left w:val="single" w:sz="6" w:space="0" w:color="16395C"/>
              <w:bottom w:val="single" w:sz="6" w:space="0" w:color="16395C"/>
              <w:right w:val="single" w:sz="6" w:space="0" w:color="16395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4D315849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Environment</w:t>
            </w:r>
          </w:p>
        </w:tc>
      </w:tr>
      <w:tr w:rsidR="00812890" w14:paraId="2D02F246" w14:textId="77777777"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FB58F76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Header scan (D-1), TLS scan (D-2), clickjacking (D-5), unassigned account (D-6), session handling (D-7)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34D715D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Production — https://victorious-desert-04521ca10.7.azurestaticapps.net/</w:t>
            </w:r>
          </w:p>
        </w:tc>
      </w:tr>
      <w:tr w:rsidR="00812890" w14:paraId="15C8078D" w14:textId="77777777"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5153A13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Automated dynamic scan (D-3/D-4/D-8/D-9) — Snyk API &amp; Web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A61D226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Staging — https://victorious-desert-04521ca10-staging.centralus.7.azurestaticapps.net/ (identical build to production)</w:t>
            </w:r>
          </w:p>
        </w:tc>
      </w:tr>
    </w:tbl>
    <w:p w14:paraId="104BB970" w14:textId="77777777" w:rsidR="00071343" w:rsidRDefault="00071343">
      <w:pPr>
        <w:pStyle w:val="Heading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Test accounts</w:t>
      </w:r>
    </w:p>
    <w:p w14:paraId="4415B1B0" w14:textId="77777777" w:rsidR="00071343" w:rsidRDefault="00071343">
      <w:pPr>
        <w:numPr>
          <w:ilvl w:val="0"/>
          <w:numId w:val="1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An 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n"/>
        </w:rPr>
        <w:t>assigned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Microsoft 365 test account (standard user) — for authenticated dashboard access.</w:t>
      </w:r>
    </w:p>
    <w:p w14:paraId="0F4E8907" w14:textId="77777777" w:rsidR="00071343" w:rsidRDefault="00071343">
      <w:pPr>
        <w:numPr>
          <w:ilvl w:val="0"/>
          <w:numId w:val="1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A separate 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n"/>
        </w:rPr>
        <w:t>unassigned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account — to confirm Entra blocks unauthorized sign-in (D-6).</w:t>
      </w:r>
    </w:p>
    <w:p w14:paraId="52EB8E16" w14:textId="77777777" w:rsidR="00071343" w:rsidRDefault="00071343">
      <w:pPr>
        <w:pStyle w:val="Heading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Out of scope</w:t>
      </w:r>
    </w:p>
    <w:p w14:paraId="31B6B2D7" w14:textId="375A8B74" w:rsidR="00071343" w:rsidRDefault="00071343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Microsoft Entra ID, Microsoft Graph, SharePoint Online, the Azure Static Web Apps </w:t>
      </w:r>
      <w:r w:rsidR="001B4B60">
        <w:rPr>
          <w:rFonts w:ascii="Calibri" w:hAnsi="Calibri" w:cs="Calibri"/>
          <w:color w:val="1A1A1A"/>
          <w:sz w:val="22"/>
          <w:szCs w:val="22"/>
          <w:lang w:val="en"/>
        </w:rPr>
        <w:t>platform internals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— these are third-party services covered by their providers' own assurance programmes.</w:t>
      </w:r>
    </w:p>
    <w:p w14:paraId="48F7BB92" w14:textId="77777777" w:rsidR="00071343" w:rsidRDefault="00071343">
      <w:pPr>
        <w:pStyle w:val="Heading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Rules of engagement</w:t>
      </w:r>
    </w:p>
    <w:p w14:paraId="62E3A53B" w14:textId="77777777" w:rsidR="00071343" w:rsidRDefault="00071343">
      <w:pPr>
        <w:numPr>
          <w:ilvl w:val="0"/>
          <w:numId w:val="2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Non-destructive testing only; no denial-of-service or load/stress testing.</w:t>
      </w:r>
    </w:p>
    <w:p w14:paraId="5246B66D" w14:textId="77777777" w:rsidR="00071343" w:rsidRDefault="00071343">
      <w:pPr>
        <w:numPr>
          <w:ilvl w:val="0"/>
          <w:numId w:val="2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No manual exploitation was performed.</w:t>
      </w:r>
    </w:p>
    <w:p w14:paraId="7DD1664F" w14:textId="77777777" w:rsidR="00071343" w:rsidRDefault="00071343">
      <w:pPr>
        <w:numPr>
          <w:ilvl w:val="0"/>
          <w:numId w:val="2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Testing used non-production / synthetic data where applicable.</w:t>
      </w:r>
    </w:p>
    <w:p w14:paraId="654EE86C" w14:textId="77777777" w:rsidR="00071343" w:rsidRDefault="00071343">
      <w:pPr>
        <w:pStyle w:val="Heading2"/>
        <w:rPr>
          <w:rFonts w:eastAsia="Times New Roman" w:cs="Calibri"/>
          <w:lang w:val="en"/>
        </w:rPr>
      </w:pPr>
      <w:r>
        <w:rPr>
          <w:rFonts w:eastAsia="Times New Roman" w:cs="Calibri"/>
          <w:lang w:val="en"/>
        </w:rPr>
        <w:t>Appendix D — Limitations &amp; disclaimer</w:t>
      </w:r>
    </w:p>
    <w:p w14:paraId="1F375DAA" w14:textId="77777777" w:rsidR="00071343" w:rsidRDefault="00071343">
      <w:pPr>
        <w:numPr>
          <w:ilvl w:val="0"/>
          <w:numId w:val="3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n"/>
        </w:rPr>
        <w:t>Vendor self-assessment.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This assessment was performed by the delivering party using commercial tooling; it is 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n"/>
        </w:rPr>
        <w:t>not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an independent third-party penetration test. If GMR SSC's policy requires accredited independent testing, this report serves as supporting due-diligence evidence.</w:t>
      </w:r>
    </w:p>
    <w:p w14:paraId="2A1101D9" w14:textId="77777777" w:rsidR="00071343" w:rsidRDefault="00071343">
      <w:pPr>
        <w:numPr>
          <w:ilvl w:val="0"/>
          <w:numId w:val="3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n"/>
        </w:rPr>
        <w:t>Unauthenticated dynamic scan.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The automated DAST (Snyk API &amp; Web) was run unauthenticated and therefore assessed the public / pre-login surface. The authenticated dashboard area was verified with targeted manual checks (D-5, D-6, D-7), not automated crawling.</w:t>
      </w:r>
    </w:p>
    <w:p w14:paraId="6980B96C" w14:textId="77777777" w:rsidR="00071343" w:rsidRDefault="00071343">
      <w:pPr>
        <w:numPr>
          <w:ilvl w:val="0"/>
          <w:numId w:val="3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n"/>
        </w:rPr>
        <w:t>No manual exploitation.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Findings are based on manual code review, SAST, SCA, automated DAST, and manual verification — no exploitation of identified conditions was attempted.</w:t>
      </w:r>
    </w:p>
    <w:p w14:paraId="0A564B0A" w14:textId="77777777" w:rsidR="00071343" w:rsidRDefault="00071343">
      <w:pPr>
        <w:numPr>
          <w:ilvl w:val="0"/>
          <w:numId w:val="3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n"/>
        </w:rPr>
        <w:t>Point-in-time.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Results reflect the application state during 11–13 July 2026 (version 1.0.0, commit 2978384). Any subsequent code, dependency, or configuration change should be re-assessed.</w:t>
      </w:r>
    </w:p>
    <w:p w14:paraId="2B897A34" w14:textId="77777777" w:rsidR="00071343" w:rsidRDefault="00071343">
      <w:pPr>
        <w:numPr>
          <w:ilvl w:val="0"/>
          <w:numId w:val="3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n"/>
        </w:rPr>
        <w:t>Application scope only.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Microsoft and Google services are out of scope and were not tested.</w:t>
      </w:r>
    </w:p>
    <w:p w14:paraId="5421DFE0" w14:textId="77777777" w:rsidR="00071343" w:rsidRDefault="00071343">
      <w:pPr>
        <w:numPr>
          <w:ilvl w:val="0"/>
          <w:numId w:val="3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n"/>
        </w:rPr>
        <w:t>No absolute assurance.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Security testing reduces but cannot eliminate risk; the absence of findings is not a guarantee of absolute security.</w:t>
      </w:r>
    </w:p>
    <w:p w14:paraId="32967D0D" w14:textId="77777777" w:rsidR="00071343" w:rsidRDefault="00071343">
      <w:pPr>
        <w:numPr>
          <w:ilvl w:val="0"/>
          <w:numId w:val="3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n"/>
        </w:rPr>
        <w:t>Confidentiality.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This document and the main report contain security-relevant information and should be handled as Confidential.</w:t>
      </w:r>
    </w:p>
    <w:p w14:paraId="52482C0C" w14:textId="77777777" w:rsidR="00071343" w:rsidRDefault="00071343">
      <w:pPr>
        <w:pStyle w:val="Heading2"/>
        <w:rPr>
          <w:rFonts w:eastAsia="Times New Roman" w:cs="Calibri"/>
          <w:lang w:val="en"/>
        </w:rPr>
      </w:pPr>
      <w:r>
        <w:rPr>
          <w:rFonts w:eastAsia="Times New Roman" w:cs="Calibri"/>
          <w:lang w:val="en"/>
        </w:rPr>
        <w:t>Appendix E — Glossary &amp; references</w:t>
      </w:r>
    </w:p>
    <w:p w14:paraId="35CE9769" w14:textId="77777777" w:rsidR="00071343" w:rsidRDefault="00071343">
      <w:pPr>
        <w:pStyle w:val="Heading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Glossary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4"/>
        <w:gridCol w:w="7816"/>
      </w:tblGrid>
      <w:tr w:rsidR="00812890" w14:paraId="0B0A2167" w14:textId="77777777">
        <w:tc>
          <w:tcPr>
            <w:tcW w:w="0" w:type="auto"/>
            <w:tcBorders>
              <w:top w:val="single" w:sz="6" w:space="0" w:color="16395C"/>
              <w:left w:val="single" w:sz="6" w:space="0" w:color="16395C"/>
              <w:bottom w:val="single" w:sz="6" w:space="0" w:color="16395C"/>
              <w:right w:val="single" w:sz="6" w:space="0" w:color="16395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519362D2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Term</w:t>
            </w:r>
          </w:p>
        </w:tc>
        <w:tc>
          <w:tcPr>
            <w:tcW w:w="0" w:type="auto"/>
            <w:tcBorders>
              <w:top w:val="single" w:sz="6" w:space="0" w:color="16395C"/>
              <w:left w:val="single" w:sz="6" w:space="0" w:color="16395C"/>
              <w:bottom w:val="single" w:sz="6" w:space="0" w:color="16395C"/>
              <w:right w:val="single" w:sz="6" w:space="0" w:color="16395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1E42FDAA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Meaning</w:t>
            </w:r>
          </w:p>
        </w:tc>
      </w:tr>
      <w:tr w:rsidR="00812890" w14:paraId="7D9D38FB" w14:textId="77777777"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EB01A34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SAST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4E9EFB1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Static Application Security Testing — analysis of source code.</w:t>
            </w:r>
          </w:p>
        </w:tc>
      </w:tr>
      <w:tr w:rsidR="00812890" w14:paraId="721FCB1E" w14:textId="77777777"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39FF3AA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DAST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A538B9C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Dynamic Application Security Testing — testing the running application.</w:t>
            </w:r>
          </w:p>
        </w:tc>
      </w:tr>
      <w:tr w:rsidR="00812890" w14:paraId="48508676" w14:textId="77777777"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8C02A05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SCA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F18DFDB" w14:textId="7C22F181" w:rsidR="00071343" w:rsidRDefault="0007134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Software Composition Analysis </w:t>
            </w:r>
          </w:p>
        </w:tc>
      </w:tr>
      <w:tr w:rsidR="00812890" w14:paraId="702F5784" w14:textId="77777777"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44335A8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CSP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16E513D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Content-Security-Policy — HTTP header restricting what the browser may load/execute.</w:t>
            </w:r>
          </w:p>
        </w:tc>
      </w:tr>
      <w:tr w:rsidR="00812890" w14:paraId="6A369D9F" w14:textId="77777777"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33D524B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PKCE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28B0474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Proof Key for Code Exchange — secures the OAuth Authorization Code flow for public clients.</w:t>
            </w:r>
          </w:p>
        </w:tc>
      </w:tr>
      <w:tr w:rsidR="00812890" w14:paraId="4A9301D3" w14:textId="77777777"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C49C18A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MSAL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492B0BC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Microsoft Authentication Library — used for Microsoft Entra sign-in.</w:t>
            </w:r>
          </w:p>
        </w:tc>
      </w:tr>
      <w:tr w:rsidR="00812890" w14:paraId="20B141EB" w14:textId="77777777"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4B9DA37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HSTS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8F52C4C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HTTP Strict Transport Security — forces HTTPS.</w:t>
            </w:r>
          </w:p>
        </w:tc>
      </w:tr>
      <w:tr w:rsidR="00812890" w14:paraId="20FD99C3" w14:textId="77777777"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B3A93D6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COOP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1464CD0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Cross-Origin-Opener-Policy — isolates the browsing context.</w:t>
            </w:r>
          </w:p>
        </w:tc>
      </w:tr>
      <w:tr w:rsidR="00812890" w14:paraId="2CB6E5EE" w14:textId="77777777"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C008B48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XSS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BEC20E5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Cross-Site Scripting — injection of malicious script into a page.</w:t>
            </w:r>
          </w:p>
        </w:tc>
      </w:tr>
      <w:tr w:rsidR="00812890" w14:paraId="3886BF7B" w14:textId="77777777"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F9FB54C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CVSS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CFB1CA5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Common Vulnerability Scoring System — standard severity scoring (v3.x).</w:t>
            </w:r>
          </w:p>
        </w:tc>
      </w:tr>
      <w:tr w:rsidR="00812890" w14:paraId="1B49F9B3" w14:textId="77777777"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46CADD9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SPA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8562157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Single-Page Application — a browser-only web app with no backend.</w:t>
            </w:r>
          </w:p>
        </w:tc>
      </w:tr>
      <w:tr w:rsidR="00812890" w14:paraId="4363424F" w14:textId="77777777"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FFCFB80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Entra ID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7495589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Microsoft Entra ID (formerly Azure Active Directory) — identity provider.</w:t>
            </w:r>
          </w:p>
        </w:tc>
      </w:tr>
      <w:tr w:rsidR="00812890" w14:paraId="5C8A27D6" w14:textId="77777777"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1F3ACDC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Graph API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C3B5DCD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Microsoft Graph — API used to read the SharePoint workbook.</w:t>
            </w:r>
          </w:p>
        </w:tc>
      </w:tr>
      <w:tr w:rsidR="00812890" w14:paraId="655C48DC" w14:textId="77777777"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B271695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FMEA / RPN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59A23CC" w14:textId="77777777" w:rsidR="00071343" w:rsidRDefault="0007134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Failure Mode &amp; Effects Analysis / Risk Priority Number — the risk-register model shown by the dashboard.</w:t>
            </w:r>
          </w:p>
        </w:tc>
      </w:tr>
    </w:tbl>
    <w:p w14:paraId="20641483" w14:textId="77777777" w:rsidR="00071343" w:rsidRDefault="00071343">
      <w:pPr>
        <w:pStyle w:val="Heading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References &amp; standards</w:t>
      </w:r>
    </w:p>
    <w:p w14:paraId="3A73B158" w14:textId="77777777" w:rsidR="00071343" w:rsidRDefault="00071343">
      <w:pPr>
        <w:numPr>
          <w:ilvl w:val="0"/>
          <w:numId w:val="4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OWASP Top 10 (2021) — https://owasp.org/Top10/</w:t>
      </w:r>
    </w:p>
    <w:p w14:paraId="036748F3" w14:textId="77777777" w:rsidR="00071343" w:rsidRDefault="00071343">
      <w:pPr>
        <w:numPr>
          <w:ilvl w:val="0"/>
          <w:numId w:val="4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OWASP Web Security Testing Guide (WSTG) — https://owasp.org/www-project-web-security-testing-guide/</w:t>
      </w:r>
    </w:p>
    <w:p w14:paraId="2C664CCC" w14:textId="77777777" w:rsidR="00071343" w:rsidRDefault="00071343">
      <w:pPr>
        <w:numPr>
          <w:ilvl w:val="0"/>
          <w:numId w:val="4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OWASP Application Security Verification Standard (ASVS) — https://owasp.org/www-project-application-security-verification-standard/</w:t>
      </w:r>
    </w:p>
    <w:p w14:paraId="6B9D02A0" w14:textId="77777777" w:rsidR="00071343" w:rsidRDefault="00071343">
      <w:pPr>
        <w:numPr>
          <w:ilvl w:val="0"/>
          <w:numId w:val="4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CVSS v3.1 Specification — https://www.first.org/cvss/v3-1/specification-document</w:t>
      </w:r>
    </w:p>
    <w:p w14:paraId="017AB023" w14:textId="77777777" w:rsidR="00071343" w:rsidRDefault="00071343">
      <w:pPr>
        <w:numPr>
          <w:ilvl w:val="0"/>
          <w:numId w:val="4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Snyk (Snyk Code, Snyk Open Source, Snyk API &amp; Web) — https://snyk.io</w:t>
      </w:r>
    </w:p>
    <w:p w14:paraId="5AC3D381" w14:textId="5EB62AC4" w:rsidR="00071343" w:rsidRDefault="00071343">
      <w:pPr>
        <w:pStyle w:val="note"/>
        <w:spacing w:before="320" w:after="80"/>
        <w:rPr>
          <w:rFonts w:ascii="Calibri" w:hAnsi="Calibri" w:cs="Calibri"/>
          <w:lang w:val="en"/>
        </w:rPr>
      </w:pPr>
      <w:r>
        <w:rPr>
          <w:rFonts w:ascii="Calibri" w:hAnsi="Calibri" w:cs="Calibri"/>
          <w:lang w:val="en"/>
        </w:rPr>
        <w:t>End of Appendices. This document is a companion to the VAPT Secureport v1.0 and shares its Confidential classification.</w:t>
      </w:r>
    </w:p>
    <w:sectPr w:rsidR="0007134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FB5AF1"/>
    <w:multiLevelType w:val="multilevel"/>
    <w:tmpl w:val="4BC4F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A4F0EF4"/>
    <w:multiLevelType w:val="multilevel"/>
    <w:tmpl w:val="66EE3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4754DE6"/>
    <w:multiLevelType w:val="multilevel"/>
    <w:tmpl w:val="481CC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6376C74"/>
    <w:multiLevelType w:val="multilevel"/>
    <w:tmpl w:val="B5367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6463701">
    <w:abstractNumId w:val="1"/>
  </w:num>
  <w:num w:numId="2" w16cid:durableId="179439485">
    <w:abstractNumId w:val="0"/>
  </w:num>
  <w:num w:numId="3" w16cid:durableId="1920365607">
    <w:abstractNumId w:val="3"/>
  </w:num>
  <w:num w:numId="4" w16cid:durableId="212607290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568B"/>
    <w:rsid w:val="00071343"/>
    <w:rsid w:val="000A3393"/>
    <w:rsid w:val="001B4B60"/>
    <w:rsid w:val="00443A18"/>
    <w:rsid w:val="004C4A12"/>
    <w:rsid w:val="00632203"/>
    <w:rsid w:val="00685291"/>
    <w:rsid w:val="006F35F0"/>
    <w:rsid w:val="00812890"/>
    <w:rsid w:val="00B2568B"/>
    <w:rsid w:val="00C62CDB"/>
    <w:rsid w:val="00D53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D214A6"/>
  <w15:chartTrackingRefBased/>
  <w15:docId w15:val="{F5595822-7B34-45BD-B469-A76042E0CF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after="40"/>
      <w:outlineLvl w:val="0"/>
    </w:pPr>
    <w:rPr>
      <w:rFonts w:ascii="Georgia" w:hAnsi="Georgia"/>
      <w:b/>
      <w:bCs/>
      <w:color w:val="1F4E79"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pPr>
      <w:pBdr>
        <w:bottom w:val="single" w:sz="12" w:space="3" w:color="1F4E79"/>
      </w:pBdr>
      <w:spacing w:before="440" w:after="100" w:afterAutospacing="1"/>
      <w:outlineLvl w:val="1"/>
    </w:pPr>
    <w:rPr>
      <w:rFonts w:ascii="Georgia" w:hAnsi="Georgia"/>
      <w:b/>
      <w:bCs/>
      <w:color w:val="1F4E79"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spacing w:before="240" w:after="60"/>
      <w:outlineLvl w:val="2"/>
    </w:pPr>
    <w:rPr>
      <w:b/>
      <w:bCs/>
      <w:color w:val="1A1A1A"/>
      <w:sz w:val="23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9"/>
      <w:szCs w:val="19"/>
      <w:shd w:val="clear" w:color="auto" w:fill="F2F3F5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customStyle="1" w:styleId="msonormal0">
    <w:name w:val="msonormal"/>
    <w:basedOn w:val="Normal"/>
    <w:pPr>
      <w:spacing w:before="80" w:after="80"/>
    </w:pPr>
  </w:style>
  <w:style w:type="paragraph" w:styleId="NormalWeb">
    <w:name w:val="Normal (Web)"/>
    <w:basedOn w:val="Normal"/>
    <w:uiPriority w:val="99"/>
    <w:semiHidden/>
    <w:unhideWhenUsed/>
    <w:pPr>
      <w:spacing w:before="80" w:after="80"/>
    </w:pPr>
  </w:style>
  <w:style w:type="paragraph" w:customStyle="1" w:styleId="classification">
    <w:name w:val="classification"/>
    <w:basedOn w:val="Normal"/>
    <w:pPr>
      <w:spacing w:before="40" w:after="40"/>
    </w:pPr>
    <w:rPr>
      <w:b/>
      <w:bCs/>
      <w:color w:val="C2410C"/>
      <w:spacing w:val="20"/>
      <w:sz w:val="18"/>
      <w:szCs w:val="18"/>
    </w:rPr>
  </w:style>
  <w:style w:type="paragraph" w:customStyle="1" w:styleId="ph">
    <w:name w:val="ph"/>
    <w:basedOn w:val="Normal"/>
    <w:pPr>
      <w:pBdr>
        <w:top w:val="dashed" w:sz="8" w:space="31" w:color="9AA3B2"/>
        <w:left w:val="dashed" w:sz="8" w:space="12" w:color="9AA3B2"/>
        <w:bottom w:val="dashed" w:sz="8" w:space="31" w:color="9AA3B2"/>
        <w:right w:val="dashed" w:sz="8" w:space="12" w:color="9AA3B2"/>
      </w:pBdr>
      <w:shd w:val="clear" w:color="auto" w:fill="F5F6F9"/>
      <w:spacing w:before="80" w:after="240"/>
      <w:jc w:val="center"/>
    </w:pPr>
    <w:rPr>
      <w:i/>
      <w:iCs/>
      <w:color w:val="6B7383"/>
    </w:rPr>
  </w:style>
  <w:style w:type="paragraph" w:customStyle="1" w:styleId="cap">
    <w:name w:val="cap"/>
    <w:basedOn w:val="Normal"/>
    <w:pPr>
      <w:spacing w:before="40" w:after="40"/>
    </w:pPr>
    <w:rPr>
      <w:color w:val="5C6472"/>
      <w:sz w:val="19"/>
      <w:szCs w:val="19"/>
    </w:rPr>
  </w:style>
  <w:style w:type="paragraph" w:customStyle="1" w:styleId="note">
    <w:name w:val="note"/>
    <w:basedOn w:val="Normal"/>
    <w:pPr>
      <w:spacing w:before="40" w:after="40"/>
    </w:pPr>
    <w:rPr>
      <w:i/>
      <w:iCs/>
      <w:color w:val="5C6472"/>
      <w:sz w:val="19"/>
      <w:szCs w:val="19"/>
    </w:rPr>
  </w:style>
  <w:style w:type="character" w:customStyle="1" w:styleId="note1">
    <w:name w:val="note1"/>
    <w:basedOn w:val="DefaultParagraphFont"/>
    <w:rPr>
      <w:i/>
      <w:iCs/>
      <w:color w:val="5C6472"/>
      <w:sz w:val="19"/>
      <w:szCs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772626">
      <w:marLeft w:val="0"/>
      <w:marRight w:val="0"/>
      <w:marTop w:val="80"/>
      <w:marBottom w:val="240"/>
      <w:divBdr>
        <w:top w:val="dashed" w:sz="8" w:space="31" w:color="9AA3B2"/>
        <w:left w:val="dashed" w:sz="8" w:space="12" w:color="9AA3B2"/>
        <w:bottom w:val="dashed" w:sz="8" w:space="31" w:color="9AA3B2"/>
        <w:right w:val="dashed" w:sz="8" w:space="12" w:color="9AA3B2"/>
      </w:divBdr>
    </w:div>
    <w:div w:id="286666796">
      <w:marLeft w:val="0"/>
      <w:marRight w:val="0"/>
      <w:marTop w:val="80"/>
      <w:marBottom w:val="240"/>
      <w:divBdr>
        <w:top w:val="dashed" w:sz="8" w:space="31" w:color="9AA3B2"/>
        <w:left w:val="dashed" w:sz="8" w:space="12" w:color="9AA3B2"/>
        <w:bottom w:val="dashed" w:sz="8" w:space="31" w:color="9AA3B2"/>
        <w:right w:val="dashed" w:sz="8" w:space="12" w:color="9AA3B2"/>
      </w:divBdr>
    </w:div>
    <w:div w:id="371005133">
      <w:marLeft w:val="0"/>
      <w:marRight w:val="0"/>
      <w:marTop w:val="80"/>
      <w:marBottom w:val="240"/>
      <w:divBdr>
        <w:top w:val="dashed" w:sz="8" w:space="31" w:color="9AA3B2"/>
        <w:left w:val="dashed" w:sz="8" w:space="12" w:color="9AA3B2"/>
        <w:bottom w:val="dashed" w:sz="8" w:space="31" w:color="9AA3B2"/>
        <w:right w:val="dashed" w:sz="8" w:space="12" w:color="9AA3B2"/>
      </w:divBdr>
    </w:div>
    <w:div w:id="421342038">
      <w:marLeft w:val="0"/>
      <w:marRight w:val="0"/>
      <w:marTop w:val="80"/>
      <w:marBottom w:val="240"/>
      <w:divBdr>
        <w:top w:val="dashed" w:sz="8" w:space="31" w:color="9AA3B2"/>
        <w:left w:val="dashed" w:sz="8" w:space="12" w:color="9AA3B2"/>
        <w:bottom w:val="dashed" w:sz="8" w:space="31" w:color="9AA3B2"/>
        <w:right w:val="dashed" w:sz="8" w:space="12" w:color="9AA3B2"/>
      </w:divBdr>
    </w:div>
    <w:div w:id="619337845">
      <w:marLeft w:val="0"/>
      <w:marRight w:val="0"/>
      <w:marTop w:val="80"/>
      <w:marBottom w:val="240"/>
      <w:divBdr>
        <w:top w:val="dashed" w:sz="8" w:space="31" w:color="9AA3B2"/>
        <w:left w:val="dashed" w:sz="8" w:space="12" w:color="9AA3B2"/>
        <w:bottom w:val="dashed" w:sz="8" w:space="31" w:color="9AA3B2"/>
        <w:right w:val="dashed" w:sz="8" w:space="12" w:color="9AA3B2"/>
      </w:divBdr>
    </w:div>
    <w:div w:id="1015695177">
      <w:marLeft w:val="0"/>
      <w:marRight w:val="0"/>
      <w:marTop w:val="80"/>
      <w:marBottom w:val="240"/>
      <w:divBdr>
        <w:top w:val="dashed" w:sz="8" w:space="31" w:color="9AA3B2"/>
        <w:left w:val="dashed" w:sz="8" w:space="12" w:color="9AA3B2"/>
        <w:bottom w:val="dashed" w:sz="8" w:space="31" w:color="9AA3B2"/>
        <w:right w:val="dashed" w:sz="8" w:space="12" w:color="9AA3B2"/>
      </w:divBdr>
    </w:div>
    <w:div w:id="1023168556">
      <w:marLeft w:val="0"/>
      <w:marRight w:val="0"/>
      <w:marTop w:val="80"/>
      <w:marBottom w:val="240"/>
      <w:divBdr>
        <w:top w:val="dashed" w:sz="8" w:space="31" w:color="9AA3B2"/>
        <w:left w:val="dashed" w:sz="8" w:space="12" w:color="9AA3B2"/>
        <w:bottom w:val="dashed" w:sz="8" w:space="31" w:color="9AA3B2"/>
        <w:right w:val="dashed" w:sz="8" w:space="12" w:color="9AA3B2"/>
      </w:divBdr>
    </w:div>
    <w:div w:id="1368947818">
      <w:marLeft w:val="0"/>
      <w:marRight w:val="0"/>
      <w:marTop w:val="80"/>
      <w:marBottom w:val="240"/>
      <w:divBdr>
        <w:top w:val="dashed" w:sz="8" w:space="31" w:color="9AA3B2"/>
        <w:left w:val="dashed" w:sz="8" w:space="12" w:color="9AA3B2"/>
        <w:bottom w:val="dashed" w:sz="8" w:space="31" w:color="9AA3B2"/>
        <w:right w:val="dashed" w:sz="8" w:space="12" w:color="9AA3B2"/>
      </w:divBdr>
    </w:div>
    <w:div w:id="1493525775">
      <w:marLeft w:val="0"/>
      <w:marRight w:val="0"/>
      <w:marTop w:val="80"/>
      <w:marBottom w:val="240"/>
      <w:divBdr>
        <w:top w:val="dashed" w:sz="8" w:space="31" w:color="9AA3B2"/>
        <w:left w:val="dashed" w:sz="8" w:space="12" w:color="9AA3B2"/>
        <w:bottom w:val="dashed" w:sz="8" w:space="31" w:color="9AA3B2"/>
        <w:right w:val="dashed" w:sz="8" w:space="12" w:color="9AA3B2"/>
      </w:divBdr>
    </w:div>
    <w:div w:id="1846049023">
      <w:marLeft w:val="0"/>
      <w:marRight w:val="0"/>
      <w:marTop w:val="80"/>
      <w:marBottom w:val="240"/>
      <w:divBdr>
        <w:top w:val="dashed" w:sz="8" w:space="31" w:color="9AA3B2"/>
        <w:left w:val="dashed" w:sz="8" w:space="12" w:color="9AA3B2"/>
        <w:bottom w:val="dashed" w:sz="8" w:space="31" w:color="9AA3B2"/>
        <w:right w:val="dashed" w:sz="8" w:space="12" w:color="9AA3B2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3</Pages>
  <Words>1078</Words>
  <Characters>6145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VAPT Report — Appendices — GMR Sunrise Dashboard</vt:lpstr>
    </vt:vector>
  </TitlesOfParts>
  <Company/>
  <LinksUpToDate>false</LinksUpToDate>
  <CharactersWithSpaces>7209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VAPT Report — Appendices — GMR Sunrise Dashboard</dc:title>
  <dc:subject/>
  <dc:creator>Madhanraj C</dc:creator>
  <cp:keywords/>
  <dc:description/>
  <cp:lastModifiedBy>Madhanraj C</cp:lastModifiedBy>
  <cp:revision>5</cp:revision>
  <dcterms:created xsi:type="dcterms:W3CDTF">2026-07-13T11:07:00Z</dcterms:created>
  <dcterms:modified xsi:type="dcterms:W3CDTF">2026-07-13T12:06:00Z</dcterms:modified>
</cp:coreProperties>
</file>