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Alt Mobility Data Analyst Assignment: Summary of Findings</w:t>
      </w:r>
    </w:p>
    <w:p>
      <w:pPr>
        <w:pStyle w:val="Heading1"/>
      </w:pPr>
      <w:r>
        <w:t>1. Key Insights from SQL Queries</w:t>
      </w:r>
    </w:p>
    <w:p>
      <w:r>
        <w:t>- Total Orders: 15,000</w:t>
        <w:br/>
        <w:t>- Unique Customers: 7,334</w:t>
        <w:br/>
        <w:t>- Repeat Customers: 4,402 (~60%)</w:t>
        <w:br/>
        <w:t>- Orders with Completed Payments: 4,267 (28.45%)</w:t>
        <w:br/>
        <w:t>- Orders with Failed Payments: 4,263 (28.42%)</w:t>
        <w:br/>
        <w:t>- Total Revenue (Completed Payments): ₹12.57 Lakhs</w:t>
        <w:br/>
        <w:t>- Revenue Lost (Failed Payments): ₹12.73 Lakhs</w:t>
        <w:br/>
      </w:r>
    </w:p>
    <w:p>
      <w:pPr>
        <w:pStyle w:val="Heading1"/>
      </w:pPr>
      <w:r>
        <w:t>2. Customer Retention Analysis</w:t>
      </w:r>
    </w:p>
    <w:p>
      <w:r>
        <w:t>The cohort analysis visualizes how many customers, grouped by their first order month (cohort), made repeat purchases in subsequent months. Each row represents a cohort and each column shows the percentage of that cohort who placed an order in the given month.</w:t>
        <w:br/>
        <w:br/>
        <w:t>Insights from Power BI Cohort Matrix:</w:t>
        <w:br/>
        <w:t>- Retention drops after the first year across most cohorts.</w:t>
        <w:br/>
        <w:t>- 2020 and 2021 cohorts show solid multi-year engagement.</w:t>
        <w:br/>
        <w:t>- Recent cohorts (2023–2024) are showing early promise and should be targeted for loyalty building.</w:t>
      </w:r>
    </w:p>
    <w:p>
      <w:pPr>
        <w:pStyle w:val="Heading1"/>
      </w:pPr>
      <w:r>
        <w:t>3. Recommendations for Alt Mobility</w:t>
      </w:r>
    </w:p>
    <w:p>
      <w:r>
        <w:t>- Address the high payment failure rate, especially for credit card and PayPal users.</w:t>
        <w:br/>
        <w:t>- Create targeted re-engagement campaigns at the 2nd and 3rd month post-first-order.</w:t>
        <w:br/>
        <w:t>- Incentivize repeat orders through loyalty programs or reminders around peak retention months.</w:t>
        <w:br/>
        <w:t>- Analyze high-retention cohorts (e.g., 2020–2021) for patterns that can be replicated.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