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Pre-registered joint test of size generalization and disruption robustness</w:t>
      </w:r>
    </w:p>
    <w:p>
      <w:pPr>
        <w:numPr>
          <w:ilvl w:val="0"/>
          <w:numId w:val="1001"/>
        </w:numPr>
        <w:pStyle w:val="Compact"/>
      </w:pPr>
      <w:r>
        <w:t xml:space="preserve">GNN-PPO policy keeps its rank on instances up to 3x the training size</w:t>
      </w:r>
    </w:p>
    <w:p>
      <w:pPr>
        <w:numPr>
          <w:ilvl w:val="0"/>
          <w:numId w:val="1001"/>
        </w:numPr>
        <w:pStyle w:val="Compact"/>
      </w:pPr>
      <w:r>
        <w:t xml:space="preserve">The policy is less robust than dispatching rules in all nine disruption regimes</w:t>
      </w:r>
    </w:p>
    <w:p>
      <w:pPr>
        <w:numPr>
          <w:ilvl w:val="0"/>
          <w:numId w:val="1001"/>
        </w:numPr>
        <w:pStyle w:val="Compact"/>
      </w:pPr>
      <w:r>
        <w:t xml:space="preserve">A disruption-aware reward penalty collapses nominal performance by 47-106 pp</w:t>
      </w:r>
    </w:p>
    <w:p>
      <w:pPr>
        <w:numPr>
          <w:ilvl w:val="0"/>
          <w:numId w:val="1001"/>
        </w:numPr>
        <w:pStyle w:val="Compact"/>
      </w:pPr>
      <w:r>
        <w:t xml:space="preserve">Size generalization and robustness are separable properties of DRL schedulers</w:t>
      </w:r>
    </w:p>
    <w:bookmarkEnd w:id="20"/>
    <w:sectPr>
      <w:footerReference w:type="default" r:id="rId9"/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425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  <w:ind w:firstLine="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left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  <w:jc w:val="both"/>
    </w:pPr>
    <w:rPr>
      <w:rFonts w:ascii="Times New Roman" w:cs="Times New Roman" w:eastAsia="Times New Roman" w:hAnsi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jc w:val="left"/>
      <w:outlineLvl w:val="0"/>
    </w:pPr>
    <w:rPr>
      <w:rFonts w:ascii="Times New Roman" w:cs="Times New Roman" w:eastAsia="Times New Roman" w:hAnsi="Times New Roman"/>
      <w:b/>
      <w:bCs/>
      <w:i w:val="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jc w:val="left"/>
      <w:outlineLvl w:val="1"/>
    </w:pPr>
    <w:rPr>
      <w:rFonts w:ascii="Times New Roman" w:cs="Times New Roman" w:eastAsia="Times New Roman" w:hAnsi="Times New Roman"/>
      <w:b/>
      <w:bCs/>
      <w:i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jc w:val="left"/>
      <w:outlineLvl w:val="2"/>
    </w:pPr>
    <w:rPr>
      <w:rFonts w:ascii="Times New Roman" w:cs="Times New Roman" w:eastAsia="Times New Roman" w:hAnsi="Times New Roman"/>
      <w:b/>
      <w:bCs/>
      <w:i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  <w:spacing w:line="360" w:lineRule="auto"/>
      <w:jc w:val="left"/>
    </w:pPr>
    <w:rPr>
      <w:rFonts w:ascii="Times New Roman" w:cs="Times New Roman" w:eastAsia="Times New Roman" w:hAnsi="Times New Roman"/>
      <w:i w:val="0"/>
      <w:sz w:val="22"/>
    </w:rPr>
  </w:style>
  <w:style w:customStyle="1" w:styleId="ImageCaption" w:type="paragraph">
    <w:name w:val="Image Caption"/>
    <w:basedOn w:val="Caption"/>
    <w:pPr>
      <w:spacing w:line="360" w:lineRule="auto"/>
      <w:jc w:val="left"/>
    </w:pPr>
    <w:rPr>
      <w:rFonts w:ascii="Times New Roman" w:cs="Times New Roman" w:eastAsia="Times New Roman" w:hAnsi="Times New Roman"/>
      <w:i w:val="0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2026-10-23T05:17:24Z</dcterms:created>
  <dcterms:modified xsi:type="dcterms:W3CDTF">2026-10-23T05:17:24Z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