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rPr>
        <w:t>Joseph Javier Sánchez Acuña</w:t>
      </w:r>
    </w:p>
    <w:p>
      <w:pPr>
        <w:spacing w:after="0"/>
      </w:pPr>
      <w:r>
        <w:rPr>
          <w:b w:val="0"/>
          <w:i w:val="0"/>
        </w:rPr>
        <w:t>Department of Industrial Engineering, Universidad de los Andes</w:t>
      </w:r>
    </w:p>
    <w:p>
      <w:pPr>
        <w:spacing w:after="0"/>
      </w:pPr>
      <w:r>
        <w:rPr>
          <w:b w:val="0"/>
          <w:i w:val="0"/>
        </w:rPr>
        <w:t>Bogotá, Colombia</w:t>
      </w:r>
    </w:p>
    <w:p>
      <w:pPr>
        <w:spacing w:after="0"/>
      </w:pPr>
      <w:r>
        <w:rPr>
          <w:b w:val="0"/>
          <w:i w:val="0"/>
        </w:rPr>
        <w:t>jj.sancheza1@uniandes.edu.co · ORCID 0009-0007-2008-823X</w:t>
      </w:r>
    </w:p>
    <w:p>
      <w:r>
        <w:rPr>
          <w:b w:val="0"/>
          <w:i w:val="0"/>
        </w:rPr>
      </w:r>
    </w:p>
    <w:p>
      <w:pPr>
        <w:spacing w:after="240"/>
      </w:pPr>
      <w:r>
        <w:rPr>
          <w:b w:val="0"/>
          <w:i w:val="0"/>
        </w:rPr>
        <w:t>Bogotá, 23 October 2026</w:t>
      </w:r>
    </w:p>
    <w:p>
      <w:pPr>
        <w:spacing w:after="0"/>
      </w:pPr>
      <w:r>
        <w:rPr>
          <w:b w:val="0"/>
          <w:i w:val="0"/>
        </w:rPr>
        <w:t>The Editors</w:t>
      </w:r>
    </w:p>
    <w:p>
      <w:pPr>
        <w:spacing w:after="240"/>
      </w:pPr>
      <w:r>
        <w:rPr>
          <w:b w:val="0"/>
          <w:i/>
        </w:rPr>
        <w:t>Journal of Scheduling</w:t>
      </w:r>
    </w:p>
    <w:p>
      <w:r>
        <w:rPr>
          <w:b/>
        </w:rPr>
        <w:t xml:space="preserve">Subject: </w:t>
      </w:r>
      <w:r>
        <w:t>Submission of the original research article “The price of optimality under uncertainty: a predictive–reactive robustness analysis of exact, metaheuristic and dispatching-rule scheduling for the dynamic job shop”</w:t>
      </w:r>
    </w:p>
    <w:p>
      <w:r>
        <w:rPr>
          <w:b w:val="0"/>
          <w:i w:val="0"/>
        </w:rPr>
        <w:t>Dear Editors,</w:t>
      </w:r>
    </w:p>
    <w:p>
      <w:pPr>
        <w:jc w:val="both"/>
      </w:pPr>
      <w:r>
        <w:t>We are pleased to submit the above manuscript for consideration as an original research article in the Journal of Scheduling.</w:t>
      </w:r>
    </w:p>
    <w:p>
      <w:pPr>
        <w:jc w:val="both"/>
      </w:pPr>
      <w:r>
        <w:rPr>
          <w:b/>
        </w:rPr>
        <w:t xml:space="preserve">Contribution. </w:t>
      </w:r>
      <w:r>
        <w:t>On deterministic benchmarks the ranking of exact solvers, metaheuristics and dispatching rules is settled. The manuscript asks whether that ranking survives execution on a disrupted shop floor. A discrete-event predictive–reactive harness executes the committed schedules of a constraint-programming solver (CP-SAT) and of a genetic algorithm under right-shift repair, alongside nine online dispatching rules, across nine disruption regimes (machine breakdowns, stochastic processing times and dynamic arrivals at three severities each) on sixteen Fisher–Thompson and Lawrence instances, with thirty replications per cell (47,520 simulated executions).</w:t>
      </w:r>
    </w:p>
    <w:p>
      <w:pPr>
        <w:jc w:val="both"/>
      </w:pPr>
      <w:r>
        <w:rPr>
          <w:b/>
        </w:rPr>
        <w:t xml:space="preserve">Main results. </w:t>
      </w:r>
      <w:r>
        <w:t>The exact schedule, best on nominal data (3.08% above the certified optimum), is the least robust method by relative degradation (robustness index 0.732 versus 0.432–0.515 for the dispatching rules; Friedman χ² = 542.8, N = 144) and loses its advantage in realized quality under breakdowns and arrivals, where the most-work-remaining and most-operations-remaining rules overtake it. The paper also shows formally that a self-normalized robustness index is strictly decreasing in nominal deviation, so it systematically favours poor nominal plans, and recommends reporting realized quality against a common reference alongside it.</w:t>
      </w:r>
    </w:p>
    <w:p>
      <w:pPr>
        <w:jc w:val="both"/>
      </w:pPr>
      <w:r>
        <w:rPr>
          <w:b/>
        </w:rPr>
        <w:t xml:space="preserve">Fit with the journal. </w:t>
      </w:r>
      <w:r>
        <w:t>The study speaks directly to the journal’s core themes of scheduling under uncertainty, predictive–reactive scheduling and the evaluation of scheduling methods, and offers practitioners a disruption-contingent rule for choosing between an exact solve and an online dispatching rule.</w:t>
      </w:r>
    </w:p>
    <w:p>
      <w:pPr>
        <w:jc w:val="both"/>
      </w:pPr>
      <w:r>
        <w:rPr>
          <w:b/>
        </w:rPr>
        <w:t xml:space="preserve">Related work and declarations. </w:t>
      </w:r>
      <w:r>
        <w:t>An earlier single-author version of this manuscript is available as a preprint on Research Square (https://doi.org/10.21203/rs.3.rs-10568538/v1); the present version adds L. Tarazona Torres and D. Álvarez Martínez as co-authors. The disruption generators follow the reference implementation of the first author’s public reproducibility package on GNN–PPO scheduling (cited in the manuscript), which supports a separate manuscript being submitted concurrently to Computers &amp; Operations Research with a different research question. The manuscript is original, has not been published, and is not under consideration by any other journal. All authors have read and approved the submission and declare no competing interests. The use of generative AI tools for translation and language editing is declared in the manuscript.</w:t>
      </w:r>
    </w:p>
    <w:p>
      <w:pPr>
        <w:spacing w:after="80"/>
      </w:pPr>
      <w:r>
        <w:rPr>
          <w:b/>
          <w:i w:val="0"/>
        </w:rPr>
        <w:t>Authors</w:t>
      </w:r>
    </w:p>
    <w:p>
      <w:pPr>
        <w:spacing w:after="40"/>
      </w:pPr>
      <w:r>
        <w:rPr>
          <w:b/>
        </w:rPr>
        <w:t>Joseph Javier Sánchez Acuña</w:t>
      </w:r>
      <w:r>
        <w:t>, Universidad de los Andes; Corporación Universitaria Minuto de Dios (UNIMINUTO) · jj.sancheza1@uniandes.edu.co · ORCID 0009-0007-2008-823X</w:t>
      </w:r>
    </w:p>
    <w:p>
      <w:pPr>
        <w:spacing w:after="40"/>
      </w:pPr>
      <w:r>
        <w:rPr>
          <w:b/>
        </w:rPr>
        <w:t>Luis Tarazona Torres</w:t>
      </w:r>
      <w:r>
        <w:t>, Universidad de los Andes · le.tarazona@uniandes.edu.co · ORCID 0000-0003-0567-6926</w:t>
      </w:r>
    </w:p>
    <w:p>
      <w:pPr>
        <w:spacing w:after="40"/>
      </w:pPr>
      <w:r>
        <w:rPr>
          <w:b/>
        </w:rPr>
        <w:t>David Álvarez Martínez</w:t>
      </w:r>
      <w:r>
        <w:t>, Universidad de los Andes · d.alvarezm@uniandes.edu.co · ORCID 0000-0001-8411-1936</w:t>
      </w:r>
    </w:p>
    <w:p>
      <w:r>
        <w:rPr>
          <w:b w:val="0"/>
          <w:i w:val="0"/>
        </w:rPr>
      </w:r>
    </w:p>
    <w:p>
      <w:r>
        <w:rPr>
          <w:b w:val="0"/>
          <w:i w:val="0"/>
        </w:rPr>
        <w:t>Thank you for considering our manuscript. We look forward to your response.</w:t>
      </w:r>
    </w:p>
    <w:p>
      <w:pPr>
        <w:spacing w:after="480"/>
      </w:pPr>
      <w:r>
        <w:rPr>
          <w:b w:val="0"/>
          <w:i w:val="0"/>
        </w:rPr>
        <w:t>Sincerely,</w:t>
      </w:r>
    </w:p>
    <w:p>
      <w:pPr>
        <w:spacing w:after="0"/>
      </w:pPr>
      <w:r>
        <w:rPr>
          <w:b/>
          <w:i w:val="0"/>
        </w:rPr>
        <w:t>Joseph Javier Sánchez Acuña</w:t>
      </w:r>
    </w:p>
    <w:p>
      <w:pPr>
        <w:spacing w:after="0"/>
      </w:pPr>
      <w:r>
        <w:rPr>
          <w:b w:val="0"/>
          <w:i w:val="0"/>
        </w:rPr>
        <w:t>Corresponding author, on behalf of all authors</w:t>
      </w:r>
    </w:p>
    <w:p>
      <w:pPr>
        <w:spacing w:after="0"/>
      </w:pPr>
      <w:r>
        <w:rPr>
          <w:b w:val="0"/>
          <w:i w:val="0"/>
        </w:rPr>
        <w:t>Universidad de los Andes and Corporación Universitaria Minuto de Dios (UNIMINUTO), Colombia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
  <dc:creator>Joseph Javier Sánchez Acuña</dc:creator>
  <cp:keywords/>
  <dc:description>generated by python-docx</dc:description>
  <cp:lastModifiedBy/>
  <cp:revision>1</cp:revision>
  <dcterms:created xsi:type="dcterms:W3CDTF">2013-12-23T23:15:00Z</dcterms:created>
  <dcterms:modified xsi:type="dcterms:W3CDTF">2013-12-23T23:15:00Z</dcterms:modified>
  <cp:category/>
</cp:coreProperties>
</file>