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29BDE" w14:textId="77777777" w:rsidR="00F23C0C" w:rsidRPr="00EF20B4" w:rsidRDefault="00000000">
      <w:pPr>
        <w:pStyle w:val="Ttulo1"/>
        <w:jc w:val="both"/>
        <w:rPr>
          <w:lang w:val="es-CO"/>
        </w:rPr>
      </w:pPr>
      <w:r w:rsidRPr="00EF20B4">
        <w:rPr>
          <w:rFonts w:ascii="Times New Roman" w:hAnsi="Times New Roman"/>
          <w:lang w:val="es-CO"/>
        </w:rPr>
        <w:t>1. Diagnóstico general</w:t>
      </w:r>
    </w:p>
    <w:p w14:paraId="679246D3" w14:textId="77777777" w:rsidR="00F23C0C" w:rsidRPr="00EF20B4" w:rsidRDefault="00000000">
      <w:pPr>
        <w:jc w:val="both"/>
        <w:rPr>
          <w:lang w:val="es-CO"/>
        </w:rPr>
      </w:pPr>
      <w:r w:rsidRPr="00EF20B4">
        <w:rPr>
          <w:b/>
          <w:lang w:val="es-CO"/>
        </w:rPr>
        <w:t xml:space="preserve">Valoración general. </w:t>
      </w:r>
      <w:r w:rsidRPr="00EF20B4">
        <w:rPr>
          <w:lang w:val="es-CO"/>
        </w:rPr>
        <w:t xml:space="preserve">La investigación presenta una pregunta científica sólida y una contribución potencialmente relevante: mostrar que la calidad nominal, la robustez ante disrupciones y la generalización de tamaño son propiedades distintas y no necesariamente transferibles entre paradigmas de solución. La estructura de dos estudios, el uso de simulación de eventos discretos, pruebas no paramétricas y </w:t>
      </w:r>
      <w:proofErr w:type="spellStart"/>
      <w:r w:rsidRPr="00EF20B4">
        <w:rPr>
          <w:lang w:val="es-CO"/>
        </w:rPr>
        <w:t>pre-registro</w:t>
      </w:r>
      <w:proofErr w:type="spellEnd"/>
      <w:r w:rsidRPr="00EF20B4">
        <w:rPr>
          <w:lang w:val="es-CO"/>
        </w:rPr>
        <w:t xml:space="preserve"> constituyen fortalezas claras.</w:t>
      </w:r>
    </w:p>
    <w:p w14:paraId="71B3E8D0" w14:textId="77777777" w:rsidR="00F23C0C" w:rsidRPr="00EF20B4" w:rsidRDefault="00000000">
      <w:pPr>
        <w:jc w:val="both"/>
        <w:rPr>
          <w:lang w:val="es-CO"/>
        </w:rPr>
      </w:pPr>
      <w:r w:rsidRPr="00EF20B4">
        <w:rPr>
          <w:b/>
          <w:lang w:val="es-CO"/>
        </w:rPr>
        <w:t xml:space="preserve">Principal oportunidad de mejora. </w:t>
      </w:r>
      <w:r w:rsidRPr="00EF20B4">
        <w:rPr>
          <w:lang w:val="es-CO"/>
        </w:rPr>
        <w:t>El manuscrito debe moderar algunas afirmaciones causales y universales, reforzar el diseño del experimento de aprendizaje por refuerzo y aclarar con mayor precisión qué comparaciones son directas y cuáles son únicamente síntesis cualitativas entre estudios.</w:t>
      </w:r>
    </w:p>
    <w:p w14:paraId="1DF75D70" w14:textId="77777777" w:rsidR="00F23C0C" w:rsidRPr="00EF20B4" w:rsidRDefault="00000000">
      <w:pPr>
        <w:pStyle w:val="Ttulo1"/>
        <w:jc w:val="both"/>
        <w:rPr>
          <w:lang w:val="es-CO"/>
        </w:rPr>
      </w:pPr>
      <w:r w:rsidRPr="00EF20B4">
        <w:rPr>
          <w:rFonts w:ascii="Times New Roman" w:hAnsi="Times New Roman"/>
          <w:lang w:val="es-CO"/>
        </w:rPr>
        <w:t>2. Título: versión más corta y precisa</w:t>
      </w:r>
    </w:p>
    <w:p w14:paraId="35C85E7D" w14:textId="77777777" w:rsidR="00F23C0C" w:rsidRPr="00EF20B4" w:rsidRDefault="00000000">
      <w:pPr>
        <w:jc w:val="both"/>
        <w:rPr>
          <w:lang w:val="es-CO"/>
        </w:rPr>
      </w:pPr>
      <w:r w:rsidRPr="00EF20B4">
        <w:rPr>
          <w:lang w:val="es-CO"/>
        </w:rPr>
        <w:t>El título actual es informativo, pero demasiado extenso y contiene varias capas de información que pueden trasladarse al resumen. Además, la expresión “óptimo” debe usarse con cuidado porque CP-SAT no certifica optimalidad en todas las instancias.</w:t>
      </w:r>
    </w:p>
    <w:p w14:paraId="62DDC237" w14:textId="77777777" w:rsidR="00F23C0C" w:rsidRPr="00EF20B4" w:rsidRDefault="00000000">
      <w:pPr>
        <w:jc w:val="both"/>
        <w:rPr>
          <w:lang w:val="es-CO"/>
        </w:rPr>
      </w:pPr>
      <w:r w:rsidRPr="00EF20B4">
        <w:rPr>
          <w:b/>
          <w:lang w:val="es-CO"/>
        </w:rPr>
        <w:t>Título recomendado:</w:t>
      </w:r>
    </w:p>
    <w:p w14:paraId="7070ABE4" w14:textId="77777777" w:rsidR="00F23C0C" w:rsidRPr="00EF20B4" w:rsidRDefault="00000000">
      <w:pPr>
        <w:jc w:val="both"/>
        <w:rPr>
          <w:lang w:val="es-CO"/>
        </w:rPr>
      </w:pPr>
      <w:r w:rsidRPr="00EF20B4">
        <w:rPr>
          <w:b/>
          <w:lang w:val="es-CO"/>
        </w:rPr>
        <w:t xml:space="preserve">Evaluación comparativa de paradigmas de solución en la programación dinámica de </w:t>
      </w:r>
      <w:proofErr w:type="spellStart"/>
      <w:r w:rsidRPr="00EF20B4">
        <w:rPr>
          <w:b/>
          <w:lang w:val="es-CO"/>
        </w:rPr>
        <w:t>job</w:t>
      </w:r>
      <w:proofErr w:type="spellEnd"/>
      <w:r w:rsidRPr="00EF20B4">
        <w:rPr>
          <w:b/>
          <w:lang w:val="es-CO"/>
        </w:rPr>
        <w:t>-shop bajo incertidumbre</w:t>
      </w:r>
    </w:p>
    <w:p w14:paraId="2D7F49F5" w14:textId="77777777" w:rsidR="00F23C0C" w:rsidRDefault="00000000">
      <w:pPr>
        <w:jc w:val="both"/>
      </w:pPr>
      <w:proofErr w:type="spellStart"/>
      <w:r>
        <w:t>Alternativas</w:t>
      </w:r>
      <w:proofErr w:type="spellEnd"/>
      <w:r>
        <w:t>:</w:t>
      </w:r>
    </w:p>
    <w:p w14:paraId="074506DC" w14:textId="77777777" w:rsidR="00F23C0C" w:rsidRPr="00EF20B4" w:rsidRDefault="00000000" w:rsidP="00EF20B4">
      <w:pPr>
        <w:pStyle w:val="Listaconvietas"/>
        <w:numPr>
          <w:ilvl w:val="0"/>
          <w:numId w:val="10"/>
        </w:numPr>
        <w:jc w:val="both"/>
        <w:rPr>
          <w:lang w:val="es-CO"/>
        </w:rPr>
      </w:pPr>
      <w:r w:rsidRPr="00EF20B4">
        <w:rPr>
          <w:lang w:val="es-CO"/>
        </w:rPr>
        <w:t xml:space="preserve">Cuando una mejor programación se vuelve más frágil: robustez en </w:t>
      </w:r>
      <w:proofErr w:type="spellStart"/>
      <w:r w:rsidRPr="00EF20B4">
        <w:rPr>
          <w:lang w:val="es-CO"/>
        </w:rPr>
        <w:t>job</w:t>
      </w:r>
      <w:proofErr w:type="spellEnd"/>
      <w:r w:rsidRPr="00EF20B4">
        <w:rPr>
          <w:lang w:val="es-CO"/>
        </w:rPr>
        <w:t>-shop dinámico</w:t>
      </w:r>
    </w:p>
    <w:p w14:paraId="7E24EB01" w14:textId="77777777" w:rsidR="00F23C0C" w:rsidRPr="00EF20B4" w:rsidRDefault="00000000" w:rsidP="00EF20B4">
      <w:pPr>
        <w:pStyle w:val="Listaconvietas"/>
        <w:numPr>
          <w:ilvl w:val="0"/>
          <w:numId w:val="10"/>
        </w:numPr>
        <w:jc w:val="both"/>
        <w:rPr>
          <w:lang w:val="es-CO"/>
        </w:rPr>
      </w:pPr>
      <w:r w:rsidRPr="00EF20B4">
        <w:rPr>
          <w:lang w:val="es-CO"/>
        </w:rPr>
        <w:t xml:space="preserve">Optimalidad y robustez bajo incertidumbre en </w:t>
      </w:r>
      <w:proofErr w:type="spellStart"/>
      <w:r w:rsidRPr="00EF20B4">
        <w:rPr>
          <w:lang w:val="es-CO"/>
        </w:rPr>
        <w:t>job</w:t>
      </w:r>
      <w:proofErr w:type="spellEnd"/>
      <w:r w:rsidRPr="00EF20B4">
        <w:rPr>
          <w:lang w:val="es-CO"/>
        </w:rPr>
        <w:t>-shop dinámico</w:t>
      </w:r>
    </w:p>
    <w:p w14:paraId="69587155" w14:textId="77777777" w:rsidR="00F23C0C" w:rsidRPr="00EF20B4" w:rsidRDefault="00000000" w:rsidP="00EF20B4">
      <w:pPr>
        <w:pStyle w:val="Listaconvietas"/>
        <w:numPr>
          <w:ilvl w:val="0"/>
          <w:numId w:val="10"/>
        </w:numPr>
        <w:jc w:val="both"/>
        <w:rPr>
          <w:lang w:val="es-CO"/>
        </w:rPr>
      </w:pPr>
      <w:r w:rsidRPr="00EF20B4">
        <w:rPr>
          <w:lang w:val="es-CO"/>
        </w:rPr>
        <w:t xml:space="preserve">Calidad, robustez y generalización en programación dinámica de </w:t>
      </w:r>
      <w:proofErr w:type="spellStart"/>
      <w:r w:rsidRPr="00EF20B4">
        <w:rPr>
          <w:lang w:val="es-CO"/>
        </w:rPr>
        <w:t>job</w:t>
      </w:r>
      <w:proofErr w:type="spellEnd"/>
      <w:r w:rsidRPr="00EF20B4">
        <w:rPr>
          <w:lang w:val="es-CO"/>
        </w:rPr>
        <w:t>-shop</w:t>
      </w:r>
    </w:p>
    <w:p w14:paraId="0100C058" w14:textId="77777777" w:rsidR="00F23C0C" w:rsidRPr="00EF20B4" w:rsidRDefault="00000000" w:rsidP="00EF20B4">
      <w:pPr>
        <w:pStyle w:val="Listaconvietas"/>
        <w:numPr>
          <w:ilvl w:val="0"/>
          <w:numId w:val="10"/>
        </w:numPr>
        <w:jc w:val="both"/>
        <w:rPr>
          <w:lang w:val="es-CO"/>
        </w:rPr>
      </w:pPr>
      <w:r w:rsidRPr="00EF20B4">
        <w:rPr>
          <w:lang w:val="es-CO"/>
        </w:rPr>
        <w:t xml:space="preserve">De la calidad nominal a la robustez en </w:t>
      </w:r>
      <w:proofErr w:type="spellStart"/>
      <w:r w:rsidRPr="00EF20B4">
        <w:rPr>
          <w:lang w:val="es-CO"/>
        </w:rPr>
        <w:t>job</w:t>
      </w:r>
      <w:proofErr w:type="spellEnd"/>
      <w:r w:rsidRPr="00EF20B4">
        <w:rPr>
          <w:lang w:val="es-CO"/>
        </w:rPr>
        <w:t>-shop dinámico</w:t>
      </w:r>
    </w:p>
    <w:p w14:paraId="14DFAA1E" w14:textId="77777777" w:rsidR="00F23C0C" w:rsidRPr="00EF20B4" w:rsidRDefault="00000000">
      <w:pPr>
        <w:jc w:val="both"/>
        <w:rPr>
          <w:lang w:val="es-CO"/>
        </w:rPr>
      </w:pPr>
      <w:r w:rsidRPr="00EF20B4">
        <w:rPr>
          <w:b/>
          <w:lang w:val="es-CO"/>
        </w:rPr>
        <w:t xml:space="preserve">Recomendación. </w:t>
      </w:r>
      <w:r w:rsidRPr="00EF20B4">
        <w:rPr>
          <w:bCs/>
          <w:lang w:val="es-CO"/>
        </w:rPr>
        <w:t xml:space="preserve">Usar como título principal “Evaluación comparativa de paradigmas de solución en la programación dinámica de </w:t>
      </w:r>
      <w:proofErr w:type="spellStart"/>
      <w:r w:rsidRPr="00EF20B4">
        <w:rPr>
          <w:bCs/>
          <w:lang w:val="es-CO"/>
        </w:rPr>
        <w:t>job</w:t>
      </w:r>
      <w:proofErr w:type="spellEnd"/>
      <w:r w:rsidRPr="00EF20B4">
        <w:rPr>
          <w:bCs/>
          <w:lang w:val="es-CO"/>
        </w:rPr>
        <w:t xml:space="preserve">-shop bajo incertidumbre” si se busca máxima concisión. Si se desea mantener el tono conceptual del manuscrito, la segunda mejor opción es “Cuando una mejor programación se vuelve más frágil: robustez en </w:t>
      </w:r>
      <w:proofErr w:type="spellStart"/>
      <w:r w:rsidRPr="00EF20B4">
        <w:rPr>
          <w:bCs/>
          <w:lang w:val="es-CO"/>
        </w:rPr>
        <w:t>job</w:t>
      </w:r>
      <w:proofErr w:type="spellEnd"/>
      <w:r w:rsidRPr="00EF20B4">
        <w:rPr>
          <w:bCs/>
          <w:lang w:val="es-CO"/>
        </w:rPr>
        <w:t>-shop dinámico”.</w:t>
      </w:r>
    </w:p>
    <w:p w14:paraId="638DF293" w14:textId="77777777" w:rsidR="00F23C0C" w:rsidRPr="00EF20B4" w:rsidRDefault="00000000">
      <w:pPr>
        <w:pStyle w:val="Ttulo1"/>
        <w:jc w:val="both"/>
        <w:rPr>
          <w:lang w:val="es-CO"/>
        </w:rPr>
      </w:pPr>
      <w:r w:rsidRPr="00EF20B4">
        <w:rPr>
          <w:rFonts w:ascii="Times New Roman" w:hAnsi="Times New Roman"/>
          <w:lang w:val="es-CO"/>
        </w:rPr>
        <w:t>3. Ajustes prioritarios</w:t>
      </w:r>
    </w:p>
    <w:p w14:paraId="579FE727" w14:textId="77777777" w:rsidR="00F23C0C" w:rsidRPr="00EF20B4" w:rsidRDefault="00000000">
      <w:pPr>
        <w:jc w:val="both"/>
        <w:rPr>
          <w:lang w:val="es-CO"/>
        </w:rPr>
      </w:pPr>
      <w:r w:rsidRPr="00EF20B4">
        <w:rPr>
          <w:b/>
          <w:lang w:val="es-CO"/>
        </w:rPr>
        <w:t>1. Evitar afirmar optimalidad cuando no está certificada</w:t>
      </w:r>
    </w:p>
    <w:p w14:paraId="2C739AFC" w14:textId="77777777" w:rsidR="00F23C0C" w:rsidRPr="00EF20B4" w:rsidRDefault="00000000">
      <w:pPr>
        <w:ind w:left="360"/>
        <w:jc w:val="both"/>
        <w:rPr>
          <w:lang w:val="es-CO"/>
        </w:rPr>
      </w:pPr>
      <w:r w:rsidRPr="00EF20B4">
        <w:rPr>
          <w:lang w:val="es-CO"/>
        </w:rPr>
        <w:t>El manuscrito denomina en varios pasajes al resultado de CP-SAT como “exacto-óptimo”. Sin embargo, en el propio estudio se reporta que el óptimo certificado se alcanza en 7 de 16 instancias y que la desviación nominal media es 3.08%. Se recomienda distinguir entre “solucionador exacto”, “solución CP-SAT” y “solución óptima certificada”. Solo esta última expresión debe utilizarse cuando GAP = 0.</w:t>
      </w:r>
    </w:p>
    <w:p w14:paraId="6A0D8AE3" w14:textId="77777777" w:rsidR="00F23C0C" w:rsidRPr="00EF20B4" w:rsidRDefault="00000000">
      <w:pPr>
        <w:jc w:val="both"/>
        <w:rPr>
          <w:lang w:val="es-CO"/>
        </w:rPr>
      </w:pPr>
      <w:r w:rsidRPr="00EF20B4">
        <w:rPr>
          <w:b/>
          <w:lang w:val="es-CO"/>
        </w:rPr>
        <w:lastRenderedPageBreak/>
        <w:t>2. Medir explícitamente la holgura para sustentar el mecanismo de fragilidad</w:t>
      </w:r>
    </w:p>
    <w:p w14:paraId="24962266" w14:textId="77777777" w:rsidR="00F23C0C" w:rsidRPr="00EF20B4" w:rsidRDefault="00000000">
      <w:pPr>
        <w:ind w:left="360"/>
        <w:jc w:val="both"/>
        <w:rPr>
          <w:lang w:val="es-CO"/>
        </w:rPr>
      </w:pPr>
      <w:r w:rsidRPr="00EF20B4">
        <w:rPr>
          <w:lang w:val="es-CO"/>
        </w:rPr>
        <w:t>La explicación central sostiene que los programas más compactos son más frágiles porque disponen de menos holgura. Esa interpretación es plausible, pero actualmente se presenta principalmente como mecanismo explicativo. Se recomienda medir holgura promedio, holgura total, proporción de operaciones críticas y/o longitud del camino crítico, y analizar su asociación con el índice de robustez.</w:t>
      </w:r>
    </w:p>
    <w:p w14:paraId="2EB2672A" w14:textId="77777777" w:rsidR="00F23C0C" w:rsidRPr="00EF20B4" w:rsidRDefault="00000000">
      <w:pPr>
        <w:jc w:val="both"/>
        <w:rPr>
          <w:lang w:val="es-CO"/>
        </w:rPr>
      </w:pPr>
      <w:r w:rsidRPr="00EF20B4">
        <w:rPr>
          <w:b/>
          <w:lang w:val="es-CO"/>
        </w:rPr>
        <w:t>3. Incorporar varias semillas de entrenamiento para PPO</w:t>
      </w:r>
    </w:p>
    <w:p w14:paraId="0D2C945F" w14:textId="77777777" w:rsidR="00F23C0C" w:rsidRPr="00EF20B4" w:rsidRDefault="00000000">
      <w:pPr>
        <w:ind w:left="360"/>
        <w:jc w:val="both"/>
        <w:rPr>
          <w:lang w:val="es-CO"/>
        </w:rPr>
      </w:pPr>
      <w:r w:rsidRPr="00EF20B4">
        <w:rPr>
          <w:lang w:val="es-CO"/>
        </w:rPr>
        <w:t>El Estudio 2 reconoce el uso de una sola semilla de entrenamiento por condición. Para un experimento de aprendizaje por refuerzo profundo, esto limita la reproducibilidad y dificulta separar el efecto de la arquitectura de la variabilidad del entrenamiento. Se recomienda utilizar al menos 5 semillas, idealmente 10, y reportar media, desviación estándar e intervalos de confianza cuando corresponda.</w:t>
      </w:r>
    </w:p>
    <w:p w14:paraId="0244B963" w14:textId="77777777" w:rsidR="00F23C0C" w:rsidRPr="00EF20B4" w:rsidRDefault="00000000">
      <w:pPr>
        <w:jc w:val="both"/>
        <w:rPr>
          <w:lang w:val="es-CO"/>
        </w:rPr>
      </w:pPr>
      <w:r w:rsidRPr="00EF20B4">
        <w:rPr>
          <w:b/>
          <w:lang w:val="es-CO"/>
        </w:rPr>
        <w:t>4. Separar claramente la comparación directa de la síntesis transversal</w:t>
      </w:r>
    </w:p>
    <w:p w14:paraId="2188B946" w14:textId="77777777" w:rsidR="00F23C0C" w:rsidRPr="00EF20B4" w:rsidRDefault="00000000">
      <w:pPr>
        <w:ind w:left="360"/>
        <w:jc w:val="both"/>
        <w:rPr>
          <w:lang w:val="es-CO"/>
        </w:rPr>
      </w:pPr>
      <w:r w:rsidRPr="00EF20B4">
        <w:rPr>
          <w:lang w:val="es-CO"/>
        </w:rPr>
        <w:t>Los Estudios 1 y 2 no utilizan exactamente los mismos conjuntos de instancias. Por ello, la integración entre paradigmas debe presentarse como una síntesis cualitativa o basada en rangos, no como una comparación estadística agrupada de los cuatro paradigmas. Esta aclaración debería aparecer desde la introducción y no solo en las limitaciones.</w:t>
      </w:r>
    </w:p>
    <w:p w14:paraId="15386FA7" w14:textId="77777777" w:rsidR="00F23C0C" w:rsidRPr="00EF20B4" w:rsidRDefault="00000000">
      <w:pPr>
        <w:jc w:val="both"/>
        <w:rPr>
          <w:lang w:val="es-CO"/>
        </w:rPr>
      </w:pPr>
      <w:r w:rsidRPr="00EF20B4">
        <w:rPr>
          <w:b/>
          <w:lang w:val="es-CO"/>
        </w:rPr>
        <w:t>5. Aislar mejor el efecto de la recompensa en H4</w:t>
      </w:r>
    </w:p>
    <w:p w14:paraId="31200D25" w14:textId="77777777" w:rsidR="00F23C0C" w:rsidRPr="00EF20B4" w:rsidRDefault="00000000">
      <w:pPr>
        <w:ind w:left="360"/>
        <w:jc w:val="both"/>
        <w:rPr>
          <w:lang w:val="es-CO"/>
        </w:rPr>
      </w:pPr>
      <w:r w:rsidRPr="00EF20B4">
        <w:rPr>
          <w:lang w:val="es-CO"/>
        </w:rPr>
        <w:t>La comparación asociada con H4 mezcla potencialmente cambios en la recompensa y cambios en el régimen de entrenamiento. Se recomienda una ablación 2×2: entorno estático/dinámico × recompensa nominal/robusta. Así puede separarse el efecto del entorno, el efecto de la recompensa y su interacción.</w:t>
      </w:r>
    </w:p>
    <w:p w14:paraId="35A5161D" w14:textId="77777777" w:rsidR="00F23C0C" w:rsidRPr="00EF20B4" w:rsidRDefault="00000000">
      <w:pPr>
        <w:jc w:val="both"/>
        <w:rPr>
          <w:lang w:val="es-CO"/>
        </w:rPr>
      </w:pPr>
      <w:r w:rsidRPr="00EF20B4">
        <w:rPr>
          <w:b/>
          <w:lang w:val="es-CO"/>
        </w:rPr>
        <w:t>6. Reformular el significado de “generalización” en H2</w:t>
      </w:r>
    </w:p>
    <w:p w14:paraId="194E2FED" w14:textId="77777777" w:rsidR="00F23C0C" w:rsidRPr="00EF20B4" w:rsidRDefault="00000000">
      <w:pPr>
        <w:ind w:left="360"/>
        <w:jc w:val="both"/>
        <w:rPr>
          <w:lang w:val="es-CO"/>
        </w:rPr>
      </w:pPr>
      <w:r w:rsidRPr="00EF20B4">
        <w:rPr>
          <w:lang w:val="es-CO"/>
        </w:rPr>
        <w:t>La aceptación de H2 se basa en mantener un rango relativo competitivo, pero el rendimiento absoluto de la política sigue siendo inferior al de la mejor PDR. Se recomienda distinguir explícitamente entre generalización relativa de rango y generalización competitiva absoluta.</w:t>
      </w:r>
    </w:p>
    <w:p w14:paraId="67916552" w14:textId="77777777" w:rsidR="00F23C0C" w:rsidRPr="00EF20B4" w:rsidRDefault="00000000">
      <w:pPr>
        <w:jc w:val="both"/>
        <w:rPr>
          <w:lang w:val="es-CO"/>
        </w:rPr>
      </w:pPr>
      <w:r w:rsidRPr="00EF20B4">
        <w:rPr>
          <w:b/>
          <w:lang w:val="es-CO"/>
        </w:rPr>
        <w:t>7. Identificar como “</w:t>
      </w:r>
      <w:proofErr w:type="spellStart"/>
      <w:r w:rsidRPr="00EF20B4">
        <w:rPr>
          <w:b/>
          <w:lang w:val="es-CO"/>
        </w:rPr>
        <w:t>oracle</w:t>
      </w:r>
      <w:proofErr w:type="spellEnd"/>
      <w:r w:rsidRPr="00EF20B4">
        <w:rPr>
          <w:b/>
          <w:lang w:val="es-CO"/>
        </w:rPr>
        <w:t>” la mejor PDR seleccionada por instancia</w:t>
      </w:r>
    </w:p>
    <w:p w14:paraId="4FE8ECE7" w14:textId="77777777" w:rsidR="00F23C0C" w:rsidRPr="00EF20B4" w:rsidRDefault="00000000">
      <w:pPr>
        <w:ind w:left="360"/>
        <w:jc w:val="both"/>
        <w:rPr>
          <w:lang w:val="es-CO"/>
        </w:rPr>
      </w:pPr>
      <w:r w:rsidRPr="00EF20B4">
        <w:rPr>
          <w:lang w:val="es-CO"/>
        </w:rPr>
        <w:t xml:space="preserve">Si se escoge a posteriori la mejor regla para cada instancia, el comparador es un </w:t>
      </w:r>
      <w:proofErr w:type="spellStart"/>
      <w:r w:rsidRPr="00EF20B4">
        <w:rPr>
          <w:lang w:val="es-CO"/>
        </w:rPr>
        <w:t>baseline</w:t>
      </w:r>
      <w:proofErr w:type="spellEnd"/>
      <w:r w:rsidRPr="00EF20B4">
        <w:rPr>
          <w:lang w:val="es-CO"/>
        </w:rPr>
        <w:t xml:space="preserve"> oráculo y no una política desplegable a priori. Se recomienda reportar por separado: mejor PDR global, mejor PDR por familia y </w:t>
      </w:r>
      <w:proofErr w:type="spellStart"/>
      <w:r w:rsidRPr="00EF20B4">
        <w:rPr>
          <w:lang w:val="es-CO"/>
        </w:rPr>
        <w:t>oracle</w:t>
      </w:r>
      <w:proofErr w:type="spellEnd"/>
      <w:r w:rsidRPr="00EF20B4">
        <w:rPr>
          <w:lang w:val="es-CO"/>
        </w:rPr>
        <w:t xml:space="preserve"> </w:t>
      </w:r>
      <w:proofErr w:type="spellStart"/>
      <w:r w:rsidRPr="00EF20B4">
        <w:rPr>
          <w:lang w:val="es-CO"/>
        </w:rPr>
        <w:t>best</w:t>
      </w:r>
      <w:proofErr w:type="spellEnd"/>
      <w:r w:rsidRPr="00EF20B4">
        <w:rPr>
          <w:lang w:val="es-CO"/>
        </w:rPr>
        <w:t>-per-</w:t>
      </w:r>
      <w:proofErr w:type="spellStart"/>
      <w:r w:rsidRPr="00EF20B4">
        <w:rPr>
          <w:lang w:val="es-CO"/>
        </w:rPr>
        <w:t>instance</w:t>
      </w:r>
      <w:proofErr w:type="spellEnd"/>
      <w:r w:rsidRPr="00EF20B4">
        <w:rPr>
          <w:lang w:val="es-CO"/>
        </w:rPr>
        <w:t>.</w:t>
      </w:r>
    </w:p>
    <w:p w14:paraId="35D54C42" w14:textId="77777777" w:rsidR="00F23C0C" w:rsidRPr="00EF20B4" w:rsidRDefault="00000000">
      <w:pPr>
        <w:jc w:val="both"/>
        <w:rPr>
          <w:lang w:val="es-CO"/>
        </w:rPr>
      </w:pPr>
      <w:r w:rsidRPr="00EF20B4">
        <w:rPr>
          <w:b/>
          <w:lang w:val="es-CO"/>
        </w:rPr>
        <w:t>8. Homogeneizar la comparación del costo computacional</w:t>
      </w:r>
    </w:p>
    <w:p w14:paraId="52DB60DC" w14:textId="77777777" w:rsidR="00F23C0C" w:rsidRPr="00EF20B4" w:rsidRDefault="00000000">
      <w:pPr>
        <w:ind w:left="360"/>
        <w:jc w:val="both"/>
        <w:rPr>
          <w:lang w:val="es-CO"/>
        </w:rPr>
      </w:pPr>
      <w:r w:rsidRPr="00EF20B4">
        <w:rPr>
          <w:lang w:val="es-CO"/>
        </w:rPr>
        <w:t xml:space="preserve">El estudio compara métodos con perfiles de costo diferentes. Para GNN-DRL debe separarse costo de entrenamiento, costo de inferencia y costo amortizado. Para CP-SAT y GA debe </w:t>
      </w:r>
      <w:r w:rsidRPr="00EF20B4">
        <w:rPr>
          <w:lang w:val="es-CO"/>
        </w:rPr>
        <w:lastRenderedPageBreak/>
        <w:t>diferenciarse tiempo de optimización por instancia. Esto permitiría una comparación más justa entre enfoques offline y online.</w:t>
      </w:r>
    </w:p>
    <w:p w14:paraId="451FAC71" w14:textId="77777777" w:rsidR="00F23C0C" w:rsidRPr="00EF20B4" w:rsidRDefault="00000000">
      <w:pPr>
        <w:jc w:val="both"/>
        <w:rPr>
          <w:highlight w:val="yellow"/>
          <w:lang w:val="es-CO"/>
        </w:rPr>
      </w:pPr>
      <w:r w:rsidRPr="00EF20B4">
        <w:rPr>
          <w:b/>
          <w:highlight w:val="yellow"/>
          <w:lang w:val="es-CO"/>
        </w:rPr>
        <w:t>9. Evaluar al menos una estrategia de reprogramación más fuerte</w:t>
      </w:r>
    </w:p>
    <w:p w14:paraId="6B2740B1" w14:textId="77777777" w:rsidR="00F23C0C" w:rsidRPr="00EF20B4" w:rsidRDefault="00000000">
      <w:pPr>
        <w:ind w:left="360"/>
        <w:jc w:val="both"/>
        <w:rPr>
          <w:lang w:val="es-CO"/>
        </w:rPr>
      </w:pPr>
      <w:r w:rsidRPr="00EF20B4">
        <w:rPr>
          <w:highlight w:val="yellow"/>
          <w:lang w:val="es-CO"/>
        </w:rPr>
        <w:t xml:space="preserve">Los programas de CP-SAT y GA se ejecutan mediante </w:t>
      </w:r>
      <w:proofErr w:type="spellStart"/>
      <w:r w:rsidRPr="00EF20B4">
        <w:rPr>
          <w:highlight w:val="yellow"/>
          <w:lang w:val="es-CO"/>
        </w:rPr>
        <w:t>right</w:t>
      </w:r>
      <w:proofErr w:type="spellEnd"/>
      <w:r w:rsidRPr="00EF20B4">
        <w:rPr>
          <w:highlight w:val="yellow"/>
          <w:lang w:val="es-CO"/>
        </w:rPr>
        <w:t xml:space="preserve">-shift </w:t>
      </w:r>
      <w:proofErr w:type="spellStart"/>
      <w:r w:rsidRPr="00EF20B4">
        <w:rPr>
          <w:highlight w:val="yellow"/>
          <w:lang w:val="es-CO"/>
        </w:rPr>
        <w:t>repair</w:t>
      </w:r>
      <w:proofErr w:type="spellEnd"/>
      <w:r w:rsidRPr="00EF20B4">
        <w:rPr>
          <w:highlight w:val="yellow"/>
          <w:lang w:val="es-CO"/>
        </w:rPr>
        <w:t xml:space="preserve">, mientras que las PDR reaccionan en cada evento. Esto puede favorecer estructuralmente a las reglas. Agregar un </w:t>
      </w:r>
      <w:proofErr w:type="spellStart"/>
      <w:r w:rsidRPr="00EF20B4">
        <w:rPr>
          <w:highlight w:val="yellow"/>
          <w:lang w:val="es-CO"/>
        </w:rPr>
        <w:t>baseline</w:t>
      </w:r>
      <w:proofErr w:type="spellEnd"/>
      <w:r w:rsidRPr="00EF20B4">
        <w:rPr>
          <w:highlight w:val="yellow"/>
          <w:lang w:val="es-CO"/>
        </w:rPr>
        <w:t xml:space="preserve"> de </w:t>
      </w:r>
      <w:proofErr w:type="spellStart"/>
      <w:r w:rsidRPr="00EF20B4">
        <w:rPr>
          <w:highlight w:val="yellow"/>
          <w:lang w:val="es-CO"/>
        </w:rPr>
        <w:t>reoptimización</w:t>
      </w:r>
      <w:proofErr w:type="spellEnd"/>
      <w:r w:rsidRPr="00EF20B4">
        <w:rPr>
          <w:highlight w:val="yellow"/>
          <w:lang w:val="es-CO"/>
        </w:rPr>
        <w:t xml:space="preserve"> periódica o activada por eventos permitiría determinar si la pérdida proviene de la optimalidad o del compromiso con una secuencia fija.</w:t>
      </w:r>
    </w:p>
    <w:p w14:paraId="5BE9B7BE" w14:textId="77777777" w:rsidR="00F23C0C" w:rsidRPr="00EF20B4" w:rsidRDefault="00000000">
      <w:pPr>
        <w:jc w:val="both"/>
        <w:rPr>
          <w:lang w:val="es-CO"/>
        </w:rPr>
      </w:pPr>
      <w:r w:rsidRPr="00EF20B4">
        <w:rPr>
          <w:b/>
          <w:lang w:val="es-CO"/>
        </w:rPr>
        <w:t>10. Corregir el uso de “disrupciones simultáneas”</w:t>
      </w:r>
    </w:p>
    <w:p w14:paraId="303ACE2A" w14:textId="77777777" w:rsidR="00F23C0C" w:rsidRPr="00EF20B4" w:rsidRDefault="00000000">
      <w:pPr>
        <w:ind w:left="360"/>
        <w:jc w:val="both"/>
        <w:rPr>
          <w:lang w:val="es-CO"/>
        </w:rPr>
      </w:pPr>
      <w:r w:rsidRPr="00EF20B4">
        <w:rPr>
          <w:lang w:val="es-CO"/>
        </w:rPr>
        <w:t>Si averías, variabilidad de tiempos y llegadas se evalúan como nueve regímenes separados, no deben describirse como “simultáneas”. En ese caso, usar “múltiples clases de disrupción” o “nueve regímenes pertenecientes a tres tipos de disrupción”. Solo mantener “simultáneas” si las tres fuentes ocurren conjuntamente dentro de una misma corrida.</w:t>
      </w:r>
    </w:p>
    <w:p w14:paraId="5B03E870" w14:textId="77777777" w:rsidR="00F23C0C" w:rsidRPr="00EF20B4" w:rsidRDefault="00000000">
      <w:pPr>
        <w:pStyle w:val="Ttulo1"/>
        <w:jc w:val="both"/>
        <w:rPr>
          <w:lang w:val="es-CO"/>
        </w:rPr>
      </w:pPr>
      <w:r w:rsidRPr="00EF20B4">
        <w:rPr>
          <w:rFonts w:ascii="Times New Roman" w:hAnsi="Times New Roman"/>
          <w:lang w:val="es-CO"/>
        </w:rPr>
        <w:t>4. Ajustes de redacción y estructura</w:t>
      </w:r>
    </w:p>
    <w:p w14:paraId="3FF8FFF5" w14:textId="77777777" w:rsidR="00F23C0C" w:rsidRPr="00EF20B4" w:rsidRDefault="00000000">
      <w:pPr>
        <w:jc w:val="both"/>
        <w:rPr>
          <w:lang w:val="es-CO"/>
        </w:rPr>
      </w:pPr>
      <w:r w:rsidRPr="00EF20B4">
        <w:rPr>
          <w:b/>
          <w:lang w:val="es-CO"/>
        </w:rPr>
        <w:t xml:space="preserve">Resumen. </w:t>
      </w:r>
      <w:r w:rsidRPr="00EF20B4">
        <w:rPr>
          <w:lang w:val="es-CO"/>
        </w:rPr>
        <w:t>Reducirlo a aproximadamente 200–250 palabras, organizándolo en cinco movimientos: problema, método, diseño experimental, principal resultado e implicación. Evitar listar demasiados estadísticos y porcentajes en el resumen.</w:t>
      </w:r>
    </w:p>
    <w:p w14:paraId="4E8029BA" w14:textId="77777777" w:rsidR="00F23C0C" w:rsidRPr="00EF20B4" w:rsidRDefault="00000000">
      <w:pPr>
        <w:jc w:val="both"/>
        <w:rPr>
          <w:lang w:val="es-CO"/>
        </w:rPr>
      </w:pPr>
      <w:r w:rsidRPr="00EF20B4">
        <w:rPr>
          <w:b/>
          <w:lang w:val="es-CO"/>
        </w:rPr>
        <w:t xml:space="preserve">Introducción. </w:t>
      </w:r>
      <w:r w:rsidRPr="00EF20B4">
        <w:rPr>
          <w:lang w:val="es-CO"/>
        </w:rPr>
        <w:t>Reducir repeticiones sobre la tensión entre optimalidad y robustez. Presentar antes la brecha, la pregunta de investigación y las contribuciones. La introducción puede acortarse aproximadamente 20–25% sin perder contenido esencial.</w:t>
      </w:r>
    </w:p>
    <w:p w14:paraId="25CDA89A" w14:textId="77777777" w:rsidR="00F23C0C" w:rsidRPr="00EF20B4" w:rsidRDefault="00000000">
      <w:pPr>
        <w:jc w:val="both"/>
        <w:rPr>
          <w:lang w:val="es-CO"/>
        </w:rPr>
      </w:pPr>
      <w:r w:rsidRPr="00EF20B4">
        <w:rPr>
          <w:b/>
          <w:lang w:val="es-CO"/>
        </w:rPr>
        <w:t xml:space="preserve">Contribución central. </w:t>
      </w:r>
      <w:r w:rsidRPr="00EF20B4">
        <w:rPr>
          <w:lang w:val="es-CO"/>
        </w:rPr>
        <w:t>Reposicionar el artículo para que su principal aporte no sea solamente que las PDR superan a otros métodos bajo ciertas disrupciones, sino que calidad nominal, robustez y generalización constituyen tres ejes distintos de desempeño.</w:t>
      </w:r>
    </w:p>
    <w:p w14:paraId="5DC9E23A" w14:textId="77777777" w:rsidR="00F23C0C" w:rsidRPr="00EF20B4" w:rsidRDefault="00000000">
      <w:pPr>
        <w:jc w:val="both"/>
        <w:rPr>
          <w:lang w:val="es-CO"/>
        </w:rPr>
      </w:pPr>
      <w:r w:rsidRPr="00EF20B4">
        <w:rPr>
          <w:b/>
          <w:lang w:val="es-CO"/>
        </w:rPr>
        <w:t xml:space="preserve">Afirmaciones de novedad. </w:t>
      </w:r>
      <w:r w:rsidRPr="00EF20B4">
        <w:rPr>
          <w:lang w:val="es-CO"/>
        </w:rPr>
        <w:t>Sustituir expresiones absolutas como “la primera evaluación” por formulaciones del tipo “hasta donde sabemos” o “</w:t>
      </w:r>
      <w:proofErr w:type="spellStart"/>
      <w:r w:rsidRPr="00EF20B4">
        <w:rPr>
          <w:lang w:val="es-CO"/>
        </w:rPr>
        <w:t>to</w:t>
      </w:r>
      <w:proofErr w:type="spellEnd"/>
      <w:r w:rsidRPr="00EF20B4">
        <w:rPr>
          <w:lang w:val="es-CO"/>
        </w:rPr>
        <w:t xml:space="preserve"> </w:t>
      </w:r>
      <w:proofErr w:type="spellStart"/>
      <w:r w:rsidRPr="00EF20B4">
        <w:rPr>
          <w:lang w:val="es-CO"/>
        </w:rPr>
        <w:t>the</w:t>
      </w:r>
      <w:proofErr w:type="spellEnd"/>
      <w:r w:rsidRPr="00EF20B4">
        <w:rPr>
          <w:lang w:val="es-CO"/>
        </w:rPr>
        <w:t xml:space="preserve"> </w:t>
      </w:r>
      <w:proofErr w:type="spellStart"/>
      <w:r w:rsidRPr="00EF20B4">
        <w:rPr>
          <w:lang w:val="es-CO"/>
        </w:rPr>
        <w:t>best</w:t>
      </w:r>
      <w:proofErr w:type="spellEnd"/>
      <w:r w:rsidRPr="00EF20B4">
        <w:rPr>
          <w:lang w:val="es-CO"/>
        </w:rPr>
        <w:t xml:space="preserve"> of </w:t>
      </w:r>
      <w:proofErr w:type="spellStart"/>
      <w:r w:rsidRPr="00EF20B4">
        <w:rPr>
          <w:lang w:val="es-CO"/>
        </w:rPr>
        <w:t>our</w:t>
      </w:r>
      <w:proofErr w:type="spellEnd"/>
      <w:r w:rsidRPr="00EF20B4">
        <w:rPr>
          <w:lang w:val="es-CO"/>
        </w:rPr>
        <w:t xml:space="preserve"> </w:t>
      </w:r>
      <w:proofErr w:type="spellStart"/>
      <w:r w:rsidRPr="00EF20B4">
        <w:rPr>
          <w:lang w:val="es-CO"/>
        </w:rPr>
        <w:t>knowledge</w:t>
      </w:r>
      <w:proofErr w:type="spellEnd"/>
      <w:r w:rsidRPr="00EF20B4">
        <w:rPr>
          <w:lang w:val="es-CO"/>
        </w:rPr>
        <w:t>”, salvo que se documente una revisión sistemática plenamente reproducible.</w:t>
      </w:r>
    </w:p>
    <w:p w14:paraId="24F8B373" w14:textId="77777777" w:rsidR="00F23C0C" w:rsidRPr="00EF20B4" w:rsidRDefault="00000000">
      <w:pPr>
        <w:jc w:val="both"/>
        <w:rPr>
          <w:lang w:val="es-CO"/>
        </w:rPr>
      </w:pPr>
      <w:r w:rsidRPr="00EF20B4">
        <w:rPr>
          <w:b/>
          <w:lang w:val="es-CO"/>
        </w:rPr>
        <w:t xml:space="preserve">Conclusiones. </w:t>
      </w:r>
      <w:r w:rsidRPr="00EF20B4">
        <w:rPr>
          <w:lang w:val="es-CO"/>
        </w:rPr>
        <w:t>Evitar universalizar que una PDR es siempre superior. Limitar la conclusión al conjunto de métodos, instancias, modelos de disrupción y políticas de ejecución evaluados.</w:t>
      </w:r>
    </w:p>
    <w:p w14:paraId="7408F739" w14:textId="77777777" w:rsidR="00F23C0C" w:rsidRPr="00EF20B4" w:rsidRDefault="00000000">
      <w:pPr>
        <w:pStyle w:val="Ttulo1"/>
        <w:jc w:val="both"/>
        <w:rPr>
          <w:lang w:val="es-CO"/>
        </w:rPr>
      </w:pPr>
      <w:r w:rsidRPr="00EF20B4">
        <w:rPr>
          <w:rFonts w:ascii="Times New Roman" w:hAnsi="Times New Roman"/>
          <w:lang w:val="es-CO"/>
        </w:rPr>
        <w:t>5. Reposicionamiento conceptual sugerido</w:t>
      </w:r>
    </w:p>
    <w:p w14:paraId="17014B9B" w14:textId="77777777" w:rsidR="00F23C0C" w:rsidRPr="00EF20B4" w:rsidRDefault="00000000">
      <w:pPr>
        <w:jc w:val="both"/>
        <w:rPr>
          <w:lang w:val="es-CO"/>
        </w:rPr>
      </w:pPr>
      <w:r w:rsidRPr="00EF20B4">
        <w:rPr>
          <w:lang w:val="es-CO"/>
        </w:rPr>
        <w:t>Se recomienda organizar la narrativa del artículo alrededor de tres dimensiones independientes:</w:t>
      </w:r>
    </w:p>
    <w:tbl>
      <w:tblPr>
        <w:tblStyle w:val="Tablaconcuadrcula"/>
        <w:tblW w:w="0" w:type="auto"/>
        <w:jc w:val="center"/>
        <w:tblLook w:val="04A0" w:firstRow="1" w:lastRow="0" w:firstColumn="1" w:lastColumn="0" w:noHBand="0" w:noVBand="1"/>
      </w:tblPr>
      <w:tblGrid>
        <w:gridCol w:w="3216"/>
        <w:gridCol w:w="3216"/>
        <w:gridCol w:w="3216"/>
      </w:tblGrid>
      <w:tr w:rsidR="00F23C0C" w14:paraId="702B612A" w14:textId="77777777">
        <w:trPr>
          <w:jc w:val="center"/>
        </w:trPr>
        <w:tc>
          <w:tcPr>
            <w:tcW w:w="3216" w:type="dxa"/>
            <w:vAlign w:val="center"/>
          </w:tcPr>
          <w:p w14:paraId="27BE4390" w14:textId="77777777" w:rsidR="00F23C0C" w:rsidRDefault="00000000">
            <w:pPr>
              <w:jc w:val="both"/>
            </w:pPr>
            <w:proofErr w:type="spellStart"/>
            <w:r>
              <w:rPr>
                <w:b/>
              </w:rPr>
              <w:t>Dimensión</w:t>
            </w:r>
            <w:proofErr w:type="spellEnd"/>
          </w:p>
        </w:tc>
        <w:tc>
          <w:tcPr>
            <w:tcW w:w="3216" w:type="dxa"/>
            <w:vAlign w:val="center"/>
          </w:tcPr>
          <w:p w14:paraId="4932C560" w14:textId="77777777" w:rsidR="00F23C0C" w:rsidRDefault="00000000">
            <w:pPr>
              <w:jc w:val="both"/>
            </w:pPr>
            <w:r>
              <w:rPr>
                <w:b/>
              </w:rPr>
              <w:t>Pregunta</w:t>
            </w:r>
          </w:p>
        </w:tc>
        <w:tc>
          <w:tcPr>
            <w:tcW w:w="3216" w:type="dxa"/>
            <w:vAlign w:val="center"/>
          </w:tcPr>
          <w:p w14:paraId="3BCADA74" w14:textId="77777777" w:rsidR="00F23C0C" w:rsidRDefault="00000000">
            <w:pPr>
              <w:jc w:val="both"/>
            </w:pPr>
            <w:r>
              <w:rPr>
                <w:b/>
              </w:rPr>
              <w:t>Indicador sugerido</w:t>
            </w:r>
          </w:p>
        </w:tc>
      </w:tr>
      <w:tr w:rsidR="00F23C0C" w14:paraId="72BFA368" w14:textId="77777777">
        <w:trPr>
          <w:jc w:val="center"/>
        </w:trPr>
        <w:tc>
          <w:tcPr>
            <w:tcW w:w="3216" w:type="dxa"/>
            <w:vAlign w:val="center"/>
          </w:tcPr>
          <w:p w14:paraId="4B3B7DF8" w14:textId="77777777" w:rsidR="00F23C0C" w:rsidRDefault="00000000">
            <w:pPr>
              <w:jc w:val="both"/>
            </w:pPr>
            <w:r>
              <w:t>Calidad nominal</w:t>
            </w:r>
          </w:p>
        </w:tc>
        <w:tc>
          <w:tcPr>
            <w:tcW w:w="3216" w:type="dxa"/>
            <w:vAlign w:val="center"/>
          </w:tcPr>
          <w:p w14:paraId="445C7AB8" w14:textId="77777777" w:rsidR="00F23C0C" w:rsidRPr="00EF20B4" w:rsidRDefault="00000000">
            <w:pPr>
              <w:jc w:val="both"/>
              <w:rPr>
                <w:lang w:val="es-CO"/>
              </w:rPr>
            </w:pPr>
            <w:r w:rsidRPr="00EF20B4">
              <w:rPr>
                <w:lang w:val="es-CO"/>
              </w:rPr>
              <w:t>¿Qué tan buena es la solución sin disrupción?</w:t>
            </w:r>
          </w:p>
        </w:tc>
        <w:tc>
          <w:tcPr>
            <w:tcW w:w="3216" w:type="dxa"/>
            <w:vAlign w:val="center"/>
          </w:tcPr>
          <w:p w14:paraId="2ADCC6B4" w14:textId="77777777" w:rsidR="00F23C0C" w:rsidRDefault="00000000">
            <w:pPr>
              <w:jc w:val="both"/>
            </w:pPr>
            <w:r>
              <w:t>RPD / GAP / makespan</w:t>
            </w:r>
          </w:p>
        </w:tc>
      </w:tr>
      <w:tr w:rsidR="00F23C0C" w14:paraId="7470F801" w14:textId="77777777">
        <w:trPr>
          <w:jc w:val="center"/>
        </w:trPr>
        <w:tc>
          <w:tcPr>
            <w:tcW w:w="3216" w:type="dxa"/>
            <w:vAlign w:val="center"/>
          </w:tcPr>
          <w:p w14:paraId="3CECB994" w14:textId="77777777" w:rsidR="00F23C0C" w:rsidRDefault="00000000">
            <w:pPr>
              <w:jc w:val="both"/>
            </w:pPr>
            <w:r>
              <w:t>Robustez</w:t>
            </w:r>
          </w:p>
        </w:tc>
        <w:tc>
          <w:tcPr>
            <w:tcW w:w="3216" w:type="dxa"/>
            <w:vAlign w:val="center"/>
          </w:tcPr>
          <w:p w14:paraId="609832B6" w14:textId="77777777" w:rsidR="00F23C0C" w:rsidRPr="00EF20B4" w:rsidRDefault="00000000">
            <w:pPr>
              <w:jc w:val="both"/>
              <w:rPr>
                <w:lang w:val="es-CO"/>
              </w:rPr>
            </w:pPr>
            <w:r w:rsidRPr="00EF20B4">
              <w:rPr>
                <w:lang w:val="es-CO"/>
              </w:rPr>
              <w:t xml:space="preserve">¿Cuánto se degrada el desempeño cuando ocurre una </w:t>
            </w:r>
            <w:r w:rsidRPr="00EF20B4">
              <w:rPr>
                <w:lang w:val="es-CO"/>
              </w:rPr>
              <w:lastRenderedPageBreak/>
              <w:t>disrupción?</w:t>
            </w:r>
          </w:p>
        </w:tc>
        <w:tc>
          <w:tcPr>
            <w:tcW w:w="3216" w:type="dxa"/>
            <w:vAlign w:val="center"/>
          </w:tcPr>
          <w:p w14:paraId="49DE690D" w14:textId="77777777" w:rsidR="00F23C0C" w:rsidRDefault="00000000">
            <w:pPr>
              <w:jc w:val="both"/>
            </w:pPr>
            <w:r>
              <w:lastRenderedPageBreak/>
              <w:t xml:space="preserve">RI, CVaR, RPD </w:t>
            </w:r>
            <w:proofErr w:type="spellStart"/>
            <w:r>
              <w:t>realizada</w:t>
            </w:r>
            <w:proofErr w:type="spellEnd"/>
          </w:p>
        </w:tc>
      </w:tr>
      <w:tr w:rsidR="00F23C0C" w:rsidRPr="00EF20B4" w14:paraId="55C2CEFE" w14:textId="77777777">
        <w:trPr>
          <w:jc w:val="center"/>
        </w:trPr>
        <w:tc>
          <w:tcPr>
            <w:tcW w:w="3216" w:type="dxa"/>
            <w:vAlign w:val="center"/>
          </w:tcPr>
          <w:p w14:paraId="2CE727DD" w14:textId="77777777" w:rsidR="00F23C0C" w:rsidRDefault="00000000">
            <w:pPr>
              <w:jc w:val="both"/>
            </w:pPr>
            <w:r>
              <w:t>Generalización</w:t>
            </w:r>
          </w:p>
        </w:tc>
        <w:tc>
          <w:tcPr>
            <w:tcW w:w="3216" w:type="dxa"/>
            <w:vAlign w:val="center"/>
          </w:tcPr>
          <w:p w14:paraId="3AF11989" w14:textId="77777777" w:rsidR="00F23C0C" w:rsidRPr="00EF20B4" w:rsidRDefault="00000000">
            <w:pPr>
              <w:jc w:val="both"/>
              <w:rPr>
                <w:lang w:val="es-CO"/>
              </w:rPr>
            </w:pPr>
            <w:r w:rsidRPr="00EF20B4">
              <w:rPr>
                <w:lang w:val="es-CO"/>
              </w:rPr>
              <w:t>¿La política conserva desempeño al cambiar el tamaño o distribución?</w:t>
            </w:r>
          </w:p>
        </w:tc>
        <w:tc>
          <w:tcPr>
            <w:tcW w:w="3216" w:type="dxa"/>
            <w:vAlign w:val="center"/>
          </w:tcPr>
          <w:p w14:paraId="4E6D64DA" w14:textId="77777777" w:rsidR="00F23C0C" w:rsidRPr="00EF20B4" w:rsidRDefault="00000000">
            <w:pPr>
              <w:jc w:val="both"/>
              <w:rPr>
                <w:lang w:val="es-CO"/>
              </w:rPr>
            </w:pPr>
            <w:r w:rsidRPr="00EF20B4">
              <w:rPr>
                <w:lang w:val="es-CO"/>
              </w:rPr>
              <w:t xml:space="preserve">RPD absoluta, rango relativo, brecha vs. </w:t>
            </w:r>
            <w:proofErr w:type="spellStart"/>
            <w:r w:rsidRPr="00EF20B4">
              <w:rPr>
                <w:lang w:val="es-CO"/>
              </w:rPr>
              <w:t>baseline</w:t>
            </w:r>
            <w:proofErr w:type="spellEnd"/>
          </w:p>
        </w:tc>
      </w:tr>
    </w:tbl>
    <w:p w14:paraId="2D8BD146" w14:textId="77777777" w:rsidR="00F23C0C" w:rsidRPr="00EF20B4" w:rsidRDefault="00F23C0C">
      <w:pPr>
        <w:jc w:val="both"/>
        <w:rPr>
          <w:lang w:val="es-CO"/>
        </w:rPr>
      </w:pPr>
    </w:p>
    <w:p w14:paraId="7421D2B5" w14:textId="0061D4A8" w:rsidR="00F23C0C" w:rsidRPr="00EF20B4" w:rsidRDefault="00F23C0C" w:rsidP="00EF20B4">
      <w:pPr>
        <w:jc w:val="both"/>
        <w:rPr>
          <w:lang w:val="es-CO"/>
        </w:rPr>
      </w:pPr>
    </w:p>
    <w:sectPr w:rsidR="00F23C0C" w:rsidRPr="00EF20B4" w:rsidSect="00034616">
      <w:headerReference w:type="default" r:id="rId8"/>
      <w:footerReference w:type="default" r:id="rId9"/>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951909" w14:textId="77777777" w:rsidR="000A5787" w:rsidRDefault="000A5787">
      <w:pPr>
        <w:spacing w:after="0" w:line="240" w:lineRule="auto"/>
      </w:pPr>
      <w:r>
        <w:separator/>
      </w:r>
    </w:p>
  </w:endnote>
  <w:endnote w:type="continuationSeparator" w:id="0">
    <w:p w14:paraId="754E2076" w14:textId="77777777" w:rsidR="000A5787" w:rsidRDefault="000A57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59C39" w14:textId="77777777" w:rsidR="00F23C0C" w:rsidRDefault="00F23C0C">
    <w:pPr>
      <w:pStyle w:val="Piedepgina"/>
      <w:jc w:val="both"/>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783541" w14:textId="77777777" w:rsidR="000A5787" w:rsidRDefault="000A5787">
      <w:pPr>
        <w:spacing w:after="0" w:line="240" w:lineRule="auto"/>
      </w:pPr>
      <w:r>
        <w:separator/>
      </w:r>
    </w:p>
  </w:footnote>
  <w:footnote w:type="continuationSeparator" w:id="0">
    <w:p w14:paraId="11E1529D" w14:textId="77777777" w:rsidR="000A5787" w:rsidRDefault="000A578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82742" w14:textId="77777777" w:rsidR="00F23C0C" w:rsidRDefault="00F23C0C">
    <w:pPr>
      <w:pStyle w:val="Encabezado"/>
      <w:jc w:val="both"/>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4BD021B1"/>
    <w:multiLevelType w:val="hybridMultilevel"/>
    <w:tmpl w:val="6B8C6E4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641350302">
    <w:abstractNumId w:val="8"/>
  </w:num>
  <w:num w:numId="2" w16cid:durableId="967011503">
    <w:abstractNumId w:val="6"/>
  </w:num>
  <w:num w:numId="3" w16cid:durableId="1548182882">
    <w:abstractNumId w:val="5"/>
  </w:num>
  <w:num w:numId="4" w16cid:durableId="2146660890">
    <w:abstractNumId w:val="4"/>
  </w:num>
  <w:num w:numId="5" w16cid:durableId="2072462889">
    <w:abstractNumId w:val="7"/>
  </w:num>
  <w:num w:numId="6" w16cid:durableId="610937002">
    <w:abstractNumId w:val="3"/>
  </w:num>
  <w:num w:numId="7" w16cid:durableId="943808407">
    <w:abstractNumId w:val="2"/>
  </w:num>
  <w:num w:numId="8" w16cid:durableId="1584684564">
    <w:abstractNumId w:val="1"/>
  </w:num>
  <w:num w:numId="9" w16cid:durableId="903683916">
    <w:abstractNumId w:val="0"/>
  </w:num>
  <w:num w:numId="10" w16cid:durableId="182565828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5787"/>
    <w:rsid w:val="0015074B"/>
    <w:rsid w:val="0029639D"/>
    <w:rsid w:val="00326F90"/>
    <w:rsid w:val="00AA1D8D"/>
    <w:rsid w:val="00B47730"/>
    <w:rsid w:val="00CB0664"/>
    <w:rsid w:val="00E146B2"/>
    <w:rsid w:val="00EF20B4"/>
    <w:rsid w:val="00F23C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B6B5AB"/>
  <w14:defaultImageDpi w14:val="300"/>
  <w15:docId w15:val="{E7B8FE94-7A75-460D-8DEA-4B71FF8C1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color w:val="000000"/>
      <w:sz w:val="24"/>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rPr>
      <w:rFonts w:ascii="Times New Roman" w:hAnsi="Times New Roman"/>
      <w:color w:val="000000"/>
      <w:sz w:val="24"/>
    </w:rPr>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rPr>
      <w:rFonts w:ascii="Times New Roman" w:hAnsi="Times New Roman"/>
      <w:color w:val="000000"/>
      <w:sz w:val="24"/>
    </w:rPr>
  </w:style>
  <w:style w:type="paragraph" w:styleId="Sinespaciado">
    <w:name w:val="No Spacing"/>
    <w:uiPriority w:val="1"/>
    <w:qFormat/>
    <w:rsid w:val="00FC693F"/>
    <w:pPr>
      <w:spacing w:after="0" w:line="240" w:lineRule="auto"/>
    </w:pPr>
    <w:rPr>
      <w:rFonts w:ascii="Times New Roman" w:hAnsi="Times New Roman"/>
      <w:color w:val="000000"/>
      <w:sz w:val="24"/>
    </w:r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000000"/>
      <w:sz w:val="24"/>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000000"/>
      <w:sz w:val="24"/>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000000"/>
      <w:sz w:val="24"/>
    </w:rPr>
  </w:style>
  <w:style w:type="paragraph" w:styleId="Ttulo">
    <w:name w:val="Title"/>
    <w:basedOn w:val="Normal"/>
    <w:next w:val="Normal"/>
    <w:link w:val="TtuloCar"/>
    <w:uiPriority w:val="10"/>
    <w:qFormat/>
    <w:rsid w:val="00FC693F"/>
    <w:pPr>
      <w:spacing w:after="300" w:line="240" w:lineRule="auto"/>
      <w:contextualSpacing/>
    </w:pPr>
    <w:rPr>
      <w:rFonts w:asciiTheme="majorHAnsi" w:eastAsiaTheme="majorEastAsia" w:hAnsiTheme="majorHAnsi" w:cstheme="majorBidi"/>
      <w:b/>
      <w:spacing w:val="5"/>
      <w:kern w:val="28"/>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000000"/>
      <w:spacing w:val="5"/>
      <w:kern w:val="28"/>
      <w:sz w:val="24"/>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000000"/>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rPr>
      <w:rFonts w:ascii="Times New Roman" w:hAnsi="Times New Roman"/>
      <w:color w:val="000000"/>
      <w:sz w:val="24"/>
    </w:rPr>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rPr>
      <w:rFonts w:ascii="Times New Roman" w:hAnsi="Times New Roman"/>
      <w:color w:val="000000"/>
      <w:sz w:val="24"/>
    </w:rPr>
  </w:style>
  <w:style w:type="paragraph" w:styleId="Textoindependiente3">
    <w:name w:val="Body Text 3"/>
    <w:basedOn w:val="Normal"/>
    <w:link w:val="Textoindependiente3Car"/>
    <w:uiPriority w:val="99"/>
    <w:unhideWhenUsed/>
    <w:rsid w:val="00AA1D8D"/>
    <w:pPr>
      <w:spacing w:after="120"/>
    </w:pPr>
    <w:rPr>
      <w:szCs w:val="16"/>
    </w:rPr>
  </w:style>
  <w:style w:type="character" w:customStyle="1" w:styleId="Textoindependiente3Car">
    <w:name w:val="Texto independiente 3 Car"/>
    <w:basedOn w:val="Fuentedeprrafopredeter"/>
    <w:link w:val="Textoindependiente3"/>
    <w:uiPriority w:val="99"/>
    <w:rsid w:val="00AA1D8D"/>
    <w:rPr>
      <w:rFonts w:ascii="Times New Roman" w:hAnsi="Times New Roman"/>
      <w:color w:val="000000"/>
      <w:sz w:val="24"/>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4"/>
      <w:szCs w:val="20"/>
    </w:rPr>
  </w:style>
  <w:style w:type="character" w:customStyle="1" w:styleId="TextomacroCar">
    <w:name w:val="Texto macro Car"/>
    <w:basedOn w:val="Fuentedeprrafopredeter"/>
    <w:link w:val="Textomacro"/>
    <w:uiPriority w:val="99"/>
    <w:rsid w:val="0029639D"/>
    <w:rPr>
      <w:rFonts w:ascii="Times New Roman" w:hAnsi="Times New Roman"/>
      <w:color w:val="000000"/>
      <w:sz w:val="24"/>
      <w:szCs w:val="20"/>
    </w:rPr>
  </w:style>
  <w:style w:type="paragraph" w:styleId="Cita">
    <w:name w:val="Quote"/>
    <w:basedOn w:val="Normal"/>
    <w:next w:val="Normal"/>
    <w:link w:val="CitaCar"/>
    <w:uiPriority w:val="29"/>
    <w:qFormat/>
    <w:rsid w:val="00FC693F"/>
    <w:rPr>
      <w:i/>
      <w:iCs/>
    </w:rPr>
  </w:style>
  <w:style w:type="character" w:customStyle="1" w:styleId="CitaCar">
    <w:name w:val="Cita Car"/>
    <w:basedOn w:val="Fuentedeprrafopredeter"/>
    <w:link w:val="Cita"/>
    <w:uiPriority w:val="29"/>
    <w:rsid w:val="00FC693F"/>
    <w:rPr>
      <w:rFonts w:ascii="Times New Roman" w:hAnsi="Times New Roman"/>
      <w:i/>
      <w:iCs/>
      <w:color w:val="000000"/>
      <w:sz w:val="24"/>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000000"/>
      <w:sz w:val="24"/>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000000"/>
      <w:sz w:val="24"/>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000000"/>
      <w:sz w:val="24"/>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000000"/>
      <w:sz w:val="24"/>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000000"/>
      <w:sz w:val="24"/>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000000"/>
      <w:sz w:val="24"/>
      <w:szCs w:val="20"/>
    </w:rPr>
  </w:style>
  <w:style w:type="paragraph" w:styleId="Descripcin">
    <w:name w:val="caption"/>
    <w:basedOn w:val="Normal"/>
    <w:next w:val="Normal"/>
    <w:uiPriority w:val="35"/>
    <w:semiHidden/>
    <w:unhideWhenUsed/>
    <w:qFormat/>
    <w:rsid w:val="00FC693F"/>
    <w:pPr>
      <w:spacing w:line="240" w:lineRule="auto"/>
    </w:pPr>
    <w:rPr>
      <w:b/>
      <w:bCs/>
      <w:szCs w:val="18"/>
    </w:rPr>
  </w:style>
  <w:style w:type="character" w:styleId="Fuerte">
    <w:name w:val="Strong"/>
    <w:basedOn w:val="Fuentedeprrafopredeter"/>
    <w:uiPriority w:val="22"/>
    <w:qFormat/>
    <w:rsid w:val="00FC693F"/>
    <w:rPr>
      <w:rFonts w:ascii="Times New Roman" w:hAnsi="Times New Roman"/>
      <w:b/>
      <w:bCs/>
      <w:color w:val="000000"/>
      <w:sz w:val="24"/>
    </w:rPr>
  </w:style>
  <w:style w:type="character" w:styleId="nfasis">
    <w:name w:val="Emphasis"/>
    <w:basedOn w:val="Fuentedeprrafopredeter"/>
    <w:uiPriority w:val="20"/>
    <w:qFormat/>
    <w:rsid w:val="00FC693F"/>
    <w:rPr>
      <w:rFonts w:ascii="Times New Roman" w:hAnsi="Times New Roman"/>
      <w:i/>
      <w:iCs/>
      <w:color w:val="000000"/>
      <w:sz w:val="24"/>
    </w:rPr>
  </w:style>
  <w:style w:type="paragraph" w:styleId="Citadestacada">
    <w:name w:val="Intense Quote"/>
    <w:basedOn w:val="Normal"/>
    <w:next w:val="Normal"/>
    <w:link w:val="CitadestacadaCar"/>
    <w:uiPriority w:val="30"/>
    <w:qFormat/>
    <w:rsid w:val="00FC693F"/>
    <w:pPr>
      <w:spacing w:before="200" w:after="280"/>
      <w:ind w:left="936" w:right="936"/>
    </w:pPr>
    <w:rPr>
      <w:b/>
      <w:bCs/>
      <w:i/>
      <w:iCs/>
    </w:rPr>
  </w:style>
  <w:style w:type="character" w:customStyle="1" w:styleId="CitadestacadaCar">
    <w:name w:val="Cita destacada Car"/>
    <w:basedOn w:val="Fuentedeprrafopredeter"/>
    <w:link w:val="Citadestacada"/>
    <w:uiPriority w:val="30"/>
    <w:rsid w:val="00FC693F"/>
    <w:rPr>
      <w:rFonts w:ascii="Times New Roman" w:hAnsi="Times New Roman"/>
      <w:b/>
      <w:bCs/>
      <w:i/>
      <w:iCs/>
      <w:color w:val="000000"/>
      <w:sz w:val="24"/>
    </w:rPr>
  </w:style>
  <w:style w:type="character" w:styleId="nfasissutil">
    <w:name w:val="Subtle Emphasis"/>
    <w:basedOn w:val="Fuentedeprrafopredeter"/>
    <w:uiPriority w:val="19"/>
    <w:qFormat/>
    <w:rsid w:val="00FC693F"/>
    <w:rPr>
      <w:rFonts w:ascii="Times New Roman" w:hAnsi="Times New Roman"/>
      <w:i/>
      <w:iCs/>
      <w:color w:val="000000"/>
      <w:sz w:val="24"/>
    </w:rPr>
  </w:style>
  <w:style w:type="character" w:styleId="nfasisintenso">
    <w:name w:val="Intense Emphasis"/>
    <w:basedOn w:val="Fuentedeprrafopredeter"/>
    <w:uiPriority w:val="21"/>
    <w:qFormat/>
    <w:rsid w:val="00FC693F"/>
    <w:rPr>
      <w:rFonts w:ascii="Times New Roman" w:hAnsi="Times New Roman"/>
      <w:b/>
      <w:bCs/>
      <w:i/>
      <w:iCs/>
      <w:color w:val="000000"/>
      <w:sz w:val="24"/>
    </w:rPr>
  </w:style>
  <w:style w:type="character" w:styleId="Referenciasutil">
    <w:name w:val="Subtle Reference"/>
    <w:basedOn w:val="Fuentedeprrafopredeter"/>
    <w:uiPriority w:val="31"/>
    <w:qFormat/>
    <w:rsid w:val="00FC693F"/>
    <w:rPr>
      <w:rFonts w:ascii="Times New Roman" w:hAnsi="Times New Roman"/>
      <w:smallCaps/>
      <w:color w:val="000000"/>
      <w:sz w:val="24"/>
      <w:u w:val="single"/>
    </w:rPr>
  </w:style>
  <w:style w:type="character" w:styleId="Referenciaintensa">
    <w:name w:val="Intense Reference"/>
    <w:basedOn w:val="Fuentedeprrafopredeter"/>
    <w:uiPriority w:val="32"/>
    <w:qFormat/>
    <w:rsid w:val="00FC693F"/>
    <w:rPr>
      <w:rFonts w:ascii="Times New Roman" w:hAnsi="Times New Roman"/>
      <w:b/>
      <w:bCs/>
      <w:smallCaps/>
      <w:color w:val="000000"/>
      <w:spacing w:val="5"/>
      <w:sz w:val="24"/>
      <w:u w:val="single"/>
    </w:rPr>
  </w:style>
  <w:style w:type="character" w:styleId="Ttulodellibro">
    <w:name w:val="Book Title"/>
    <w:basedOn w:val="Fuentedeprrafopredeter"/>
    <w:uiPriority w:val="33"/>
    <w:qFormat/>
    <w:rsid w:val="00FC693F"/>
    <w:rPr>
      <w:rFonts w:ascii="Times New Roman" w:hAnsi="Times New Roman"/>
      <w:b/>
      <w:bCs/>
      <w:smallCaps/>
      <w:color w:val="000000"/>
      <w:spacing w:val="5"/>
      <w:sz w:val="24"/>
    </w:rPr>
  </w:style>
  <w:style w:type="paragraph" w:styleId="TtuloTDC">
    <w:name w:val="TOC Heading"/>
    <w:basedOn w:val="Ttulo1"/>
    <w:next w:val="Normal"/>
    <w:uiPriority w:val="39"/>
    <w:semiHidden/>
    <w:unhideWhenUsed/>
    <w:qFormat/>
    <w:rsid w:val="00FC693F"/>
    <w:pPr>
      <w:outlineLvl w:val="9"/>
    </w:pPr>
    <w:rPr>
      <w:rFonts w:ascii="Times New Roman" w:hAnsi="Times New Roman"/>
    </w:rPr>
  </w:style>
  <w:style w:type="table" w:styleId="Tablaconcuadrcula">
    <w:name w:val="Table Grid"/>
    <w:basedOn w:val="Tablanormal"/>
    <w:uiPriority w:val="59"/>
    <w:rsid w:val="00FC693F"/>
    <w:pPr>
      <w:spacing w:after="0" w:line="240" w:lineRule="auto"/>
    </w:pPr>
    <w:rPr>
      <w:rFonts w:ascii="Times New Roman" w:hAnsi="Times New Roman"/>
      <w:color w:val="000000"/>
      <w:sz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rFonts w:ascii="Times New Roman" w:hAnsi="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rFonts w:ascii="Times New Roman" w:hAnsi="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rFonts w:ascii="Times New Roman" w:hAnsi="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rFonts w:ascii="Times New Roman" w:hAnsi="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rFonts w:ascii="Times New Roman" w:hAnsi="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rFonts w:ascii="Times New Roman" w:hAnsi="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rFonts w:ascii="Times New Roman" w:hAnsi="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rPr>
      <w:rFonts w:ascii="Times New Roman" w:hAnsi="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rPr>
      <w:rFonts w:ascii="Times New Roman" w:hAnsi="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rPr>
      <w:rFonts w:ascii="Times New Roman" w:hAnsi="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rPr>
      <w:rFonts w:ascii="Times New Roman" w:hAnsi="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rPr>
      <w:rFonts w:ascii="Times New Roman" w:hAnsi="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rPr>
      <w:rFonts w:ascii="Times New Roman" w:hAnsi="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rPr>
      <w:rFonts w:ascii="Times New Roman" w:hAnsi="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rPr>
      <w:rFonts w:ascii="Times New Roman" w:hAnsi="Times New Roman"/>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rPr>
      <w:rFonts w:ascii="Times New Roman" w:hAnsi="Times New Roman"/>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rPr>
      <w:rFonts w:ascii="Times New Roman" w:hAnsi="Times New Roman"/>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rPr>
      <w:rFonts w:ascii="Times New Roman" w:hAnsi="Times New Roman"/>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rPr>
      <w:rFonts w:ascii="Times New Roman" w:hAnsi="Times New Roman"/>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rPr>
      <w:rFonts w:ascii="Times New Roman" w:hAnsi="Times New Roman"/>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rPr>
      <w:rFonts w:ascii="Times New Roman" w:hAnsi="Times New Roman"/>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rPr>
      <w:rFonts w:ascii="Times New Roman" w:hAnsi="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rPr>
      <w:rFonts w:ascii="Times New Roman" w:hAnsi="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rPr>
      <w:rFonts w:ascii="Times New Roman" w:hAnsi="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rPr>
      <w:rFonts w:ascii="Times New Roman" w:hAnsi="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rPr>
      <w:rFonts w:ascii="Times New Roman" w:hAnsi="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rPr>
      <w:rFonts w:ascii="Times New Roman" w:hAnsi="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rPr>
      <w:rFonts w:ascii="Times New Roman" w:hAnsi="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rPr>
      <w:rFonts w:ascii="Times New Roman" w:hAnsi="Times New Roman"/>
      <w:color w:val="000000"/>
      <w:sz w:val="24"/>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rFonts w:ascii="Times New Roman" w:hAnsi="Times New Roman"/>
      <w:color w:val="000000"/>
      <w:sz w:val="24"/>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rFonts w:ascii="Times New Roman" w:hAnsi="Times New Roman"/>
      <w:color w:val="000000"/>
      <w:sz w:val="24"/>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rFonts w:ascii="Times New Roman" w:hAnsi="Times New Roman"/>
      <w:color w:val="000000"/>
      <w:sz w:val="24"/>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rFonts w:ascii="Times New Roman" w:hAnsi="Times New Roman"/>
      <w:color w:val="000000"/>
      <w:sz w:val="24"/>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rFonts w:ascii="Times New Roman" w:hAnsi="Times New Roman"/>
      <w:color w:val="000000"/>
      <w:sz w:val="24"/>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rFonts w:ascii="Times New Roman" w:hAnsi="Times New Roman"/>
      <w:color w:val="000000"/>
      <w:sz w:val="24"/>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rFonts w:ascii="Times New Roman" w:hAnsi="Times New Roman"/>
      <w:color w:val="000000"/>
      <w:sz w:val="24"/>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rPr>
      <w:rFonts w:ascii="Times New Roman" w:hAnsi="Times New Roman"/>
      <w:color w:val="000000"/>
      <w:sz w:val="24"/>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rPr>
      <w:rFonts w:ascii="Times New Roman" w:hAnsi="Times New Roman"/>
      <w:color w:val="000000"/>
      <w:sz w:val="24"/>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rPr>
      <w:rFonts w:ascii="Times New Roman" w:hAnsi="Times New Roman"/>
      <w:color w:val="000000"/>
      <w:sz w:val="24"/>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rPr>
      <w:rFonts w:ascii="Times New Roman" w:hAnsi="Times New Roman"/>
      <w:color w:val="000000"/>
      <w:sz w:val="24"/>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rPr>
      <w:rFonts w:ascii="Times New Roman" w:hAnsi="Times New Roman"/>
      <w:color w:val="000000"/>
      <w:sz w:val="24"/>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rPr>
      <w:rFonts w:ascii="Times New Roman" w:hAnsi="Times New Roman"/>
      <w:color w:val="000000"/>
      <w:sz w:val="24"/>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rPr>
      <w:rFonts w:ascii="Times New Roman" w:hAnsi="Times New Roman"/>
      <w:color w:val="000000"/>
      <w:sz w:val="24"/>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sz w:val="24"/>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rPr>
      <w:rFonts w:ascii="Times New Roman" w:hAnsi="Times New Roman"/>
      <w:color w:val="000000"/>
      <w:sz w:val="24"/>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rFonts w:ascii="Times New Roman" w:hAnsi="Times New Roman"/>
      <w:color w:val="000000"/>
      <w:sz w:val="24"/>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rFonts w:ascii="Times New Roman" w:hAnsi="Times New Roman"/>
      <w:color w:val="000000"/>
      <w:sz w:val="24"/>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rFonts w:ascii="Times New Roman" w:hAnsi="Times New Roman"/>
      <w:color w:val="000000"/>
      <w:sz w:val="24"/>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rFonts w:ascii="Times New Roman" w:hAnsi="Times New Roman"/>
      <w:color w:val="000000"/>
      <w:sz w:val="24"/>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rFonts w:ascii="Times New Roman" w:hAnsi="Times New Roman"/>
      <w:color w:val="000000"/>
      <w:sz w:val="24"/>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rFonts w:ascii="Times New Roman" w:hAnsi="Times New Roman"/>
      <w:color w:val="000000"/>
      <w:sz w:val="24"/>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rFonts w:ascii="Times New Roman" w:hAnsi="Times New Roman"/>
      <w:color w:val="000000"/>
      <w:sz w:val="24"/>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rFonts w:ascii="Times New Roman" w:hAnsi="Times New Roman"/>
      <w:color w:val="000000"/>
      <w:sz w:val="24"/>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rFonts w:ascii="Times New Roman" w:hAnsi="Times New Roman"/>
      <w:color w:val="000000"/>
      <w:sz w:val="24"/>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rFonts w:ascii="Times New Roman" w:hAnsi="Times New Roman"/>
      <w:color w:val="000000"/>
      <w:sz w:val="24"/>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rFonts w:ascii="Times New Roman" w:hAnsi="Times New Roman"/>
      <w:color w:val="000000"/>
      <w:sz w:val="24"/>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rFonts w:ascii="Times New Roman" w:hAnsi="Times New Roman"/>
      <w:color w:val="000000"/>
      <w:sz w:val="24"/>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rFonts w:ascii="Times New Roman" w:hAnsi="Times New Roman"/>
      <w:color w:val="000000"/>
      <w:sz w:val="24"/>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rFonts w:ascii="Times New Roman" w:hAnsi="Times New Roman"/>
      <w:color w:val="000000"/>
      <w:sz w:val="24"/>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rFonts w:ascii="Times New Roman" w:hAnsi="Times New Roman"/>
      <w:color w:val="000000"/>
      <w:sz w:val="24"/>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rFonts w:ascii="Times New Roman" w:hAnsi="Times New Roman"/>
      <w:color w:val="000000"/>
      <w:sz w:val="24"/>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rFonts w:ascii="Times New Roman" w:hAnsi="Times New Roman"/>
      <w:color w:val="000000"/>
      <w:sz w:val="24"/>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rFonts w:ascii="Times New Roman" w:hAnsi="Times New Roman"/>
      <w:color w:val="000000"/>
      <w:sz w:val="24"/>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rFonts w:ascii="Times New Roman" w:hAnsi="Times New Roman"/>
      <w:color w:val="000000"/>
      <w:sz w:val="24"/>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rFonts w:ascii="Times New Roman" w:hAnsi="Times New Roman"/>
      <w:color w:val="000000"/>
      <w:sz w:val="24"/>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rFonts w:ascii="Times New Roman" w:hAnsi="Times New Roman"/>
      <w:color w:val="000000"/>
      <w:sz w:val="24"/>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rFonts w:ascii="Times New Roman" w:hAnsi="Times New Roman"/>
      <w:color w:val="000000"/>
      <w:sz w:val="24"/>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1149</Words>
  <Characters>6325</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7460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Luis Enrique Tarazona Torres</cp:lastModifiedBy>
  <cp:revision>2</cp:revision>
  <dcterms:created xsi:type="dcterms:W3CDTF">2013-12-23T23:15:00Z</dcterms:created>
  <dcterms:modified xsi:type="dcterms:W3CDTF">2026-08-20T21:20:00Z</dcterms:modified>
  <cp:category/>
</cp:coreProperties>
</file>