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ACED" w14:textId="77777777" w:rsidR="0069403C" w:rsidRDefault="00000000" w:rsidP="0069403C">
      <w:pPr>
        <w:pStyle w:val="Ttulo"/>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Óptimo pero frágil: el precio de la optimalidad bajo incertidumbre</w:t>
      </w:r>
      <w:r w:rsidR="0069403C">
        <w:rPr>
          <w:rFonts w:ascii="Times New Roman" w:hAnsi="Times New Roman" w:cs="Times New Roman"/>
          <w:color w:val="000000" w:themeColor="text1"/>
          <w:sz w:val="22"/>
          <w:szCs w:val="22"/>
          <w:lang w:val="es-CO"/>
        </w:rPr>
        <w:t xml:space="preserve"> </w:t>
      </w:r>
      <w:r w:rsidRPr="0069403C">
        <w:rPr>
          <w:rFonts w:ascii="Times New Roman" w:hAnsi="Times New Roman" w:cs="Times New Roman"/>
          <w:color w:val="000000" w:themeColor="text1"/>
          <w:sz w:val="22"/>
          <w:szCs w:val="22"/>
          <w:lang w:val="es-CO"/>
        </w:rPr>
        <w:t>en la programación</w:t>
      </w:r>
      <w:r w:rsidR="0069403C">
        <w:rPr>
          <w:rFonts w:ascii="Times New Roman" w:hAnsi="Times New Roman" w:cs="Times New Roman"/>
          <w:color w:val="000000" w:themeColor="text1"/>
          <w:sz w:val="22"/>
          <w:szCs w:val="22"/>
          <w:lang w:val="es-CO"/>
        </w:rPr>
        <w:t xml:space="preserve"> </w:t>
      </w:r>
      <w:r w:rsidRPr="0069403C">
        <w:rPr>
          <w:rFonts w:ascii="Times New Roman" w:hAnsi="Times New Roman" w:cs="Times New Roman"/>
          <w:color w:val="000000" w:themeColor="text1"/>
          <w:sz w:val="22"/>
          <w:szCs w:val="22"/>
          <w:lang w:val="es-CO"/>
        </w:rPr>
        <w:t>dinámica de taller de trabajos (</w:t>
      </w:r>
      <w:proofErr w:type="spellStart"/>
      <w:r w:rsidRPr="0069403C">
        <w:rPr>
          <w:rFonts w:ascii="Times New Roman" w:hAnsi="Times New Roman" w:cs="Times New Roman"/>
          <w:color w:val="000000" w:themeColor="text1"/>
          <w:sz w:val="22"/>
          <w:szCs w:val="22"/>
          <w:lang w:val="es-CO"/>
        </w:rPr>
        <w:t>job</w:t>
      </w:r>
      <w:proofErr w:type="spellEnd"/>
      <w:r w:rsidRPr="0069403C">
        <w:rPr>
          <w:rFonts w:ascii="Times New Roman" w:hAnsi="Times New Roman" w:cs="Times New Roman"/>
          <w:color w:val="000000" w:themeColor="text1"/>
          <w:sz w:val="22"/>
          <w:szCs w:val="22"/>
          <w:lang w:val="es-CO"/>
        </w:rPr>
        <w:t>-shop)</w:t>
      </w:r>
      <w:r w:rsidRPr="0069403C">
        <w:rPr>
          <w:rFonts w:ascii="Times New Roman" w:hAnsi="Times New Roman" w:cs="Times New Roman"/>
          <w:color w:val="000000" w:themeColor="text1"/>
          <w:sz w:val="22"/>
          <w:szCs w:val="22"/>
          <w:lang w:val="es-CO"/>
        </w:rPr>
        <w:br/>
      </w:r>
    </w:p>
    <w:p w14:paraId="0C81ECD3" w14:textId="298BEBE4" w:rsidR="00E373E4" w:rsidRPr="0069403C" w:rsidRDefault="00000000" w:rsidP="0069403C">
      <w:pPr>
        <w:pStyle w:val="Ttulo"/>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Una comparación entre paradigmas, </w:t>
      </w:r>
      <w:proofErr w:type="spellStart"/>
      <w:r w:rsidRPr="0069403C">
        <w:rPr>
          <w:rFonts w:ascii="Times New Roman" w:hAnsi="Times New Roman" w:cs="Times New Roman"/>
          <w:color w:val="000000" w:themeColor="text1"/>
          <w:sz w:val="22"/>
          <w:szCs w:val="22"/>
          <w:lang w:val="es-CO"/>
        </w:rPr>
        <w:t>pre-registrada</w:t>
      </w:r>
      <w:proofErr w:type="spellEnd"/>
      <w:r w:rsidRPr="0069403C">
        <w:rPr>
          <w:rFonts w:ascii="Times New Roman" w:hAnsi="Times New Roman" w:cs="Times New Roman"/>
          <w:color w:val="000000" w:themeColor="text1"/>
          <w:sz w:val="22"/>
          <w:szCs w:val="22"/>
          <w:lang w:val="es-CO"/>
        </w:rPr>
        <w:t>, de políticas</w:t>
      </w:r>
      <w:r w:rsidR="0069403C">
        <w:rPr>
          <w:rFonts w:ascii="Times New Roman" w:hAnsi="Times New Roman" w:cs="Times New Roman"/>
          <w:color w:val="000000" w:themeColor="text1"/>
          <w:sz w:val="22"/>
          <w:szCs w:val="22"/>
          <w:lang w:val="es-CO"/>
        </w:rPr>
        <w:t xml:space="preserve"> </w:t>
      </w:r>
      <w:r w:rsidRPr="0069403C">
        <w:rPr>
          <w:rFonts w:ascii="Times New Roman" w:hAnsi="Times New Roman" w:cs="Times New Roman"/>
          <w:color w:val="000000" w:themeColor="text1"/>
          <w:sz w:val="22"/>
          <w:szCs w:val="22"/>
          <w:lang w:val="es-CO"/>
        </w:rPr>
        <w:t>exactas, metaheurísticas,</w:t>
      </w:r>
      <w:r w:rsidR="0069403C">
        <w:rPr>
          <w:rFonts w:ascii="Times New Roman" w:hAnsi="Times New Roman" w:cs="Times New Roman"/>
          <w:color w:val="000000" w:themeColor="text1"/>
          <w:sz w:val="22"/>
          <w:szCs w:val="22"/>
          <w:lang w:val="es-CO"/>
        </w:rPr>
        <w:t xml:space="preserve"> </w:t>
      </w:r>
      <w:r w:rsidRPr="0069403C">
        <w:rPr>
          <w:rFonts w:ascii="Times New Roman" w:hAnsi="Times New Roman" w:cs="Times New Roman"/>
          <w:color w:val="000000" w:themeColor="text1"/>
          <w:sz w:val="22"/>
          <w:szCs w:val="22"/>
          <w:lang w:val="es-CO"/>
        </w:rPr>
        <w:t>basadas en reglas y de aprendizaje por refuerzo</w:t>
      </w:r>
      <w:r w:rsidR="0069403C">
        <w:rPr>
          <w:rFonts w:ascii="Times New Roman" w:hAnsi="Times New Roman" w:cs="Times New Roman"/>
          <w:color w:val="000000" w:themeColor="text1"/>
          <w:sz w:val="22"/>
          <w:szCs w:val="22"/>
          <w:lang w:val="es-CO"/>
        </w:rPr>
        <w:t xml:space="preserve"> </w:t>
      </w:r>
      <w:r w:rsidRPr="0069403C">
        <w:rPr>
          <w:rFonts w:ascii="Times New Roman" w:hAnsi="Times New Roman" w:cs="Times New Roman"/>
          <w:color w:val="000000" w:themeColor="text1"/>
          <w:sz w:val="22"/>
          <w:szCs w:val="22"/>
          <w:lang w:val="es-CO"/>
        </w:rPr>
        <w:t>con redes neuronales de grafos</w:t>
      </w:r>
    </w:p>
    <w:p w14:paraId="6F672188" w14:textId="77777777" w:rsidR="00E373E4" w:rsidRPr="0069403C" w:rsidRDefault="00000000" w:rsidP="0069403C">
      <w:pPr>
        <w:pStyle w:val="Author"/>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Joseph Javier Sánchez Acuña</w:t>
      </w:r>
      <m:oMath>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lang w:val="es-CO"/>
              </w:rPr>
              <m:t>​</m:t>
            </m:r>
          </m:e>
          <m:sup>
            <m:r>
              <w:rPr>
                <w:rFonts w:ascii="Cambria Math" w:hAnsi="Cambria Math" w:cs="Times New Roman"/>
                <w:color w:val="000000" w:themeColor="text1"/>
                <w:sz w:val="22"/>
                <w:szCs w:val="22"/>
                <w:lang w:val="es-CO"/>
              </w:rPr>
              <m:t>1</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2</m:t>
            </m:r>
            <m:r>
              <m:rPr>
                <m:sty m:val="p"/>
              </m:rPr>
              <w:rPr>
                <w:rFonts w:ascii="Cambria Math" w:hAnsi="Cambria Math" w:cs="Times New Roman"/>
                <w:color w:val="000000" w:themeColor="text1"/>
                <w:sz w:val="22"/>
                <w:szCs w:val="22"/>
                <w:lang w:val="es-CO"/>
              </w:rPr>
              <m:t>,*</m:t>
            </m:r>
          </m:sup>
        </m:sSup>
      </m:oMath>
      <w:r w:rsidRPr="0069403C">
        <w:rPr>
          <w:rFonts w:ascii="Times New Roman" w:hAnsi="Times New Roman" w:cs="Times New Roman"/>
          <w:color w:val="000000" w:themeColor="text1"/>
          <w:sz w:val="22"/>
          <w:szCs w:val="22"/>
          <w:lang w:val="es-CO"/>
        </w:rPr>
        <w:br/>
      </w:r>
      <m:oMath>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lang w:val="es-CO"/>
              </w:rPr>
              <m:t>​</m:t>
            </m:r>
          </m:e>
          <m:sup>
            <m:r>
              <w:rPr>
                <w:rFonts w:ascii="Cambria Math" w:hAnsi="Cambria Math" w:cs="Times New Roman"/>
                <w:color w:val="000000" w:themeColor="text1"/>
                <w:sz w:val="22"/>
                <w:szCs w:val="22"/>
                <w:lang w:val="es-CO"/>
              </w:rPr>
              <m:t>1</m:t>
            </m:r>
          </m:sup>
        </m:sSup>
      </m:oMath>
      <w:r w:rsidRPr="0069403C">
        <w:rPr>
          <w:rFonts w:ascii="Times New Roman" w:hAnsi="Times New Roman" w:cs="Times New Roman"/>
          <w:color w:val="000000" w:themeColor="text1"/>
          <w:sz w:val="22"/>
          <w:szCs w:val="22"/>
          <w:lang w:val="es-CO"/>
        </w:rPr>
        <w:t>Departamento de Ingeniería Industrial, Universidad de los Andes, Bogotá, Colombia</w:t>
      </w:r>
      <w:r w:rsidRPr="0069403C">
        <w:rPr>
          <w:rFonts w:ascii="Times New Roman" w:hAnsi="Times New Roman" w:cs="Times New Roman"/>
          <w:color w:val="000000" w:themeColor="text1"/>
          <w:sz w:val="22"/>
          <w:szCs w:val="22"/>
          <w:lang w:val="es-CO"/>
        </w:rPr>
        <w:br/>
      </w:r>
      <m:oMath>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lang w:val="es-CO"/>
              </w:rPr>
              <m:t>​</m:t>
            </m:r>
          </m:e>
          <m:sup>
            <m:r>
              <w:rPr>
                <w:rFonts w:ascii="Cambria Math" w:hAnsi="Cambria Math" w:cs="Times New Roman"/>
                <w:color w:val="000000" w:themeColor="text1"/>
                <w:sz w:val="22"/>
                <w:szCs w:val="22"/>
                <w:lang w:val="es-CO"/>
              </w:rPr>
              <m:t>2</m:t>
            </m:r>
          </m:sup>
        </m:sSup>
      </m:oMath>
      <w:r w:rsidRPr="0069403C">
        <w:rPr>
          <w:rFonts w:ascii="Times New Roman" w:hAnsi="Times New Roman" w:cs="Times New Roman"/>
          <w:color w:val="000000" w:themeColor="text1"/>
          <w:sz w:val="22"/>
          <w:szCs w:val="22"/>
          <w:lang w:val="es-CO"/>
        </w:rPr>
        <w:t>Corporación Universitaria Minuto de Dios (UNIMINUTO), Bogotá, Colombia</w:t>
      </w:r>
      <w:r w:rsidRPr="0069403C">
        <w:rPr>
          <w:rFonts w:ascii="Times New Roman" w:hAnsi="Times New Roman" w:cs="Times New Roman"/>
          <w:color w:val="000000" w:themeColor="text1"/>
          <w:sz w:val="22"/>
          <w:szCs w:val="22"/>
          <w:lang w:val="es-CO"/>
        </w:rPr>
        <w:br/>
      </w:r>
      <m:oMath>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lang w:val="es-CO"/>
              </w:rPr>
              <m:t>​</m:t>
            </m:r>
          </m:e>
          <m:sup>
            <m:r>
              <m:rPr>
                <m:sty m:val="p"/>
              </m:rPr>
              <w:rPr>
                <w:rFonts w:ascii="Cambria Math" w:hAnsi="Cambria Math" w:cs="Times New Roman"/>
                <w:color w:val="000000" w:themeColor="text1"/>
                <w:sz w:val="22"/>
                <w:szCs w:val="22"/>
                <w:lang w:val="es-CO"/>
              </w:rPr>
              <m:t>*</m:t>
            </m:r>
          </m:sup>
        </m:sSup>
      </m:oMath>
      <w:r w:rsidRPr="0069403C">
        <w:rPr>
          <w:rFonts w:ascii="Times New Roman" w:hAnsi="Times New Roman" w:cs="Times New Roman"/>
          <w:color w:val="000000" w:themeColor="text1"/>
          <w:sz w:val="22"/>
          <w:szCs w:val="22"/>
          <w:lang w:val="es-CO"/>
        </w:rPr>
        <w:t xml:space="preserve">Autor de correspondencia. Correo electrónico: </w:t>
      </w:r>
      <w:r w:rsidRPr="0069403C">
        <w:rPr>
          <w:rStyle w:val="VerbatimChar"/>
          <w:rFonts w:ascii="Times New Roman" w:hAnsi="Times New Roman" w:cs="Times New Roman"/>
          <w:color w:val="000000" w:themeColor="text1"/>
          <w:szCs w:val="22"/>
          <w:lang w:val="es-CO"/>
        </w:rPr>
        <w:t>jj.sancheza1@uniandes.edu.co</w:t>
      </w:r>
      <w:r w:rsidRPr="0069403C">
        <w:rPr>
          <w:rFonts w:ascii="Times New Roman" w:hAnsi="Times New Roman" w:cs="Times New Roman"/>
          <w:color w:val="000000" w:themeColor="text1"/>
          <w:sz w:val="22"/>
          <w:szCs w:val="22"/>
          <w:lang w:val="es-CO"/>
        </w:rPr>
        <w:br/>
        <w:t>ORCID: 0009-0007-2008-823X</w:t>
      </w:r>
    </w:p>
    <w:p w14:paraId="627E582A" w14:textId="77777777" w:rsidR="00E373E4" w:rsidRPr="0069403C" w:rsidRDefault="00000000" w:rsidP="0069403C">
      <w:pPr>
        <w:pStyle w:val="AbstractTitl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Resumen</w:t>
      </w:r>
    </w:p>
    <w:p w14:paraId="2409238B" w14:textId="77777777" w:rsidR="00E373E4" w:rsidRPr="0069403C" w:rsidRDefault="00000000" w:rsidP="0069403C">
      <w:pPr>
        <w:pStyle w:val="Abstr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lastRenderedPageBreak/>
        <w:t>Los solucionadores exactos, las metaheurísticas y las reglas de despacho por prioridad (PDR) se comparan de manera rutinaria en el problema determinista de taller de trabajos (</w:t>
      </w:r>
      <w:proofErr w:type="spellStart"/>
      <w:r w:rsidRPr="0069403C">
        <w:rPr>
          <w:rFonts w:ascii="Times New Roman" w:hAnsi="Times New Roman" w:cs="Times New Roman"/>
          <w:color w:val="000000" w:themeColor="text1"/>
          <w:sz w:val="22"/>
          <w:szCs w:val="22"/>
          <w:lang w:val="es-CO"/>
        </w:rPr>
        <w:t>job</w:t>
      </w:r>
      <w:proofErr w:type="spellEnd"/>
      <w:r w:rsidRPr="0069403C">
        <w:rPr>
          <w:rFonts w:ascii="Times New Roman" w:hAnsi="Times New Roman" w:cs="Times New Roman"/>
          <w:color w:val="000000" w:themeColor="text1"/>
          <w:sz w:val="22"/>
          <w:szCs w:val="22"/>
          <w:lang w:val="es-CO"/>
        </w:rPr>
        <w:t xml:space="preserve">-shop), donde un solucionador exacto es, por definición, el techo de calidad; más recientemente, se han propuesto las políticas de redes neuronales de grafos (GNN) entrenadas mediante aprendizaje por refuerzo profundo (DRL) como un cuarto paradigma, que promete decisiones de programación casi instantáneas y generalizables en tamaño. Sin embargo, los talleres de producción reales no son ni estáticos ni deterministas, y si la calidad nominal, no perturbada, de un método predice su desempeño una vez que la disrupción golpea la producción no se había probado previamente, en un único protocolo estadísticamente controlado, a través de los cuatro paradigmas a la vez. Este artículo reporta dos estudios vinculados que hacen precisamente eso. El </w:t>
      </w:r>
      <w:r w:rsidRPr="0069403C">
        <w:rPr>
          <w:rFonts w:ascii="Times New Roman" w:hAnsi="Times New Roman" w:cs="Times New Roman"/>
          <w:b/>
          <w:bCs/>
          <w:color w:val="000000" w:themeColor="text1"/>
          <w:sz w:val="22"/>
          <w:szCs w:val="22"/>
          <w:lang w:val="es-CO"/>
        </w:rPr>
        <w:t>Estudio 1</w:t>
      </w:r>
      <w:r w:rsidRPr="0069403C">
        <w:rPr>
          <w:rFonts w:ascii="Times New Roman" w:hAnsi="Times New Roman" w:cs="Times New Roman"/>
          <w:color w:val="000000" w:themeColor="text1"/>
          <w:sz w:val="22"/>
          <w:szCs w:val="22"/>
          <w:lang w:val="es-CO"/>
        </w:rPr>
        <w:t xml:space="preserve"> ejecuta los programas comprometidos de un solucionador exacto de programación por restricciones (CP-SAT) y de un algoritmo genético (GA), junto con nueve reglas de despacho en línea, a través de un entorno de simulación de eventos discretos predictivo–reactivo, bajo nueve regímenes de disrupción (tres severidades cada una de averías de máquina, tiempos de proceso estocásticos y llegadas dinámicas) sobre dieciséis instancias de referencia de Fisher–Thompson y Lawrence, con treinta escenarios réplica por celda. El hallazgo central es una inversión: el programa exacto-óptimo es el mejor bajo datos nominales (3.1% de desviación media respecto al óptimo certificado, frente a 12.1% para la mejor regla de despacho), pero es el método </w:t>
      </w:r>
      <w:r w:rsidRPr="0069403C">
        <w:rPr>
          <w:rFonts w:ascii="Times New Roman" w:hAnsi="Times New Roman" w:cs="Times New Roman"/>
          <w:i/>
          <w:iCs/>
          <w:color w:val="000000" w:themeColor="text1"/>
          <w:sz w:val="22"/>
          <w:szCs w:val="22"/>
          <w:lang w:val="es-CO"/>
        </w:rPr>
        <w:t>menos</w:t>
      </w:r>
      <w:r w:rsidRPr="0069403C">
        <w:rPr>
          <w:rFonts w:ascii="Times New Roman" w:hAnsi="Times New Roman" w:cs="Times New Roman"/>
          <w:color w:val="000000" w:themeColor="text1"/>
          <w:sz w:val="22"/>
          <w:szCs w:val="22"/>
          <w:lang w:val="es-CO"/>
        </w:rPr>
        <w:t xml:space="preserve"> robusto de los evaluados (rango de Friedman 10.14 de 11 en un índice de robustez, frente a 3.95–5.77 para las reglas; todos los pares Wilcoxon </w:t>
      </w: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lang w:val="es-CO"/>
          </w:rPr>
          <m:t>&lt;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lang w:val="es-CO"/>
              </w:rPr>
              <m:t>10</m:t>
            </m:r>
          </m:e>
          <m:sup>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4</m:t>
            </m:r>
          </m:sup>
        </m:sSup>
      </m:oMath>
      <w:r w:rsidRPr="0069403C">
        <w:rPr>
          <w:rFonts w:ascii="Times New Roman" w:hAnsi="Times New Roman" w:cs="Times New Roman"/>
          <w:color w:val="000000" w:themeColor="text1"/>
          <w:sz w:val="22"/>
          <w:szCs w:val="22"/>
          <w:lang w:val="es-CO"/>
        </w:rPr>
        <w:t xml:space="preserve">). El mecanismo es sencillo: un programa óptimamente compacto no tiene holgura para absorber la disrupción. El </w:t>
      </w:r>
      <w:r w:rsidRPr="0069403C">
        <w:rPr>
          <w:rFonts w:ascii="Times New Roman" w:hAnsi="Times New Roman" w:cs="Times New Roman"/>
          <w:b/>
          <w:bCs/>
          <w:color w:val="000000" w:themeColor="text1"/>
          <w:sz w:val="22"/>
          <w:szCs w:val="22"/>
          <w:lang w:val="es-CO"/>
        </w:rPr>
        <w:t>Estudio 2</w:t>
      </w:r>
      <w:r w:rsidRPr="0069403C">
        <w:rPr>
          <w:rFonts w:ascii="Times New Roman" w:hAnsi="Times New Roman" w:cs="Times New Roman"/>
          <w:color w:val="000000" w:themeColor="text1"/>
          <w:sz w:val="22"/>
          <w:szCs w:val="22"/>
          <w:lang w:val="es-CO"/>
        </w:rPr>
        <w:t xml:space="preserve"> pregunta si esta fragilidad se extiende al cuarto paradigma, ostensiblemente más adaptativo: un codificador relacional de red de isomorfismo de grafos (GIN) entrenado con optimización de política proximal (PPO) para el mismo problema dinámico y estocástico de taller de trabajos flexible, evaluado frente a las mismas familias de referencia bajo un protocolo </w:t>
      </w:r>
      <w:proofErr w:type="spellStart"/>
      <w:r w:rsidRPr="0069403C">
        <w:rPr>
          <w:rFonts w:ascii="Times New Roman" w:hAnsi="Times New Roman" w:cs="Times New Roman"/>
          <w:color w:val="000000" w:themeColor="text1"/>
          <w:sz w:val="22"/>
          <w:szCs w:val="22"/>
          <w:lang w:val="es-CO"/>
        </w:rPr>
        <w:t>pre-registrado</w:t>
      </w:r>
      <w:proofErr w:type="spellEnd"/>
      <w:r w:rsidRPr="0069403C">
        <w:rPr>
          <w:rFonts w:ascii="Times New Roman" w:hAnsi="Times New Roman" w:cs="Times New Roman"/>
          <w:color w:val="000000" w:themeColor="text1"/>
          <w:sz w:val="22"/>
          <w:szCs w:val="22"/>
          <w:lang w:val="es-CO"/>
        </w:rPr>
        <w:t xml:space="preserve"> — cinco hipótesis falsables (H1–H5) con reglas de decisión congeladas antes de que existiera cualquier resultado de evaluación. Cuatro de cinco hipótesis se rechazan: la política aprendida no es competitiva con la mejor regla de despacho incluso en instancias estáticas (H1, </w:t>
      </w: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4.0</m:t>
        </m:r>
        <m:r>
          <m:rPr>
            <m:sty m:val="p"/>
          </m:rPr>
          <w:rPr>
            <w:rFonts w:ascii="Cambria Math" w:hAnsi="Cambria Math" w:cs="Times New Roman"/>
            <w:color w:val="000000" w:themeColor="text1"/>
            <w:sz w:val="22"/>
            <w:szCs w:val="22"/>
            <w:lang w:val="es-CO"/>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lang w:val="es-CO"/>
              </w:rPr>
              <m:t>10</m:t>
            </m:r>
          </m:e>
          <m:sup>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5</m:t>
            </m:r>
          </m:sup>
        </m:sSup>
      </m:oMath>
      <w:r w:rsidRPr="0069403C">
        <w:rPr>
          <w:rFonts w:ascii="Times New Roman" w:hAnsi="Times New Roman" w:cs="Times New Roman"/>
          <w:color w:val="000000" w:themeColor="text1"/>
          <w:sz w:val="22"/>
          <w:szCs w:val="22"/>
          <w:lang w:val="es-CO"/>
        </w:rPr>
        <w:t xml:space="preserve">); no es robusta bajo ninguno de los nueve regímenes de disrupción (H3, </w:t>
      </w: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lang w:val="es-CO"/>
          </w:rPr>
          <m:t>&lt;</m:t>
        </m:r>
        <m:r>
          <w:rPr>
            <w:rFonts w:ascii="Cambria Math" w:hAnsi="Cambria Math" w:cs="Times New Roman"/>
            <w:color w:val="000000" w:themeColor="text1"/>
            <w:sz w:val="22"/>
            <w:szCs w:val="22"/>
            <w:lang w:val="es-CO"/>
          </w:rPr>
          <m:t>1.7</m:t>
        </m:r>
        <m:r>
          <m:rPr>
            <m:sty m:val="p"/>
          </m:rPr>
          <w:rPr>
            <w:rFonts w:ascii="Cambria Math" w:hAnsi="Cambria Math" w:cs="Times New Roman"/>
            <w:color w:val="000000" w:themeColor="text1"/>
            <w:sz w:val="22"/>
            <w:szCs w:val="22"/>
            <w:lang w:val="es-CO"/>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lang w:val="es-CO"/>
              </w:rPr>
              <m:t>10</m:t>
            </m:r>
          </m:e>
          <m:sup>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11</m:t>
            </m:r>
          </m:sup>
        </m:sSup>
      </m:oMath>
      <w:r w:rsidRPr="0069403C">
        <w:rPr>
          <w:rFonts w:ascii="Times New Roman" w:hAnsi="Times New Roman" w:cs="Times New Roman"/>
          <w:color w:val="000000" w:themeColor="text1"/>
          <w:sz w:val="22"/>
          <w:szCs w:val="22"/>
          <w:lang w:val="es-CO"/>
        </w:rPr>
        <w:t xml:space="preserve"> en las nueve); y un término de recompensa consciente de la disrupción no logra mejorar la robustez sin colapsar el desempeño nominal en 46.6–106.0 puntos porcentuales (H4). La generalización de tamaño se acepta (H2): a través de cuatro niveles de tamaño, el rango de la política entre diez métodos nunca es significativamente peor que el de la mejor regla de despacho, aunque su competitividad absoluta nunca se aproxima a la de dicha regla. Leídos en conjunto, los dos estudios convergen en una sola conclusión, ahora demostrada a través de la búsqueda exacta, la búsqueda evolutiva y el aprendizaje por refuerzo profundo basado en gradientes por igual: la robustez ante la disrupción no es un subproducto gratuito de cualquier noción de calidad que un método optimice fuera de línea, y para entornos propensos a la disrupción una regla de despacho simple y sin costo computacional sigue siendo, de entre todas las familias de políticas aquí evaluadas, la que de manera más confiable conserva su desempeño una vez que el taller de producción deja de comportarse como se planeó.</w:t>
      </w:r>
    </w:p>
    <w:p w14:paraId="0DA54EA3" w14:textId="77777777" w:rsidR="00E373E4" w:rsidRPr="0069403C" w:rsidRDefault="00000000" w:rsidP="0069403C">
      <w:pPr>
        <w:pStyle w:val="Abstract"/>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Palabras clave:</w:t>
      </w:r>
      <w:r w:rsidRPr="0069403C">
        <w:rPr>
          <w:rFonts w:ascii="Times New Roman" w:hAnsi="Times New Roman" w:cs="Times New Roman"/>
          <w:color w:val="000000" w:themeColor="text1"/>
          <w:sz w:val="22"/>
          <w:szCs w:val="22"/>
          <w:lang w:val="es-CO"/>
        </w:rPr>
        <w:t xml:space="preserve"> Programación de taller de trabajos; programación robusta; programación predictivo–reactiva; programación por restricciones; algoritmo genético; reglas de despacho por prioridad; redes neuronales de grafos; aprendizaje por refuerzo profundo; </w:t>
      </w:r>
      <w:proofErr w:type="spellStart"/>
      <w:r w:rsidRPr="0069403C">
        <w:rPr>
          <w:rFonts w:ascii="Times New Roman" w:hAnsi="Times New Roman" w:cs="Times New Roman"/>
          <w:color w:val="000000" w:themeColor="text1"/>
          <w:sz w:val="22"/>
          <w:szCs w:val="22"/>
          <w:lang w:val="es-CO"/>
        </w:rPr>
        <w:t>pre-registro</w:t>
      </w:r>
      <w:proofErr w:type="spellEnd"/>
      <w:r w:rsidRPr="0069403C">
        <w:rPr>
          <w:rFonts w:ascii="Times New Roman" w:hAnsi="Times New Roman" w:cs="Times New Roman"/>
          <w:color w:val="000000" w:themeColor="text1"/>
          <w:sz w:val="22"/>
          <w:szCs w:val="22"/>
          <w:lang w:val="es-CO"/>
        </w:rPr>
        <w:t>; simulación de eventos discretos</w:t>
      </w:r>
    </w:p>
    <w:p w14:paraId="19C66D1A" w14:textId="77777777" w:rsidR="00E373E4" w:rsidRPr="0069403C" w:rsidRDefault="00000000" w:rsidP="0069403C">
      <w:pPr>
        <w:pStyle w:val="Ttulo1"/>
        <w:rPr>
          <w:rFonts w:ascii="Times New Roman" w:hAnsi="Times New Roman" w:cs="Times New Roman"/>
          <w:color w:val="000000" w:themeColor="text1"/>
          <w:sz w:val="22"/>
          <w:szCs w:val="22"/>
          <w:lang w:val="es-CO"/>
        </w:rPr>
      </w:pPr>
      <w:bookmarkStart w:id="0" w:name="sec:intro"/>
      <w:r w:rsidRPr="0069403C">
        <w:rPr>
          <w:rFonts w:ascii="Times New Roman" w:hAnsi="Times New Roman" w:cs="Times New Roman"/>
          <w:color w:val="000000" w:themeColor="text1"/>
          <w:sz w:val="22"/>
          <w:szCs w:val="22"/>
          <w:lang w:val="es-CO"/>
        </w:rPr>
        <w:t>Introducción</w:t>
      </w:r>
    </w:p>
    <w:p w14:paraId="6C544686"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La programación de la producción es una de las funciones de decisión más expuestas por la transición hacia una manufactura instrumentada y rica en datos, y una de las más difíciles de </w:t>
      </w:r>
      <w:r w:rsidRPr="0069403C">
        <w:rPr>
          <w:rFonts w:ascii="Times New Roman" w:hAnsi="Times New Roman" w:cs="Times New Roman"/>
          <w:color w:val="000000" w:themeColor="text1"/>
          <w:sz w:val="22"/>
          <w:szCs w:val="22"/>
          <w:lang w:val="es-CO"/>
        </w:rPr>
        <w:lastRenderedPageBreak/>
        <w:t xml:space="preserve">automatizar de manera confiable en un taller de producción real (Pinedo 2022). El problema de programación de taller de trabajos (JSSP) y su generalización flexible (FJSP) son formulaciones canónicas: un conjunto de trabajos, cada uno una cadena ordenada de </w:t>
      </w:r>
      <w:proofErr w:type="gramStart"/>
      <w:r w:rsidRPr="0069403C">
        <w:rPr>
          <w:rFonts w:ascii="Times New Roman" w:hAnsi="Times New Roman" w:cs="Times New Roman"/>
          <w:color w:val="000000" w:themeColor="text1"/>
          <w:sz w:val="22"/>
          <w:szCs w:val="22"/>
          <w:lang w:val="es-CO"/>
        </w:rPr>
        <w:t>operaciones,</w:t>
      </w:r>
      <w:proofErr w:type="gramEnd"/>
      <w:r w:rsidRPr="0069403C">
        <w:rPr>
          <w:rFonts w:ascii="Times New Roman" w:hAnsi="Times New Roman" w:cs="Times New Roman"/>
          <w:color w:val="000000" w:themeColor="text1"/>
          <w:sz w:val="22"/>
          <w:szCs w:val="22"/>
          <w:lang w:val="es-CO"/>
        </w:rPr>
        <w:t xml:space="preserve"> debe secuenciarse en máquinas compartidas para minimizar el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El problema es fuertemente NP-difícil para tres o más máquinas (Garey, Johnson, and Sethi 1976), y cuatro décadas de esfuerzo en investigación de operaciones y, más recientemente, en aprendizaje automático, han producido cuatro paradigmas de solución amplios, cada uno ocupando un punto distinto en la frontera calidad–velocidad–adaptabilidad: los </w:t>
      </w:r>
      <w:r w:rsidRPr="0069403C">
        <w:rPr>
          <w:rFonts w:ascii="Times New Roman" w:hAnsi="Times New Roman" w:cs="Times New Roman"/>
          <w:i/>
          <w:iCs/>
          <w:color w:val="000000" w:themeColor="text1"/>
          <w:sz w:val="22"/>
          <w:szCs w:val="22"/>
          <w:lang w:val="es-CO"/>
        </w:rPr>
        <w:t>métodos exactos</w:t>
      </w:r>
      <w:r w:rsidRPr="0069403C">
        <w:rPr>
          <w:rFonts w:ascii="Times New Roman" w:hAnsi="Times New Roman" w:cs="Times New Roman"/>
          <w:color w:val="000000" w:themeColor="text1"/>
          <w:sz w:val="22"/>
          <w:szCs w:val="22"/>
          <w:lang w:val="es-CO"/>
        </w:rPr>
        <w:t xml:space="preserve"> (programación entera mixta y, cada vez más, programación por restricciones) que certifican la optimalidad a un costo computacional que crece abruptamente con el tamaño de la instancia; las </w:t>
      </w:r>
      <w:r w:rsidRPr="0069403C">
        <w:rPr>
          <w:rFonts w:ascii="Times New Roman" w:hAnsi="Times New Roman" w:cs="Times New Roman"/>
          <w:i/>
          <w:iCs/>
          <w:color w:val="000000" w:themeColor="text1"/>
          <w:sz w:val="22"/>
          <w:szCs w:val="22"/>
          <w:lang w:val="es-CO"/>
        </w:rPr>
        <w:t>metaheurísticas</w:t>
      </w:r>
      <w:r w:rsidRPr="0069403C">
        <w:rPr>
          <w:rFonts w:ascii="Times New Roman" w:hAnsi="Times New Roman" w:cs="Times New Roman"/>
          <w:color w:val="000000" w:themeColor="text1"/>
          <w:sz w:val="22"/>
          <w:szCs w:val="22"/>
          <w:lang w:val="es-CO"/>
        </w:rPr>
        <w:t xml:space="preserve"> (algoritmos genéticos, búsqueda tabú, recocido simulado) que intercambian un presupuesto computacional fijo por soluciones de alta calidad pero no certificadas (Pezzella, Morganti, and </w:t>
      </w:r>
      <w:proofErr w:type="spellStart"/>
      <w:r w:rsidRPr="0069403C">
        <w:rPr>
          <w:rFonts w:ascii="Times New Roman" w:hAnsi="Times New Roman" w:cs="Times New Roman"/>
          <w:color w:val="000000" w:themeColor="text1"/>
          <w:sz w:val="22"/>
          <w:szCs w:val="22"/>
          <w:lang w:val="es-CO"/>
        </w:rPr>
        <w:t>Ciaschetti</w:t>
      </w:r>
      <w:proofErr w:type="spellEnd"/>
      <w:r w:rsidRPr="0069403C">
        <w:rPr>
          <w:rFonts w:ascii="Times New Roman" w:hAnsi="Times New Roman" w:cs="Times New Roman"/>
          <w:color w:val="000000" w:themeColor="text1"/>
          <w:sz w:val="22"/>
          <w:szCs w:val="22"/>
          <w:lang w:val="es-CO"/>
        </w:rPr>
        <w:t xml:space="preserve"> 2008; Nowicki and Smutnicki 1996; Van Laarhoven, Aarts, and Lenstra 1992); las </w:t>
      </w:r>
      <w:r w:rsidRPr="0069403C">
        <w:rPr>
          <w:rFonts w:ascii="Times New Roman" w:hAnsi="Times New Roman" w:cs="Times New Roman"/>
          <w:i/>
          <w:iCs/>
          <w:color w:val="000000" w:themeColor="text1"/>
          <w:sz w:val="22"/>
          <w:szCs w:val="22"/>
          <w:lang w:val="es-CO"/>
        </w:rPr>
        <w:t>reglas de despacho por prioridad</w:t>
      </w:r>
      <w:r w:rsidRPr="0069403C">
        <w:rPr>
          <w:rFonts w:ascii="Times New Roman" w:hAnsi="Times New Roman" w:cs="Times New Roman"/>
          <w:color w:val="000000" w:themeColor="text1"/>
          <w:sz w:val="22"/>
          <w:szCs w:val="22"/>
          <w:lang w:val="es-CO"/>
        </w:rPr>
        <w:t xml:space="preserve"> (PDR) que construyen un programa en línea, un despacho a la vez, en tiempo despreciable pero sin garantía de optimalidad (</w:t>
      </w:r>
      <w:proofErr w:type="spellStart"/>
      <w:r w:rsidRPr="0069403C">
        <w:rPr>
          <w:rFonts w:ascii="Times New Roman" w:hAnsi="Times New Roman" w:cs="Times New Roman"/>
          <w:color w:val="000000" w:themeColor="text1"/>
          <w:sz w:val="22"/>
          <w:szCs w:val="22"/>
          <w:lang w:val="es-CO"/>
        </w:rPr>
        <w:t>Panwalkar</w:t>
      </w:r>
      <w:proofErr w:type="spellEnd"/>
      <w:r w:rsidRPr="0069403C">
        <w:rPr>
          <w:rFonts w:ascii="Times New Roman" w:hAnsi="Times New Roman" w:cs="Times New Roman"/>
          <w:color w:val="000000" w:themeColor="text1"/>
          <w:sz w:val="22"/>
          <w:szCs w:val="22"/>
          <w:lang w:val="es-CO"/>
        </w:rPr>
        <w:t xml:space="preserve"> and Iskander 1977; Haupt 1989); y, desde aproximadamente 2020, el </w:t>
      </w:r>
      <w:r w:rsidRPr="0069403C">
        <w:rPr>
          <w:rFonts w:ascii="Times New Roman" w:hAnsi="Times New Roman" w:cs="Times New Roman"/>
          <w:i/>
          <w:iCs/>
          <w:color w:val="000000" w:themeColor="text1"/>
          <w:sz w:val="22"/>
          <w:szCs w:val="22"/>
          <w:lang w:val="es-CO"/>
        </w:rPr>
        <w:t>aprendizaje por refuerzo profundo con redes neuronales de grafos</w:t>
      </w:r>
      <w:r w:rsidRPr="0069403C">
        <w:rPr>
          <w:rFonts w:ascii="Times New Roman" w:hAnsi="Times New Roman" w:cs="Times New Roman"/>
          <w:color w:val="000000" w:themeColor="text1"/>
          <w:sz w:val="22"/>
          <w:szCs w:val="22"/>
          <w:lang w:val="es-CO"/>
        </w:rPr>
        <w:t xml:space="preserve"> (GNN–DRL), que entrena una política invariante al tamaño una sola vez y la aplica, de forma amortizada, al estado parcial de un taller representado como un grafo (C. Zhang et al. 2020; Song et al. 2023).</w:t>
      </w:r>
    </w:p>
    <w:p w14:paraId="782278D7"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En datos de referencia deterministas, el orden entre los tres primeros paradigmas está resuelto y, en cierto sentido, no resulta interesante: un solucionador exacto es, por construcción, el techo de calidad, una metaheurística bien ajustada se le aproxima, y las reglas de despacho quedan rezagadas. La premisa de este artículo es que este orden es un artefacto del supuesto determinista, y que las ventajas prometidas del cuarto paradigma — velocidad y generalización — no conllevan ninguna garantía automática sobre una propiedad completamente distinta: la robustez una vez que un programa debe sobrevivir al contacto con un taller de producción que falla, se desvía y sorprende. Los talleres de producción reales no son ni estáticos ni deterministas: las máquinas fallan, los tiempos de proceso se desvían de sus estimaciones nominales, y los trabajos llegan sin aviso anticipado completo (Ouelhadj and Petrovic 2009; </w:t>
      </w:r>
      <w:proofErr w:type="spellStart"/>
      <w:r w:rsidRPr="0069403C">
        <w:rPr>
          <w:rFonts w:ascii="Times New Roman" w:hAnsi="Times New Roman" w:cs="Times New Roman"/>
          <w:color w:val="000000" w:themeColor="text1"/>
          <w:sz w:val="22"/>
          <w:szCs w:val="22"/>
          <w:lang w:val="es-CO"/>
        </w:rPr>
        <w:t>Aytug</w:t>
      </w:r>
      <w:proofErr w:type="spellEnd"/>
      <w:r w:rsidRPr="0069403C">
        <w:rPr>
          <w:rFonts w:ascii="Times New Roman" w:hAnsi="Times New Roman" w:cs="Times New Roman"/>
          <w:color w:val="000000" w:themeColor="text1"/>
          <w:sz w:val="22"/>
          <w:szCs w:val="22"/>
          <w:lang w:val="es-CO"/>
        </w:rPr>
        <w:t xml:space="preserve"> et al. 2005). Los solucionadores exactos y las metaheurísticas son métodos </w:t>
      </w:r>
      <w:r w:rsidRPr="0069403C">
        <w:rPr>
          <w:rFonts w:ascii="Times New Roman" w:hAnsi="Times New Roman" w:cs="Times New Roman"/>
          <w:i/>
          <w:iCs/>
          <w:color w:val="000000" w:themeColor="text1"/>
          <w:sz w:val="22"/>
          <w:szCs w:val="22"/>
          <w:lang w:val="es-CO"/>
        </w:rPr>
        <w:t>fuera de línea</w:t>
      </w:r>
      <w:r w:rsidRPr="0069403C">
        <w:rPr>
          <w:rFonts w:ascii="Times New Roman" w:hAnsi="Times New Roman" w:cs="Times New Roman"/>
          <w:color w:val="000000" w:themeColor="text1"/>
          <w:sz w:val="22"/>
          <w:szCs w:val="22"/>
          <w:lang w:val="es-CO"/>
        </w:rPr>
        <w:t xml:space="preserve">, o predictivos: se comprometen con un programa completo calculado a partir de datos nominales, que debe entonces ejecutarse, y repararse, a medida que la realidad se desvía del plan. Una regla de despacho es </w:t>
      </w:r>
      <w:r w:rsidRPr="0069403C">
        <w:rPr>
          <w:rFonts w:ascii="Times New Roman" w:hAnsi="Times New Roman" w:cs="Times New Roman"/>
          <w:i/>
          <w:iCs/>
          <w:color w:val="000000" w:themeColor="text1"/>
          <w:sz w:val="22"/>
          <w:szCs w:val="22"/>
          <w:lang w:val="es-CO"/>
        </w:rPr>
        <w:t>en línea</w:t>
      </w:r>
      <w:r w:rsidRPr="0069403C">
        <w:rPr>
          <w:rFonts w:ascii="Times New Roman" w:hAnsi="Times New Roman" w:cs="Times New Roman"/>
          <w:color w:val="000000" w:themeColor="text1"/>
          <w:sz w:val="22"/>
          <w:szCs w:val="22"/>
          <w:lang w:val="es-CO"/>
        </w:rPr>
        <w:t>, o reactiva: no se compromete con nada de antemano y simplemente vuelve a decidir en cada evento. Una política GNN–DRL se sitúa en un punto intermedio: se entrena fuera de línea, una sola vez, pero — a diferencia de un solucionador exacto o de una metaheurística — se aplica en línea, volviendo a decidir en cada época de decisión a partir de una representación del estado que podría, en principio, registrar una disrupción en el momento en que ocurre. Si la optimalidad de un programa comprometido es un activo o un pasivo una vez expuesto a la disrupción, y si la capacidad arquitectónica de una política DRL para generalizar entre tamaños de instancia conlleva alguna capacidad para resistir la disrupción, no son preguntas que el punto de referencia determinista, ni un estudio de un solo paradigma, puedan responder. Este artículo aborda ambas, en una investigación continua que abarca dos estudios vinculados.</w:t>
      </w:r>
    </w:p>
    <w:p w14:paraId="5D82BB2D"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 literatura sobre programación robusta y estable ha reconocido desde hace tiempo que un programa nominalmente óptimo puede ser frágil, y ha propuesto métodos basados en holgura y en flexibilidad para incorporar protección en un programa predictivo (</w:t>
      </w:r>
      <w:proofErr w:type="spellStart"/>
      <w:r w:rsidRPr="0069403C">
        <w:rPr>
          <w:rFonts w:ascii="Times New Roman" w:hAnsi="Times New Roman" w:cs="Times New Roman"/>
          <w:color w:val="000000" w:themeColor="text1"/>
          <w:sz w:val="22"/>
          <w:szCs w:val="22"/>
          <w:lang w:val="es-CO"/>
        </w:rPr>
        <w:t>Leon</w:t>
      </w:r>
      <w:proofErr w:type="spellEnd"/>
      <w:r w:rsidRPr="0069403C">
        <w:rPr>
          <w:rFonts w:ascii="Times New Roman" w:hAnsi="Times New Roman" w:cs="Times New Roman"/>
          <w:color w:val="000000" w:themeColor="text1"/>
          <w:sz w:val="22"/>
          <w:szCs w:val="22"/>
          <w:lang w:val="es-CO"/>
        </w:rPr>
        <w:t xml:space="preserve">, Wu, and Storer 1994; Mehta and </w:t>
      </w:r>
      <w:proofErr w:type="spellStart"/>
      <w:r w:rsidRPr="0069403C">
        <w:rPr>
          <w:rFonts w:ascii="Times New Roman" w:hAnsi="Times New Roman" w:cs="Times New Roman"/>
          <w:color w:val="000000" w:themeColor="text1"/>
          <w:sz w:val="22"/>
          <w:szCs w:val="22"/>
          <w:lang w:val="es-CO"/>
        </w:rPr>
        <w:t>Uzsoy</w:t>
      </w:r>
      <w:proofErr w:type="spellEnd"/>
      <w:r w:rsidRPr="0069403C">
        <w:rPr>
          <w:rFonts w:ascii="Times New Roman" w:hAnsi="Times New Roman" w:cs="Times New Roman"/>
          <w:color w:val="000000" w:themeColor="text1"/>
          <w:sz w:val="22"/>
          <w:szCs w:val="22"/>
          <w:lang w:val="es-CO"/>
        </w:rPr>
        <w:t xml:space="preserve"> 1998; Davenport, </w:t>
      </w:r>
      <w:proofErr w:type="spellStart"/>
      <w:r w:rsidRPr="0069403C">
        <w:rPr>
          <w:rFonts w:ascii="Times New Roman" w:hAnsi="Times New Roman" w:cs="Times New Roman"/>
          <w:color w:val="000000" w:themeColor="text1"/>
          <w:sz w:val="22"/>
          <w:szCs w:val="22"/>
          <w:lang w:val="es-CO"/>
        </w:rPr>
        <w:t>Gefflot</w:t>
      </w:r>
      <w:proofErr w:type="spellEnd"/>
      <w:r w:rsidRPr="0069403C">
        <w:rPr>
          <w:rFonts w:ascii="Times New Roman" w:hAnsi="Times New Roman" w:cs="Times New Roman"/>
          <w:color w:val="000000" w:themeColor="text1"/>
          <w:sz w:val="22"/>
          <w:szCs w:val="22"/>
          <w:lang w:val="es-CO"/>
        </w:rPr>
        <w:t xml:space="preserve">, and Beck 2000; Artigues, </w:t>
      </w:r>
      <w:proofErr w:type="spellStart"/>
      <w:r w:rsidRPr="0069403C">
        <w:rPr>
          <w:rFonts w:ascii="Times New Roman" w:hAnsi="Times New Roman" w:cs="Times New Roman"/>
          <w:color w:val="000000" w:themeColor="text1"/>
          <w:sz w:val="22"/>
          <w:szCs w:val="22"/>
          <w:lang w:val="es-CO"/>
        </w:rPr>
        <w:t>Billaut</w:t>
      </w:r>
      <w:proofErr w:type="spellEnd"/>
      <w:r w:rsidRPr="0069403C">
        <w:rPr>
          <w:rFonts w:ascii="Times New Roman" w:hAnsi="Times New Roman" w:cs="Times New Roman"/>
          <w:color w:val="000000" w:themeColor="text1"/>
          <w:sz w:val="22"/>
          <w:szCs w:val="22"/>
          <w:lang w:val="es-CO"/>
        </w:rPr>
        <w:t xml:space="preserve">, and Esswein 2005; </w:t>
      </w:r>
      <w:proofErr w:type="spellStart"/>
      <w:r w:rsidRPr="0069403C">
        <w:rPr>
          <w:rFonts w:ascii="Times New Roman" w:hAnsi="Times New Roman" w:cs="Times New Roman"/>
          <w:color w:val="000000" w:themeColor="text1"/>
          <w:sz w:val="22"/>
          <w:szCs w:val="22"/>
          <w:lang w:val="es-CO"/>
        </w:rPr>
        <w:t>Herroelen</w:t>
      </w:r>
      <w:proofErr w:type="spellEnd"/>
      <w:r w:rsidRPr="0069403C">
        <w:rPr>
          <w:rFonts w:ascii="Times New Roman" w:hAnsi="Times New Roman" w:cs="Times New Roman"/>
          <w:color w:val="000000" w:themeColor="text1"/>
          <w:sz w:val="22"/>
          <w:szCs w:val="22"/>
          <w:lang w:val="es-CO"/>
        </w:rPr>
        <w:t xml:space="preserve"> and Leus 2005). Lo que resulta comparativamente escaso es una comparación a </w:t>
      </w:r>
      <w:r w:rsidRPr="0069403C">
        <w:rPr>
          <w:rFonts w:ascii="Times New Roman" w:hAnsi="Times New Roman" w:cs="Times New Roman"/>
          <w:i/>
          <w:iCs/>
          <w:color w:val="000000" w:themeColor="text1"/>
          <w:sz w:val="22"/>
          <w:szCs w:val="22"/>
          <w:lang w:val="es-CO"/>
        </w:rPr>
        <w:t>nivel de paradigma</w:t>
      </w:r>
      <w:r w:rsidRPr="0069403C">
        <w:rPr>
          <w:rFonts w:ascii="Times New Roman" w:hAnsi="Times New Roman" w:cs="Times New Roman"/>
          <w:color w:val="000000" w:themeColor="text1"/>
          <w:sz w:val="22"/>
          <w:szCs w:val="22"/>
          <w:lang w:val="es-CO"/>
        </w:rPr>
        <w:t xml:space="preserve"> que coloque a un solucionador exacto, una metaheurística, el complemento completo de reglas de despacho estándar, </w:t>
      </w:r>
      <w:r w:rsidRPr="0069403C">
        <w:rPr>
          <w:rFonts w:ascii="Times New Roman" w:hAnsi="Times New Roman" w:cs="Times New Roman"/>
          <w:i/>
          <w:iCs/>
          <w:color w:val="000000" w:themeColor="text1"/>
          <w:sz w:val="22"/>
          <w:szCs w:val="22"/>
          <w:lang w:val="es-CO"/>
        </w:rPr>
        <w:t>y</w:t>
      </w:r>
      <w:r w:rsidRPr="0069403C">
        <w:rPr>
          <w:rFonts w:ascii="Times New Roman" w:hAnsi="Times New Roman" w:cs="Times New Roman"/>
          <w:color w:val="000000" w:themeColor="text1"/>
          <w:sz w:val="22"/>
          <w:szCs w:val="22"/>
          <w:lang w:val="es-CO"/>
        </w:rPr>
        <w:t xml:space="preserve"> una política aprendida </w:t>
      </w:r>
      <w:proofErr w:type="spellStart"/>
      <w:r w:rsidRPr="0069403C">
        <w:rPr>
          <w:rFonts w:ascii="Times New Roman" w:hAnsi="Times New Roman" w:cs="Times New Roman"/>
          <w:color w:val="000000" w:themeColor="text1"/>
          <w:sz w:val="22"/>
          <w:szCs w:val="22"/>
          <w:lang w:val="es-CO"/>
        </w:rPr>
        <w:t>pre-registrada</w:t>
      </w:r>
      <w:proofErr w:type="spellEnd"/>
      <w:r w:rsidRPr="0069403C">
        <w:rPr>
          <w:rFonts w:ascii="Times New Roman" w:hAnsi="Times New Roman" w:cs="Times New Roman"/>
          <w:color w:val="000000" w:themeColor="text1"/>
          <w:sz w:val="22"/>
          <w:szCs w:val="22"/>
          <w:lang w:val="es-CO"/>
        </w:rPr>
        <w:t xml:space="preserve"> sobre una base común y estadísticamente controlada, y que pregunte no “cuál produce el mejor programa nominal” sino </w:t>
      </w:r>
      <w:r w:rsidRPr="0069403C">
        <w:rPr>
          <w:rFonts w:ascii="Times New Roman" w:hAnsi="Times New Roman" w:cs="Times New Roman"/>
          <w:color w:val="000000" w:themeColor="text1"/>
          <w:sz w:val="22"/>
          <w:szCs w:val="22"/>
          <w:lang w:val="es-CO"/>
        </w:rPr>
        <w:lastRenderedPageBreak/>
        <w:t xml:space="preserve">“cuál produce el mejor programa </w:t>
      </w:r>
      <w:r w:rsidRPr="0069403C">
        <w:rPr>
          <w:rFonts w:ascii="Times New Roman" w:hAnsi="Times New Roman" w:cs="Times New Roman"/>
          <w:i/>
          <w:iCs/>
          <w:color w:val="000000" w:themeColor="text1"/>
          <w:sz w:val="22"/>
          <w:szCs w:val="22"/>
          <w:lang w:val="es-CO"/>
        </w:rPr>
        <w:t>realizado</w:t>
      </w:r>
      <w:r w:rsidRPr="0069403C">
        <w:rPr>
          <w:rFonts w:ascii="Times New Roman" w:hAnsi="Times New Roman" w:cs="Times New Roman"/>
          <w:color w:val="000000" w:themeColor="text1"/>
          <w:sz w:val="22"/>
          <w:szCs w:val="22"/>
          <w:lang w:val="es-CO"/>
        </w:rPr>
        <w:t xml:space="preserve"> una vez que el plan se encuentra con un taller de producción disrumpido, y si la fortaleza arquitectónica de algún método — certificados de optimalidad, búsqueda evolutiva o aprendizaje de representación invariante al tamaño — se traslada a esa robustez realizada.” Este artículo ofrece dicha comparación, estructurada en dos estudios que comparten un mismo esqueleto experimental — los mismos modelos de disrupción, las mismas líneas base de reglas de despacho, algoritmo genético y CP-SAT, el mismo protocolo estadístico no paramétrico — y reportan un resultado que va en contra de la intuición que tanto el punto de referencia determinista como las afirmaciones de generalización de la literatura de programación con DRL fomentan.</w:t>
      </w:r>
    </w:p>
    <w:p w14:paraId="7B539CEA"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El </w:t>
      </w:r>
      <w:r w:rsidRPr="0069403C">
        <w:rPr>
          <w:rFonts w:ascii="Times New Roman" w:hAnsi="Times New Roman" w:cs="Times New Roman"/>
          <w:b/>
          <w:bCs/>
          <w:color w:val="000000" w:themeColor="text1"/>
          <w:sz w:val="22"/>
          <w:szCs w:val="22"/>
          <w:lang w:val="es-CO"/>
        </w:rPr>
        <w:t>Estudio 1</w:t>
      </w:r>
      <w:r w:rsidRPr="0069403C">
        <w:rPr>
          <w:rFonts w:ascii="Times New Roman" w:hAnsi="Times New Roman" w:cs="Times New Roman"/>
          <w:color w:val="000000" w:themeColor="text1"/>
          <w:sz w:val="22"/>
          <w:szCs w:val="22"/>
          <w:lang w:val="es-CO"/>
        </w:rPr>
        <w:t xml:space="preserve"> (Secciones </w:t>
      </w:r>
      <w:hyperlink w:anchor="sec:s1methods">
        <w:r w:rsidRPr="0069403C">
          <w:rPr>
            <w:rStyle w:val="Hipervnculo"/>
            <w:rFonts w:ascii="Times New Roman" w:hAnsi="Times New Roman" w:cs="Times New Roman"/>
            <w:color w:val="000000" w:themeColor="text1"/>
            <w:sz w:val="22"/>
            <w:szCs w:val="22"/>
            <w:lang w:val="es-CO"/>
          </w:rPr>
          <w:t>3</w:t>
        </w:r>
      </w:hyperlink>
      <w:r w:rsidRPr="0069403C">
        <w:rPr>
          <w:rFonts w:ascii="Times New Roman" w:hAnsi="Times New Roman" w:cs="Times New Roman"/>
          <w:color w:val="000000" w:themeColor="text1"/>
          <w:sz w:val="22"/>
          <w:szCs w:val="22"/>
          <w:lang w:val="es-CO"/>
        </w:rPr>
        <w:t>–</w:t>
      </w:r>
      <w:hyperlink w:anchor="sec:s1results">
        <w:r w:rsidRPr="0069403C">
          <w:rPr>
            <w:rStyle w:val="Hipervnculo"/>
            <w:rFonts w:ascii="Times New Roman" w:hAnsi="Times New Roman" w:cs="Times New Roman"/>
            <w:color w:val="000000" w:themeColor="text1"/>
            <w:sz w:val="22"/>
            <w:szCs w:val="22"/>
            <w:lang w:val="es-CO"/>
          </w:rPr>
          <w:t>4</w:t>
        </w:r>
      </w:hyperlink>
      <w:r w:rsidRPr="0069403C">
        <w:rPr>
          <w:rFonts w:ascii="Times New Roman" w:hAnsi="Times New Roman" w:cs="Times New Roman"/>
          <w:color w:val="000000" w:themeColor="text1"/>
          <w:sz w:val="22"/>
          <w:szCs w:val="22"/>
          <w:lang w:val="es-CO"/>
        </w:rPr>
        <w:t xml:space="preserve">) ofrece una comparación controlada, a nivel de paradigma, de la robustez de un solucionador exacto, un algoritmo genético y nueve reglas de despacho por prioridad bajo tres clases simultáneas de disrupción, cada una en tres severidades, sobre un entorno común de simulación de eventos discretos predictivo–reactivo con treinta escenarios réplica por celda. Documenta una </w:t>
      </w:r>
      <w:r w:rsidRPr="0069403C">
        <w:rPr>
          <w:rFonts w:ascii="Times New Roman" w:hAnsi="Times New Roman" w:cs="Times New Roman"/>
          <w:i/>
          <w:iCs/>
          <w:color w:val="000000" w:themeColor="text1"/>
          <w:sz w:val="22"/>
          <w:szCs w:val="22"/>
          <w:lang w:val="es-CO"/>
        </w:rPr>
        <w:t>inversión optimalidad–robustez</w:t>
      </w:r>
      <w:r w:rsidRPr="0069403C">
        <w:rPr>
          <w:rFonts w:ascii="Times New Roman" w:hAnsi="Times New Roman" w:cs="Times New Roman"/>
          <w:color w:val="000000" w:themeColor="text1"/>
          <w:sz w:val="22"/>
          <w:szCs w:val="22"/>
          <w:lang w:val="es-CO"/>
        </w:rPr>
        <w:t xml:space="preserve">: el programa exacto-óptimo es simultáneamente el mejor método nominal y el menos robusto, con el orden en robustez siendo esencialmente el inverso del orden en calidad nominal, e identifica un umbral de disrupción más allá del cual la ventaja nominal del solucionador exacto no solo se </w:t>
      </w:r>
      <w:proofErr w:type="gramStart"/>
      <w:r w:rsidRPr="0069403C">
        <w:rPr>
          <w:rFonts w:ascii="Times New Roman" w:hAnsi="Times New Roman" w:cs="Times New Roman"/>
          <w:color w:val="000000" w:themeColor="text1"/>
          <w:sz w:val="22"/>
          <w:szCs w:val="22"/>
          <w:lang w:val="es-CO"/>
        </w:rPr>
        <w:t>erosiona</w:t>
      </w:r>
      <w:proofErr w:type="gramEnd"/>
      <w:r w:rsidRPr="0069403C">
        <w:rPr>
          <w:rFonts w:ascii="Times New Roman" w:hAnsi="Times New Roman" w:cs="Times New Roman"/>
          <w:color w:val="000000" w:themeColor="text1"/>
          <w:sz w:val="22"/>
          <w:szCs w:val="22"/>
          <w:lang w:val="es-CO"/>
        </w:rPr>
        <w:t xml:space="preserve"> sino que se revierte — las reglas de despacho lo superan en calidad realizada bajo averías de máquina y lo dominan bajo llegadas dinámicas.</w:t>
      </w:r>
    </w:p>
    <w:p w14:paraId="51B7A89B"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El </w:t>
      </w:r>
      <w:r w:rsidRPr="0069403C">
        <w:rPr>
          <w:rFonts w:ascii="Times New Roman" w:hAnsi="Times New Roman" w:cs="Times New Roman"/>
          <w:b/>
          <w:bCs/>
          <w:color w:val="000000" w:themeColor="text1"/>
          <w:sz w:val="22"/>
          <w:szCs w:val="22"/>
          <w:lang w:val="es-CO"/>
        </w:rPr>
        <w:t>Estudio 2</w:t>
      </w:r>
      <w:r w:rsidRPr="0069403C">
        <w:rPr>
          <w:rFonts w:ascii="Times New Roman" w:hAnsi="Times New Roman" w:cs="Times New Roman"/>
          <w:color w:val="000000" w:themeColor="text1"/>
          <w:sz w:val="22"/>
          <w:szCs w:val="22"/>
          <w:lang w:val="es-CO"/>
        </w:rPr>
        <w:t xml:space="preserve"> (Secciones </w:t>
      </w:r>
      <w:hyperlink w:anchor="sec:s2methods">
        <w:r w:rsidRPr="0069403C">
          <w:rPr>
            <w:rStyle w:val="Hipervnculo"/>
            <w:rFonts w:ascii="Times New Roman" w:hAnsi="Times New Roman" w:cs="Times New Roman"/>
            <w:color w:val="000000" w:themeColor="text1"/>
            <w:sz w:val="22"/>
            <w:szCs w:val="22"/>
            <w:lang w:val="es-CO"/>
          </w:rPr>
          <w:t>5</w:t>
        </w:r>
      </w:hyperlink>
      <w:r w:rsidRPr="0069403C">
        <w:rPr>
          <w:rFonts w:ascii="Times New Roman" w:hAnsi="Times New Roman" w:cs="Times New Roman"/>
          <w:color w:val="000000" w:themeColor="text1"/>
          <w:sz w:val="22"/>
          <w:szCs w:val="22"/>
          <w:lang w:val="es-CO"/>
        </w:rPr>
        <w:t>–</w:t>
      </w:r>
      <w:hyperlink w:anchor="sec:s2results">
        <w:r w:rsidRPr="0069403C">
          <w:rPr>
            <w:rStyle w:val="Hipervnculo"/>
            <w:rFonts w:ascii="Times New Roman" w:hAnsi="Times New Roman" w:cs="Times New Roman"/>
            <w:color w:val="000000" w:themeColor="text1"/>
            <w:sz w:val="22"/>
            <w:szCs w:val="22"/>
            <w:lang w:val="es-CO"/>
          </w:rPr>
          <w:t>6</w:t>
        </w:r>
      </w:hyperlink>
      <w:r w:rsidRPr="0069403C">
        <w:rPr>
          <w:rFonts w:ascii="Times New Roman" w:hAnsi="Times New Roman" w:cs="Times New Roman"/>
          <w:color w:val="000000" w:themeColor="text1"/>
          <w:sz w:val="22"/>
          <w:szCs w:val="22"/>
          <w:lang w:val="es-CO"/>
        </w:rPr>
        <w:t xml:space="preserve">) plantea la siguiente pregunta natural: ¿escapa a esta inversión un cuarto paradigma, construido específicamente para la adaptabilidad y explícitamente promocionado en la literatura reciente por su capacidad de generalizar entre tamaños de instancia? Entrena una política relacional-GIN basada en PPO para el mismo FJSP dinámico y estocástico, y </w:t>
      </w:r>
      <w:proofErr w:type="spellStart"/>
      <w:r w:rsidRPr="0069403C">
        <w:rPr>
          <w:rFonts w:ascii="Times New Roman" w:hAnsi="Times New Roman" w:cs="Times New Roman"/>
          <w:color w:val="000000" w:themeColor="text1"/>
          <w:sz w:val="22"/>
          <w:szCs w:val="22"/>
          <w:lang w:val="es-CO"/>
        </w:rPr>
        <w:t>pre-registra</w:t>
      </w:r>
      <w:proofErr w:type="spellEnd"/>
      <w:r w:rsidRPr="0069403C">
        <w:rPr>
          <w:rFonts w:ascii="Times New Roman" w:hAnsi="Times New Roman" w:cs="Times New Roman"/>
          <w:color w:val="000000" w:themeColor="text1"/>
          <w:sz w:val="22"/>
          <w:szCs w:val="22"/>
          <w:lang w:val="es-CO"/>
        </w:rPr>
        <w:t xml:space="preserve"> cinco hipótesis — competitividad estática, generalización de tamaño, robustez ante la disrupción, el efecto de un término de recompensa consciente de la disrupción, y la ventaja en latencia de decisión — con reglas de decisión congeladas antes de que se generara cualquier resultado de evaluación, siguiendo la disciplina anti-</w:t>
      </w:r>
      <w:proofErr w:type="spellStart"/>
      <w:r w:rsidRPr="0069403C">
        <w:rPr>
          <w:rFonts w:ascii="Times New Roman" w:hAnsi="Times New Roman" w:cs="Times New Roman"/>
          <w:color w:val="000000" w:themeColor="text1"/>
          <w:sz w:val="22"/>
          <w:szCs w:val="22"/>
          <w:lang w:val="es-CO"/>
        </w:rPr>
        <w:t>HARKing</w:t>
      </w:r>
      <w:proofErr w:type="spellEnd"/>
      <w:r w:rsidRPr="0069403C">
        <w:rPr>
          <w:rFonts w:ascii="Times New Roman" w:hAnsi="Times New Roman" w:cs="Times New Roman"/>
          <w:color w:val="000000" w:themeColor="text1"/>
          <w:sz w:val="22"/>
          <w:szCs w:val="22"/>
          <w:lang w:val="es-CO"/>
        </w:rPr>
        <w:t xml:space="preserve"> (formular hipótesis después de conocer los resultados) que, como documenta la Sección </w:t>
      </w:r>
      <w:hyperlink w:anchor="sec:gap">
        <w:r w:rsidRPr="0069403C">
          <w:rPr>
            <w:rStyle w:val="Hipervnculo"/>
            <w:rFonts w:ascii="Times New Roman" w:hAnsi="Times New Roman" w:cs="Times New Roman"/>
            <w:color w:val="000000" w:themeColor="text1"/>
            <w:sz w:val="22"/>
            <w:szCs w:val="22"/>
            <w:lang w:val="es-CO"/>
          </w:rPr>
          <w:t>2.5</w:t>
        </w:r>
      </w:hyperlink>
      <w:r w:rsidRPr="0069403C">
        <w:rPr>
          <w:rFonts w:ascii="Times New Roman" w:hAnsi="Times New Roman" w:cs="Times New Roman"/>
          <w:color w:val="000000" w:themeColor="text1"/>
          <w:sz w:val="22"/>
          <w:szCs w:val="22"/>
          <w:lang w:val="es-CO"/>
        </w:rPr>
        <w:t>, está en gran medida ausente de la literatura de programación con DRL hasta la fecha. Cuatro de cinco hipótesis se rechazan. Este no es un hallazgo periférico subordinado al resultado del Estudio 1; es el mecanismo central del Estudio 1, puesto a prueba bajo un paradigma completamente distinto y un estándar de evidencia sustancialmente más alto, y se sostiene nuevamente: la propiedad que hace atractiva sobre el papel a una política GNN–DRL — la generalización arquitectónica, invariante al tamaño — traslada la competitividad relativa de rango entre tamaños de instancia (aceptada, H2) sin llevar consigo la robustez ante la disrupción (rechazada en los nueve regímenes, H3), y un intento directo y explícito de incorporar esa robustez en la función de recompensa resulta contraproducente (rechazada, H4).</w:t>
      </w:r>
    </w:p>
    <w:p w14:paraId="0DCC15DB" w14:textId="77777777" w:rsidR="00E373E4" w:rsidRPr="0069403C" w:rsidRDefault="00000000" w:rsidP="0069403C">
      <w:pPr>
        <w:pStyle w:val="Textoindependiente"/>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lang w:val="es-CO"/>
        </w:rPr>
        <w:t xml:space="preserve">Leídos en conjunto, los dos estudios convergen en una sola conclusión transversal a los paradigmas que ningún estudio podría establecer por sí solo: a través de la búsqueda exacta, la búsqueda evolutiva y el aprendizaje por refuerzo profundo basado en gradientes, lo que un método optimiza bajo condiciones nominales, no perturbadas — un óptimo certificado, la aptitud de una población evolucionada, o el retorno esperado de una política aprendida — no se traslada automáticamente en robustez una vez que la salida de ese método debe sobrevivir a un evento no planificado. La única familia de políticas evaluada en ambos estudios que mantiene de manera confiable su desempeño una vez que el taller se comporta mal es aquella que no gasta ningún cómputo optimizando para el caso nominal en absoluto: una regla de despacho simple y reactiva. </w:t>
      </w:r>
      <w:proofErr w:type="spellStart"/>
      <w:r w:rsidRPr="0069403C">
        <w:rPr>
          <w:rFonts w:ascii="Times New Roman" w:hAnsi="Times New Roman" w:cs="Times New Roman"/>
          <w:color w:val="000000" w:themeColor="text1"/>
          <w:sz w:val="22"/>
          <w:szCs w:val="22"/>
        </w:rPr>
        <w:t>Concretamente</w:t>
      </w:r>
      <w:proofErr w:type="spellEnd"/>
      <w:r w:rsidRPr="0069403C">
        <w:rPr>
          <w:rFonts w:ascii="Times New Roman" w:hAnsi="Times New Roman" w:cs="Times New Roman"/>
          <w:color w:val="000000" w:themeColor="text1"/>
          <w:sz w:val="22"/>
          <w:szCs w:val="22"/>
        </w:rPr>
        <w:t xml:space="preserve">, </w:t>
      </w:r>
      <w:proofErr w:type="spellStart"/>
      <w:r w:rsidRPr="0069403C">
        <w:rPr>
          <w:rFonts w:ascii="Times New Roman" w:hAnsi="Times New Roman" w:cs="Times New Roman"/>
          <w:color w:val="000000" w:themeColor="text1"/>
          <w:sz w:val="22"/>
          <w:szCs w:val="22"/>
        </w:rPr>
        <w:t>este</w:t>
      </w:r>
      <w:proofErr w:type="spellEnd"/>
      <w:r w:rsidRPr="0069403C">
        <w:rPr>
          <w:rFonts w:ascii="Times New Roman" w:hAnsi="Times New Roman" w:cs="Times New Roman"/>
          <w:color w:val="000000" w:themeColor="text1"/>
          <w:sz w:val="22"/>
          <w:szCs w:val="22"/>
        </w:rPr>
        <w:t xml:space="preserve"> </w:t>
      </w:r>
      <w:proofErr w:type="spellStart"/>
      <w:r w:rsidRPr="0069403C">
        <w:rPr>
          <w:rFonts w:ascii="Times New Roman" w:hAnsi="Times New Roman" w:cs="Times New Roman"/>
          <w:color w:val="000000" w:themeColor="text1"/>
          <w:sz w:val="22"/>
          <w:szCs w:val="22"/>
        </w:rPr>
        <w:t>artículo</w:t>
      </w:r>
      <w:proofErr w:type="spellEnd"/>
      <w:r w:rsidRPr="0069403C">
        <w:rPr>
          <w:rFonts w:ascii="Times New Roman" w:hAnsi="Times New Roman" w:cs="Times New Roman"/>
          <w:color w:val="000000" w:themeColor="text1"/>
          <w:sz w:val="22"/>
          <w:szCs w:val="22"/>
        </w:rPr>
        <w:t xml:space="preserve"> </w:t>
      </w:r>
      <w:proofErr w:type="spellStart"/>
      <w:r w:rsidRPr="0069403C">
        <w:rPr>
          <w:rFonts w:ascii="Times New Roman" w:hAnsi="Times New Roman" w:cs="Times New Roman"/>
          <w:color w:val="000000" w:themeColor="text1"/>
          <w:sz w:val="22"/>
          <w:szCs w:val="22"/>
        </w:rPr>
        <w:t>aporta</w:t>
      </w:r>
      <w:proofErr w:type="spellEnd"/>
      <w:r w:rsidRPr="0069403C">
        <w:rPr>
          <w:rFonts w:ascii="Times New Roman" w:hAnsi="Times New Roman" w:cs="Times New Roman"/>
          <w:color w:val="000000" w:themeColor="text1"/>
          <w:sz w:val="22"/>
          <w:szCs w:val="22"/>
        </w:rPr>
        <w:t>:</w:t>
      </w:r>
    </w:p>
    <w:p w14:paraId="696F3A56" w14:textId="77777777" w:rsidR="00E373E4" w:rsidRPr="0069403C" w:rsidRDefault="00000000" w:rsidP="0069403C">
      <w:pPr>
        <w:numPr>
          <w:ilvl w:val="0"/>
          <w:numId w:val="2"/>
        </w:numPr>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una comparación controlada, a nivel de paradigma, de la robustez de un solucionador exacto (CP-SAT), un algoritmo genético y nueve reglas de despacho por prioridad bajo tres clases simultáneas de disrupción, cada una en tres severidades, sobre un entorno común de </w:t>
      </w:r>
      <w:r w:rsidRPr="0069403C">
        <w:rPr>
          <w:rFonts w:ascii="Times New Roman" w:hAnsi="Times New Roman" w:cs="Times New Roman"/>
          <w:color w:val="000000" w:themeColor="text1"/>
          <w:sz w:val="22"/>
          <w:szCs w:val="22"/>
          <w:lang w:val="es-CO"/>
        </w:rPr>
        <w:lastRenderedPageBreak/>
        <w:t>simulación de eventos discretos predictivo–reactivo con treinta escenarios réplica por celda (Estudio 1);</w:t>
      </w:r>
    </w:p>
    <w:p w14:paraId="6B1DF5E4" w14:textId="77777777" w:rsidR="00E373E4" w:rsidRPr="0069403C" w:rsidRDefault="00000000" w:rsidP="0069403C">
      <w:pPr>
        <w:numPr>
          <w:ilvl w:val="0"/>
          <w:numId w:val="2"/>
        </w:numPr>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evidencia directa de una </w:t>
      </w:r>
      <w:r w:rsidRPr="0069403C">
        <w:rPr>
          <w:rFonts w:ascii="Times New Roman" w:hAnsi="Times New Roman" w:cs="Times New Roman"/>
          <w:i/>
          <w:iCs/>
          <w:color w:val="000000" w:themeColor="text1"/>
          <w:sz w:val="22"/>
          <w:szCs w:val="22"/>
          <w:lang w:val="es-CO"/>
        </w:rPr>
        <w:t>inversión optimalidad–robustez</w:t>
      </w:r>
      <w:r w:rsidRPr="0069403C">
        <w:rPr>
          <w:rFonts w:ascii="Times New Roman" w:hAnsi="Times New Roman" w:cs="Times New Roman"/>
          <w:color w:val="000000" w:themeColor="text1"/>
          <w:sz w:val="22"/>
          <w:szCs w:val="22"/>
          <w:lang w:val="es-CO"/>
        </w:rPr>
        <w:t xml:space="preserve"> dentro de los paradigmas clásicos: el programa exacto-óptimo es simultáneamente el mejor método nominal y el menos robusto (Estudio 1);</w:t>
      </w:r>
    </w:p>
    <w:p w14:paraId="776F274F" w14:textId="77777777" w:rsidR="00E373E4" w:rsidRPr="0069403C" w:rsidRDefault="00000000" w:rsidP="0069403C">
      <w:pPr>
        <w:numPr>
          <w:ilvl w:val="0"/>
          <w:numId w:val="2"/>
        </w:numPr>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la primera evaluación </w:t>
      </w:r>
      <w:proofErr w:type="spellStart"/>
      <w:r w:rsidRPr="0069403C">
        <w:rPr>
          <w:rFonts w:ascii="Times New Roman" w:hAnsi="Times New Roman" w:cs="Times New Roman"/>
          <w:color w:val="000000" w:themeColor="text1"/>
          <w:sz w:val="22"/>
          <w:szCs w:val="22"/>
          <w:lang w:val="es-CO"/>
        </w:rPr>
        <w:t>pre-registrada</w:t>
      </w:r>
      <w:proofErr w:type="spellEnd"/>
      <w:r w:rsidRPr="0069403C">
        <w:rPr>
          <w:rFonts w:ascii="Times New Roman" w:hAnsi="Times New Roman" w:cs="Times New Roman"/>
          <w:color w:val="000000" w:themeColor="text1"/>
          <w:sz w:val="22"/>
          <w:szCs w:val="22"/>
          <w:lang w:val="es-CO"/>
        </w:rPr>
        <w:t xml:space="preserve"> y conjuntamente probada — hasta donde tiene conocimiento este artículo — de si la generalización de tamaño y la robustez ante múltiples disrupciones ocurren juntas en una sola política de programación GNN–PPO, con reglas de aceptación/rechazo congeladas antes de que existiera cualquier resultado (Estudio 2);</w:t>
      </w:r>
    </w:p>
    <w:p w14:paraId="7E43E8B9" w14:textId="77777777" w:rsidR="00E373E4" w:rsidRPr="0069403C" w:rsidRDefault="00000000" w:rsidP="0069403C">
      <w:pPr>
        <w:numPr>
          <w:ilvl w:val="0"/>
          <w:numId w:val="2"/>
        </w:numPr>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un diagnóstico de causa raíz para cada hipótesis rechazada en el Estudio 2 — en lugar de un resultado negativo sin explicación — incluyendo un mecanismo concreto y transferible de por qué el diseño de recompensa consciente de la disrupción colapsa el desempeño estático;</w:t>
      </w:r>
    </w:p>
    <w:p w14:paraId="0E43F81F" w14:textId="77777777" w:rsidR="00E373E4" w:rsidRPr="0069403C" w:rsidRDefault="00000000" w:rsidP="0069403C">
      <w:pPr>
        <w:numPr>
          <w:ilvl w:val="0"/>
          <w:numId w:val="2"/>
        </w:numPr>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una síntesis unificadora entre paradigmas (Sección </w:t>
      </w:r>
      <w:hyperlink w:anchor="sec:synthesis">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que muestra que la inversión documentada en el Estudio 1 para los métodos clásicos y la separabilidad documentada en el Estudio 2 para una política aprendida son dos instancias del mismo patrón subyacente, no dos hallazgos no relacionados; y</w:t>
      </w:r>
    </w:p>
    <w:p w14:paraId="60927AED" w14:textId="77777777" w:rsidR="00E373E4" w:rsidRPr="0069403C" w:rsidRDefault="00000000" w:rsidP="0069403C">
      <w:pPr>
        <w:numPr>
          <w:ilvl w:val="0"/>
          <w:numId w:val="2"/>
        </w:numPr>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una conclusión gerencial accionable, respaldada a lo largo de todo el artículo por un protocolo estadístico no paramétrico (Wilcoxon; Friedman–</w:t>
      </w:r>
      <w:proofErr w:type="spellStart"/>
      <w:r w:rsidRPr="0069403C">
        <w:rPr>
          <w:rFonts w:ascii="Times New Roman" w:hAnsi="Times New Roman" w:cs="Times New Roman"/>
          <w:color w:val="000000" w:themeColor="text1"/>
          <w:sz w:val="22"/>
          <w:szCs w:val="22"/>
          <w:lang w:val="es-CO"/>
        </w:rPr>
        <w:t>Nemenyi</w:t>
      </w:r>
      <w:proofErr w:type="spellEnd"/>
      <w:r w:rsidRPr="0069403C">
        <w:rPr>
          <w:rFonts w:ascii="Times New Roman" w:hAnsi="Times New Roman" w:cs="Times New Roman"/>
          <w:color w:val="000000" w:themeColor="text1"/>
          <w:sz w:val="22"/>
          <w:szCs w:val="22"/>
          <w:lang w:val="es-CO"/>
        </w:rPr>
        <w:t xml:space="preserve"> con diagramas de diferencia crítica): en un taller propenso a la disrupción, una regla de despacho sin costo computacional no es meramente un respaldo para cuando los métodos más sofisticados no están disponibles, sino frecuentemente la política desplegada superior entre todas las familias de métodos — exactos, evolutivos, basados en reglas o aprendidos — evaluadas en este artículo.</w:t>
      </w:r>
    </w:p>
    <w:p w14:paraId="6E82C2BE"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El resto de este artículo se organiza de la siguiente manera. La Sección </w:t>
      </w:r>
      <w:hyperlink w:anchor="sec:litrev">
        <w:r w:rsidRPr="0069403C">
          <w:rPr>
            <w:rStyle w:val="Hipervnculo"/>
            <w:rFonts w:ascii="Times New Roman" w:hAnsi="Times New Roman" w:cs="Times New Roman"/>
            <w:color w:val="000000" w:themeColor="text1"/>
            <w:sz w:val="22"/>
            <w:szCs w:val="22"/>
            <w:lang w:val="es-CO"/>
          </w:rPr>
          <w:t>2</w:t>
        </w:r>
      </w:hyperlink>
      <w:r w:rsidRPr="0069403C">
        <w:rPr>
          <w:rFonts w:ascii="Times New Roman" w:hAnsi="Times New Roman" w:cs="Times New Roman"/>
          <w:color w:val="000000" w:themeColor="text1"/>
          <w:sz w:val="22"/>
          <w:szCs w:val="22"/>
          <w:lang w:val="es-CO"/>
        </w:rPr>
        <w:t xml:space="preserve"> revisa las tres literaturas que este artículo conecta — comparaciones de paradigmas clásicos, programación robusta/predictivo–reactiva y programación con GNN–DRL — y expone la brecha combinada. La Sección </w:t>
      </w:r>
      <w:hyperlink w:anchor="sec:s1methods">
        <w:r w:rsidRPr="0069403C">
          <w:rPr>
            <w:rStyle w:val="Hipervnculo"/>
            <w:rFonts w:ascii="Times New Roman" w:hAnsi="Times New Roman" w:cs="Times New Roman"/>
            <w:color w:val="000000" w:themeColor="text1"/>
            <w:sz w:val="22"/>
            <w:szCs w:val="22"/>
            <w:lang w:val="es-CO"/>
          </w:rPr>
          <w:t>3</w:t>
        </w:r>
      </w:hyperlink>
      <w:r w:rsidRPr="0069403C">
        <w:rPr>
          <w:rFonts w:ascii="Times New Roman" w:hAnsi="Times New Roman" w:cs="Times New Roman"/>
          <w:color w:val="000000" w:themeColor="text1"/>
          <w:sz w:val="22"/>
          <w:szCs w:val="22"/>
          <w:lang w:val="es-CO"/>
        </w:rPr>
        <w:t xml:space="preserve"> detalla la formulación del problema, los modelos de disrupción, las familias de métodos, el entorno de ejecución y el protocolo estadístico del Estudio 1; la Sección </w:t>
      </w:r>
      <w:hyperlink w:anchor="sec:s1results">
        <w:r w:rsidRPr="0069403C">
          <w:rPr>
            <w:rStyle w:val="Hipervnculo"/>
            <w:rFonts w:ascii="Times New Roman" w:hAnsi="Times New Roman" w:cs="Times New Roman"/>
            <w:color w:val="000000" w:themeColor="text1"/>
            <w:sz w:val="22"/>
            <w:szCs w:val="22"/>
            <w:lang w:val="es-CO"/>
          </w:rPr>
          <w:t>4</w:t>
        </w:r>
      </w:hyperlink>
      <w:r w:rsidRPr="0069403C">
        <w:rPr>
          <w:rFonts w:ascii="Times New Roman" w:hAnsi="Times New Roman" w:cs="Times New Roman"/>
          <w:color w:val="000000" w:themeColor="text1"/>
          <w:sz w:val="22"/>
          <w:szCs w:val="22"/>
          <w:lang w:val="es-CO"/>
        </w:rPr>
        <w:t xml:space="preserve"> reporta sus resultados. La Sección </w:t>
      </w:r>
      <w:hyperlink w:anchor="sec:s2methods">
        <w:r w:rsidRPr="0069403C">
          <w:rPr>
            <w:rStyle w:val="Hipervnculo"/>
            <w:rFonts w:ascii="Times New Roman" w:hAnsi="Times New Roman" w:cs="Times New Roman"/>
            <w:color w:val="000000" w:themeColor="text1"/>
            <w:sz w:val="22"/>
            <w:szCs w:val="22"/>
            <w:lang w:val="es-CO"/>
          </w:rPr>
          <w:t>5</w:t>
        </w:r>
      </w:hyperlink>
      <w:r w:rsidRPr="0069403C">
        <w:rPr>
          <w:rFonts w:ascii="Times New Roman" w:hAnsi="Times New Roman" w:cs="Times New Roman"/>
          <w:color w:val="000000" w:themeColor="text1"/>
          <w:sz w:val="22"/>
          <w:szCs w:val="22"/>
          <w:lang w:val="es-CO"/>
        </w:rPr>
        <w:t xml:space="preserve"> detalla la arquitectura de la política, la recompensa consciente de la disrupción, las líneas base compartidas y las hipótesis </w:t>
      </w:r>
      <w:proofErr w:type="spellStart"/>
      <w:r w:rsidRPr="0069403C">
        <w:rPr>
          <w:rFonts w:ascii="Times New Roman" w:hAnsi="Times New Roman" w:cs="Times New Roman"/>
          <w:color w:val="000000" w:themeColor="text1"/>
          <w:sz w:val="22"/>
          <w:szCs w:val="22"/>
          <w:lang w:val="es-CO"/>
        </w:rPr>
        <w:t>pre-registradas</w:t>
      </w:r>
      <w:proofErr w:type="spellEnd"/>
      <w:r w:rsidRPr="0069403C">
        <w:rPr>
          <w:rFonts w:ascii="Times New Roman" w:hAnsi="Times New Roman" w:cs="Times New Roman"/>
          <w:color w:val="000000" w:themeColor="text1"/>
          <w:sz w:val="22"/>
          <w:szCs w:val="22"/>
          <w:lang w:val="es-CO"/>
        </w:rPr>
        <w:t xml:space="preserve"> del Estudio 2; la Sección </w:t>
      </w:r>
      <w:hyperlink w:anchor="sec:s2results">
        <w:r w:rsidRPr="0069403C">
          <w:rPr>
            <w:rStyle w:val="Hipervnculo"/>
            <w:rFonts w:ascii="Times New Roman" w:hAnsi="Times New Roman" w:cs="Times New Roman"/>
            <w:color w:val="000000" w:themeColor="text1"/>
            <w:sz w:val="22"/>
            <w:szCs w:val="22"/>
            <w:lang w:val="es-CO"/>
          </w:rPr>
          <w:t>6</w:t>
        </w:r>
      </w:hyperlink>
      <w:r w:rsidRPr="0069403C">
        <w:rPr>
          <w:rFonts w:ascii="Times New Roman" w:hAnsi="Times New Roman" w:cs="Times New Roman"/>
          <w:color w:val="000000" w:themeColor="text1"/>
          <w:sz w:val="22"/>
          <w:szCs w:val="22"/>
          <w:lang w:val="es-CO"/>
        </w:rPr>
        <w:t xml:space="preserve"> reporta sus resultados. La Sección </w:t>
      </w:r>
      <w:hyperlink w:anchor="sec:synthesis">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xml:space="preserve"> sintetiza ambos estudios en una sola imagen transversal a los paradigmas. La Sección </w:t>
      </w:r>
      <w:hyperlink w:anchor="sec:discussion">
        <w:r w:rsidRPr="0069403C">
          <w:rPr>
            <w:rStyle w:val="Hipervnculo"/>
            <w:rFonts w:ascii="Times New Roman" w:hAnsi="Times New Roman" w:cs="Times New Roman"/>
            <w:color w:val="000000" w:themeColor="text1"/>
            <w:sz w:val="22"/>
            <w:szCs w:val="22"/>
            <w:lang w:val="es-CO"/>
          </w:rPr>
          <w:t>8</w:t>
        </w:r>
      </w:hyperlink>
      <w:r w:rsidRPr="0069403C">
        <w:rPr>
          <w:rFonts w:ascii="Times New Roman" w:hAnsi="Times New Roman" w:cs="Times New Roman"/>
          <w:color w:val="000000" w:themeColor="text1"/>
          <w:sz w:val="22"/>
          <w:szCs w:val="22"/>
          <w:lang w:val="es-CO"/>
        </w:rPr>
        <w:t xml:space="preserve"> discute los hallazgos, sus implicaciones teóricas y gerenciales, y las limitaciones de los estudios. La Sección </w:t>
      </w:r>
      <w:hyperlink w:anchor="sec:conclusion">
        <w:r w:rsidRPr="0069403C">
          <w:rPr>
            <w:rStyle w:val="Hipervnculo"/>
            <w:rFonts w:ascii="Times New Roman" w:hAnsi="Times New Roman" w:cs="Times New Roman"/>
            <w:color w:val="000000" w:themeColor="text1"/>
            <w:sz w:val="22"/>
            <w:szCs w:val="22"/>
            <w:lang w:val="es-CO"/>
          </w:rPr>
          <w:t>9</w:t>
        </w:r>
      </w:hyperlink>
      <w:r w:rsidRPr="0069403C">
        <w:rPr>
          <w:rFonts w:ascii="Times New Roman" w:hAnsi="Times New Roman" w:cs="Times New Roman"/>
          <w:color w:val="000000" w:themeColor="text1"/>
          <w:sz w:val="22"/>
          <w:szCs w:val="22"/>
          <w:lang w:val="es-CO"/>
        </w:rPr>
        <w:t xml:space="preserve"> concluye.</w:t>
      </w:r>
    </w:p>
    <w:p w14:paraId="2975DB66" w14:textId="77777777" w:rsidR="00E373E4" w:rsidRPr="0069403C" w:rsidRDefault="00000000" w:rsidP="0069403C">
      <w:pPr>
        <w:pStyle w:val="Ttulo1"/>
        <w:rPr>
          <w:rFonts w:ascii="Times New Roman" w:hAnsi="Times New Roman" w:cs="Times New Roman"/>
          <w:color w:val="000000" w:themeColor="text1"/>
          <w:sz w:val="22"/>
          <w:szCs w:val="22"/>
          <w:lang w:val="es-CO"/>
        </w:rPr>
      </w:pPr>
      <w:bookmarkStart w:id="1" w:name="sec:litrev"/>
      <w:bookmarkEnd w:id="0"/>
      <w:r w:rsidRPr="0069403C">
        <w:rPr>
          <w:rFonts w:ascii="Times New Roman" w:hAnsi="Times New Roman" w:cs="Times New Roman"/>
          <w:color w:val="000000" w:themeColor="text1"/>
          <w:sz w:val="22"/>
          <w:szCs w:val="22"/>
          <w:lang w:val="es-CO"/>
        </w:rPr>
        <w:t>Revisión de literatura</w:t>
      </w:r>
    </w:p>
    <w:p w14:paraId="296EB2F2"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2" w:name="sec:threeparadigms"/>
      <w:r w:rsidRPr="0069403C">
        <w:rPr>
          <w:rFonts w:ascii="Times New Roman" w:hAnsi="Times New Roman" w:cs="Times New Roman"/>
          <w:color w:val="000000" w:themeColor="text1"/>
          <w:sz w:val="22"/>
          <w:szCs w:val="22"/>
          <w:lang w:val="es-CO"/>
        </w:rPr>
        <w:t>Tres paradigmas de solución para el taller de trabajos</w:t>
      </w:r>
    </w:p>
    <w:p w14:paraId="16D3AE0E"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Los métodos exactos resuelven el JSSP/FJSP hasta la optimalidad certificada. La formulación disyuntiva de programación entera mixta (Graham et al. 1979) es el planteamiento clásico; los solucionadores modernos de programación por restricciones, como CP-SAT (Perron, Didier, and Gay 2023), expresan cada operación como una variable de intervalo y cada máquina como una restricción de no-solapamiento, demostrando la optimalidad en instancias pequeñas y medianas y devolviendo cotas robustas en las más grandes. Las metaheurísticas aceptan la pérdida de un certificado de optimalidad a cambio de un presupuesto computacional acotado y ajustable: la búsqueda tabú (Nowicki and Smutnicki 1996), el recocido simulado (Van Laarhoven, Aarts, and </w:t>
      </w:r>
      <w:r w:rsidRPr="0069403C">
        <w:rPr>
          <w:rFonts w:ascii="Times New Roman" w:hAnsi="Times New Roman" w:cs="Times New Roman"/>
          <w:color w:val="000000" w:themeColor="text1"/>
          <w:sz w:val="22"/>
          <w:szCs w:val="22"/>
          <w:lang w:val="es-CO"/>
        </w:rPr>
        <w:lastRenderedPageBreak/>
        <w:t xml:space="preserve">Lenstra 1992) y, para el FJSP en particular, los algoritmos genéticos con un cromosoma de dos vectores (secuenciación y enrutamiento) (Kacem, Hammadi, and Borne 2002; Pezzella, Morganti, and </w:t>
      </w:r>
      <w:proofErr w:type="spellStart"/>
      <w:r w:rsidRPr="0069403C">
        <w:rPr>
          <w:rFonts w:ascii="Times New Roman" w:hAnsi="Times New Roman" w:cs="Times New Roman"/>
          <w:color w:val="000000" w:themeColor="text1"/>
          <w:sz w:val="22"/>
          <w:szCs w:val="22"/>
          <w:lang w:val="es-CO"/>
        </w:rPr>
        <w:t>Ciaschetti</w:t>
      </w:r>
      <w:proofErr w:type="spellEnd"/>
      <w:r w:rsidRPr="0069403C">
        <w:rPr>
          <w:rFonts w:ascii="Times New Roman" w:hAnsi="Times New Roman" w:cs="Times New Roman"/>
          <w:color w:val="000000" w:themeColor="text1"/>
          <w:sz w:val="22"/>
          <w:szCs w:val="22"/>
          <w:lang w:val="es-CO"/>
        </w:rPr>
        <w:t xml:space="preserve"> 2008; Chaudhry and Khan 2016). Las reglas de despacho por prioridad ocupan el polo opuesto: en cada época de decisión, una regla asigna un índice de prioridad a cada operación </w:t>
      </w:r>
      <w:proofErr w:type="spellStart"/>
      <w:r w:rsidRPr="0069403C">
        <w:rPr>
          <w:rFonts w:ascii="Times New Roman" w:hAnsi="Times New Roman" w:cs="Times New Roman"/>
          <w:color w:val="000000" w:themeColor="text1"/>
          <w:sz w:val="22"/>
          <w:szCs w:val="22"/>
          <w:lang w:val="es-CO"/>
        </w:rPr>
        <w:t>despachable</w:t>
      </w:r>
      <w:proofErr w:type="spellEnd"/>
      <w:r w:rsidRPr="0069403C">
        <w:rPr>
          <w:rFonts w:ascii="Times New Roman" w:hAnsi="Times New Roman" w:cs="Times New Roman"/>
          <w:color w:val="000000" w:themeColor="text1"/>
          <w:sz w:val="22"/>
          <w:szCs w:val="22"/>
          <w:lang w:val="es-CO"/>
        </w:rPr>
        <w:t xml:space="preserve"> y selecciona la de mayor prioridad, un cómputo </w:t>
      </w:r>
      <m:oMath>
        <m:r>
          <w:rPr>
            <w:rFonts w:ascii="Cambria Math" w:hAnsi="Cambria Math" w:cs="Times New Roman"/>
            <w:color w:val="000000" w:themeColor="text1"/>
            <w:sz w:val="22"/>
            <w:szCs w:val="22"/>
          </w:rPr>
          <m:t>O</m:t>
        </m:r>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lang w:val="es-CO"/>
              </w:rPr>
              <m:t>1</m:t>
            </m:r>
          </m:e>
        </m:d>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rPr>
          <m:t>O</m:t>
        </m:r>
        <m:d>
          <m:dPr>
            <m:ctrlPr>
              <w:rPr>
                <w:rFonts w:ascii="Cambria Math" w:hAnsi="Cambria Math" w:cs="Times New Roman"/>
                <w:color w:val="000000" w:themeColor="text1"/>
                <w:sz w:val="22"/>
                <w:szCs w:val="22"/>
              </w:rPr>
            </m:ctrlPr>
          </m:dPr>
          <m:e>
            <m:d>
              <m:dPr>
                <m:begChr m:val="|"/>
                <m:endChr m:val="|"/>
                <m:ctrlPr>
                  <w:rPr>
                    <w:rFonts w:ascii="Cambria Math" w:hAnsi="Cambria Math" w:cs="Times New Roman"/>
                    <w:color w:val="000000" w:themeColor="text1"/>
                    <w:sz w:val="22"/>
                    <w:szCs w:val="22"/>
                  </w:rPr>
                </m:ctrlPr>
              </m:dPr>
              <m:e>
                <m:r>
                  <m:rPr>
                    <m:nor/>
                  </m:rPr>
                  <w:rPr>
                    <w:rFonts w:ascii="Times New Roman" w:hAnsi="Times New Roman" w:cs="Times New Roman"/>
                    <w:color w:val="000000" w:themeColor="text1"/>
                    <w:sz w:val="22"/>
                    <w:szCs w:val="22"/>
                    <w:lang w:val="es-CO"/>
                  </w:rPr>
                  <m:t>cola</m:t>
                </m:r>
              </m:e>
            </m:d>
          </m:e>
        </m:d>
      </m:oMath>
      <w:r w:rsidRPr="0069403C">
        <w:rPr>
          <w:rFonts w:ascii="Times New Roman" w:hAnsi="Times New Roman" w:cs="Times New Roman"/>
          <w:color w:val="000000" w:themeColor="text1"/>
          <w:sz w:val="22"/>
          <w:szCs w:val="22"/>
          <w:lang w:val="es-CO"/>
        </w:rPr>
        <w:t xml:space="preserve"> que no requiere búsqueda (</w:t>
      </w:r>
      <w:proofErr w:type="spellStart"/>
      <w:r w:rsidRPr="0069403C">
        <w:rPr>
          <w:rFonts w:ascii="Times New Roman" w:hAnsi="Times New Roman" w:cs="Times New Roman"/>
          <w:color w:val="000000" w:themeColor="text1"/>
          <w:sz w:val="22"/>
          <w:szCs w:val="22"/>
          <w:lang w:val="es-CO"/>
        </w:rPr>
        <w:t>Panwalkar</w:t>
      </w:r>
      <w:proofErr w:type="spellEnd"/>
      <w:r w:rsidRPr="0069403C">
        <w:rPr>
          <w:rFonts w:ascii="Times New Roman" w:hAnsi="Times New Roman" w:cs="Times New Roman"/>
          <w:color w:val="000000" w:themeColor="text1"/>
          <w:sz w:val="22"/>
          <w:szCs w:val="22"/>
          <w:lang w:val="es-CO"/>
        </w:rPr>
        <w:t xml:space="preserve"> and Iskander 1977; Haupt 1989; </w:t>
      </w:r>
      <w:proofErr w:type="spellStart"/>
      <w:r w:rsidRPr="0069403C">
        <w:rPr>
          <w:rFonts w:ascii="Times New Roman" w:hAnsi="Times New Roman" w:cs="Times New Roman"/>
          <w:color w:val="000000" w:themeColor="text1"/>
          <w:sz w:val="22"/>
          <w:szCs w:val="22"/>
          <w:lang w:val="es-CO"/>
        </w:rPr>
        <w:t>Sels</w:t>
      </w:r>
      <w:proofErr w:type="spellEnd"/>
      <w:r w:rsidRPr="0069403C">
        <w:rPr>
          <w:rFonts w:ascii="Times New Roman" w:hAnsi="Times New Roman" w:cs="Times New Roman"/>
          <w:color w:val="000000" w:themeColor="text1"/>
          <w:sz w:val="22"/>
          <w:szCs w:val="22"/>
          <w:lang w:val="es-CO"/>
        </w:rPr>
        <w:t xml:space="preserve">, </w:t>
      </w:r>
      <w:proofErr w:type="spellStart"/>
      <w:r w:rsidRPr="0069403C">
        <w:rPr>
          <w:rFonts w:ascii="Times New Roman" w:hAnsi="Times New Roman" w:cs="Times New Roman"/>
          <w:color w:val="000000" w:themeColor="text1"/>
          <w:sz w:val="22"/>
          <w:szCs w:val="22"/>
          <w:lang w:val="es-CO"/>
        </w:rPr>
        <w:t>Gheysen</w:t>
      </w:r>
      <w:proofErr w:type="spellEnd"/>
      <w:r w:rsidRPr="0069403C">
        <w:rPr>
          <w:rFonts w:ascii="Times New Roman" w:hAnsi="Times New Roman" w:cs="Times New Roman"/>
          <w:color w:val="000000" w:themeColor="text1"/>
          <w:sz w:val="22"/>
          <w:szCs w:val="22"/>
          <w:lang w:val="es-CO"/>
        </w:rPr>
        <w:t xml:space="preserve">, and </w:t>
      </w:r>
      <w:proofErr w:type="spellStart"/>
      <w:r w:rsidRPr="0069403C">
        <w:rPr>
          <w:rFonts w:ascii="Times New Roman" w:hAnsi="Times New Roman" w:cs="Times New Roman"/>
          <w:color w:val="000000" w:themeColor="text1"/>
          <w:sz w:val="22"/>
          <w:szCs w:val="22"/>
          <w:lang w:val="es-CO"/>
        </w:rPr>
        <w:t>Vanhoucke</w:t>
      </w:r>
      <w:proofErr w:type="spellEnd"/>
      <w:r w:rsidRPr="0069403C">
        <w:rPr>
          <w:rFonts w:ascii="Times New Roman" w:hAnsi="Times New Roman" w:cs="Times New Roman"/>
          <w:color w:val="000000" w:themeColor="text1"/>
          <w:sz w:val="22"/>
          <w:szCs w:val="22"/>
          <w:lang w:val="es-CO"/>
        </w:rPr>
        <w:t xml:space="preserve"> 2012). Los estudios comparativos de estas tres familias son numerosos, pero casi uniformemente evalúan la calidad de la solución en instancias </w:t>
      </w:r>
      <w:r w:rsidRPr="0069403C">
        <w:rPr>
          <w:rFonts w:ascii="Times New Roman" w:hAnsi="Times New Roman" w:cs="Times New Roman"/>
          <w:i/>
          <w:iCs/>
          <w:color w:val="000000" w:themeColor="text1"/>
          <w:sz w:val="22"/>
          <w:szCs w:val="22"/>
          <w:lang w:val="es-CO"/>
        </w:rPr>
        <w:t>deterministas</w:t>
      </w:r>
      <w:r w:rsidRPr="0069403C">
        <w:rPr>
          <w:rFonts w:ascii="Times New Roman" w:hAnsi="Times New Roman" w:cs="Times New Roman"/>
          <w:color w:val="000000" w:themeColor="text1"/>
          <w:sz w:val="22"/>
          <w:szCs w:val="22"/>
          <w:lang w:val="es-CO"/>
        </w:rPr>
        <w:t>, donde el solucionador exacto necesariamente domina.</w:t>
      </w:r>
    </w:p>
    <w:p w14:paraId="51C91525"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Desde aproximadamente 2020, un cuarto paradigma ha entrado en esta comparación: las políticas GNN–DRL que construyen un programa aprendiendo, en lugar de mediante búsqueda o prioridad diseñada a mano, qué operación despachar a continuación. El L2D de C. Zhang et al. (2020) combina un estado de grafo disyuntivo con un codificador de red de isomorfismo de grafos (GIN) (</w:t>
      </w:r>
      <w:proofErr w:type="spellStart"/>
      <w:r w:rsidRPr="0069403C">
        <w:rPr>
          <w:rFonts w:ascii="Times New Roman" w:hAnsi="Times New Roman" w:cs="Times New Roman"/>
          <w:color w:val="000000" w:themeColor="text1"/>
          <w:sz w:val="22"/>
          <w:szCs w:val="22"/>
          <w:lang w:val="es-CO"/>
        </w:rPr>
        <w:t>Xu</w:t>
      </w:r>
      <w:proofErr w:type="spellEnd"/>
      <w:r w:rsidRPr="0069403C">
        <w:rPr>
          <w:rFonts w:ascii="Times New Roman" w:hAnsi="Times New Roman" w:cs="Times New Roman"/>
          <w:color w:val="000000" w:themeColor="text1"/>
          <w:sz w:val="22"/>
          <w:szCs w:val="22"/>
          <w:lang w:val="es-CO"/>
        </w:rPr>
        <w:t xml:space="preserve"> et al. 2019) entrenado mediante optimización de política proximal (PPO, (Schulman et al. 2017)); Song et al. (2023) y </w:t>
      </w:r>
      <w:proofErr w:type="spellStart"/>
      <w:r w:rsidRPr="0069403C">
        <w:rPr>
          <w:rFonts w:ascii="Times New Roman" w:hAnsi="Times New Roman" w:cs="Times New Roman"/>
          <w:color w:val="000000" w:themeColor="text1"/>
          <w:sz w:val="22"/>
          <w:szCs w:val="22"/>
          <w:lang w:val="es-CO"/>
        </w:rPr>
        <w:t>Lei</w:t>
      </w:r>
      <w:proofErr w:type="spellEnd"/>
      <w:r w:rsidRPr="0069403C">
        <w:rPr>
          <w:rFonts w:ascii="Times New Roman" w:hAnsi="Times New Roman" w:cs="Times New Roman"/>
          <w:color w:val="000000" w:themeColor="text1"/>
          <w:sz w:val="22"/>
          <w:szCs w:val="22"/>
          <w:lang w:val="es-CO"/>
        </w:rPr>
        <w:t xml:space="preserve"> et al. (2022) extienden el paradigma al FJSP mediante representaciones de grafos heterogéneos que capturan tanto relaciones operación–operación como operación–máquina. Este cuarto paradigma se discute con detalle en la Sección </w:t>
      </w:r>
      <w:hyperlink w:anchor="sec:drlreview">
        <w:r w:rsidRPr="0069403C">
          <w:rPr>
            <w:rStyle w:val="Hipervnculo"/>
            <w:rFonts w:ascii="Times New Roman" w:hAnsi="Times New Roman" w:cs="Times New Roman"/>
            <w:color w:val="000000" w:themeColor="text1"/>
            <w:sz w:val="22"/>
            <w:szCs w:val="22"/>
            <w:lang w:val="es-CO"/>
          </w:rPr>
          <w:t>2.3</w:t>
        </w:r>
      </w:hyperlink>
      <w:r w:rsidRPr="0069403C">
        <w:rPr>
          <w:rFonts w:ascii="Times New Roman" w:hAnsi="Times New Roman" w:cs="Times New Roman"/>
          <w:color w:val="000000" w:themeColor="text1"/>
          <w:sz w:val="22"/>
          <w:szCs w:val="22"/>
          <w:lang w:val="es-CO"/>
        </w:rPr>
        <w:t>; se introduce aquí porque el Estudio 2 (Sección </w:t>
      </w:r>
      <w:hyperlink w:anchor="sec:s2methods">
        <w:r w:rsidRPr="0069403C">
          <w:rPr>
            <w:rStyle w:val="Hipervnculo"/>
            <w:rFonts w:ascii="Times New Roman" w:hAnsi="Times New Roman" w:cs="Times New Roman"/>
            <w:color w:val="000000" w:themeColor="text1"/>
            <w:sz w:val="22"/>
            <w:szCs w:val="22"/>
            <w:lang w:val="es-CO"/>
          </w:rPr>
          <w:t>5</w:t>
        </w:r>
      </w:hyperlink>
      <w:r w:rsidRPr="0069403C">
        <w:rPr>
          <w:rFonts w:ascii="Times New Roman" w:hAnsi="Times New Roman" w:cs="Times New Roman"/>
          <w:color w:val="000000" w:themeColor="text1"/>
          <w:sz w:val="22"/>
          <w:szCs w:val="22"/>
          <w:lang w:val="es-CO"/>
        </w:rPr>
        <w:t>) lo pone a prueba frente exactamente a las mismas tres líneas base clásicas que el Estudio 1, cerrando una comparación que, hasta donde tiene conocimiento este artículo, ningún estudio previo abarca en su totalidad.</w:t>
      </w:r>
    </w:p>
    <w:p w14:paraId="2A3CFFEA"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3" w:name="sec:robustlit"/>
      <w:bookmarkEnd w:id="2"/>
      <w:r w:rsidRPr="0069403C">
        <w:rPr>
          <w:rFonts w:ascii="Times New Roman" w:hAnsi="Times New Roman" w:cs="Times New Roman"/>
          <w:color w:val="000000" w:themeColor="text1"/>
          <w:sz w:val="22"/>
          <w:szCs w:val="22"/>
          <w:lang w:val="es-CO"/>
        </w:rPr>
        <w:t>Programación predictivo–reactiva y robustez</w:t>
      </w:r>
    </w:p>
    <w:p w14:paraId="013274D3"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Una vez que la ejecución está sujeta a disrupción, un programa comprometido (predictivo) debe revisarse. La taxonomía de estrategias de revisión — desde la reprogramación completa hasta la reparación simple por desplazamiento a la derecha, en la que las operaciones afectadas se </w:t>
      </w:r>
      <w:proofErr w:type="gramStart"/>
      <w:r w:rsidRPr="0069403C">
        <w:rPr>
          <w:rFonts w:ascii="Times New Roman" w:hAnsi="Times New Roman" w:cs="Times New Roman"/>
          <w:color w:val="000000" w:themeColor="text1"/>
          <w:sz w:val="22"/>
          <w:szCs w:val="22"/>
          <w:lang w:val="es-CO"/>
        </w:rPr>
        <w:t>retrasan</w:t>
      </w:r>
      <w:proofErr w:type="gramEnd"/>
      <w:r w:rsidRPr="0069403C">
        <w:rPr>
          <w:rFonts w:ascii="Times New Roman" w:hAnsi="Times New Roman" w:cs="Times New Roman"/>
          <w:color w:val="000000" w:themeColor="text1"/>
          <w:sz w:val="22"/>
          <w:szCs w:val="22"/>
          <w:lang w:val="es-CO"/>
        </w:rPr>
        <w:t xml:space="preserve"> pero su orden relativo se preserva — está bien establecida (Vieira, Herrmann, and Lin 2003; Ouelhadj and Petrovic 2009; </w:t>
      </w:r>
      <w:proofErr w:type="spellStart"/>
      <w:r w:rsidRPr="0069403C">
        <w:rPr>
          <w:rFonts w:ascii="Times New Roman" w:hAnsi="Times New Roman" w:cs="Times New Roman"/>
          <w:color w:val="000000" w:themeColor="text1"/>
          <w:sz w:val="22"/>
          <w:szCs w:val="22"/>
          <w:lang w:val="es-CO"/>
        </w:rPr>
        <w:t>Aytug</w:t>
      </w:r>
      <w:proofErr w:type="spellEnd"/>
      <w:r w:rsidRPr="0069403C">
        <w:rPr>
          <w:rFonts w:ascii="Times New Roman" w:hAnsi="Times New Roman" w:cs="Times New Roman"/>
          <w:color w:val="000000" w:themeColor="text1"/>
          <w:sz w:val="22"/>
          <w:szCs w:val="22"/>
          <w:lang w:val="es-CO"/>
        </w:rPr>
        <w:t xml:space="preserve"> et al. 2005). Dos propiedades del programa son de interés bajo incertidumbre: la </w:t>
      </w:r>
      <w:r w:rsidRPr="0069403C">
        <w:rPr>
          <w:rFonts w:ascii="Times New Roman" w:hAnsi="Times New Roman" w:cs="Times New Roman"/>
          <w:i/>
          <w:iCs/>
          <w:color w:val="000000" w:themeColor="text1"/>
          <w:sz w:val="22"/>
          <w:szCs w:val="22"/>
          <w:lang w:val="es-CO"/>
        </w:rPr>
        <w:t>robustez</w:t>
      </w:r>
      <w:r w:rsidRPr="0069403C">
        <w:rPr>
          <w:rFonts w:ascii="Times New Roman" w:hAnsi="Times New Roman" w:cs="Times New Roman"/>
          <w:color w:val="000000" w:themeColor="text1"/>
          <w:sz w:val="22"/>
          <w:szCs w:val="22"/>
          <w:lang w:val="es-CO"/>
        </w:rPr>
        <w:t xml:space="preserve">, la insensibilidad del objetivo realizado a la disrupción, y la </w:t>
      </w:r>
      <w:r w:rsidRPr="0069403C">
        <w:rPr>
          <w:rFonts w:ascii="Times New Roman" w:hAnsi="Times New Roman" w:cs="Times New Roman"/>
          <w:i/>
          <w:iCs/>
          <w:color w:val="000000" w:themeColor="text1"/>
          <w:sz w:val="22"/>
          <w:szCs w:val="22"/>
          <w:lang w:val="es-CO"/>
        </w:rPr>
        <w:t>estabilidad</w:t>
      </w:r>
      <w:r w:rsidRPr="0069403C">
        <w:rPr>
          <w:rFonts w:ascii="Times New Roman" w:hAnsi="Times New Roman" w:cs="Times New Roman"/>
          <w:color w:val="000000" w:themeColor="text1"/>
          <w:sz w:val="22"/>
          <w:szCs w:val="22"/>
          <w:lang w:val="es-CO"/>
        </w:rPr>
        <w:t>, la insensibilidad del programa realizado (tiempos de inicio) a la disrupción (</w:t>
      </w:r>
      <w:proofErr w:type="spellStart"/>
      <w:r w:rsidRPr="0069403C">
        <w:rPr>
          <w:rFonts w:ascii="Times New Roman" w:hAnsi="Times New Roman" w:cs="Times New Roman"/>
          <w:color w:val="000000" w:themeColor="text1"/>
          <w:sz w:val="22"/>
          <w:szCs w:val="22"/>
          <w:lang w:val="es-CO"/>
        </w:rPr>
        <w:t>Leon</w:t>
      </w:r>
      <w:proofErr w:type="spellEnd"/>
      <w:r w:rsidRPr="0069403C">
        <w:rPr>
          <w:rFonts w:ascii="Times New Roman" w:hAnsi="Times New Roman" w:cs="Times New Roman"/>
          <w:color w:val="000000" w:themeColor="text1"/>
          <w:sz w:val="22"/>
          <w:szCs w:val="22"/>
          <w:lang w:val="es-CO"/>
        </w:rPr>
        <w:t xml:space="preserve">, Wu, and Storer 1994; Goren and </w:t>
      </w:r>
      <w:proofErr w:type="spellStart"/>
      <w:r w:rsidRPr="0069403C">
        <w:rPr>
          <w:rFonts w:ascii="Times New Roman" w:hAnsi="Times New Roman" w:cs="Times New Roman"/>
          <w:color w:val="000000" w:themeColor="text1"/>
          <w:sz w:val="22"/>
          <w:szCs w:val="22"/>
          <w:lang w:val="es-CO"/>
        </w:rPr>
        <w:t>Sabuncuoglu</w:t>
      </w:r>
      <w:proofErr w:type="spellEnd"/>
      <w:r w:rsidRPr="0069403C">
        <w:rPr>
          <w:rFonts w:ascii="Times New Roman" w:hAnsi="Times New Roman" w:cs="Times New Roman"/>
          <w:color w:val="000000" w:themeColor="text1"/>
          <w:sz w:val="22"/>
          <w:szCs w:val="22"/>
          <w:lang w:val="es-CO"/>
        </w:rPr>
        <w:t xml:space="preserve"> 2008; </w:t>
      </w:r>
      <w:proofErr w:type="spellStart"/>
      <w:r w:rsidRPr="0069403C">
        <w:rPr>
          <w:rFonts w:ascii="Times New Roman" w:hAnsi="Times New Roman" w:cs="Times New Roman"/>
          <w:color w:val="000000" w:themeColor="text1"/>
          <w:sz w:val="22"/>
          <w:szCs w:val="22"/>
          <w:lang w:val="es-CO"/>
        </w:rPr>
        <w:t>Sabuncuoglu</w:t>
      </w:r>
      <w:proofErr w:type="spellEnd"/>
      <w:r w:rsidRPr="0069403C">
        <w:rPr>
          <w:rFonts w:ascii="Times New Roman" w:hAnsi="Times New Roman" w:cs="Times New Roman"/>
          <w:color w:val="000000" w:themeColor="text1"/>
          <w:sz w:val="22"/>
          <w:szCs w:val="22"/>
          <w:lang w:val="es-CO"/>
        </w:rPr>
        <w:t xml:space="preserve"> and Goren 2009). Un tema recurrente es que la optimalidad nominal y la robustez están en tensión: un programa óptimamente compacto no deja tiempo ocioso para absorber un retraso, por lo que los métodos basados en holgura y en flexibilidad sacrifican deliberadamente la calidad nominal para insertar amortiguadores protectores (Mehta and </w:t>
      </w:r>
      <w:proofErr w:type="spellStart"/>
      <w:r w:rsidRPr="0069403C">
        <w:rPr>
          <w:rFonts w:ascii="Times New Roman" w:hAnsi="Times New Roman" w:cs="Times New Roman"/>
          <w:color w:val="000000" w:themeColor="text1"/>
          <w:sz w:val="22"/>
          <w:szCs w:val="22"/>
          <w:lang w:val="es-CO"/>
        </w:rPr>
        <w:t>Uzsoy</w:t>
      </w:r>
      <w:proofErr w:type="spellEnd"/>
      <w:r w:rsidRPr="0069403C">
        <w:rPr>
          <w:rFonts w:ascii="Times New Roman" w:hAnsi="Times New Roman" w:cs="Times New Roman"/>
          <w:color w:val="000000" w:themeColor="text1"/>
          <w:sz w:val="22"/>
          <w:szCs w:val="22"/>
          <w:lang w:val="es-CO"/>
        </w:rPr>
        <w:t xml:space="preserve"> 1998; Davenport, </w:t>
      </w:r>
      <w:proofErr w:type="spellStart"/>
      <w:r w:rsidRPr="0069403C">
        <w:rPr>
          <w:rFonts w:ascii="Times New Roman" w:hAnsi="Times New Roman" w:cs="Times New Roman"/>
          <w:color w:val="000000" w:themeColor="text1"/>
          <w:sz w:val="22"/>
          <w:szCs w:val="22"/>
          <w:lang w:val="es-CO"/>
        </w:rPr>
        <w:t>Gefflot</w:t>
      </w:r>
      <w:proofErr w:type="spellEnd"/>
      <w:r w:rsidRPr="0069403C">
        <w:rPr>
          <w:rFonts w:ascii="Times New Roman" w:hAnsi="Times New Roman" w:cs="Times New Roman"/>
          <w:color w:val="000000" w:themeColor="text1"/>
          <w:sz w:val="22"/>
          <w:szCs w:val="22"/>
          <w:lang w:val="es-CO"/>
        </w:rPr>
        <w:t xml:space="preserve">, and Beck 2000; </w:t>
      </w:r>
      <w:proofErr w:type="spellStart"/>
      <w:r w:rsidRPr="0069403C">
        <w:rPr>
          <w:rFonts w:ascii="Times New Roman" w:hAnsi="Times New Roman" w:cs="Times New Roman"/>
          <w:color w:val="000000" w:themeColor="text1"/>
          <w:sz w:val="22"/>
          <w:szCs w:val="22"/>
          <w:lang w:val="es-CO"/>
        </w:rPr>
        <w:t>Herroelen</w:t>
      </w:r>
      <w:proofErr w:type="spellEnd"/>
      <w:r w:rsidRPr="0069403C">
        <w:rPr>
          <w:rFonts w:ascii="Times New Roman" w:hAnsi="Times New Roman" w:cs="Times New Roman"/>
          <w:color w:val="000000" w:themeColor="text1"/>
          <w:sz w:val="22"/>
          <w:szCs w:val="22"/>
          <w:lang w:val="es-CO"/>
        </w:rPr>
        <w:t xml:space="preserve"> and Leus 2005; Artigues, </w:t>
      </w:r>
      <w:proofErr w:type="spellStart"/>
      <w:r w:rsidRPr="0069403C">
        <w:rPr>
          <w:rFonts w:ascii="Times New Roman" w:hAnsi="Times New Roman" w:cs="Times New Roman"/>
          <w:color w:val="000000" w:themeColor="text1"/>
          <w:sz w:val="22"/>
          <w:szCs w:val="22"/>
          <w:lang w:val="es-CO"/>
        </w:rPr>
        <w:t>Billaut</w:t>
      </w:r>
      <w:proofErr w:type="spellEnd"/>
      <w:r w:rsidRPr="0069403C">
        <w:rPr>
          <w:rFonts w:ascii="Times New Roman" w:hAnsi="Times New Roman" w:cs="Times New Roman"/>
          <w:color w:val="000000" w:themeColor="text1"/>
          <w:sz w:val="22"/>
          <w:szCs w:val="22"/>
          <w:lang w:val="es-CO"/>
        </w:rPr>
        <w:t>, and Esswein 2005). Esta tensión es el trasfondo conceptual del Estudio 1; su contribución es medirla, a nivel de paradigmas de solución completos, en el taller de trabajos dinámico, y el Estudio 2 pregunta si la misma tensión reaparece para un paradigma — políticas neuronales aprendidas, generalizables en tamaño — que esta literatura aún no había tenido ocasión de poner a prueba.</w:t>
      </w:r>
    </w:p>
    <w:p w14:paraId="07B87AB4"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La literatura de robustez es en gran medida interna al paradigma predictivo: compara un programa predictivo nominal frente a un programa predictivo </w:t>
      </w:r>
      <w:r w:rsidRPr="0069403C">
        <w:rPr>
          <w:rFonts w:ascii="Times New Roman" w:hAnsi="Times New Roman" w:cs="Times New Roman"/>
          <w:i/>
          <w:iCs/>
          <w:color w:val="000000" w:themeColor="text1"/>
          <w:sz w:val="22"/>
          <w:szCs w:val="22"/>
          <w:lang w:val="es-CO"/>
        </w:rPr>
        <w:t>protegido</w:t>
      </w:r>
      <w:r w:rsidRPr="0069403C">
        <w:rPr>
          <w:rFonts w:ascii="Times New Roman" w:hAnsi="Times New Roman" w:cs="Times New Roman"/>
          <w:color w:val="000000" w:themeColor="text1"/>
          <w:sz w:val="22"/>
          <w:szCs w:val="22"/>
          <w:lang w:val="es-CO"/>
        </w:rPr>
        <w:t xml:space="preserve">, ambos fuera de línea. La literatura de reglas de despacho, por el contrario, estudia las políticas en línea en gran medida de forma aislada. Lo que escasea es una comparación directa en la que un solucionador exacto y una metaheurística — ejecutados bajo una política de reparación realista — se coloquen frente al conjunto completo de reglas de despacho en línea bajo </w:t>
      </w:r>
      <w:r w:rsidRPr="0069403C">
        <w:rPr>
          <w:rFonts w:ascii="Times New Roman" w:hAnsi="Times New Roman" w:cs="Times New Roman"/>
          <w:i/>
          <w:iCs/>
          <w:color w:val="000000" w:themeColor="text1"/>
          <w:sz w:val="22"/>
          <w:szCs w:val="22"/>
          <w:lang w:val="es-CO"/>
        </w:rPr>
        <w:t>múltiples</w:t>
      </w:r>
      <w:r w:rsidRPr="0069403C">
        <w:rPr>
          <w:rFonts w:ascii="Times New Roman" w:hAnsi="Times New Roman" w:cs="Times New Roman"/>
          <w:color w:val="000000" w:themeColor="text1"/>
          <w:sz w:val="22"/>
          <w:szCs w:val="22"/>
          <w:lang w:val="es-CO"/>
        </w:rPr>
        <w:t xml:space="preserve"> clases de disrupción simultáneas, evaluada con un protocolo estadístico no paramétrico y reportada no solo en términos de degradación relativa sino en calidad realizada frente al óptimo certificado. La Tabla </w:t>
      </w:r>
      <w:hyperlink w:anchor="tab:gap1">
        <w:r w:rsidRPr="0069403C">
          <w:rPr>
            <w:rStyle w:val="Hipervnculo"/>
            <w:rFonts w:ascii="Times New Roman" w:hAnsi="Times New Roman" w:cs="Times New Roman"/>
            <w:color w:val="000000" w:themeColor="text1"/>
            <w:sz w:val="22"/>
            <w:szCs w:val="22"/>
            <w:lang w:val="es-CO"/>
          </w:rPr>
          <w:t>1</w:t>
        </w:r>
      </w:hyperlink>
      <w:r w:rsidRPr="0069403C">
        <w:rPr>
          <w:rFonts w:ascii="Times New Roman" w:hAnsi="Times New Roman" w:cs="Times New Roman"/>
          <w:color w:val="000000" w:themeColor="text1"/>
          <w:sz w:val="22"/>
          <w:szCs w:val="22"/>
          <w:lang w:val="es-CO"/>
        </w:rPr>
        <w:t xml:space="preserve"> resume la brecha que aborda el Estudio 1.</w:t>
      </w:r>
    </w:p>
    <w:p w14:paraId="4B47F9C6" w14:textId="77777777" w:rsidR="00E373E4" w:rsidRPr="0069403C" w:rsidRDefault="00000000" w:rsidP="0069403C">
      <w:pPr>
        <w:pStyle w:val="TableCaption"/>
        <w:rPr>
          <w:rFonts w:ascii="Times New Roman" w:hAnsi="Times New Roman" w:cs="Times New Roman"/>
          <w:color w:val="000000" w:themeColor="text1"/>
          <w:sz w:val="22"/>
          <w:szCs w:val="22"/>
          <w:lang w:val="es-CO"/>
        </w:rPr>
      </w:pPr>
      <w:bookmarkStart w:id="4" w:name="tab:gap1"/>
      <w:r w:rsidRPr="0069403C">
        <w:rPr>
          <w:rFonts w:ascii="Times New Roman" w:hAnsi="Times New Roman" w:cs="Times New Roman"/>
          <w:b/>
          <w:bCs/>
          <w:color w:val="000000" w:themeColor="text1"/>
          <w:sz w:val="22"/>
          <w:szCs w:val="22"/>
          <w:lang w:val="es-CO"/>
        </w:rPr>
        <w:lastRenderedPageBreak/>
        <w:t xml:space="preserve">Tabla 1: </w:t>
      </w:r>
      <w:r w:rsidRPr="0069403C">
        <w:rPr>
          <w:rFonts w:ascii="Times New Roman" w:hAnsi="Times New Roman" w:cs="Times New Roman"/>
          <w:color w:val="000000" w:themeColor="text1"/>
          <w:sz w:val="22"/>
          <w:szCs w:val="22"/>
          <w:lang w:val="es-CO"/>
        </w:rPr>
        <w:t>Estudio 1: posicionamiento respecto a las tres literaturas que conecta.</w:t>
      </w:r>
    </w:p>
    <w:tbl>
      <w:tblPr>
        <w:tblStyle w:val="Table"/>
        <w:tblW w:w="0" w:type="auto"/>
        <w:tblLook w:val="0020" w:firstRow="1" w:lastRow="0" w:firstColumn="0" w:lastColumn="0" w:noHBand="0" w:noVBand="0"/>
      </w:tblPr>
      <w:tblGrid>
        <w:gridCol w:w="2274"/>
        <w:gridCol w:w="3718"/>
        <w:gridCol w:w="3062"/>
      </w:tblGrid>
      <w:tr w:rsidR="00E373E4" w:rsidRPr="0069403C" w14:paraId="68CC6107" w14:textId="77777777" w:rsidTr="00E373E4">
        <w:trPr>
          <w:cnfStyle w:val="100000000000" w:firstRow="1" w:lastRow="0" w:firstColumn="0" w:lastColumn="0" w:oddVBand="0" w:evenVBand="0" w:oddHBand="0" w:evenHBand="0" w:firstRowFirstColumn="0" w:firstRowLastColumn="0" w:lastRowFirstColumn="0" w:lastRowLastColumn="0"/>
          <w:tblHeader/>
        </w:trPr>
        <w:tc>
          <w:tcPr>
            <w:tcW w:w="0" w:type="auto"/>
          </w:tcPr>
          <w:p w14:paraId="2345F09E" w14:textId="77777777" w:rsidR="00E373E4" w:rsidRPr="0069403C" w:rsidRDefault="00000000" w:rsidP="0069403C">
            <w:pPr>
              <w:pStyle w:val="Compact"/>
              <w:rPr>
                <w:rFonts w:ascii="Times New Roman" w:hAnsi="Times New Roman" w:cs="Times New Roman"/>
                <w:color w:val="000000" w:themeColor="text1"/>
                <w:sz w:val="22"/>
                <w:szCs w:val="22"/>
              </w:rPr>
            </w:pPr>
            <w:proofErr w:type="spellStart"/>
            <w:r w:rsidRPr="0069403C">
              <w:rPr>
                <w:rFonts w:ascii="Times New Roman" w:hAnsi="Times New Roman" w:cs="Times New Roman"/>
                <w:b/>
                <w:bCs/>
                <w:color w:val="000000" w:themeColor="text1"/>
                <w:sz w:val="22"/>
                <w:szCs w:val="22"/>
              </w:rPr>
              <w:t>Literatura</w:t>
            </w:r>
            <w:proofErr w:type="spellEnd"/>
          </w:p>
        </w:tc>
        <w:tc>
          <w:tcPr>
            <w:tcW w:w="0" w:type="auto"/>
          </w:tcPr>
          <w:p w14:paraId="4D2CAAB9"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Alcance típico</w:t>
            </w:r>
          </w:p>
        </w:tc>
        <w:tc>
          <w:tcPr>
            <w:tcW w:w="0" w:type="auto"/>
          </w:tcPr>
          <w:p w14:paraId="459E666E"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Qué falta aquí</w:t>
            </w:r>
          </w:p>
        </w:tc>
      </w:tr>
      <w:tr w:rsidR="00E373E4" w:rsidRPr="0069403C" w14:paraId="0E3A2369" w14:textId="77777777">
        <w:tc>
          <w:tcPr>
            <w:tcW w:w="0" w:type="auto"/>
          </w:tcPr>
          <w:p w14:paraId="03B325EF"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Comparaciones exacto vs. metaheurística vs. PDR</w:t>
            </w:r>
          </w:p>
        </w:tc>
        <w:tc>
          <w:tcPr>
            <w:tcW w:w="0" w:type="auto"/>
          </w:tcPr>
          <w:p w14:paraId="0AC2F3E1"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Calidad en punto de referencia determinista; el solucionador exacto es el techo por construcción</w:t>
            </w:r>
          </w:p>
        </w:tc>
        <w:tc>
          <w:tcPr>
            <w:tcW w:w="0" w:type="auto"/>
          </w:tcPr>
          <w:p w14:paraId="7412BF19"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Sin disrupción; solo orden nominal</w:t>
            </w:r>
          </w:p>
        </w:tc>
      </w:tr>
      <w:tr w:rsidR="00E373E4" w:rsidRPr="0069403C" w14:paraId="513AEA3C" w14:textId="77777777">
        <w:tc>
          <w:tcPr>
            <w:tcW w:w="0" w:type="auto"/>
          </w:tcPr>
          <w:p w14:paraId="676D3A66" w14:textId="77777777" w:rsidR="00E373E4" w:rsidRPr="0069403C" w:rsidRDefault="00000000" w:rsidP="0069403C">
            <w:pPr>
              <w:pStyle w:val="Compact"/>
              <w:rPr>
                <w:rFonts w:ascii="Times New Roman" w:hAnsi="Times New Roman" w:cs="Times New Roman"/>
                <w:color w:val="000000" w:themeColor="text1"/>
                <w:sz w:val="22"/>
                <w:szCs w:val="22"/>
              </w:rPr>
            </w:pPr>
            <w:proofErr w:type="spellStart"/>
            <w:r w:rsidRPr="0069403C">
              <w:rPr>
                <w:rFonts w:ascii="Times New Roman" w:hAnsi="Times New Roman" w:cs="Times New Roman"/>
                <w:color w:val="000000" w:themeColor="text1"/>
                <w:sz w:val="22"/>
                <w:szCs w:val="22"/>
              </w:rPr>
              <w:t>Programación</w:t>
            </w:r>
            <w:proofErr w:type="spellEnd"/>
            <w:r w:rsidRPr="0069403C">
              <w:rPr>
                <w:rFonts w:ascii="Times New Roman" w:hAnsi="Times New Roman" w:cs="Times New Roman"/>
                <w:color w:val="000000" w:themeColor="text1"/>
                <w:sz w:val="22"/>
                <w:szCs w:val="22"/>
              </w:rPr>
              <w:t xml:space="preserve"> robusta / </w:t>
            </w:r>
            <w:proofErr w:type="spellStart"/>
            <w:r w:rsidRPr="0069403C">
              <w:rPr>
                <w:rFonts w:ascii="Times New Roman" w:hAnsi="Times New Roman" w:cs="Times New Roman"/>
                <w:color w:val="000000" w:themeColor="text1"/>
                <w:sz w:val="22"/>
                <w:szCs w:val="22"/>
              </w:rPr>
              <w:t>predictivo</w:t>
            </w:r>
            <w:proofErr w:type="spellEnd"/>
            <w:r w:rsidRPr="0069403C">
              <w:rPr>
                <w:rFonts w:ascii="Times New Roman" w:hAnsi="Times New Roman" w:cs="Times New Roman"/>
                <w:color w:val="000000" w:themeColor="text1"/>
                <w:sz w:val="22"/>
                <w:szCs w:val="22"/>
              </w:rPr>
              <w:t>–</w:t>
            </w:r>
            <w:proofErr w:type="spellStart"/>
            <w:r w:rsidRPr="0069403C">
              <w:rPr>
                <w:rFonts w:ascii="Times New Roman" w:hAnsi="Times New Roman" w:cs="Times New Roman"/>
                <w:color w:val="000000" w:themeColor="text1"/>
                <w:sz w:val="22"/>
                <w:szCs w:val="22"/>
              </w:rPr>
              <w:t>reactiva</w:t>
            </w:r>
            <w:proofErr w:type="spellEnd"/>
          </w:p>
        </w:tc>
        <w:tc>
          <w:tcPr>
            <w:tcW w:w="0" w:type="auto"/>
          </w:tcPr>
          <w:p w14:paraId="6466514A"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Programa predictivo nominal vs. protegido por holgura, fuera de línea; una sola clase de disrupción</w:t>
            </w:r>
          </w:p>
        </w:tc>
        <w:tc>
          <w:tcPr>
            <w:tcW w:w="0" w:type="auto"/>
          </w:tcPr>
          <w:p w14:paraId="444975D9"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Rara vez compara contra reglas de despacho en línea como competidoras</w:t>
            </w:r>
          </w:p>
        </w:tc>
      </w:tr>
      <w:tr w:rsidR="00E373E4" w:rsidRPr="0069403C" w14:paraId="3379BD26" w14:textId="77777777">
        <w:tc>
          <w:tcPr>
            <w:tcW w:w="0" w:type="auto"/>
          </w:tcPr>
          <w:p w14:paraId="5C38E8EB"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Estudios de reglas de despacho</w:t>
            </w:r>
          </w:p>
        </w:tc>
        <w:tc>
          <w:tcPr>
            <w:tcW w:w="0" w:type="auto"/>
          </w:tcPr>
          <w:p w14:paraId="0E4C7982"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Reglas en línea comparadas entre sí, a menudo bajo una sola fuente de disrupción</w:t>
            </w:r>
          </w:p>
        </w:tc>
        <w:tc>
          <w:tcPr>
            <w:tcW w:w="0" w:type="auto"/>
          </w:tcPr>
          <w:p w14:paraId="26DE268D"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Rara vez comparadas contra programas exactos/metaheurísticos ejecutados</w:t>
            </w:r>
          </w:p>
        </w:tc>
      </w:tr>
      <w:tr w:rsidR="00E373E4" w:rsidRPr="0069403C" w14:paraId="32C1212B" w14:textId="77777777">
        <w:tc>
          <w:tcPr>
            <w:tcW w:w="0" w:type="auto"/>
          </w:tcPr>
          <w:p w14:paraId="605A310C" w14:textId="77777777" w:rsidR="00E373E4" w:rsidRPr="0069403C" w:rsidRDefault="00000000" w:rsidP="0069403C">
            <w:pPr>
              <w:pStyle w:val="Compact"/>
              <w:rPr>
                <w:rFonts w:ascii="Times New Roman" w:hAnsi="Times New Roman" w:cs="Times New Roman"/>
                <w:color w:val="000000" w:themeColor="text1"/>
                <w:sz w:val="22"/>
                <w:szCs w:val="22"/>
              </w:rPr>
            </w:pPr>
            <w:proofErr w:type="spellStart"/>
            <w:r w:rsidRPr="0069403C">
              <w:rPr>
                <w:rFonts w:ascii="Times New Roman" w:hAnsi="Times New Roman" w:cs="Times New Roman"/>
                <w:b/>
                <w:bCs/>
                <w:color w:val="000000" w:themeColor="text1"/>
                <w:sz w:val="22"/>
                <w:szCs w:val="22"/>
              </w:rPr>
              <w:t>Estudio</w:t>
            </w:r>
            <w:proofErr w:type="spellEnd"/>
            <w:r w:rsidRPr="0069403C">
              <w:rPr>
                <w:rFonts w:ascii="Times New Roman" w:hAnsi="Times New Roman" w:cs="Times New Roman"/>
                <w:b/>
                <w:bCs/>
                <w:color w:val="000000" w:themeColor="text1"/>
                <w:sz w:val="22"/>
                <w:szCs w:val="22"/>
              </w:rPr>
              <w:t xml:space="preserve"> 1 (</w:t>
            </w:r>
            <w:proofErr w:type="spellStart"/>
            <w:r w:rsidRPr="0069403C">
              <w:rPr>
                <w:rFonts w:ascii="Times New Roman" w:hAnsi="Times New Roman" w:cs="Times New Roman"/>
                <w:b/>
                <w:bCs/>
                <w:color w:val="000000" w:themeColor="text1"/>
                <w:sz w:val="22"/>
                <w:szCs w:val="22"/>
              </w:rPr>
              <w:t>este</w:t>
            </w:r>
            <w:proofErr w:type="spellEnd"/>
            <w:r w:rsidRPr="0069403C">
              <w:rPr>
                <w:rFonts w:ascii="Times New Roman" w:hAnsi="Times New Roman" w:cs="Times New Roman"/>
                <w:b/>
                <w:bCs/>
                <w:color w:val="000000" w:themeColor="text1"/>
                <w:sz w:val="22"/>
                <w:szCs w:val="22"/>
              </w:rPr>
              <w:t xml:space="preserve"> </w:t>
            </w:r>
            <w:proofErr w:type="spellStart"/>
            <w:r w:rsidRPr="0069403C">
              <w:rPr>
                <w:rFonts w:ascii="Times New Roman" w:hAnsi="Times New Roman" w:cs="Times New Roman"/>
                <w:b/>
                <w:bCs/>
                <w:color w:val="000000" w:themeColor="text1"/>
                <w:sz w:val="22"/>
                <w:szCs w:val="22"/>
              </w:rPr>
              <w:t>artículo</w:t>
            </w:r>
            <w:proofErr w:type="spellEnd"/>
            <w:r w:rsidRPr="0069403C">
              <w:rPr>
                <w:rFonts w:ascii="Times New Roman" w:hAnsi="Times New Roman" w:cs="Times New Roman"/>
                <w:b/>
                <w:bCs/>
                <w:color w:val="000000" w:themeColor="text1"/>
                <w:sz w:val="22"/>
                <w:szCs w:val="22"/>
              </w:rPr>
              <w:t>)</w:t>
            </w:r>
          </w:p>
        </w:tc>
        <w:tc>
          <w:tcPr>
            <w:tcW w:w="0" w:type="auto"/>
          </w:tcPr>
          <w:p w14:paraId="7F1875D1"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Exacto, GA y 9 PDR en un entorno predictivo–reactivo común; 3 clases de disrupción </w:t>
            </w:r>
            <m:oMath>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3 severidades; calidad realizada + índice de robustez; Wilcoxon / Friedman–Nemenyi</w:t>
            </w:r>
          </w:p>
        </w:tc>
        <w:tc>
          <w:tcPr>
            <w:tcW w:w="0" w:type="auto"/>
          </w:tcPr>
          <w:p w14:paraId="686CD8AC"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w:t>
            </w:r>
          </w:p>
        </w:tc>
      </w:tr>
    </w:tbl>
    <w:p w14:paraId="36222A91"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5" w:name="sec:drlreview"/>
      <w:bookmarkEnd w:id="3"/>
      <w:bookmarkEnd w:id="4"/>
      <w:r w:rsidRPr="0069403C">
        <w:rPr>
          <w:rFonts w:ascii="Times New Roman" w:hAnsi="Times New Roman" w:cs="Times New Roman"/>
          <w:color w:val="000000" w:themeColor="text1"/>
          <w:sz w:val="22"/>
          <w:szCs w:val="22"/>
          <w:lang w:val="es-CO"/>
        </w:rPr>
        <w:t>Aprendizaje por refuerzo profundo y redes neuronales de grafos para la programación de taller de trabajos</w:t>
      </w:r>
    </w:p>
    <w:p w14:paraId="57C7BC24"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El paradigma de resolver problemas combinatorios mediante políticas aprendidas, en lugar de heurísticas diseñadas a mano o búsqueda exacta, se origina fuera de la programación propiamente dicha, con redes de punteros secuencia-a-secuencia para el problema del vendedor viajero (</w:t>
      </w:r>
      <w:proofErr w:type="spellStart"/>
      <w:r w:rsidRPr="0069403C">
        <w:rPr>
          <w:rFonts w:ascii="Times New Roman" w:hAnsi="Times New Roman" w:cs="Times New Roman"/>
          <w:color w:val="000000" w:themeColor="text1"/>
          <w:sz w:val="22"/>
          <w:szCs w:val="22"/>
          <w:lang w:val="es-CO"/>
        </w:rPr>
        <w:t>Vinyals</w:t>
      </w:r>
      <w:proofErr w:type="spellEnd"/>
      <w:r w:rsidRPr="0069403C">
        <w:rPr>
          <w:rFonts w:ascii="Times New Roman" w:hAnsi="Times New Roman" w:cs="Times New Roman"/>
          <w:color w:val="000000" w:themeColor="text1"/>
          <w:sz w:val="22"/>
          <w:szCs w:val="22"/>
          <w:lang w:val="es-CO"/>
        </w:rPr>
        <w:t>, Fortunato, and Jaitly 2015) y heurísticas de construcción basadas en atención entrenadas con gradientes de política (Kool, Hoof, and Welling 2019; Kwon et al. 2020). La aplicación fundacional a la programación de taller de trabajos es el L2D de C. Zhang et al. (2020), que combina una representación de grafo disyuntivo con un codificador GIN (</w:t>
      </w:r>
      <w:proofErr w:type="spellStart"/>
      <w:r w:rsidRPr="0069403C">
        <w:rPr>
          <w:rFonts w:ascii="Times New Roman" w:hAnsi="Times New Roman" w:cs="Times New Roman"/>
          <w:color w:val="000000" w:themeColor="text1"/>
          <w:sz w:val="22"/>
          <w:szCs w:val="22"/>
          <w:lang w:val="es-CO"/>
        </w:rPr>
        <w:t>Xu</w:t>
      </w:r>
      <w:proofErr w:type="spellEnd"/>
      <w:r w:rsidRPr="0069403C">
        <w:rPr>
          <w:rFonts w:ascii="Times New Roman" w:hAnsi="Times New Roman" w:cs="Times New Roman"/>
          <w:color w:val="000000" w:themeColor="text1"/>
          <w:sz w:val="22"/>
          <w:szCs w:val="22"/>
          <w:lang w:val="es-CO"/>
        </w:rPr>
        <w:t xml:space="preserve"> et al. 2019) y una política PPO que decide, en cada época de decisión, qué operación despachar. L2D reporta brechas de optimalidad de 13.6–29.2% frente a OR-Tools en instancias generadas y de </w:t>
      </w:r>
      <w:proofErr w:type="spellStart"/>
      <w:r w:rsidRPr="0069403C">
        <w:rPr>
          <w:rFonts w:ascii="Times New Roman" w:hAnsi="Times New Roman" w:cs="Times New Roman"/>
          <w:color w:val="000000" w:themeColor="text1"/>
          <w:sz w:val="22"/>
          <w:szCs w:val="22"/>
          <w:lang w:val="es-CO"/>
        </w:rPr>
        <w:t>Taillard</w:t>
      </w:r>
      <w:proofErr w:type="spellEnd"/>
      <w:r w:rsidRPr="0069403C">
        <w:rPr>
          <w:rFonts w:ascii="Times New Roman" w:hAnsi="Times New Roman" w:cs="Times New Roman"/>
          <w:color w:val="000000" w:themeColor="text1"/>
          <w:sz w:val="22"/>
          <w:szCs w:val="22"/>
          <w:lang w:val="es-CO"/>
        </w:rPr>
        <w:t xml:space="preserve"> (</w:t>
      </w:r>
      <w:proofErr w:type="spellStart"/>
      <w:r w:rsidRPr="0069403C">
        <w:rPr>
          <w:rFonts w:ascii="Times New Roman" w:hAnsi="Times New Roman" w:cs="Times New Roman"/>
          <w:color w:val="000000" w:themeColor="text1"/>
          <w:sz w:val="22"/>
          <w:szCs w:val="22"/>
          <w:lang w:val="es-CO"/>
        </w:rPr>
        <w:t>Taillard</w:t>
      </w:r>
      <w:proofErr w:type="spellEnd"/>
      <w:r w:rsidRPr="0069403C">
        <w:rPr>
          <w:rFonts w:ascii="Times New Roman" w:hAnsi="Times New Roman" w:cs="Times New Roman"/>
          <w:color w:val="000000" w:themeColor="text1"/>
          <w:sz w:val="22"/>
          <w:szCs w:val="22"/>
          <w:lang w:val="es-CO"/>
        </w:rPr>
        <w:t xml:space="preserve"> 1993), superando a las reglas de despacho clásicas en 87.5–92% de las instancias evaluadas, y — de manera crítica para el Estudio 2 — demuestra generalización de tamaño fuera de distribución: una política entrenada en instancias de </w:t>
      </w:r>
      <m:oMath>
        <m:r>
          <w:rPr>
            <w:rFonts w:ascii="Cambria Math" w:hAnsi="Cambria Math" w:cs="Times New Roman"/>
            <w:color w:val="000000" w:themeColor="text1"/>
            <w:sz w:val="22"/>
            <w:szCs w:val="22"/>
            <w:lang w:val="es-CO"/>
          </w:rPr>
          <m:t>20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20</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30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20</m:t>
        </m:r>
      </m:oMath>
      <w:r w:rsidRPr="0069403C">
        <w:rPr>
          <w:rFonts w:ascii="Times New Roman" w:hAnsi="Times New Roman" w:cs="Times New Roman"/>
          <w:color w:val="000000" w:themeColor="text1"/>
          <w:sz w:val="22"/>
          <w:szCs w:val="22"/>
          <w:lang w:val="es-CO"/>
        </w:rPr>
        <w:t xml:space="preserve"> conserva una brecha de 9.4% cuando se evalúa sin reentrenamiento (zero-shot) en instancias de </w:t>
      </w:r>
      <m:oMath>
        <m:r>
          <w:rPr>
            <w:rFonts w:ascii="Cambria Math" w:hAnsi="Cambria Math" w:cs="Times New Roman"/>
            <w:color w:val="000000" w:themeColor="text1"/>
            <w:sz w:val="22"/>
            <w:szCs w:val="22"/>
            <w:lang w:val="es-CO"/>
          </w:rPr>
          <m:t>100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20</m:t>
        </m:r>
      </m:oMath>
      <w:r w:rsidRPr="0069403C">
        <w:rPr>
          <w:rFonts w:ascii="Times New Roman" w:hAnsi="Times New Roman" w:cs="Times New Roman"/>
          <w:color w:val="000000" w:themeColor="text1"/>
          <w:sz w:val="22"/>
          <w:szCs w:val="22"/>
          <w:lang w:val="es-CO"/>
        </w:rPr>
        <w:t>, muy por debajo de la brecha de 33.7–54.9% de la mejor regla de despacho en ese tamaño. Park et al. (2021) formalizan de manera independiente un enfoque similar de aprendizaje conjunto de representación y política. Ambos trabajos se restringen al JSSP estático y determinista.</w:t>
      </w:r>
    </w:p>
    <w:p w14:paraId="24898526"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Extender este paradigma al FJSP requiere representar dos tipos de entidades distintas — operaciones y máquinas — con relaciones distintas entre ellas. Song et al. (2023) proponen un grafo heterogéneo aumentado con nodos de máquina explícitos, procesado mediante capas de atención heterogéneas, combinado con una política PPO; </w:t>
      </w:r>
      <w:proofErr w:type="spellStart"/>
      <w:r w:rsidRPr="0069403C">
        <w:rPr>
          <w:rFonts w:ascii="Times New Roman" w:hAnsi="Times New Roman" w:cs="Times New Roman"/>
          <w:color w:val="000000" w:themeColor="text1"/>
          <w:sz w:val="22"/>
          <w:szCs w:val="22"/>
          <w:lang w:val="es-CO"/>
        </w:rPr>
        <w:t>Lei</w:t>
      </w:r>
      <w:proofErr w:type="spellEnd"/>
      <w:r w:rsidRPr="0069403C">
        <w:rPr>
          <w:rFonts w:ascii="Times New Roman" w:hAnsi="Times New Roman" w:cs="Times New Roman"/>
          <w:color w:val="000000" w:themeColor="text1"/>
          <w:sz w:val="22"/>
          <w:szCs w:val="22"/>
          <w:lang w:val="es-CO"/>
        </w:rPr>
        <w:t xml:space="preserve"> et al. (2022) proponen un esquema de </w:t>
      </w:r>
      <w:proofErr w:type="spellStart"/>
      <w:r w:rsidRPr="0069403C">
        <w:rPr>
          <w:rFonts w:ascii="Times New Roman" w:hAnsi="Times New Roman" w:cs="Times New Roman"/>
          <w:color w:val="000000" w:themeColor="text1"/>
          <w:sz w:val="22"/>
          <w:szCs w:val="22"/>
          <w:lang w:val="es-CO"/>
        </w:rPr>
        <w:t>multi-acción</w:t>
      </w:r>
      <w:proofErr w:type="spellEnd"/>
      <w:r w:rsidRPr="0069403C">
        <w:rPr>
          <w:rFonts w:ascii="Times New Roman" w:hAnsi="Times New Roman" w:cs="Times New Roman"/>
          <w:color w:val="000000" w:themeColor="text1"/>
          <w:sz w:val="22"/>
          <w:szCs w:val="22"/>
          <w:lang w:val="es-CO"/>
        </w:rPr>
        <w:t xml:space="preserve"> con doble PPO sobre una codificación de grafo disyuntivo, evaluado en el punto de referencia de Brandimarte (Brandimarte 1993). Este período también produjo infraestructura de código abierto — entornos compatibles con </w:t>
      </w:r>
      <w:proofErr w:type="spellStart"/>
      <w:r w:rsidRPr="0069403C">
        <w:rPr>
          <w:rFonts w:ascii="Times New Roman" w:hAnsi="Times New Roman" w:cs="Times New Roman"/>
          <w:color w:val="000000" w:themeColor="text1"/>
          <w:sz w:val="22"/>
          <w:szCs w:val="22"/>
          <w:lang w:val="es-CO"/>
        </w:rPr>
        <w:t>Gymnasium</w:t>
      </w:r>
      <w:proofErr w:type="spellEnd"/>
      <w:r w:rsidRPr="0069403C">
        <w:rPr>
          <w:rFonts w:ascii="Times New Roman" w:hAnsi="Times New Roman" w:cs="Times New Roman"/>
          <w:color w:val="000000" w:themeColor="text1"/>
          <w:sz w:val="22"/>
          <w:szCs w:val="22"/>
          <w:lang w:val="es-CO"/>
        </w:rPr>
        <w:t xml:space="preserve"> (</w:t>
      </w:r>
      <w:proofErr w:type="spellStart"/>
      <w:r w:rsidRPr="0069403C">
        <w:rPr>
          <w:rFonts w:ascii="Times New Roman" w:hAnsi="Times New Roman" w:cs="Times New Roman"/>
          <w:color w:val="000000" w:themeColor="text1"/>
          <w:sz w:val="22"/>
          <w:szCs w:val="22"/>
          <w:lang w:val="es-CO"/>
        </w:rPr>
        <w:t>Tassel</w:t>
      </w:r>
      <w:proofErr w:type="spellEnd"/>
      <w:r w:rsidRPr="0069403C">
        <w:rPr>
          <w:rFonts w:ascii="Times New Roman" w:hAnsi="Times New Roman" w:cs="Times New Roman"/>
          <w:color w:val="000000" w:themeColor="text1"/>
          <w:sz w:val="22"/>
          <w:szCs w:val="22"/>
          <w:lang w:val="es-CO"/>
        </w:rPr>
        <w:t xml:space="preserve">, Gebser, and </w:t>
      </w:r>
      <w:proofErr w:type="spellStart"/>
      <w:r w:rsidRPr="0069403C">
        <w:rPr>
          <w:rFonts w:ascii="Times New Roman" w:hAnsi="Times New Roman" w:cs="Times New Roman"/>
          <w:color w:val="000000" w:themeColor="text1"/>
          <w:sz w:val="22"/>
          <w:szCs w:val="22"/>
          <w:lang w:val="es-CO"/>
        </w:rPr>
        <w:t>Schekotihin</w:t>
      </w:r>
      <w:proofErr w:type="spellEnd"/>
      <w:r w:rsidRPr="0069403C">
        <w:rPr>
          <w:rFonts w:ascii="Times New Roman" w:hAnsi="Times New Roman" w:cs="Times New Roman"/>
          <w:color w:val="000000" w:themeColor="text1"/>
          <w:sz w:val="22"/>
          <w:szCs w:val="22"/>
          <w:lang w:val="es-CO"/>
        </w:rPr>
        <w:t xml:space="preserve"> 2021), marcos de experimentación reutilizables (</w:t>
      </w:r>
      <w:proofErr w:type="spellStart"/>
      <w:r w:rsidRPr="0069403C">
        <w:rPr>
          <w:rFonts w:ascii="Times New Roman" w:hAnsi="Times New Roman" w:cs="Times New Roman"/>
          <w:color w:val="000000" w:themeColor="text1"/>
          <w:sz w:val="22"/>
          <w:szCs w:val="22"/>
          <w:lang w:val="es-CO"/>
        </w:rPr>
        <w:t>Waubert</w:t>
      </w:r>
      <w:proofErr w:type="spellEnd"/>
      <w:r w:rsidRPr="0069403C">
        <w:rPr>
          <w:rFonts w:ascii="Times New Roman" w:hAnsi="Times New Roman" w:cs="Times New Roman"/>
          <w:color w:val="000000" w:themeColor="text1"/>
          <w:sz w:val="22"/>
          <w:szCs w:val="22"/>
          <w:lang w:val="es-CO"/>
        </w:rPr>
        <w:t xml:space="preserve"> de </w:t>
      </w:r>
      <w:proofErr w:type="spellStart"/>
      <w:r w:rsidRPr="0069403C">
        <w:rPr>
          <w:rFonts w:ascii="Times New Roman" w:hAnsi="Times New Roman" w:cs="Times New Roman"/>
          <w:color w:val="000000" w:themeColor="text1"/>
          <w:sz w:val="22"/>
          <w:szCs w:val="22"/>
          <w:lang w:val="es-CO"/>
        </w:rPr>
        <w:t>Puiseau</w:t>
      </w:r>
      <w:proofErr w:type="spellEnd"/>
      <w:r w:rsidRPr="0069403C">
        <w:rPr>
          <w:rFonts w:ascii="Times New Roman" w:hAnsi="Times New Roman" w:cs="Times New Roman"/>
          <w:color w:val="000000" w:themeColor="text1"/>
          <w:sz w:val="22"/>
          <w:szCs w:val="22"/>
          <w:lang w:val="es-CO"/>
        </w:rPr>
        <w:t xml:space="preserve"> et al. 2023) y puntos de referencia unificados (</w:t>
      </w:r>
      <w:proofErr w:type="spellStart"/>
      <w:r w:rsidRPr="0069403C">
        <w:rPr>
          <w:rFonts w:ascii="Times New Roman" w:hAnsi="Times New Roman" w:cs="Times New Roman"/>
          <w:color w:val="000000" w:themeColor="text1"/>
          <w:sz w:val="22"/>
          <w:szCs w:val="22"/>
          <w:lang w:val="es-CO"/>
        </w:rPr>
        <w:t>Reijnen</w:t>
      </w:r>
      <w:proofErr w:type="spellEnd"/>
      <w:r w:rsidRPr="0069403C">
        <w:rPr>
          <w:rFonts w:ascii="Times New Roman" w:hAnsi="Times New Roman" w:cs="Times New Roman"/>
          <w:color w:val="000000" w:themeColor="text1"/>
          <w:sz w:val="22"/>
          <w:szCs w:val="22"/>
          <w:lang w:val="es-CO"/>
        </w:rPr>
        <w:t xml:space="preserve"> et al. 2023) — que hace tratable la reproducción y extensión independientes de esta línea de trabajo fuera de laboratorios dedicados, incluyendo la infraestructura (pipeline) que sustenta el Estudio 2.</w:t>
      </w:r>
    </w:p>
    <w:p w14:paraId="4AC5D500"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lastRenderedPageBreak/>
        <w:t>La base teórica de la generalización de tamaño en las políticas basadas en GNN descansa en la invariancia a la permutación y en un número de parámetros independiente del tamaño de la instancia: un esquema de paso de mensajes suficientemente expresivo distingue estructuras de grafo hasta el límite de la prueba de Weisfeiler–Lehman, y un codificador GIN alcanza esa cota (</w:t>
      </w:r>
      <w:proofErr w:type="spellStart"/>
      <w:r w:rsidRPr="0069403C">
        <w:rPr>
          <w:rFonts w:ascii="Times New Roman" w:hAnsi="Times New Roman" w:cs="Times New Roman"/>
          <w:color w:val="000000" w:themeColor="text1"/>
          <w:sz w:val="22"/>
          <w:szCs w:val="22"/>
          <w:lang w:val="es-CO"/>
        </w:rPr>
        <w:t>Xu</w:t>
      </w:r>
      <w:proofErr w:type="spellEnd"/>
      <w:r w:rsidRPr="0069403C">
        <w:rPr>
          <w:rFonts w:ascii="Times New Roman" w:hAnsi="Times New Roman" w:cs="Times New Roman"/>
          <w:color w:val="000000" w:themeColor="text1"/>
          <w:sz w:val="22"/>
          <w:szCs w:val="22"/>
          <w:lang w:val="es-CO"/>
        </w:rPr>
        <w:t xml:space="preserve"> et al. 2019); arquitecturas de paso de mensajes relacionadas incluyen las redes convolucionales de grafos (Kipf and Welling 2017), </w:t>
      </w:r>
      <w:proofErr w:type="spellStart"/>
      <w:r w:rsidRPr="0069403C">
        <w:rPr>
          <w:rFonts w:ascii="Times New Roman" w:hAnsi="Times New Roman" w:cs="Times New Roman"/>
          <w:color w:val="000000" w:themeColor="text1"/>
          <w:sz w:val="22"/>
          <w:szCs w:val="22"/>
          <w:lang w:val="es-CO"/>
        </w:rPr>
        <w:t>GraphSAGE</w:t>
      </w:r>
      <w:proofErr w:type="spellEnd"/>
      <w:r w:rsidRPr="0069403C">
        <w:rPr>
          <w:rFonts w:ascii="Times New Roman" w:hAnsi="Times New Roman" w:cs="Times New Roman"/>
          <w:color w:val="000000" w:themeColor="text1"/>
          <w:sz w:val="22"/>
          <w:szCs w:val="22"/>
          <w:lang w:val="es-CO"/>
        </w:rPr>
        <w:t xml:space="preserve"> (Hamilton, Ying, and Leskovec 2017) y las redes de atención de grafos (Veličković et al. 2018). La revisión de Smit et al. (2024) sobre aplicaciones de GNN a la programación de taller de trabajos y taller de trabajos flexible ofrece el mapa taxonómico más actual de este espacio de diseño. Arquitectónicamente, la literatura abarca un espectro y no una elección binaria: en un extremo, el grafo completamente homogéneo de L2D agrega cada tipo de arista con un único conjunto de pesos; en el otro, el diseño completamente heterogéneo y basado en atención de Song et al. (2023) asigna transformaciones distintas a cada tipo de nodo y de arista. Una tercera postura, muy reciente, desafía directamente el supuesto casi universal de 2022–2024 de que la heterogeneidad es una precondición para la escalabilidad: Hoss, Link, and Klarmann (2026) proponen una homogeneización basada en características que reporta complejidad lineal en instancias de escala industrial sin sacrificar el desempeño — un debate directamente relevante para la elección arquitectónica del Estudio 2 (Sección </w:t>
      </w:r>
      <w:hyperlink w:anchor="sec:architecture">
        <w:r w:rsidRPr="0069403C">
          <w:rPr>
            <w:rStyle w:val="Hipervnculo"/>
            <w:rFonts w:ascii="Times New Roman" w:hAnsi="Times New Roman" w:cs="Times New Roman"/>
            <w:color w:val="000000" w:themeColor="text1"/>
            <w:sz w:val="22"/>
            <w:szCs w:val="22"/>
            <w:lang w:val="es-CO"/>
          </w:rPr>
          <w:t>5.1</w:t>
        </w:r>
      </w:hyperlink>
      <w:r w:rsidRPr="0069403C">
        <w:rPr>
          <w:rFonts w:ascii="Times New Roman" w:hAnsi="Times New Roman" w:cs="Times New Roman"/>
          <w:color w:val="000000" w:themeColor="text1"/>
          <w:sz w:val="22"/>
          <w:szCs w:val="22"/>
          <w:lang w:val="es-CO"/>
        </w:rPr>
        <w:t>).</w:t>
      </w:r>
    </w:p>
    <w:p w14:paraId="228944CE"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En el eje específico de generalización bajo incertidumbre, el SPM-DAN de Smit et al. (2025) extiende una arquitectura heterogénea de red de atención profunda con un módulo de procesamiento de escenarios que agrega múltiples realizaciones muestreadas de tiempos de proceso estocásticos; entrenado en instancias de </w:t>
      </w:r>
      <m:oMath>
        <m:r>
          <w:rPr>
            <w:rFonts w:ascii="Cambria Math" w:hAnsi="Cambria Math" w:cs="Times New Roman"/>
            <w:color w:val="000000" w:themeColor="text1"/>
            <w:sz w:val="22"/>
            <w:szCs w:val="22"/>
            <w:lang w:val="es-CO"/>
          </w:rPr>
          <m:t>20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oMath>
      <w:r w:rsidRPr="0069403C">
        <w:rPr>
          <w:rFonts w:ascii="Times New Roman" w:hAnsi="Times New Roman" w:cs="Times New Roman"/>
          <w:color w:val="000000" w:themeColor="text1"/>
          <w:sz w:val="22"/>
          <w:szCs w:val="22"/>
          <w:lang w:val="es-CO"/>
        </w:rPr>
        <w:t xml:space="preserve">, mantiene una brecha de </w:t>
      </w:r>
      <m:oMath>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7.10</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a </w:t>
      </w:r>
      <m:oMath>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7.07</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frente a CP-SAT al transferirse, sin reentrenamiento, a instancias de </w:t>
      </w:r>
      <m:oMath>
        <m:r>
          <w:rPr>
            <w:rFonts w:ascii="Cambria Math" w:hAnsi="Cambria Math" w:cs="Times New Roman"/>
            <w:color w:val="000000" w:themeColor="text1"/>
            <w:sz w:val="22"/>
            <w:szCs w:val="22"/>
            <w:lang w:val="es-CO"/>
          </w:rPr>
          <m:t>30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40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oMath>
      <w:r w:rsidRPr="0069403C">
        <w:rPr>
          <w:rFonts w:ascii="Times New Roman" w:hAnsi="Times New Roman" w:cs="Times New Roman"/>
          <w:color w:val="000000" w:themeColor="text1"/>
          <w:sz w:val="22"/>
          <w:szCs w:val="22"/>
          <w:lang w:val="es-CO"/>
        </w:rPr>
        <w:t xml:space="preserve"> — un resultado de generalización absoluta marcadamente más fuerte que el que reporta el Estudio 2 (Sección </w:t>
      </w:r>
      <w:hyperlink w:anchor="sec:h2">
        <w:r w:rsidRPr="0069403C">
          <w:rPr>
            <w:rStyle w:val="Hipervnculo"/>
            <w:rFonts w:ascii="Times New Roman" w:hAnsi="Times New Roman" w:cs="Times New Roman"/>
            <w:color w:val="000000" w:themeColor="text1"/>
            <w:sz w:val="22"/>
            <w:szCs w:val="22"/>
            <w:lang w:val="es-CO"/>
          </w:rPr>
          <w:t>6.2</w:t>
        </w:r>
      </w:hyperlink>
      <w:r w:rsidRPr="0069403C">
        <w:rPr>
          <w:rFonts w:ascii="Times New Roman" w:hAnsi="Times New Roman" w:cs="Times New Roman"/>
          <w:color w:val="000000" w:themeColor="text1"/>
          <w:sz w:val="22"/>
          <w:szCs w:val="22"/>
          <w:lang w:val="es-CO"/>
        </w:rPr>
        <w:t xml:space="preserve">), obtenido bajo una sola fuente de incertidumbre con una arquitectura construida específicamente para ella. El Wheatley de Infantes et al. (2024) apunta de manera similar a la generalización y la escalabilidad para el JSSP con duraciones inciertas, minimizando el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esperado en lugar del determinista. Ninguno de los dos trabajos aborda múltiples tipos de disrupción simultáneos.</w:t>
      </w:r>
    </w:p>
    <w:p w14:paraId="07216A95"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6" w:name="sec:drlrobustlit"/>
      <w:bookmarkEnd w:id="5"/>
      <w:r w:rsidRPr="0069403C">
        <w:rPr>
          <w:rFonts w:ascii="Times New Roman" w:hAnsi="Times New Roman" w:cs="Times New Roman"/>
          <w:color w:val="000000" w:themeColor="text1"/>
          <w:sz w:val="22"/>
          <w:szCs w:val="22"/>
          <w:lang w:val="es-CO"/>
        </w:rPr>
        <w:t>Robustez ante la disrupción en la programación dinámica y estocástica con DRL</w:t>
      </w:r>
    </w:p>
    <w:p w14:paraId="28027E24"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El trabajo sobre programación dinámica con aprendizaje por refuerzo puede organizarse según cómo entra la incertidumbre en el proceso de decisión de Markov: esquemas </w:t>
      </w:r>
      <w:r w:rsidRPr="0069403C">
        <w:rPr>
          <w:rFonts w:ascii="Times New Roman" w:hAnsi="Times New Roman" w:cs="Times New Roman"/>
          <w:i/>
          <w:iCs/>
          <w:color w:val="000000" w:themeColor="text1"/>
          <w:sz w:val="22"/>
          <w:szCs w:val="22"/>
          <w:lang w:val="es-CO"/>
        </w:rPr>
        <w:t>puramente reactivos</w:t>
      </w:r>
      <w:r w:rsidRPr="0069403C">
        <w:rPr>
          <w:rFonts w:ascii="Times New Roman" w:hAnsi="Times New Roman" w:cs="Times New Roman"/>
          <w:color w:val="000000" w:themeColor="text1"/>
          <w:sz w:val="22"/>
          <w:szCs w:val="22"/>
          <w:lang w:val="es-CO"/>
        </w:rPr>
        <w:t xml:space="preserve">, donde el agente simplemente vuelve a decidir en cada nueva época sin ningún mecanismo explícito de anticipación; esquemas </w:t>
      </w:r>
      <w:r w:rsidRPr="0069403C">
        <w:rPr>
          <w:rFonts w:ascii="Times New Roman" w:hAnsi="Times New Roman" w:cs="Times New Roman"/>
          <w:i/>
          <w:iCs/>
          <w:color w:val="000000" w:themeColor="text1"/>
          <w:sz w:val="22"/>
          <w:szCs w:val="22"/>
          <w:lang w:val="es-CO"/>
        </w:rPr>
        <w:t>conscientes del riesgo</w:t>
      </w:r>
      <w:r w:rsidRPr="0069403C">
        <w:rPr>
          <w:rFonts w:ascii="Times New Roman" w:hAnsi="Times New Roman" w:cs="Times New Roman"/>
          <w:color w:val="000000" w:themeColor="text1"/>
          <w:sz w:val="22"/>
          <w:szCs w:val="22"/>
          <w:lang w:val="es-CO"/>
        </w:rPr>
        <w:t xml:space="preserve">, donde el objetivo de entrenamiento incorpora una medida de cola de la distribución del resultado en lugar de solo la esperanza; y esquemas </w:t>
      </w:r>
      <w:r w:rsidRPr="0069403C">
        <w:rPr>
          <w:rFonts w:ascii="Times New Roman" w:hAnsi="Times New Roman" w:cs="Times New Roman"/>
          <w:i/>
          <w:iCs/>
          <w:color w:val="000000" w:themeColor="text1"/>
          <w:sz w:val="22"/>
          <w:szCs w:val="22"/>
          <w:lang w:val="es-CO"/>
        </w:rPr>
        <w:t>anticipatorios</w:t>
      </w:r>
      <w:r w:rsidRPr="0069403C">
        <w:rPr>
          <w:rFonts w:ascii="Times New Roman" w:hAnsi="Times New Roman" w:cs="Times New Roman"/>
          <w:color w:val="000000" w:themeColor="text1"/>
          <w:sz w:val="22"/>
          <w:szCs w:val="22"/>
          <w:lang w:val="es-CO"/>
        </w:rPr>
        <w:t xml:space="preserve">, donde el agente recibe información distribucional explícita sobre eventos futuros. Lassoued, Lier, and </w:t>
      </w:r>
      <w:proofErr w:type="spellStart"/>
      <w:r w:rsidRPr="0069403C">
        <w:rPr>
          <w:rFonts w:ascii="Times New Roman" w:hAnsi="Times New Roman" w:cs="Times New Roman"/>
          <w:color w:val="000000" w:themeColor="text1"/>
          <w:sz w:val="22"/>
          <w:szCs w:val="22"/>
          <w:lang w:val="es-CO"/>
        </w:rPr>
        <w:t>Schwung</w:t>
      </w:r>
      <w:proofErr w:type="spellEnd"/>
      <w:r w:rsidRPr="0069403C">
        <w:rPr>
          <w:rFonts w:ascii="Times New Roman" w:hAnsi="Times New Roman" w:cs="Times New Roman"/>
          <w:color w:val="000000" w:themeColor="text1"/>
          <w:sz w:val="22"/>
          <w:szCs w:val="22"/>
          <w:lang w:val="es-CO"/>
        </w:rPr>
        <w:t xml:space="preserve"> (2026) combinan averías de máquina (tiempo hasta el fallo de Weibull) y llegadas dinámicas (proceso Gamma) sobre una representación de red de Petri coloreada y temporizada con una política PPO enmascarable — sin codificador de grafos, sin experimento de transferencia de tamaño — reportando una mejora de 1.1–3% sobre la mejor heurística bajo averías solas y de hasta 8% bajo el régimen combinado. Esta es, hasta donde tiene conocimiento este artículo, la demostración previa más cercana de que un método de gradiente de política puede superar a las reglas de despacho bajo disrupción de múltiples tipos cuando la robustez es el único objetivo de entrenamiento, sin verse limitado por un presupuesto compartido de generalización de tamaño — un contraste al que vuelve la Sección </w:t>
      </w:r>
      <w:hyperlink w:anchor="sec:discussion">
        <w:r w:rsidRPr="0069403C">
          <w:rPr>
            <w:rStyle w:val="Hipervnculo"/>
            <w:rFonts w:ascii="Times New Roman" w:hAnsi="Times New Roman" w:cs="Times New Roman"/>
            <w:color w:val="000000" w:themeColor="text1"/>
            <w:sz w:val="22"/>
            <w:szCs w:val="22"/>
            <w:lang w:val="es-CO"/>
          </w:rPr>
          <w:t>8</w:t>
        </w:r>
      </w:hyperlink>
      <w:r w:rsidRPr="0069403C">
        <w:rPr>
          <w:rFonts w:ascii="Times New Roman" w:hAnsi="Times New Roman" w:cs="Times New Roman"/>
          <w:color w:val="000000" w:themeColor="text1"/>
          <w:sz w:val="22"/>
          <w:szCs w:val="22"/>
          <w:lang w:val="es-CO"/>
        </w:rPr>
        <w:t xml:space="preserve">. En cuanto al diseño de recompensa específicamente, L. Zhang et al. (2024) proponen un esquema heterogéneo </w:t>
      </w:r>
      <w:proofErr w:type="spellStart"/>
      <w:r w:rsidRPr="0069403C">
        <w:rPr>
          <w:rFonts w:ascii="Times New Roman" w:hAnsi="Times New Roman" w:cs="Times New Roman"/>
          <w:color w:val="000000" w:themeColor="text1"/>
          <w:sz w:val="22"/>
          <w:szCs w:val="22"/>
          <w:lang w:val="es-CO"/>
        </w:rPr>
        <w:t>multiagente</w:t>
      </w:r>
      <w:proofErr w:type="spellEnd"/>
      <w:r w:rsidRPr="0069403C">
        <w:rPr>
          <w:rFonts w:ascii="Times New Roman" w:hAnsi="Times New Roman" w:cs="Times New Roman"/>
          <w:color w:val="000000" w:themeColor="text1"/>
          <w:sz w:val="22"/>
          <w:szCs w:val="22"/>
          <w:lang w:val="es-CO"/>
        </w:rPr>
        <w:t xml:space="preserve"> D3QN con diseño de recompensa consciente de la disrupción para el FJSP dinámico bajo tiempos de transporte estocásticos — el precedente más cercano al mecanismo de penalización por inestabilidad evaluado en la Sección </w:t>
      </w:r>
      <w:hyperlink w:anchor="sec:reward">
        <w:r w:rsidRPr="0069403C">
          <w:rPr>
            <w:rStyle w:val="Hipervnculo"/>
            <w:rFonts w:ascii="Times New Roman" w:hAnsi="Times New Roman" w:cs="Times New Roman"/>
            <w:color w:val="000000" w:themeColor="text1"/>
            <w:sz w:val="22"/>
            <w:szCs w:val="22"/>
            <w:lang w:val="es-CO"/>
          </w:rPr>
          <w:t>5.2</w:t>
        </w:r>
      </w:hyperlink>
      <w:r w:rsidRPr="0069403C">
        <w:rPr>
          <w:rFonts w:ascii="Times New Roman" w:hAnsi="Times New Roman" w:cs="Times New Roman"/>
          <w:color w:val="000000" w:themeColor="text1"/>
          <w:sz w:val="22"/>
          <w:szCs w:val="22"/>
          <w:lang w:val="es-CO"/>
        </w:rPr>
        <w:t xml:space="preserve"> — pero diseñado y evaluado para un solo tipo de disrupción en una arquitectura que no es GNN ni de gradiente de política.</w:t>
      </w:r>
    </w:p>
    <w:p w14:paraId="02AE04C5"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lastRenderedPageBreak/>
        <w:t xml:space="preserve">Un patrón se repite a lo largo de esta literatura: la gran mayoría de los trabajos técnicos aíslan un solo eje de incertidumbre por diseño experimental, incluso cuando la arquitectura subyacente podría plausiblemente soportar más de uno. Un cuerpo de trabajo de 2025–2026, metodológicamente distinto y en rápido crecimiento, aplica modelos de lenguaje de gran escala (LLM) </w:t>
      </w:r>
      <w:proofErr w:type="spellStart"/>
      <w:r w:rsidRPr="0069403C">
        <w:rPr>
          <w:rFonts w:ascii="Times New Roman" w:hAnsi="Times New Roman" w:cs="Times New Roman"/>
          <w:color w:val="000000" w:themeColor="text1"/>
          <w:sz w:val="22"/>
          <w:szCs w:val="22"/>
          <w:lang w:val="es-CO"/>
        </w:rPr>
        <w:t>preentrenados</w:t>
      </w:r>
      <w:proofErr w:type="spellEnd"/>
      <w:r w:rsidRPr="0069403C">
        <w:rPr>
          <w:rFonts w:ascii="Times New Roman" w:hAnsi="Times New Roman" w:cs="Times New Roman"/>
          <w:color w:val="000000" w:themeColor="text1"/>
          <w:sz w:val="22"/>
          <w:szCs w:val="22"/>
          <w:lang w:val="es-CO"/>
        </w:rPr>
        <w:t xml:space="preserve">, guiados por </w:t>
      </w:r>
      <w:proofErr w:type="spellStart"/>
      <w:r w:rsidRPr="0069403C">
        <w:rPr>
          <w:rFonts w:ascii="Times New Roman" w:hAnsi="Times New Roman" w:cs="Times New Roman"/>
          <w:color w:val="000000" w:themeColor="text1"/>
          <w:sz w:val="22"/>
          <w:szCs w:val="22"/>
          <w:lang w:val="es-CO"/>
        </w:rPr>
        <w:t>prompting</w:t>
      </w:r>
      <w:proofErr w:type="spellEnd"/>
      <w:r w:rsidRPr="0069403C">
        <w:rPr>
          <w:rFonts w:ascii="Times New Roman" w:hAnsi="Times New Roman" w:cs="Times New Roman"/>
          <w:color w:val="000000" w:themeColor="text1"/>
          <w:sz w:val="22"/>
          <w:szCs w:val="22"/>
          <w:lang w:val="es-CO"/>
        </w:rPr>
        <w:t xml:space="preserve"> o por ajuste fino supervisado, directamente a las decisiones de programación en lugar de entrenar una política de parámetros fijos mediante gradiente de recompensa (Abgaryan, Cazenave, and Harutyunyan 2025; Cao and Yuan 2025); estos agentes heredan la generalización del preentrenamiento de lenguaje a gran escala en lugar de la invariancia arquitectónica, y se tratan aquí como un punto de contraste discursivo más que como un competidor metodológico directo, dado que la política evaluada en el Estudio 2 es un modelo GNN–PPO entrenado, de parámetros fijos.</w:t>
      </w:r>
    </w:p>
    <w:p w14:paraId="68F9BD4D"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7" w:name="sec:gap"/>
      <w:bookmarkEnd w:id="6"/>
      <w:r w:rsidRPr="0069403C">
        <w:rPr>
          <w:rFonts w:ascii="Times New Roman" w:hAnsi="Times New Roman" w:cs="Times New Roman"/>
          <w:color w:val="000000" w:themeColor="text1"/>
          <w:sz w:val="22"/>
          <w:szCs w:val="22"/>
          <w:lang w:val="es-CO"/>
        </w:rPr>
        <w:t>Brecha de investigación e hipótesis</w:t>
      </w:r>
    </w:p>
    <w:p w14:paraId="4FE0149B"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 Tabla </w:t>
      </w:r>
      <w:hyperlink w:anchor="tab:gap2">
        <w:r w:rsidRPr="0069403C">
          <w:rPr>
            <w:rStyle w:val="Hipervnculo"/>
            <w:rFonts w:ascii="Times New Roman" w:hAnsi="Times New Roman" w:cs="Times New Roman"/>
            <w:color w:val="000000" w:themeColor="text1"/>
            <w:sz w:val="22"/>
            <w:szCs w:val="22"/>
            <w:lang w:val="es-CO"/>
          </w:rPr>
          <w:t>2</w:t>
        </w:r>
      </w:hyperlink>
      <w:r w:rsidRPr="0069403C">
        <w:rPr>
          <w:rFonts w:ascii="Times New Roman" w:hAnsi="Times New Roman" w:cs="Times New Roman"/>
          <w:color w:val="000000" w:themeColor="text1"/>
          <w:sz w:val="22"/>
          <w:szCs w:val="22"/>
          <w:lang w:val="es-CO"/>
        </w:rPr>
        <w:t xml:space="preserve"> sintetiza la brecha combinada que aborda este artículo, extraída de la literatura de paradigmas clásicos (Secciones </w:t>
      </w:r>
      <w:hyperlink w:anchor="sec:threeparadigms">
        <w:r w:rsidRPr="0069403C">
          <w:rPr>
            <w:rStyle w:val="Hipervnculo"/>
            <w:rFonts w:ascii="Times New Roman" w:hAnsi="Times New Roman" w:cs="Times New Roman"/>
            <w:color w:val="000000" w:themeColor="text1"/>
            <w:sz w:val="22"/>
            <w:szCs w:val="22"/>
            <w:lang w:val="es-CO"/>
          </w:rPr>
          <w:t>2.1</w:t>
        </w:r>
      </w:hyperlink>
      <w:r w:rsidRPr="0069403C">
        <w:rPr>
          <w:rFonts w:ascii="Times New Roman" w:hAnsi="Times New Roman" w:cs="Times New Roman"/>
          <w:color w:val="000000" w:themeColor="text1"/>
          <w:sz w:val="22"/>
          <w:szCs w:val="22"/>
          <w:lang w:val="es-CO"/>
        </w:rPr>
        <w:t>–</w:t>
      </w:r>
      <w:hyperlink w:anchor="sec:robustlit">
        <w:r w:rsidRPr="0069403C">
          <w:rPr>
            <w:rStyle w:val="Hipervnculo"/>
            <w:rFonts w:ascii="Times New Roman" w:hAnsi="Times New Roman" w:cs="Times New Roman"/>
            <w:color w:val="000000" w:themeColor="text1"/>
            <w:sz w:val="22"/>
            <w:szCs w:val="22"/>
            <w:lang w:val="es-CO"/>
          </w:rPr>
          <w:t>2.2</w:t>
        </w:r>
      </w:hyperlink>
      <w:r w:rsidRPr="0069403C">
        <w:rPr>
          <w:rFonts w:ascii="Times New Roman" w:hAnsi="Times New Roman" w:cs="Times New Roman"/>
          <w:color w:val="000000" w:themeColor="text1"/>
          <w:sz w:val="22"/>
          <w:szCs w:val="22"/>
          <w:lang w:val="es-CO"/>
        </w:rPr>
        <w:t>) y de una búsqueda sistemática de la literatura de programación con DRL de 2015–2026 (</w:t>
      </w:r>
      <w:proofErr w:type="spellStart"/>
      <w:r w:rsidRPr="0069403C">
        <w:rPr>
          <w:rFonts w:ascii="Times New Roman" w:hAnsi="Times New Roman" w:cs="Times New Roman"/>
          <w:color w:val="000000" w:themeColor="text1"/>
          <w:sz w:val="22"/>
          <w:szCs w:val="22"/>
          <w:lang w:val="es-CO"/>
        </w:rPr>
        <w:t>arXiv</w:t>
      </w:r>
      <w:proofErr w:type="spellEnd"/>
      <w:r w:rsidRPr="0069403C">
        <w:rPr>
          <w:rFonts w:ascii="Times New Roman" w:hAnsi="Times New Roman" w:cs="Times New Roman"/>
          <w:color w:val="000000" w:themeColor="text1"/>
          <w:sz w:val="22"/>
          <w:szCs w:val="22"/>
          <w:lang w:val="es-CO"/>
        </w:rPr>
        <w:t xml:space="preserve">, </w:t>
      </w:r>
      <w:proofErr w:type="spellStart"/>
      <w:r w:rsidRPr="0069403C">
        <w:rPr>
          <w:rFonts w:ascii="Times New Roman" w:hAnsi="Times New Roman" w:cs="Times New Roman"/>
          <w:color w:val="000000" w:themeColor="text1"/>
          <w:sz w:val="22"/>
          <w:szCs w:val="22"/>
          <w:lang w:val="es-CO"/>
        </w:rPr>
        <w:t>Semantic</w:t>
      </w:r>
      <w:proofErr w:type="spellEnd"/>
      <w:r w:rsidRPr="0069403C">
        <w:rPr>
          <w:rFonts w:ascii="Times New Roman" w:hAnsi="Times New Roman" w:cs="Times New Roman"/>
          <w:color w:val="000000" w:themeColor="text1"/>
          <w:sz w:val="22"/>
          <w:szCs w:val="22"/>
          <w:lang w:val="es-CO"/>
        </w:rPr>
        <w:t xml:space="preserve"> Scholar, DBLP e índices de editoriales de acceso abierto) utilizando cuatro cadenas de búsqueda que combinan términos de aprendizaje por refuerzo, redes neuronales de grafos, taller de trabajos/taller de trabajos flexible, y dinámico/estocástico/disrupción.</w:t>
      </w:r>
    </w:p>
    <w:p w14:paraId="628362C9" w14:textId="77777777" w:rsidR="00E373E4" w:rsidRPr="0069403C" w:rsidRDefault="00000000" w:rsidP="0069403C">
      <w:pPr>
        <w:pStyle w:val="TableCaption"/>
        <w:rPr>
          <w:rFonts w:ascii="Times New Roman" w:hAnsi="Times New Roman" w:cs="Times New Roman"/>
          <w:color w:val="000000" w:themeColor="text1"/>
          <w:sz w:val="22"/>
          <w:szCs w:val="22"/>
          <w:lang w:val="es-CO"/>
        </w:rPr>
      </w:pPr>
      <w:bookmarkStart w:id="8" w:name="tab:gap2"/>
      <w:r w:rsidRPr="0069403C">
        <w:rPr>
          <w:rFonts w:ascii="Times New Roman" w:hAnsi="Times New Roman" w:cs="Times New Roman"/>
          <w:b/>
          <w:bCs/>
          <w:color w:val="000000" w:themeColor="text1"/>
          <w:sz w:val="22"/>
          <w:szCs w:val="22"/>
          <w:lang w:val="es-CO"/>
        </w:rPr>
        <w:t xml:space="preserve">Tabla 2: </w:t>
      </w:r>
      <w:r w:rsidRPr="0069403C">
        <w:rPr>
          <w:rFonts w:ascii="Times New Roman" w:hAnsi="Times New Roman" w:cs="Times New Roman"/>
          <w:color w:val="000000" w:themeColor="text1"/>
          <w:sz w:val="22"/>
          <w:szCs w:val="22"/>
          <w:lang w:val="es-CO"/>
        </w:rPr>
        <w:t>Síntesis de la brecha de investigación combinada a través de ambos estudios.</w:t>
      </w:r>
    </w:p>
    <w:tbl>
      <w:tblPr>
        <w:tblStyle w:val="Table"/>
        <w:tblW w:w="0" w:type="auto"/>
        <w:tblLook w:val="0020" w:firstRow="1" w:lastRow="0" w:firstColumn="0" w:lastColumn="0" w:noHBand="0" w:noVBand="0"/>
      </w:tblPr>
      <w:tblGrid>
        <w:gridCol w:w="3339"/>
        <w:gridCol w:w="3839"/>
        <w:gridCol w:w="1876"/>
      </w:tblGrid>
      <w:tr w:rsidR="00E373E4" w:rsidRPr="0069403C" w14:paraId="3AFE061F" w14:textId="77777777" w:rsidTr="00E373E4">
        <w:trPr>
          <w:cnfStyle w:val="100000000000" w:firstRow="1" w:lastRow="0" w:firstColumn="0" w:lastColumn="0" w:oddVBand="0" w:evenVBand="0" w:oddHBand="0" w:evenHBand="0" w:firstRowFirstColumn="0" w:firstRowLastColumn="0" w:lastRowFirstColumn="0" w:lastRowLastColumn="0"/>
          <w:tblHeader/>
        </w:trPr>
        <w:tc>
          <w:tcPr>
            <w:tcW w:w="0" w:type="auto"/>
          </w:tcPr>
          <w:p w14:paraId="6571A91C"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 xml:space="preserve">Brecha </w:t>
            </w:r>
            <w:proofErr w:type="spellStart"/>
            <w:r w:rsidRPr="0069403C">
              <w:rPr>
                <w:rFonts w:ascii="Times New Roman" w:hAnsi="Times New Roman" w:cs="Times New Roman"/>
                <w:b/>
                <w:bCs/>
                <w:color w:val="000000" w:themeColor="text1"/>
                <w:sz w:val="22"/>
                <w:szCs w:val="22"/>
              </w:rPr>
              <w:t>identificada</w:t>
            </w:r>
            <w:proofErr w:type="spellEnd"/>
          </w:p>
        </w:tc>
        <w:tc>
          <w:tcPr>
            <w:tcW w:w="0" w:type="auto"/>
          </w:tcPr>
          <w:p w14:paraId="54718D2F"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Evidencia representativa</w:t>
            </w:r>
          </w:p>
        </w:tc>
        <w:tc>
          <w:tcPr>
            <w:tcW w:w="0" w:type="auto"/>
          </w:tcPr>
          <w:p w14:paraId="23422123"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Abordada por</w:t>
            </w:r>
          </w:p>
        </w:tc>
      </w:tr>
      <w:tr w:rsidR="00E373E4" w:rsidRPr="0069403C" w14:paraId="77C2BB9C" w14:textId="77777777">
        <w:tc>
          <w:tcPr>
            <w:tcW w:w="0" w:type="auto"/>
          </w:tcPr>
          <w:p w14:paraId="3E3D94E6"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Comparación de robustez a nivel de paradigma que abarque métodos exactos, metaheurísticos </w:t>
            </w:r>
            <w:r w:rsidRPr="0069403C">
              <w:rPr>
                <w:rFonts w:ascii="Times New Roman" w:hAnsi="Times New Roman" w:cs="Times New Roman"/>
                <w:i/>
                <w:iCs/>
                <w:color w:val="000000" w:themeColor="text1"/>
                <w:sz w:val="22"/>
                <w:szCs w:val="22"/>
                <w:lang w:val="es-CO"/>
              </w:rPr>
              <w:t>y</w:t>
            </w:r>
            <w:r w:rsidRPr="0069403C">
              <w:rPr>
                <w:rFonts w:ascii="Times New Roman" w:hAnsi="Times New Roman" w:cs="Times New Roman"/>
                <w:color w:val="000000" w:themeColor="text1"/>
                <w:sz w:val="22"/>
                <w:szCs w:val="22"/>
                <w:lang w:val="es-CO"/>
              </w:rPr>
              <w:t xml:space="preserve"> basados en reglas bajo múltiples clases de disrupción simultáneas</w:t>
            </w:r>
          </w:p>
        </w:tc>
        <w:tc>
          <w:tcPr>
            <w:tcW w:w="0" w:type="auto"/>
          </w:tcPr>
          <w:p w14:paraId="5B8619E3"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Los estudios de robustez son internos al paradigma predictivo; los estudios de reglas de despacho rara vez comparan contra programas exactos/metaheurísticos ejecutados (Tabla </w:t>
            </w:r>
            <w:hyperlink w:anchor="tab:gap1">
              <w:r w:rsidRPr="0069403C">
                <w:rPr>
                  <w:rStyle w:val="Hipervnculo"/>
                  <w:rFonts w:ascii="Times New Roman" w:hAnsi="Times New Roman" w:cs="Times New Roman"/>
                  <w:color w:val="000000" w:themeColor="text1"/>
                  <w:sz w:val="22"/>
                  <w:szCs w:val="22"/>
                  <w:lang w:val="es-CO"/>
                </w:rPr>
                <w:t>1</w:t>
              </w:r>
            </w:hyperlink>
            <w:r w:rsidRPr="0069403C">
              <w:rPr>
                <w:rFonts w:ascii="Times New Roman" w:hAnsi="Times New Roman" w:cs="Times New Roman"/>
                <w:color w:val="000000" w:themeColor="text1"/>
                <w:sz w:val="22"/>
                <w:szCs w:val="22"/>
                <w:lang w:val="es-CO"/>
              </w:rPr>
              <w:t>)</w:t>
            </w:r>
          </w:p>
        </w:tc>
        <w:tc>
          <w:tcPr>
            <w:tcW w:w="0" w:type="auto"/>
          </w:tcPr>
          <w:p w14:paraId="429C0D9B"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Estudio 1, Sección </w:t>
            </w:r>
            <w:hyperlink w:anchor="sec:s1results">
              <w:r w:rsidRPr="0069403C">
                <w:rPr>
                  <w:rStyle w:val="Hipervnculo"/>
                  <w:rFonts w:ascii="Times New Roman" w:hAnsi="Times New Roman" w:cs="Times New Roman"/>
                  <w:color w:val="000000" w:themeColor="text1"/>
                  <w:sz w:val="22"/>
                  <w:szCs w:val="22"/>
                </w:rPr>
                <w:t>4</w:t>
              </w:r>
            </w:hyperlink>
          </w:p>
        </w:tc>
      </w:tr>
      <w:tr w:rsidR="00E373E4" w:rsidRPr="0069403C" w14:paraId="7FA3385F" w14:textId="77777777">
        <w:tc>
          <w:tcPr>
            <w:tcW w:w="0" w:type="auto"/>
          </w:tcPr>
          <w:p w14:paraId="04A45ABE"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Prueba conjunta de generalización de tamaño </w:t>
            </w:r>
            <w:r w:rsidRPr="0069403C">
              <w:rPr>
                <w:rFonts w:ascii="Times New Roman" w:hAnsi="Times New Roman" w:cs="Times New Roman"/>
                <w:i/>
                <w:iCs/>
                <w:color w:val="000000" w:themeColor="text1"/>
                <w:sz w:val="22"/>
                <w:szCs w:val="22"/>
                <w:lang w:val="es-CO"/>
              </w:rPr>
              <w:t>y</w:t>
            </w:r>
            <w:r w:rsidRPr="0069403C">
              <w:rPr>
                <w:rFonts w:ascii="Times New Roman" w:hAnsi="Times New Roman" w:cs="Times New Roman"/>
                <w:color w:val="000000" w:themeColor="text1"/>
                <w:sz w:val="22"/>
                <w:szCs w:val="22"/>
                <w:lang w:val="es-CO"/>
              </w:rPr>
              <w:t xml:space="preserve"> robustez ante múltiples disrupciones para una política aprendida</w:t>
            </w:r>
          </w:p>
        </w:tc>
        <w:tc>
          <w:tcPr>
            <w:tcW w:w="0" w:type="auto"/>
          </w:tcPr>
          <w:p w14:paraId="3039E34C"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Smit et al. (2025) e Infantes et al. (2024) generalizan en tamaño bajo una sola fuente de incertidumbre; Lassoued, Lier, and </w:t>
            </w:r>
            <w:proofErr w:type="spellStart"/>
            <w:r w:rsidRPr="0069403C">
              <w:rPr>
                <w:rFonts w:ascii="Times New Roman" w:hAnsi="Times New Roman" w:cs="Times New Roman"/>
                <w:color w:val="000000" w:themeColor="text1"/>
                <w:sz w:val="22"/>
                <w:szCs w:val="22"/>
                <w:lang w:val="es-CO"/>
              </w:rPr>
              <w:t>Schwung</w:t>
            </w:r>
            <w:proofErr w:type="spellEnd"/>
            <w:r w:rsidRPr="0069403C">
              <w:rPr>
                <w:rFonts w:ascii="Times New Roman" w:hAnsi="Times New Roman" w:cs="Times New Roman"/>
                <w:color w:val="000000" w:themeColor="text1"/>
                <w:sz w:val="22"/>
                <w:szCs w:val="22"/>
                <w:lang w:val="es-CO"/>
              </w:rPr>
              <w:t xml:space="preserve"> (2026) combinan dos tipos de disrupción sin prueba de transferencia de tamaño y sin codificador de grafos</w:t>
            </w:r>
          </w:p>
        </w:tc>
        <w:tc>
          <w:tcPr>
            <w:tcW w:w="0" w:type="auto"/>
          </w:tcPr>
          <w:p w14:paraId="37D19DE5"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Estudio 2, H2 + H3/H4 conjuntamente (Sección </w:t>
            </w:r>
            <w:hyperlink w:anchor="sec:s2results">
              <w:r w:rsidRPr="0069403C">
                <w:rPr>
                  <w:rStyle w:val="Hipervnculo"/>
                  <w:rFonts w:ascii="Times New Roman" w:hAnsi="Times New Roman" w:cs="Times New Roman"/>
                  <w:color w:val="000000" w:themeColor="text1"/>
                  <w:sz w:val="22"/>
                  <w:szCs w:val="22"/>
                  <w:lang w:val="es-CO"/>
                </w:rPr>
                <w:t>6</w:t>
              </w:r>
            </w:hyperlink>
            <w:r w:rsidRPr="0069403C">
              <w:rPr>
                <w:rFonts w:ascii="Times New Roman" w:hAnsi="Times New Roman" w:cs="Times New Roman"/>
                <w:color w:val="000000" w:themeColor="text1"/>
                <w:sz w:val="22"/>
                <w:szCs w:val="22"/>
                <w:lang w:val="es-CO"/>
              </w:rPr>
              <w:t>)</w:t>
            </w:r>
          </w:p>
        </w:tc>
      </w:tr>
      <w:tr w:rsidR="00E373E4" w:rsidRPr="0069403C" w14:paraId="43F1CCA2" w14:textId="77777777">
        <w:tc>
          <w:tcPr>
            <w:tcW w:w="0" w:type="auto"/>
          </w:tcPr>
          <w:p w14:paraId="33B6A114"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Si la fragilidad de una política aprendida ante la disrupción es el mismo fenómeno documentado para los métodos exactos/metaheurísticos, o uno distinto</w:t>
            </w:r>
          </w:p>
        </w:tc>
        <w:tc>
          <w:tcPr>
            <w:tcW w:w="0" w:type="auto"/>
          </w:tcPr>
          <w:p w14:paraId="004E4CD1"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No probado previamente: las literaturas de paradigmas clásicos y de programación con DRL no se citan entre sí sobre esta pregunta</w:t>
            </w:r>
          </w:p>
        </w:tc>
        <w:tc>
          <w:tcPr>
            <w:tcW w:w="0" w:type="auto"/>
          </w:tcPr>
          <w:p w14:paraId="56E5AB84"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Sección </w:t>
            </w:r>
            <w:hyperlink w:anchor="sec:synthesis">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xml:space="preserve"> (la síntesis transversal a los paradigmas de este artículo)</w:t>
            </w:r>
          </w:p>
        </w:tc>
      </w:tr>
      <w:tr w:rsidR="00E373E4" w:rsidRPr="0069403C" w14:paraId="74A574A8" w14:textId="77777777">
        <w:tc>
          <w:tcPr>
            <w:tcW w:w="0" w:type="auto"/>
          </w:tcPr>
          <w:p w14:paraId="2E44375F"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Protocolo estadístico no paramétrico con </w:t>
            </w:r>
            <w:proofErr w:type="spellStart"/>
            <w:r w:rsidRPr="0069403C">
              <w:rPr>
                <w:rFonts w:ascii="Times New Roman" w:hAnsi="Times New Roman" w:cs="Times New Roman"/>
                <w:color w:val="000000" w:themeColor="text1"/>
                <w:sz w:val="22"/>
                <w:szCs w:val="22"/>
                <w:lang w:val="es-CO"/>
              </w:rPr>
              <w:t>pre-registro</w:t>
            </w:r>
            <w:proofErr w:type="spellEnd"/>
            <w:r w:rsidRPr="0069403C">
              <w:rPr>
                <w:rFonts w:ascii="Times New Roman" w:hAnsi="Times New Roman" w:cs="Times New Roman"/>
                <w:color w:val="000000" w:themeColor="text1"/>
                <w:sz w:val="22"/>
                <w:szCs w:val="22"/>
                <w:lang w:val="es-CO"/>
              </w:rPr>
              <w:t>, tamaños de efecto y diagramas de diferencia crítica, aplicado de manera consistente entre paradigmas</w:t>
            </w:r>
          </w:p>
        </w:tc>
        <w:tc>
          <w:tcPr>
            <w:tcW w:w="0" w:type="auto"/>
          </w:tcPr>
          <w:p w14:paraId="0A0D0D29"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No es común en ninguna de las dos literaturas revisadas; no se identificó aquí ningún trabajo de programación con DRL de 2024–2026 que </w:t>
            </w:r>
            <w:proofErr w:type="spellStart"/>
            <w:r w:rsidRPr="0069403C">
              <w:rPr>
                <w:rFonts w:ascii="Times New Roman" w:hAnsi="Times New Roman" w:cs="Times New Roman"/>
                <w:color w:val="000000" w:themeColor="text1"/>
                <w:sz w:val="22"/>
                <w:szCs w:val="22"/>
                <w:lang w:val="es-CO"/>
              </w:rPr>
              <w:t>pre-registre</w:t>
            </w:r>
            <w:proofErr w:type="spellEnd"/>
            <w:r w:rsidRPr="0069403C">
              <w:rPr>
                <w:rFonts w:ascii="Times New Roman" w:hAnsi="Times New Roman" w:cs="Times New Roman"/>
                <w:color w:val="000000" w:themeColor="text1"/>
                <w:sz w:val="22"/>
                <w:szCs w:val="22"/>
                <w:lang w:val="es-CO"/>
              </w:rPr>
              <w:t xml:space="preserve"> hipótesis</w:t>
            </w:r>
          </w:p>
        </w:tc>
        <w:tc>
          <w:tcPr>
            <w:tcW w:w="0" w:type="auto"/>
          </w:tcPr>
          <w:p w14:paraId="31BE829C"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 xml:space="preserve">Ambos </w:t>
            </w:r>
            <w:proofErr w:type="spellStart"/>
            <w:r w:rsidRPr="0069403C">
              <w:rPr>
                <w:rFonts w:ascii="Times New Roman" w:hAnsi="Times New Roman" w:cs="Times New Roman"/>
                <w:color w:val="000000" w:themeColor="text1"/>
                <w:sz w:val="22"/>
                <w:szCs w:val="22"/>
              </w:rPr>
              <w:t>estudios</w:t>
            </w:r>
            <w:proofErr w:type="spellEnd"/>
            <w:r w:rsidRPr="0069403C">
              <w:rPr>
                <w:rFonts w:ascii="Times New Roman" w:hAnsi="Times New Roman" w:cs="Times New Roman"/>
                <w:color w:val="000000" w:themeColor="text1"/>
                <w:sz w:val="22"/>
                <w:szCs w:val="22"/>
              </w:rPr>
              <w:t xml:space="preserve"> (</w:t>
            </w:r>
            <w:proofErr w:type="spellStart"/>
            <w:r w:rsidRPr="0069403C">
              <w:rPr>
                <w:rFonts w:ascii="Times New Roman" w:hAnsi="Times New Roman" w:cs="Times New Roman"/>
                <w:color w:val="000000" w:themeColor="text1"/>
                <w:sz w:val="22"/>
                <w:szCs w:val="22"/>
              </w:rPr>
              <w:t>Secciones</w:t>
            </w:r>
            <w:proofErr w:type="spellEnd"/>
            <w:r w:rsidRPr="0069403C">
              <w:rPr>
                <w:rFonts w:ascii="Times New Roman" w:hAnsi="Times New Roman" w:cs="Times New Roman"/>
                <w:color w:val="000000" w:themeColor="text1"/>
                <w:sz w:val="22"/>
                <w:szCs w:val="22"/>
              </w:rPr>
              <w:t> </w:t>
            </w:r>
            <w:hyperlink w:anchor="sec:s1methods">
              <w:r w:rsidRPr="0069403C">
                <w:rPr>
                  <w:rStyle w:val="Hipervnculo"/>
                  <w:rFonts w:ascii="Times New Roman" w:hAnsi="Times New Roman" w:cs="Times New Roman"/>
                  <w:color w:val="000000" w:themeColor="text1"/>
                  <w:sz w:val="22"/>
                  <w:szCs w:val="22"/>
                </w:rPr>
                <w:t>3</w:t>
              </w:r>
            </w:hyperlink>
            <w:r w:rsidRPr="0069403C">
              <w:rPr>
                <w:rFonts w:ascii="Times New Roman" w:hAnsi="Times New Roman" w:cs="Times New Roman"/>
                <w:color w:val="000000" w:themeColor="text1"/>
                <w:sz w:val="22"/>
                <w:szCs w:val="22"/>
              </w:rPr>
              <w:t xml:space="preserve">, </w:t>
            </w:r>
            <w:hyperlink w:anchor="sec:prereg">
              <w:r w:rsidRPr="0069403C">
                <w:rPr>
                  <w:rStyle w:val="Hipervnculo"/>
                  <w:rFonts w:ascii="Times New Roman" w:hAnsi="Times New Roman" w:cs="Times New Roman"/>
                  <w:color w:val="000000" w:themeColor="text1"/>
                  <w:sz w:val="22"/>
                  <w:szCs w:val="22"/>
                </w:rPr>
                <w:t>5.5</w:t>
              </w:r>
            </w:hyperlink>
            <w:r w:rsidRPr="0069403C">
              <w:rPr>
                <w:rFonts w:ascii="Times New Roman" w:hAnsi="Times New Roman" w:cs="Times New Roman"/>
                <w:color w:val="000000" w:themeColor="text1"/>
                <w:sz w:val="22"/>
                <w:szCs w:val="22"/>
              </w:rPr>
              <w:t>)</w:t>
            </w:r>
          </w:p>
        </w:tc>
      </w:tr>
    </w:tbl>
    <w:bookmarkEnd w:id="8"/>
    <w:p w14:paraId="0A795702"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Guiado por esta brecha, el Estudio 1 pone a prueba, de manera exploratoria pero estadística, si la calidad nominal de los paradigmas clásicos predice la calidad realizada y la robustez bajo disrupción; el Estudio 2 entonces </w:t>
      </w:r>
      <w:proofErr w:type="spellStart"/>
      <w:r w:rsidRPr="0069403C">
        <w:rPr>
          <w:rFonts w:ascii="Times New Roman" w:hAnsi="Times New Roman" w:cs="Times New Roman"/>
          <w:color w:val="000000" w:themeColor="text1"/>
          <w:sz w:val="22"/>
          <w:szCs w:val="22"/>
          <w:lang w:val="es-CO"/>
        </w:rPr>
        <w:t>pre-registra</w:t>
      </w:r>
      <w:proofErr w:type="spellEnd"/>
      <w:r w:rsidRPr="0069403C">
        <w:rPr>
          <w:rFonts w:ascii="Times New Roman" w:hAnsi="Times New Roman" w:cs="Times New Roman"/>
          <w:color w:val="000000" w:themeColor="text1"/>
          <w:sz w:val="22"/>
          <w:szCs w:val="22"/>
          <w:lang w:val="es-CO"/>
        </w:rPr>
        <w:t xml:space="preserve"> y prueba formalmente cinco hipótesis sobre una </w:t>
      </w:r>
      <w:r w:rsidRPr="0069403C">
        <w:rPr>
          <w:rFonts w:ascii="Times New Roman" w:hAnsi="Times New Roman" w:cs="Times New Roman"/>
          <w:color w:val="000000" w:themeColor="text1"/>
          <w:sz w:val="22"/>
          <w:szCs w:val="22"/>
          <w:lang w:val="es-CO"/>
        </w:rPr>
        <w:lastRenderedPageBreak/>
        <w:t xml:space="preserve">política aprendida en el mismo esqueleto experimental: competitividad estática frente a la mejor regla de despacho (H1); generalización a instancias </w:t>
      </w:r>
      <m:oMath>
        <m:r>
          <w:rPr>
            <w:rFonts w:ascii="Cambria Math" w:hAnsi="Cambria Math" w:cs="Times New Roman"/>
            <w:color w:val="000000" w:themeColor="text1"/>
            <w:sz w:val="22"/>
            <w:szCs w:val="22"/>
            <w:lang w:val="es-CO"/>
          </w:rPr>
          <m:t>1.5</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3.0</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el tamaño de entrenamiento (H2); robustez, en relación con las reglas de despacho, bajo nueve regímenes de disrupción (H3); si un término de recompensa consciente de la disrupción, explícito, mejora la robustez sin un costo de desempeño nominal inaceptable (H4); y si la latencia de decisión permanece muy por debajo de la de un solucionador exacto a medida que crece el tamaño de la instancia (H5). La Sección </w:t>
      </w:r>
      <w:hyperlink w:anchor="sec:prereg">
        <w:r w:rsidRPr="0069403C">
          <w:rPr>
            <w:rStyle w:val="Hipervnculo"/>
            <w:rFonts w:ascii="Times New Roman" w:hAnsi="Times New Roman" w:cs="Times New Roman"/>
            <w:color w:val="000000" w:themeColor="text1"/>
            <w:sz w:val="22"/>
            <w:szCs w:val="22"/>
            <w:lang w:val="es-CO"/>
          </w:rPr>
          <w:t>5.5</w:t>
        </w:r>
      </w:hyperlink>
      <w:r w:rsidRPr="0069403C">
        <w:rPr>
          <w:rFonts w:ascii="Times New Roman" w:hAnsi="Times New Roman" w:cs="Times New Roman"/>
          <w:color w:val="000000" w:themeColor="text1"/>
          <w:sz w:val="22"/>
          <w:szCs w:val="22"/>
          <w:lang w:val="es-CO"/>
        </w:rPr>
        <w:t xml:space="preserve"> expone la regla de decisión exacta y </w:t>
      </w:r>
      <w:proofErr w:type="spellStart"/>
      <w:r w:rsidRPr="0069403C">
        <w:rPr>
          <w:rFonts w:ascii="Times New Roman" w:hAnsi="Times New Roman" w:cs="Times New Roman"/>
          <w:color w:val="000000" w:themeColor="text1"/>
          <w:sz w:val="22"/>
          <w:szCs w:val="22"/>
          <w:lang w:val="es-CO"/>
        </w:rPr>
        <w:t>pre-registrada</w:t>
      </w:r>
      <w:proofErr w:type="spellEnd"/>
      <w:r w:rsidRPr="0069403C">
        <w:rPr>
          <w:rFonts w:ascii="Times New Roman" w:hAnsi="Times New Roman" w:cs="Times New Roman"/>
          <w:color w:val="000000" w:themeColor="text1"/>
          <w:sz w:val="22"/>
          <w:szCs w:val="22"/>
          <w:lang w:val="es-CO"/>
        </w:rPr>
        <w:t xml:space="preserve"> para cada una.</w:t>
      </w:r>
    </w:p>
    <w:p w14:paraId="6C0B9282" w14:textId="77777777" w:rsidR="00E373E4" w:rsidRPr="0069403C" w:rsidRDefault="00000000" w:rsidP="0069403C">
      <w:pPr>
        <w:pStyle w:val="Ttulo1"/>
        <w:rPr>
          <w:rFonts w:ascii="Times New Roman" w:hAnsi="Times New Roman" w:cs="Times New Roman"/>
          <w:color w:val="000000" w:themeColor="text1"/>
          <w:sz w:val="22"/>
          <w:szCs w:val="22"/>
          <w:lang w:val="es-CO"/>
        </w:rPr>
      </w:pPr>
      <w:bookmarkStart w:id="9" w:name="sec:s1methods"/>
      <w:bookmarkEnd w:id="1"/>
      <w:bookmarkEnd w:id="7"/>
      <w:r w:rsidRPr="0069403C">
        <w:rPr>
          <w:rFonts w:ascii="Times New Roman" w:hAnsi="Times New Roman" w:cs="Times New Roman"/>
          <w:color w:val="000000" w:themeColor="text1"/>
          <w:sz w:val="22"/>
          <w:szCs w:val="22"/>
          <w:lang w:val="es-CO"/>
        </w:rPr>
        <w:t>Estudio 1: problema, métodos y diseño experimental</w:t>
      </w:r>
    </w:p>
    <w:p w14:paraId="13007A91"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10" w:name="sec:disruptionmodels"/>
      <w:r w:rsidRPr="0069403C">
        <w:rPr>
          <w:rFonts w:ascii="Times New Roman" w:hAnsi="Times New Roman" w:cs="Times New Roman"/>
          <w:color w:val="000000" w:themeColor="text1"/>
          <w:sz w:val="22"/>
          <w:szCs w:val="22"/>
          <w:lang w:val="es-CO"/>
        </w:rPr>
        <w:t>Problema y modelos de disrupción</w:t>
      </w:r>
    </w:p>
    <w:p w14:paraId="146AD18A"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Ambos estudios abordan el JSSP/FJSP dinámico y estocástico. Un conjunto de trabajos, cada uno una cadena de precedencia fija de operaciones con tiempos de proceso específicos por </w:t>
      </w:r>
      <w:proofErr w:type="gramStart"/>
      <w:r w:rsidRPr="0069403C">
        <w:rPr>
          <w:rFonts w:ascii="Times New Roman" w:hAnsi="Times New Roman" w:cs="Times New Roman"/>
          <w:color w:val="000000" w:themeColor="text1"/>
          <w:sz w:val="22"/>
          <w:szCs w:val="22"/>
          <w:lang w:val="es-CO"/>
        </w:rPr>
        <w:t>máquina,</w:t>
      </w:r>
      <w:proofErr w:type="gramEnd"/>
      <w:r w:rsidRPr="0069403C">
        <w:rPr>
          <w:rFonts w:ascii="Times New Roman" w:hAnsi="Times New Roman" w:cs="Times New Roman"/>
          <w:color w:val="000000" w:themeColor="text1"/>
          <w:sz w:val="22"/>
          <w:szCs w:val="22"/>
          <w:lang w:val="es-CO"/>
        </w:rPr>
        <w:t xml:space="preserve"> debe programarse para minimizar el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C</m:t>
            </m:r>
          </m:e>
          <m:sub>
            <m:r>
              <m:rPr>
                <m:sty m:val="p"/>
              </m:rPr>
              <w:rPr>
                <w:rFonts w:ascii="Cambria Math" w:hAnsi="Cambria Math" w:cs="Times New Roman"/>
                <w:color w:val="000000" w:themeColor="text1"/>
                <w:sz w:val="22"/>
                <w:szCs w:val="22"/>
                <w:lang w:val="es-CO"/>
              </w:rPr>
              <m:t>max</m:t>
            </m:r>
          </m:sub>
        </m:sSub>
      </m:oMath>
      <w:r w:rsidRPr="0069403C">
        <w:rPr>
          <w:rFonts w:ascii="Times New Roman" w:hAnsi="Times New Roman" w:cs="Times New Roman"/>
          <w:color w:val="000000" w:themeColor="text1"/>
          <w:sz w:val="22"/>
          <w:szCs w:val="22"/>
          <w:lang w:val="es-CO"/>
        </w:rPr>
        <w:t>; en la variante FJSP utilizada por el Estudio 2 (Sección </w:t>
      </w:r>
      <w:hyperlink w:anchor="sec:s2methods">
        <w:r w:rsidRPr="0069403C">
          <w:rPr>
            <w:rStyle w:val="Hipervnculo"/>
            <w:rFonts w:ascii="Times New Roman" w:hAnsi="Times New Roman" w:cs="Times New Roman"/>
            <w:color w:val="000000" w:themeColor="text1"/>
            <w:sz w:val="22"/>
            <w:szCs w:val="22"/>
            <w:lang w:val="es-CO"/>
          </w:rPr>
          <w:t>5</w:t>
        </w:r>
      </w:hyperlink>
      <w:r w:rsidRPr="0069403C">
        <w:rPr>
          <w:rFonts w:ascii="Times New Roman" w:hAnsi="Times New Roman" w:cs="Times New Roman"/>
          <w:color w:val="000000" w:themeColor="text1"/>
          <w:sz w:val="22"/>
          <w:szCs w:val="22"/>
          <w:lang w:val="es-CO"/>
        </w:rPr>
        <w:t xml:space="preserve">), cada operación puede además enrutarse a cualquier máquina dentro de un subconjunto elegible. Tres generadores de disrupción independientes extienden el problema base determinista, cada uno parametrizado por una severidad operacionalmente interpretable en lugar de por un parámetro distribucional bruto. Las </w:t>
      </w:r>
      <w:r w:rsidRPr="0069403C">
        <w:rPr>
          <w:rFonts w:ascii="Times New Roman" w:hAnsi="Times New Roman" w:cs="Times New Roman"/>
          <w:i/>
          <w:iCs/>
          <w:color w:val="000000" w:themeColor="text1"/>
          <w:sz w:val="22"/>
          <w:szCs w:val="22"/>
          <w:lang w:val="es-CO"/>
        </w:rPr>
        <w:t>averías de máquina</w:t>
      </w:r>
      <w:r w:rsidRPr="0069403C">
        <w:rPr>
          <w:rFonts w:ascii="Times New Roman" w:hAnsi="Times New Roman" w:cs="Times New Roman"/>
          <w:color w:val="000000" w:themeColor="text1"/>
          <w:sz w:val="22"/>
          <w:szCs w:val="22"/>
          <w:lang w:val="es-CO"/>
        </w:rPr>
        <w:t xml:space="preserve"> siguen un proceso de renovación con tiempo hasta el fallo exponencial y tiempo de reparación log-normal, calibrado a una disponibilidad objetivo en estado estacionario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A</m:t>
            </m:r>
          </m:e>
          <m:sub>
            <m:r>
              <w:rPr>
                <w:rFonts w:ascii="Cambria Math" w:hAnsi="Cambria Math" w:cs="Times New Roman"/>
                <w:color w:val="000000" w:themeColor="text1"/>
                <w:sz w:val="22"/>
                <w:szCs w:val="22"/>
              </w:rPr>
              <m:t>k</m:t>
            </m:r>
          </m:sub>
        </m:sSub>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0.95</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0.90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0.80</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mediante las Ecs. (1)–(2); una operación interrumpida se preserva bajo una política de </w:t>
      </w:r>
      <w:proofErr w:type="spellStart"/>
      <w:r w:rsidRPr="0069403C">
        <w:rPr>
          <w:rFonts w:ascii="Times New Roman" w:hAnsi="Times New Roman" w:cs="Times New Roman"/>
          <w:b/>
          <w:bCs/>
          <w:color w:val="000000" w:themeColor="text1"/>
          <w:sz w:val="22"/>
          <w:szCs w:val="22"/>
          <w:lang w:val="es-CO"/>
        </w:rPr>
        <w:t>preemción</w:t>
      </w:r>
      <w:proofErr w:type="spellEnd"/>
      <w:r w:rsidRPr="0069403C">
        <w:rPr>
          <w:rFonts w:ascii="Times New Roman" w:hAnsi="Times New Roman" w:cs="Times New Roman"/>
          <w:b/>
          <w:bCs/>
          <w:color w:val="000000" w:themeColor="text1"/>
          <w:sz w:val="22"/>
          <w:szCs w:val="22"/>
          <w:lang w:val="es-CO"/>
        </w:rPr>
        <w:t xml:space="preserve"> con reanudación</w:t>
      </w:r>
      <w:r w:rsidRPr="0069403C">
        <w:rPr>
          <w:rFonts w:ascii="Times New Roman" w:hAnsi="Times New Roman" w:cs="Times New Roman"/>
          <w:color w:val="000000" w:themeColor="text1"/>
          <w:sz w:val="22"/>
          <w:szCs w:val="22"/>
          <w:lang w:val="es-CO"/>
        </w:rPr>
        <w:t xml:space="preserve"> (se pausa y posteriormente se reanuda por su duración restante). Los </w:t>
      </w:r>
      <w:r w:rsidRPr="0069403C">
        <w:rPr>
          <w:rFonts w:ascii="Times New Roman" w:hAnsi="Times New Roman" w:cs="Times New Roman"/>
          <w:i/>
          <w:iCs/>
          <w:color w:val="000000" w:themeColor="text1"/>
          <w:sz w:val="22"/>
          <w:szCs w:val="22"/>
          <w:lang w:val="es-CO"/>
        </w:rPr>
        <w:t>tiempos de proceso estocásticos</w:t>
      </w:r>
      <w:r w:rsidRPr="0069403C">
        <w:rPr>
          <w:rFonts w:ascii="Times New Roman" w:hAnsi="Times New Roman" w:cs="Times New Roman"/>
          <w:color w:val="000000" w:themeColor="text1"/>
          <w:sz w:val="22"/>
          <w:szCs w:val="22"/>
          <w:lang w:val="es-CO"/>
        </w:rPr>
        <w:t xml:space="preserve"> multiplican cada duración nominal por un factor log-normal de media unitaria con forma </w:t>
      </w:r>
      <m:oMath>
        <m:r>
          <w:rPr>
            <w:rFonts w:ascii="Cambria Math" w:hAnsi="Cambria Math" w:cs="Times New Roman"/>
            <w:color w:val="000000" w:themeColor="text1"/>
            <w:sz w:val="22"/>
            <w:szCs w:val="22"/>
          </w:rPr>
          <m:t>s</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0.10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0.25</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0.50</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(Ec. 3), extraído una vez en el momento del despacho. Las </w:t>
      </w:r>
      <w:r w:rsidRPr="0069403C">
        <w:rPr>
          <w:rFonts w:ascii="Times New Roman" w:hAnsi="Times New Roman" w:cs="Times New Roman"/>
          <w:i/>
          <w:iCs/>
          <w:color w:val="000000" w:themeColor="text1"/>
          <w:sz w:val="22"/>
          <w:szCs w:val="22"/>
          <w:lang w:val="es-CO"/>
        </w:rPr>
        <w:t>llegadas dinámicas</w:t>
      </w:r>
      <w:r w:rsidRPr="0069403C">
        <w:rPr>
          <w:rFonts w:ascii="Times New Roman" w:hAnsi="Times New Roman" w:cs="Times New Roman"/>
          <w:color w:val="000000" w:themeColor="text1"/>
          <w:sz w:val="22"/>
          <w:szCs w:val="22"/>
          <w:lang w:val="es-CO"/>
        </w:rPr>
        <w:t xml:space="preserve"> introducen nuevos trabajos como un proceso de Poisson calibrado a una utilización objetivo </w:t>
      </w:r>
      <m:oMath>
        <m:r>
          <w:rPr>
            <w:rFonts w:ascii="Cambria Math" w:hAnsi="Cambria Math" w:cs="Times New Roman"/>
            <w:color w:val="000000" w:themeColor="text1"/>
            <w:sz w:val="22"/>
            <w:szCs w:val="22"/>
          </w:rPr>
          <m:t>ρ</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0.70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0.85</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0.95</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(Ec. 4), con un corte al 80% del horizonte nominal que garantiza la terminación. Las tres severidades por eje abarcan un régimen de alta confiabilidad, uno moderado y uno cercano a la saturación, dando nueve regímenes de disrupción en total.</w:t>
      </w:r>
    </w:p>
    <w:p w14:paraId="60F54BD6"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m:oMathPara>
        <m:oMathParaPr>
          <m:jc m:val="center"/>
        </m:oMathParaPr>
        <m:oMath>
          <m:m>
            <m:mPr>
              <m:plcHide m:val="1"/>
              <m:mcs>
                <m:mc>
                  <m:mcPr>
                    <m:count m:val="1"/>
                    <m:mcJc m:val="right"/>
                  </m:mcPr>
                </m:mc>
                <m:mc>
                  <m:mcPr>
                    <m:count m:val="1"/>
                    <m:mcJc m:val="left"/>
                  </m:mcPr>
                </m:mc>
              </m:mcs>
              <m:ctrlPr>
                <w:rPr>
                  <w:rFonts w:ascii="Cambria Math" w:hAnsi="Cambria Math" w:cs="Times New Roman"/>
                  <w:color w:val="000000" w:themeColor="text1"/>
                  <w:sz w:val="22"/>
                  <w:szCs w:val="22"/>
                </w:rPr>
              </m:ctrlPr>
            </m:mPr>
            <m:mr>
              <m:e>
                <m:r>
                  <m:rPr>
                    <m:nor/>
                  </m:rPr>
                  <w:rPr>
                    <w:rFonts w:ascii="Times New Roman" w:hAnsi="Times New Roman" w:cs="Times New Roman"/>
                    <w:color w:val="000000" w:themeColor="text1"/>
                    <w:sz w:val="22"/>
                    <w:szCs w:val="22"/>
                    <w:lang w:val="es-CO"/>
                  </w:rPr>
                  <m:t>Averías:</m:t>
                </m:r>
                <m:r>
                  <w:rPr>
                    <w:rFonts w:ascii="Cambria Math" w:hAnsi="Cambria Math" w:cs="Times New Roman"/>
                    <w:color w:val="000000" w:themeColor="text1"/>
                    <w:sz w:val="22"/>
                    <w:szCs w:val="22"/>
                    <w:lang w:val="es-CO"/>
                  </w:rPr>
                  <m:t> </m:t>
                </m:r>
              </m:e>
              <m:e>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MTBF</m:t>
                    </m:r>
                  </m:e>
                  <m:sub>
                    <m:r>
                      <w:rPr>
                        <w:rFonts w:ascii="Cambria Math" w:hAnsi="Cambria Math" w:cs="Times New Roman"/>
                        <w:color w:val="000000" w:themeColor="text1"/>
                        <w:sz w:val="22"/>
                        <w:szCs w:val="22"/>
                      </w:rPr>
                      <m:t>k</m:t>
                    </m:r>
                  </m:sub>
                </m:sSub>
                <m:r>
                  <m:rPr>
                    <m:sty m:val="p"/>
                  </m:rPr>
                  <w:rPr>
                    <w:rFonts w:ascii="Cambria Math" w:hAnsi="Cambria Math" w:cs="Times New Roman"/>
                    <w:color w:val="000000" w:themeColor="text1"/>
                    <w:sz w:val="22"/>
                    <w:szCs w:val="22"/>
                    <w:lang w:val="es-CO"/>
                  </w:rPr>
                  <m:t>=</m:t>
                </m:r>
                <m:f>
                  <m:fPr>
                    <m:ctrlPr>
                      <w:rPr>
                        <w:rFonts w:ascii="Cambria Math" w:hAnsi="Cambria Math" w:cs="Times New Roman"/>
                        <w:color w:val="000000" w:themeColor="text1"/>
                        <w:sz w:val="22"/>
                        <w:szCs w:val="22"/>
                      </w:rPr>
                    </m:ctrlPr>
                  </m:fPr>
                  <m:num>
                    <m:r>
                      <w:rPr>
                        <w:rFonts w:ascii="Cambria Math" w:hAnsi="Cambria Math" w:cs="Times New Roman"/>
                        <w:color w:val="000000" w:themeColor="text1"/>
                        <w:sz w:val="22"/>
                        <w:szCs w:val="22"/>
                        <w:lang w:val="es-CO"/>
                      </w:rPr>
                      <m:t>1</m:t>
                    </m:r>
                  </m:num>
                  <m:den>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λ</m:t>
                        </m:r>
                      </m:e>
                      <m:sub>
                        <m:r>
                          <w:rPr>
                            <w:rFonts w:ascii="Cambria Math" w:hAnsi="Cambria Math" w:cs="Times New Roman"/>
                            <w:color w:val="000000" w:themeColor="text1"/>
                            <w:sz w:val="22"/>
                            <w:szCs w:val="22"/>
                          </w:rPr>
                          <m:t>k</m:t>
                        </m:r>
                      </m:sub>
                    </m:sSub>
                  </m:den>
                </m:f>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 </m:t>
                </m:r>
                <m:r>
                  <m:rPr>
                    <m:sty m:val="p"/>
                  </m:rPr>
                  <w:rPr>
                    <w:rFonts w:ascii="Cambria Math" w:hAnsi="Cambria Math" w:cs="Times New Roman"/>
                    <w:color w:val="000000" w:themeColor="text1"/>
                    <w:sz w:val="22"/>
                    <w:szCs w:val="22"/>
                    <w:lang w:val="es-CO"/>
                  </w:rPr>
                  <m:t>MTTR=exp</m:t>
                </m:r>
                <m:r>
                  <w:rPr>
                    <w:rFonts w:ascii="Cambria Math" w:hAnsi="Cambria Math" w:cs="Times New Roman"/>
                    <w:color w:val="000000" w:themeColor="text1"/>
                    <w:sz w:val="22"/>
                    <w:szCs w:val="22"/>
                    <w:lang w:val="es-CO"/>
                  </w:rPr>
                  <m:t>​</m:t>
                </m:r>
                <m:d>
                  <m:dPr>
                    <m:ctrlPr>
                      <w:rPr>
                        <w:rFonts w:ascii="Cambria Math" w:hAnsi="Cambria Math" w:cs="Times New Roman"/>
                        <w:color w:val="000000" w:themeColor="text1"/>
                        <w:sz w:val="22"/>
                        <w:szCs w:val="22"/>
                      </w:rPr>
                    </m:ctrlPr>
                  </m:dPr>
                  <m:e>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μ</m:t>
                        </m:r>
                      </m:e>
                      <m:sub>
                        <m:r>
                          <w:rPr>
                            <w:rFonts w:ascii="Cambria Math" w:hAnsi="Cambria Math" w:cs="Times New Roman"/>
                            <w:color w:val="000000" w:themeColor="text1"/>
                            <w:sz w:val="22"/>
                            <w:szCs w:val="22"/>
                          </w:rPr>
                          <m:t>r</m:t>
                        </m:r>
                      </m:sub>
                    </m:sSub>
                    <m:r>
                      <m:rPr>
                        <m:sty m:val="p"/>
                      </m:rPr>
                      <w:rPr>
                        <w:rFonts w:ascii="Cambria Math" w:hAnsi="Cambria Math" w:cs="Times New Roman"/>
                        <w:color w:val="000000" w:themeColor="text1"/>
                        <w:sz w:val="22"/>
                        <w:szCs w:val="22"/>
                        <w:lang w:val="es-CO"/>
                      </w:rPr>
                      <m:t>+</m:t>
                    </m:r>
                    <m:f>
                      <m:fPr>
                        <m:ctrlPr>
                          <w:rPr>
                            <w:rFonts w:ascii="Cambria Math" w:hAnsi="Cambria Math" w:cs="Times New Roman"/>
                            <w:color w:val="000000" w:themeColor="text1"/>
                            <w:sz w:val="22"/>
                            <w:szCs w:val="22"/>
                          </w:rPr>
                        </m:ctrlPr>
                      </m:fPr>
                      <m:num>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σ</m:t>
                            </m:r>
                          </m:e>
                          <m:sub>
                            <m:r>
                              <w:rPr>
                                <w:rFonts w:ascii="Cambria Math" w:hAnsi="Cambria Math" w:cs="Times New Roman"/>
                                <w:color w:val="000000" w:themeColor="text1"/>
                                <w:sz w:val="22"/>
                                <w:szCs w:val="22"/>
                              </w:rPr>
                              <m:t>r</m:t>
                            </m:r>
                          </m:sub>
                          <m:sup>
                            <m:r>
                              <w:rPr>
                                <w:rFonts w:ascii="Cambria Math" w:hAnsi="Cambria Math" w:cs="Times New Roman"/>
                                <w:color w:val="000000" w:themeColor="text1"/>
                                <w:sz w:val="22"/>
                                <w:szCs w:val="22"/>
                                <w:lang w:val="es-CO"/>
                              </w:rPr>
                              <m:t>2</m:t>
                            </m:r>
                          </m:sup>
                        </m:sSubSup>
                      </m:num>
                      <m:den>
                        <m:r>
                          <w:rPr>
                            <w:rFonts w:ascii="Cambria Math" w:hAnsi="Cambria Math" w:cs="Times New Roman"/>
                            <w:color w:val="000000" w:themeColor="text1"/>
                            <w:sz w:val="22"/>
                            <w:szCs w:val="22"/>
                            <w:lang w:val="es-CO"/>
                          </w:rPr>
                          <m:t>2</m:t>
                        </m:r>
                      </m:den>
                    </m:f>
                  </m:e>
                </m:d>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 </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A</m:t>
                    </m:r>
                  </m:e>
                  <m:sub>
                    <m:r>
                      <w:rPr>
                        <w:rFonts w:ascii="Cambria Math" w:hAnsi="Cambria Math" w:cs="Times New Roman"/>
                        <w:color w:val="000000" w:themeColor="text1"/>
                        <w:sz w:val="22"/>
                        <w:szCs w:val="22"/>
                      </w:rPr>
                      <m:t>k</m:t>
                    </m:r>
                  </m:sub>
                </m:sSub>
                <m:r>
                  <m:rPr>
                    <m:sty m:val="p"/>
                  </m:rPr>
                  <w:rPr>
                    <w:rFonts w:ascii="Cambria Math" w:hAnsi="Cambria Math" w:cs="Times New Roman"/>
                    <w:color w:val="000000" w:themeColor="text1"/>
                    <w:sz w:val="22"/>
                    <w:szCs w:val="22"/>
                    <w:lang w:val="es-CO"/>
                  </w:rPr>
                  <m:t>=</m:t>
                </m:r>
                <m:f>
                  <m:fPr>
                    <m:ctrlPr>
                      <w:rPr>
                        <w:rFonts w:ascii="Cambria Math" w:hAnsi="Cambria Math" w:cs="Times New Roman"/>
                        <w:color w:val="000000" w:themeColor="text1"/>
                        <w:sz w:val="22"/>
                        <w:szCs w:val="22"/>
                      </w:rPr>
                    </m:ctrlPr>
                  </m:fPr>
                  <m:num>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MTBF</m:t>
                        </m:r>
                      </m:e>
                      <m:sub>
                        <m:r>
                          <w:rPr>
                            <w:rFonts w:ascii="Cambria Math" w:hAnsi="Cambria Math" w:cs="Times New Roman"/>
                            <w:color w:val="000000" w:themeColor="text1"/>
                            <w:sz w:val="22"/>
                            <w:szCs w:val="22"/>
                          </w:rPr>
                          <m:t>k</m:t>
                        </m:r>
                      </m:sub>
                    </m:sSub>
                  </m:num>
                  <m:den>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MTBF</m:t>
                        </m:r>
                      </m:e>
                      <m:sub>
                        <m:r>
                          <w:rPr>
                            <w:rFonts w:ascii="Cambria Math" w:hAnsi="Cambria Math" w:cs="Times New Roman"/>
                            <w:color w:val="000000" w:themeColor="text1"/>
                            <w:sz w:val="22"/>
                            <w:szCs w:val="22"/>
                          </w:rPr>
                          <m:t>k</m:t>
                        </m:r>
                      </m:sub>
                    </m:sSub>
                    <m:r>
                      <m:rPr>
                        <m:sty m:val="p"/>
                      </m:rPr>
                      <w:rPr>
                        <w:rFonts w:ascii="Cambria Math" w:hAnsi="Cambria Math" w:cs="Times New Roman"/>
                        <w:color w:val="000000" w:themeColor="text1"/>
                        <w:sz w:val="22"/>
                        <w:szCs w:val="22"/>
                        <w:lang w:val="es-CO"/>
                      </w:rPr>
                      <m:t>+MTTR</m:t>
                    </m:r>
                  </m:den>
                </m:f>
              </m:e>
            </m:mr>
            <m:mr>
              <m:e>
                <m:r>
                  <m:rPr>
                    <m:nor/>
                  </m:rPr>
                  <w:rPr>
                    <w:rFonts w:ascii="Times New Roman" w:hAnsi="Times New Roman" w:cs="Times New Roman"/>
                    <w:color w:val="000000" w:themeColor="text1"/>
                    <w:sz w:val="22"/>
                    <w:szCs w:val="22"/>
                    <w:lang w:val="es-CO"/>
                  </w:rPr>
                  <m:t xml:space="preserve">Calibración a </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A</m:t>
                    </m:r>
                  </m:e>
                  <m:sub>
                    <m:r>
                      <w:rPr>
                        <w:rFonts w:ascii="Cambria Math" w:hAnsi="Cambria Math" w:cs="Times New Roman"/>
                        <w:color w:val="000000" w:themeColor="text1"/>
                        <w:sz w:val="22"/>
                        <w:szCs w:val="22"/>
                      </w:rPr>
                      <m:t>k</m:t>
                    </m:r>
                  </m:sub>
                </m:sSub>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 </m:t>
                </m:r>
              </m:e>
              <m:e>
                <m:r>
                  <m:rPr>
                    <m:sty m:val="p"/>
                  </m:rPr>
                  <w:rPr>
                    <w:rFonts w:ascii="Cambria Math" w:hAnsi="Cambria Math" w:cs="Times New Roman"/>
                    <w:color w:val="000000" w:themeColor="text1"/>
                    <w:sz w:val="22"/>
                    <w:szCs w:val="22"/>
                    <w:lang w:val="es-CO"/>
                  </w:rPr>
                  <m:t>MTTR=</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c</m:t>
                    </m:r>
                  </m:e>
                  <m:sub>
                    <m:r>
                      <w:rPr>
                        <w:rFonts w:ascii="Cambria Math" w:hAnsi="Cambria Math" w:cs="Times New Roman"/>
                        <w:color w:val="000000" w:themeColor="text1"/>
                        <w:sz w:val="22"/>
                        <w:szCs w:val="22"/>
                      </w:rPr>
                      <m:t>r</m:t>
                    </m:r>
                  </m:sub>
                </m:sSub>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p</m:t>
                    </m:r>
                  </m:e>
                </m:acc>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 </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μ</m:t>
                    </m:r>
                  </m:e>
                  <m:sub>
                    <m:r>
                      <w:rPr>
                        <w:rFonts w:ascii="Cambria Math" w:hAnsi="Cambria Math" w:cs="Times New Roman"/>
                        <w:color w:val="000000" w:themeColor="text1"/>
                        <w:sz w:val="22"/>
                        <w:szCs w:val="22"/>
                      </w:rPr>
                      <m:t>r</m:t>
                    </m:r>
                  </m:sub>
                </m:sSub>
                <m:r>
                  <m:rPr>
                    <m:sty m:val="p"/>
                  </m:rPr>
                  <w:rPr>
                    <w:rFonts w:ascii="Cambria Math" w:hAnsi="Cambria Math" w:cs="Times New Roman"/>
                    <w:color w:val="000000" w:themeColor="text1"/>
                    <w:sz w:val="22"/>
                    <w:szCs w:val="22"/>
                    <w:lang w:val="es-CO"/>
                  </w:rPr>
                  <m:t>=ln</m:t>
                </m:r>
                <m:d>
                  <m:dPr>
                    <m:ctrlPr>
                      <w:rPr>
                        <w:rFonts w:ascii="Cambria Math" w:hAnsi="Cambria Math" w:cs="Times New Roman"/>
                        <w:color w:val="000000" w:themeColor="text1"/>
                        <w:sz w:val="22"/>
                        <w:szCs w:val="22"/>
                      </w:rPr>
                    </m:ctrlPr>
                  </m:dPr>
                  <m:e>
                    <m:r>
                      <m:rPr>
                        <m:sty m:val="p"/>
                      </m:rPr>
                      <w:rPr>
                        <w:rFonts w:ascii="Cambria Math" w:hAnsi="Cambria Math" w:cs="Times New Roman"/>
                        <w:color w:val="000000" w:themeColor="text1"/>
                        <w:sz w:val="22"/>
                        <w:szCs w:val="22"/>
                        <w:lang w:val="es-CO"/>
                      </w:rPr>
                      <m:t>MTTR</m:t>
                    </m:r>
                  </m:e>
                </m:d>
                <m:r>
                  <m:rPr>
                    <m:sty m:val="p"/>
                  </m:rPr>
                  <w:rPr>
                    <w:rFonts w:ascii="Cambria Math" w:hAnsi="Cambria Math" w:cs="Times New Roman"/>
                    <w:color w:val="000000" w:themeColor="text1"/>
                    <w:sz w:val="22"/>
                    <w:szCs w:val="22"/>
                    <w:lang w:val="es-CO"/>
                  </w:rPr>
                  <m:t>-</m:t>
                </m:r>
                <m:f>
                  <m:fPr>
                    <m:ctrlPr>
                      <w:rPr>
                        <w:rFonts w:ascii="Cambria Math" w:hAnsi="Cambria Math" w:cs="Times New Roman"/>
                        <w:color w:val="000000" w:themeColor="text1"/>
                        <w:sz w:val="22"/>
                        <w:szCs w:val="22"/>
                      </w:rPr>
                    </m:ctrlPr>
                  </m:fPr>
                  <m:num>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s</m:t>
                        </m:r>
                      </m:e>
                      <m:sub>
                        <m:r>
                          <w:rPr>
                            <w:rFonts w:ascii="Cambria Math" w:hAnsi="Cambria Math" w:cs="Times New Roman"/>
                            <w:color w:val="000000" w:themeColor="text1"/>
                            <w:sz w:val="22"/>
                            <w:szCs w:val="22"/>
                          </w:rPr>
                          <m:t>r</m:t>
                        </m:r>
                      </m:sub>
                      <m:sup>
                        <m:r>
                          <w:rPr>
                            <w:rFonts w:ascii="Cambria Math" w:hAnsi="Cambria Math" w:cs="Times New Roman"/>
                            <w:color w:val="000000" w:themeColor="text1"/>
                            <w:sz w:val="22"/>
                            <w:szCs w:val="22"/>
                            <w:lang w:val="es-CO"/>
                          </w:rPr>
                          <m:t>2</m:t>
                        </m:r>
                      </m:sup>
                    </m:sSubSup>
                  </m:num>
                  <m:den>
                    <m:r>
                      <w:rPr>
                        <w:rFonts w:ascii="Cambria Math" w:hAnsi="Cambria Math" w:cs="Times New Roman"/>
                        <w:color w:val="000000" w:themeColor="text1"/>
                        <w:sz w:val="22"/>
                        <w:szCs w:val="22"/>
                        <w:lang w:val="es-CO"/>
                      </w:rPr>
                      <m:t>2</m:t>
                    </m:r>
                  </m:den>
                </m:f>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 </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MTBF</m:t>
                    </m:r>
                  </m:e>
                  <m:sub>
                    <m:r>
                      <w:rPr>
                        <w:rFonts w:ascii="Cambria Math" w:hAnsi="Cambria Math" w:cs="Times New Roman"/>
                        <w:color w:val="000000" w:themeColor="text1"/>
                        <w:sz w:val="22"/>
                        <w:szCs w:val="22"/>
                      </w:rPr>
                      <m:t>k</m:t>
                    </m:r>
                  </m:sub>
                </m:sSub>
                <m:r>
                  <m:rPr>
                    <m:sty m:val="p"/>
                  </m:rPr>
                  <w:rPr>
                    <w:rFonts w:ascii="Cambria Math" w:hAnsi="Cambria Math" w:cs="Times New Roman"/>
                    <w:color w:val="000000" w:themeColor="text1"/>
                    <w:sz w:val="22"/>
                    <w:szCs w:val="22"/>
                    <w:lang w:val="es-CO"/>
                  </w:rPr>
                  <m:t>=</m:t>
                </m:r>
                <m:f>
                  <m:fPr>
                    <m:ctrlPr>
                      <w:rPr>
                        <w:rFonts w:ascii="Cambria Math" w:hAnsi="Cambria Math" w:cs="Times New Roman"/>
                        <w:color w:val="000000" w:themeColor="text1"/>
                        <w:sz w:val="22"/>
                        <w:szCs w:val="22"/>
                      </w:rPr>
                    </m:ctrlPr>
                  </m:fPr>
                  <m:num>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A</m:t>
                        </m:r>
                      </m:e>
                      <m:sub>
                        <m:r>
                          <w:rPr>
                            <w:rFonts w:ascii="Cambria Math" w:hAnsi="Cambria Math" w:cs="Times New Roman"/>
                            <w:color w:val="000000" w:themeColor="text1"/>
                            <w:sz w:val="22"/>
                            <w:szCs w:val="22"/>
                          </w:rPr>
                          <m:t>k</m:t>
                        </m:r>
                      </m:sub>
                    </m:sSub>
                    <m:r>
                      <w:rPr>
                        <w:rFonts w:ascii="Cambria Math" w:hAnsi="Cambria Math" w:cs="Times New Roman"/>
                        <w:color w:val="000000" w:themeColor="text1"/>
                        <w:sz w:val="22"/>
                        <w:szCs w:val="22"/>
                        <w:lang w:val="es-CO"/>
                      </w:rPr>
                      <m:t> </m:t>
                    </m:r>
                    <m:r>
                      <m:rPr>
                        <m:sty m:val="p"/>
                      </m:rPr>
                      <w:rPr>
                        <w:rFonts w:ascii="Cambria Math" w:hAnsi="Cambria Math" w:cs="Times New Roman"/>
                        <w:color w:val="000000" w:themeColor="text1"/>
                        <w:sz w:val="22"/>
                        <w:szCs w:val="22"/>
                        <w:lang w:val="es-CO"/>
                      </w:rPr>
                      <m:t>MTTR</m:t>
                    </m:r>
                  </m:num>
                  <m:den>
                    <m:r>
                      <w:rPr>
                        <w:rFonts w:ascii="Cambria Math" w:hAnsi="Cambria Math" w:cs="Times New Roman"/>
                        <w:color w:val="000000" w:themeColor="text1"/>
                        <w:sz w:val="22"/>
                        <w:szCs w:val="22"/>
                        <w:lang w:val="es-CO"/>
                      </w:rPr>
                      <m:t>1</m:t>
                    </m:r>
                    <m:r>
                      <m:rPr>
                        <m:sty m:val="p"/>
                      </m:rPr>
                      <w:rPr>
                        <w:rFonts w:ascii="Cambria Math" w:hAnsi="Cambria Math" w:cs="Times New Roman"/>
                        <w:color w:val="000000" w:themeColor="text1"/>
                        <w:sz w:val="22"/>
                        <w:szCs w:val="22"/>
                        <w:lang w:val="es-CO"/>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A</m:t>
                        </m:r>
                      </m:e>
                      <m:sub>
                        <m:r>
                          <w:rPr>
                            <w:rFonts w:ascii="Cambria Math" w:hAnsi="Cambria Math" w:cs="Times New Roman"/>
                            <w:color w:val="000000" w:themeColor="text1"/>
                            <w:sz w:val="22"/>
                            <w:szCs w:val="22"/>
                          </w:rPr>
                          <m:t>k</m:t>
                        </m:r>
                      </m:sub>
                    </m:sSub>
                  </m:den>
                </m:f>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 </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λ</m:t>
                    </m:r>
                  </m:e>
                  <m:sub>
                    <m:r>
                      <w:rPr>
                        <w:rFonts w:ascii="Cambria Math" w:hAnsi="Cambria Math" w:cs="Times New Roman"/>
                        <w:color w:val="000000" w:themeColor="text1"/>
                        <w:sz w:val="22"/>
                        <w:szCs w:val="22"/>
                      </w:rPr>
                      <m:t>k</m:t>
                    </m:r>
                  </m:sub>
                </m:sSub>
                <m:r>
                  <m:rPr>
                    <m:sty m:val="p"/>
                  </m:rPr>
                  <w:rPr>
                    <w:rFonts w:ascii="Cambria Math" w:hAnsi="Cambria Math" w:cs="Times New Roman"/>
                    <w:color w:val="000000" w:themeColor="text1"/>
                    <w:sz w:val="22"/>
                    <w:szCs w:val="22"/>
                    <w:lang w:val="es-CO"/>
                  </w:rPr>
                  <m:t>=</m:t>
                </m:r>
                <m:f>
                  <m:fPr>
                    <m:ctrlPr>
                      <w:rPr>
                        <w:rFonts w:ascii="Cambria Math" w:hAnsi="Cambria Math" w:cs="Times New Roman"/>
                        <w:color w:val="000000" w:themeColor="text1"/>
                        <w:sz w:val="22"/>
                        <w:szCs w:val="22"/>
                      </w:rPr>
                    </m:ctrlPr>
                  </m:fPr>
                  <m:num>
                    <m:r>
                      <w:rPr>
                        <w:rFonts w:ascii="Cambria Math" w:hAnsi="Cambria Math" w:cs="Times New Roman"/>
                        <w:color w:val="000000" w:themeColor="text1"/>
                        <w:sz w:val="22"/>
                        <w:szCs w:val="22"/>
                        <w:lang w:val="es-CO"/>
                      </w:rPr>
                      <m:t>1</m:t>
                    </m:r>
                  </m:num>
                  <m:den>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MTBF</m:t>
                        </m:r>
                      </m:e>
                      <m:sub>
                        <m:r>
                          <w:rPr>
                            <w:rFonts w:ascii="Cambria Math" w:hAnsi="Cambria Math" w:cs="Times New Roman"/>
                            <w:color w:val="000000" w:themeColor="text1"/>
                            <w:sz w:val="22"/>
                            <w:szCs w:val="22"/>
                          </w:rPr>
                          <m:t>k</m:t>
                        </m:r>
                      </m:sub>
                    </m:sSub>
                  </m:den>
                </m:f>
              </m:e>
            </m:mr>
            <m:mr>
              <m:e>
                <m:r>
                  <m:rPr>
                    <m:nor/>
                  </m:rPr>
                  <w:rPr>
                    <w:rFonts w:ascii="Times New Roman" w:hAnsi="Times New Roman" w:cs="Times New Roman"/>
                    <w:color w:val="000000" w:themeColor="text1"/>
                    <w:sz w:val="22"/>
                    <w:szCs w:val="22"/>
                    <w:lang w:val="es-CO"/>
                  </w:rPr>
                  <m:t>Tiempo de proceso estocástico:</m:t>
                </m:r>
                <m:r>
                  <w:rPr>
                    <w:rFonts w:ascii="Cambria Math" w:hAnsi="Cambria Math" w:cs="Times New Roman"/>
                    <w:color w:val="000000" w:themeColor="text1"/>
                    <w:sz w:val="22"/>
                    <w:szCs w:val="22"/>
                    <w:lang w:val="es-CO"/>
                  </w:rPr>
                  <m:t> </m:t>
                </m:r>
              </m:e>
              <m:e>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P</m:t>
                    </m:r>
                  </m:e>
                  <m:sub>
                    <m:r>
                      <w:rPr>
                        <w:rFonts w:ascii="Cambria Math" w:hAnsi="Cambria Math" w:cs="Times New Roman"/>
                        <w:color w:val="000000" w:themeColor="text1"/>
                        <w:sz w:val="22"/>
                        <w:szCs w:val="22"/>
                      </w:rPr>
                      <m:t>j</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h</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rPr>
                      <m:t>k</m:t>
                    </m:r>
                  </m:sub>
                </m:sSub>
                <m:r>
                  <m:rPr>
                    <m:sty m:val="p"/>
                  </m:rPr>
                  <w:rPr>
                    <w:rFonts w:ascii="Cambria Math" w:hAnsi="Cambria Math" w:cs="Times New Roman"/>
                    <w:color w:val="000000" w:themeColor="text1"/>
                    <w:sz w:val="22"/>
                    <w:szCs w:val="22"/>
                    <w:lang w:val="es-CO"/>
                  </w:rPr>
                  <m:t>=</m:t>
                </m:r>
                <m:sSub>
                  <m:sSubPr>
                    <m:ctrlPr>
                      <w:rPr>
                        <w:rFonts w:ascii="Cambria Math" w:hAnsi="Cambria Math" w:cs="Times New Roman"/>
                        <w:color w:val="000000" w:themeColor="text1"/>
                        <w:sz w:val="22"/>
                        <w:szCs w:val="22"/>
                      </w:rPr>
                    </m:ctrlPr>
                  </m:sSubPr>
                  <m:e>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p</m:t>
                        </m:r>
                      </m:e>
                    </m:acc>
                  </m:e>
                  <m:sub>
                    <m:r>
                      <w:rPr>
                        <w:rFonts w:ascii="Cambria Math" w:hAnsi="Cambria Math" w:cs="Times New Roman"/>
                        <w:color w:val="000000" w:themeColor="text1"/>
                        <w:sz w:val="22"/>
                        <w:szCs w:val="22"/>
                      </w:rPr>
                      <m:t>j</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h</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rPr>
                      <m:t>k</m:t>
                    </m:r>
                  </m:sub>
                </m:sSub>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rPr>
                  <m:t>ξ</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 </m:t>
                </m:r>
                <m:r>
                  <w:rPr>
                    <w:rFonts w:ascii="Cambria Math" w:hAnsi="Cambria Math" w:cs="Times New Roman"/>
                    <w:color w:val="000000" w:themeColor="text1"/>
                    <w:sz w:val="22"/>
                    <w:szCs w:val="22"/>
                  </w:rPr>
                  <m:t>ξ</m:t>
                </m:r>
                <m:r>
                  <m:rPr>
                    <m:sty m:val="p"/>
                  </m:rPr>
                  <w:rPr>
                    <w:rFonts w:ascii="Cambria Math" w:hAnsi="Cambria Math" w:cs="Times New Roman"/>
                    <w:color w:val="000000" w:themeColor="text1"/>
                    <w:sz w:val="22"/>
                    <w:szCs w:val="22"/>
                    <w:lang w:val="es-CO"/>
                  </w:rPr>
                  <m:t>∼Lognormal</m:t>
                </m:r>
                <m:r>
                  <w:rPr>
                    <w:rFonts w:ascii="Cambria Math" w:hAnsi="Cambria Math" w:cs="Times New Roman"/>
                    <w:color w:val="000000" w:themeColor="text1"/>
                    <w:sz w:val="22"/>
                    <w:szCs w:val="22"/>
                    <w:lang w:val="es-CO"/>
                  </w:rPr>
                  <m:t>​</m:t>
                </m:r>
                <m:d>
                  <m:dPr>
                    <m:ctrlPr>
                      <w:rPr>
                        <w:rFonts w:ascii="Cambria Math" w:hAnsi="Cambria Math" w:cs="Times New Roman"/>
                        <w:color w:val="000000" w:themeColor="text1"/>
                        <w:sz w:val="22"/>
                        <w:szCs w:val="22"/>
                      </w:rPr>
                    </m:ctrlPr>
                  </m:dPr>
                  <m:e>
                    <m:r>
                      <m:rPr>
                        <m:sty m:val="p"/>
                      </m:rPr>
                      <w:rPr>
                        <w:rFonts w:ascii="Cambria Math" w:hAnsi="Cambria Math" w:cs="Times New Roman"/>
                        <w:color w:val="000000" w:themeColor="text1"/>
                        <w:sz w:val="22"/>
                        <w:szCs w:val="22"/>
                        <w:lang w:val="es-CO"/>
                      </w:rPr>
                      <m:t>-</m:t>
                    </m:r>
                    <m:f>
                      <m:fPr>
                        <m:ctrlPr>
                          <w:rPr>
                            <w:rFonts w:ascii="Cambria Math" w:hAnsi="Cambria Math" w:cs="Times New Roman"/>
                            <w:color w:val="000000" w:themeColor="text1"/>
                            <w:sz w:val="22"/>
                            <w:szCs w:val="22"/>
                          </w:rPr>
                        </m:ctrlPr>
                      </m:fPr>
                      <m:num>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s</m:t>
                            </m:r>
                          </m:e>
                          <m:sup>
                            <m:r>
                              <w:rPr>
                                <w:rFonts w:ascii="Cambria Math" w:hAnsi="Cambria Math" w:cs="Times New Roman"/>
                                <w:color w:val="000000" w:themeColor="text1"/>
                                <w:sz w:val="22"/>
                                <w:szCs w:val="22"/>
                                <w:lang w:val="es-CO"/>
                              </w:rPr>
                              <m:t>2</m:t>
                            </m:r>
                          </m:sup>
                        </m:sSup>
                      </m:num>
                      <m:den>
                        <m:r>
                          <w:rPr>
                            <w:rFonts w:ascii="Cambria Math" w:hAnsi="Cambria Math" w:cs="Times New Roman"/>
                            <w:color w:val="000000" w:themeColor="text1"/>
                            <w:sz w:val="22"/>
                            <w:szCs w:val="22"/>
                            <w:lang w:val="es-CO"/>
                          </w:rPr>
                          <m:t>2</m:t>
                        </m:r>
                      </m:den>
                    </m:f>
                    <m:r>
                      <m:rPr>
                        <m:sty m:val="p"/>
                      </m:rPr>
                      <w:rPr>
                        <w:rFonts w:ascii="Cambria Math" w:hAnsi="Cambria Math" w:cs="Times New Roman"/>
                        <w:color w:val="000000" w:themeColor="text1"/>
                        <w:sz w:val="22"/>
                        <w:szCs w:val="22"/>
                        <w:lang w:val="es-CO"/>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s</m:t>
                        </m:r>
                      </m:e>
                      <m:sup>
                        <m:r>
                          <w:rPr>
                            <w:rFonts w:ascii="Cambria Math" w:hAnsi="Cambria Math" w:cs="Times New Roman"/>
                            <w:color w:val="000000" w:themeColor="text1"/>
                            <w:sz w:val="22"/>
                            <w:szCs w:val="22"/>
                            <w:lang w:val="es-CO"/>
                          </w:rPr>
                          <m:t>2</m:t>
                        </m:r>
                      </m:sup>
                    </m:sSup>
                  </m:e>
                </m:d>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 </m:t>
                </m:r>
                <m:r>
                  <m:rPr>
                    <m:scr m:val="double-struck"/>
                    <m:sty m:val="p"/>
                  </m:rPr>
                  <w:rPr>
                    <w:rFonts w:ascii="Cambria Math" w:hAnsi="Cambria Math" w:cs="Times New Roman"/>
                    <w:color w:val="000000" w:themeColor="text1"/>
                    <w:sz w:val="22"/>
                    <w:szCs w:val="22"/>
                  </w:rPr>
                  <m:t>E</m:t>
                </m:r>
                <m:d>
                  <m:dPr>
                    <m:begChr m:val="["/>
                    <m:endChr m:val="]"/>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ξ</m:t>
                    </m:r>
                  </m:e>
                </m:d>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m:t>
                </m:r>
              </m:e>
            </m:mr>
            <m:mr>
              <m:e>
                <m:r>
                  <m:rPr>
                    <m:nor/>
                  </m:rPr>
                  <w:rPr>
                    <w:rFonts w:ascii="Times New Roman" w:hAnsi="Times New Roman" w:cs="Times New Roman"/>
                    <w:color w:val="000000" w:themeColor="text1"/>
                    <w:sz w:val="22"/>
                    <w:szCs w:val="22"/>
                    <w:lang w:val="es-CO"/>
                  </w:rPr>
                  <m:t>Calibración de llegada dinámica:</m:t>
                </m:r>
                <m:r>
                  <w:rPr>
                    <w:rFonts w:ascii="Cambria Math" w:hAnsi="Cambria Math" w:cs="Times New Roman"/>
                    <w:color w:val="000000" w:themeColor="text1"/>
                    <w:sz w:val="22"/>
                    <w:szCs w:val="22"/>
                    <w:lang w:val="es-CO"/>
                  </w:rPr>
                  <m:t> </m:t>
                </m:r>
              </m:e>
              <m:e>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λ</m:t>
                    </m:r>
                  </m:e>
                  <m:sub>
                    <m:r>
                      <w:rPr>
                        <w:rFonts w:ascii="Cambria Math" w:hAnsi="Cambria Math" w:cs="Times New Roman"/>
                        <w:color w:val="000000" w:themeColor="text1"/>
                        <w:sz w:val="22"/>
                        <w:szCs w:val="22"/>
                      </w:rPr>
                      <m:t>a</m:t>
                    </m:r>
                  </m:sub>
                </m:sSub>
                <m:r>
                  <m:rPr>
                    <m:sty m:val="p"/>
                  </m:rPr>
                  <w:rPr>
                    <w:rFonts w:ascii="Cambria Math" w:hAnsi="Cambria Math" w:cs="Times New Roman"/>
                    <w:color w:val="000000" w:themeColor="text1"/>
                    <w:sz w:val="22"/>
                    <w:szCs w:val="22"/>
                    <w:lang w:val="es-CO"/>
                  </w:rPr>
                  <m:t>=</m:t>
                </m:r>
                <m:f>
                  <m:fPr>
                    <m:ctrlPr>
                      <w:rPr>
                        <w:rFonts w:ascii="Cambria Math" w:hAnsi="Cambria Math" w:cs="Times New Roman"/>
                        <w:color w:val="000000" w:themeColor="text1"/>
                        <w:sz w:val="22"/>
                        <w:szCs w:val="22"/>
                      </w:rPr>
                    </m:ctrlPr>
                  </m:fPr>
                  <m:num>
                    <m:r>
                      <w:rPr>
                        <w:rFonts w:ascii="Cambria Math" w:hAnsi="Cambria Math" w:cs="Times New Roman"/>
                        <w:color w:val="000000" w:themeColor="text1"/>
                        <w:sz w:val="22"/>
                        <w:szCs w:val="22"/>
                      </w:rPr>
                      <m:t>ρ</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rPr>
                      <m:t>m</m:t>
                    </m:r>
                  </m:num>
                  <m:den>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L</m:t>
                        </m:r>
                      </m:e>
                    </m:acc>
                  </m:den>
                </m:f>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rPr>
                  <m:t>ρ</m:t>
                </m:r>
                <m:r>
                  <m:rPr>
                    <m:sty m:val="p"/>
                  </m:rPr>
                  <w:rPr>
                    <w:rFonts w:ascii="Cambria Math" w:hAnsi="Cambria Math" w:cs="Times New Roman"/>
                    <w:color w:val="000000" w:themeColor="text1"/>
                    <w:sz w:val="22"/>
                    <w:szCs w:val="22"/>
                    <w:lang w:val="es-CO"/>
                  </w:rPr>
                  <m:t>=</m:t>
                </m:r>
                <m:f>
                  <m:fPr>
                    <m:ctrlPr>
                      <w:rPr>
                        <w:rFonts w:ascii="Cambria Math" w:hAnsi="Cambria Math" w:cs="Times New Roman"/>
                        <w:color w:val="000000" w:themeColor="text1"/>
                        <w:sz w:val="22"/>
                        <w:szCs w:val="22"/>
                      </w:rPr>
                    </m:ctrlPr>
                  </m:fPr>
                  <m:num>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λ</m:t>
                        </m:r>
                      </m:e>
                      <m:sub>
                        <m:r>
                          <w:rPr>
                            <w:rFonts w:ascii="Cambria Math" w:hAnsi="Cambria Math" w:cs="Times New Roman"/>
                            <w:color w:val="000000" w:themeColor="text1"/>
                            <w:sz w:val="22"/>
                            <w:szCs w:val="22"/>
                          </w:rPr>
                          <m:t>a</m:t>
                        </m:r>
                      </m:sub>
                    </m:sSub>
                    <m:r>
                      <m:rPr>
                        <m:sty m:val="p"/>
                      </m:rPr>
                      <w:rPr>
                        <w:rFonts w:ascii="Cambria Math" w:hAnsi="Cambria Math" w:cs="Times New Roman"/>
                        <w:color w:val="000000" w:themeColor="text1"/>
                        <w:sz w:val="22"/>
                        <w:szCs w:val="22"/>
                        <w:lang w:val="es-CO"/>
                      </w:rPr>
                      <m:t>⋅</m:t>
                    </m:r>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L</m:t>
                        </m:r>
                      </m:e>
                    </m:acc>
                  </m:num>
                  <m:den>
                    <m:r>
                      <w:rPr>
                        <w:rFonts w:ascii="Cambria Math" w:hAnsi="Cambria Math" w:cs="Times New Roman"/>
                        <w:color w:val="000000" w:themeColor="text1"/>
                        <w:sz w:val="22"/>
                        <w:szCs w:val="22"/>
                      </w:rPr>
                      <m:t>m</m:t>
                    </m:r>
                  </m:den>
                </m:f>
              </m:e>
            </m:mr>
          </m:m>
        </m:oMath>
      </m:oMathPara>
    </w:p>
    <w:p w14:paraId="3D6B2D21"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donde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c</m:t>
            </m:r>
          </m:e>
          <m:sub>
            <m:r>
              <w:rPr>
                <w:rFonts w:ascii="Cambria Math" w:hAnsi="Cambria Math" w:cs="Times New Roman"/>
                <w:color w:val="000000" w:themeColor="text1"/>
                <w:sz w:val="22"/>
                <w:szCs w:val="22"/>
              </w:rPr>
              <m:t>r</m:t>
            </m:r>
          </m:sub>
        </m:sSub>
      </m:oMath>
      <w:r w:rsidRPr="0069403C">
        <w:rPr>
          <w:rFonts w:ascii="Times New Roman" w:hAnsi="Times New Roman" w:cs="Times New Roman"/>
          <w:color w:val="000000" w:themeColor="text1"/>
          <w:sz w:val="22"/>
          <w:szCs w:val="22"/>
          <w:lang w:val="es-CO"/>
        </w:rPr>
        <w:t xml:space="preserve"> es el multiplicador de tiempo medio de reparación, </w:t>
      </w:r>
      <m:oMath>
        <m:r>
          <w:rPr>
            <w:rFonts w:ascii="Cambria Math" w:hAnsi="Cambria Math" w:cs="Times New Roman"/>
            <w:color w:val="000000" w:themeColor="text1"/>
            <w:sz w:val="22"/>
            <w:szCs w:val="22"/>
          </w:rPr>
          <m:t>s</m:t>
        </m:r>
      </m:oMath>
      <w:r w:rsidRPr="0069403C">
        <w:rPr>
          <w:rFonts w:ascii="Times New Roman" w:hAnsi="Times New Roman" w:cs="Times New Roman"/>
          <w:color w:val="000000" w:themeColor="text1"/>
          <w:sz w:val="22"/>
          <w:szCs w:val="22"/>
          <w:lang w:val="es-CO"/>
        </w:rPr>
        <w:t xml:space="preserve"> la variabilidad del tiempo de proceso, </w:t>
      </w:r>
      <m:oMath>
        <m:r>
          <w:rPr>
            <w:rFonts w:ascii="Cambria Math" w:hAnsi="Cambria Math" w:cs="Times New Roman"/>
            <w:color w:val="000000" w:themeColor="text1"/>
            <w:sz w:val="22"/>
            <w:szCs w:val="22"/>
          </w:rPr>
          <m:t>m</m:t>
        </m:r>
      </m:oMath>
      <w:r w:rsidRPr="0069403C">
        <w:rPr>
          <w:rFonts w:ascii="Times New Roman" w:hAnsi="Times New Roman" w:cs="Times New Roman"/>
          <w:color w:val="000000" w:themeColor="text1"/>
          <w:sz w:val="22"/>
          <w:szCs w:val="22"/>
          <w:lang w:val="es-CO"/>
        </w:rPr>
        <w:t xml:space="preserve"> el número de máquinas, y </w:t>
      </w:r>
      <m:oMath>
        <m:acc>
          <m:accPr>
            <m:chr m:val="‾"/>
            <m:ctrlPr>
              <w:rPr>
                <w:rFonts w:ascii="Cambria Math" w:hAnsi="Cambria Math" w:cs="Times New Roman"/>
                <w:color w:val="000000" w:themeColor="text1"/>
                <w:sz w:val="22"/>
                <w:szCs w:val="22"/>
              </w:rPr>
            </m:ctrlPr>
          </m:accPr>
          <m:e>
            <m:r>
              <w:rPr>
                <w:rFonts w:ascii="Cambria Math" w:hAnsi="Cambria Math" w:cs="Times New Roman"/>
                <w:color w:val="000000" w:themeColor="text1"/>
                <w:sz w:val="22"/>
                <w:szCs w:val="22"/>
              </w:rPr>
              <m:t>L</m:t>
            </m:r>
          </m:e>
        </m:acc>
      </m:oMath>
      <w:r w:rsidRPr="0069403C">
        <w:rPr>
          <w:rFonts w:ascii="Times New Roman" w:hAnsi="Times New Roman" w:cs="Times New Roman"/>
          <w:color w:val="000000" w:themeColor="text1"/>
          <w:sz w:val="22"/>
          <w:szCs w:val="22"/>
          <w:lang w:val="es-CO"/>
        </w:rPr>
        <w:t xml:space="preserve"> la carga de trabajo total media por trabajo. Los tres generadores fueron verificados de forma aislada antes de su uso (5,000 extracciones por aserción): una prueba de Kolmogorov–Smirnov no rechazó la hipótesis de tiempo hasta el fallo exponencial, la disponibilidad en estado estacionario recuperó cada objetivo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A</m:t>
            </m:r>
          </m:e>
          <m:sub>
            <m:r>
              <w:rPr>
                <w:rFonts w:ascii="Cambria Math" w:hAnsi="Cambria Math" w:cs="Times New Roman"/>
                <w:color w:val="000000" w:themeColor="text1"/>
                <w:sz w:val="22"/>
                <w:szCs w:val="22"/>
              </w:rPr>
              <m:t>k</m:t>
            </m:r>
          </m:sub>
        </m:sSub>
      </m:oMath>
      <w:r w:rsidRPr="0069403C">
        <w:rPr>
          <w:rFonts w:ascii="Times New Roman" w:hAnsi="Times New Roman" w:cs="Times New Roman"/>
          <w:color w:val="000000" w:themeColor="text1"/>
          <w:sz w:val="22"/>
          <w:szCs w:val="22"/>
          <w:lang w:val="es-CO"/>
        </w:rPr>
        <w:t xml:space="preserve"> con una precisión de 0.01%, el muestreador de tiempo de proceso coincidió con su media y varianza teóricas con una precisión de 1.4–2.6%, y la tasa de llegada calibrada coincidió con su utilización objetivo con una precisión de 0.8% — verificación en el sentido de Sargent (2011; Law 2024).</w:t>
      </w:r>
    </w:p>
    <w:p w14:paraId="53AF2367"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11" w:name="sec:s1families"/>
      <w:bookmarkEnd w:id="10"/>
      <w:r w:rsidRPr="0069403C">
        <w:rPr>
          <w:rFonts w:ascii="Times New Roman" w:hAnsi="Times New Roman" w:cs="Times New Roman"/>
          <w:color w:val="000000" w:themeColor="text1"/>
          <w:sz w:val="22"/>
          <w:szCs w:val="22"/>
          <w:lang w:val="es-CO"/>
        </w:rPr>
        <w:lastRenderedPageBreak/>
        <w:t>Estudio 1: tres familias de métodos clásicos</w:t>
      </w:r>
    </w:p>
    <w:p w14:paraId="00EE0D26"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Solucionador exacto (CP-SAT).</w:t>
      </w:r>
      <w:r w:rsidRPr="0069403C">
        <w:rPr>
          <w:rFonts w:ascii="Times New Roman" w:hAnsi="Times New Roman" w:cs="Times New Roman"/>
          <w:color w:val="000000" w:themeColor="text1"/>
          <w:sz w:val="22"/>
          <w:szCs w:val="22"/>
          <w:lang w:val="es-CO"/>
        </w:rPr>
        <w:t xml:space="preserve"> Cada operación se modela como una variable de intervalo y cada máquina como una restricción de no-solapamiento sobre sus intervalos, la traducción directa de la formulación disyuntiva (Perron, Didier, and Gay 2023). En las instancias utilizadas en el Estudio 1, el solucionador alcanza el óptimo certificado de la literatura en la mayoría de los casos; el programa predictivo que produce es el programa más ajustado (con menor holgura) del estudio, y sirve como referencia exacto-óptima. </w:t>
      </w:r>
      <w:r w:rsidRPr="0069403C">
        <w:rPr>
          <w:rFonts w:ascii="Times New Roman" w:hAnsi="Times New Roman" w:cs="Times New Roman"/>
          <w:b/>
          <w:bCs/>
          <w:color w:val="000000" w:themeColor="text1"/>
          <w:sz w:val="22"/>
          <w:szCs w:val="22"/>
          <w:lang w:val="es-CO"/>
        </w:rPr>
        <w:t>Algoritmo genético (GA).</w:t>
      </w:r>
      <w:r w:rsidRPr="0069403C">
        <w:rPr>
          <w:rFonts w:ascii="Times New Roman" w:hAnsi="Times New Roman" w:cs="Times New Roman"/>
          <w:color w:val="000000" w:themeColor="text1"/>
          <w:sz w:val="22"/>
          <w:szCs w:val="22"/>
          <w:lang w:val="es-CO"/>
        </w:rPr>
        <w:t xml:space="preserve"> Un cromosoma de permutación con repetición se decodifica mediante programación por lista; el cruce de orden que preserva la precedencia, la mutación por intercambio y la selección por torneo con elitismo siguen la práctica estándar del FJSP (Pezzella, Morganti, and </w:t>
      </w:r>
      <w:proofErr w:type="spellStart"/>
      <w:r w:rsidRPr="0069403C">
        <w:rPr>
          <w:rFonts w:ascii="Times New Roman" w:hAnsi="Times New Roman" w:cs="Times New Roman"/>
          <w:color w:val="000000" w:themeColor="text1"/>
          <w:sz w:val="22"/>
          <w:szCs w:val="22"/>
          <w:lang w:val="es-CO"/>
        </w:rPr>
        <w:t>Ciaschetti</w:t>
      </w:r>
      <w:proofErr w:type="spellEnd"/>
      <w:r w:rsidRPr="0069403C">
        <w:rPr>
          <w:rFonts w:ascii="Times New Roman" w:hAnsi="Times New Roman" w:cs="Times New Roman"/>
          <w:color w:val="000000" w:themeColor="text1"/>
          <w:sz w:val="22"/>
          <w:szCs w:val="22"/>
          <w:lang w:val="es-CO"/>
        </w:rPr>
        <w:t xml:space="preserve"> 2008; Kacem, Hammadi, and Borne 2002). El GA devuelve un programa predictivo de alta </w:t>
      </w:r>
      <w:proofErr w:type="gramStart"/>
      <w:r w:rsidRPr="0069403C">
        <w:rPr>
          <w:rFonts w:ascii="Times New Roman" w:hAnsi="Times New Roman" w:cs="Times New Roman"/>
          <w:color w:val="000000" w:themeColor="text1"/>
          <w:sz w:val="22"/>
          <w:szCs w:val="22"/>
          <w:lang w:val="es-CO"/>
        </w:rPr>
        <w:t>calidad</w:t>
      </w:r>
      <w:proofErr w:type="gramEnd"/>
      <w:r w:rsidRPr="0069403C">
        <w:rPr>
          <w:rFonts w:ascii="Times New Roman" w:hAnsi="Times New Roman" w:cs="Times New Roman"/>
          <w:color w:val="000000" w:themeColor="text1"/>
          <w:sz w:val="22"/>
          <w:szCs w:val="22"/>
          <w:lang w:val="es-CO"/>
        </w:rPr>
        <w:t xml:space="preserve"> pero más holgado bajo un presupuesto computacional fijo. </w:t>
      </w:r>
      <w:r w:rsidRPr="0069403C">
        <w:rPr>
          <w:rFonts w:ascii="Times New Roman" w:hAnsi="Times New Roman" w:cs="Times New Roman"/>
          <w:b/>
          <w:bCs/>
          <w:color w:val="000000" w:themeColor="text1"/>
          <w:sz w:val="22"/>
          <w:szCs w:val="22"/>
          <w:lang w:val="es-CO"/>
        </w:rPr>
        <w:t>Nueve reglas de despacho por prioridad.</w:t>
      </w:r>
      <w:r w:rsidRPr="0069403C">
        <w:rPr>
          <w:rFonts w:ascii="Times New Roman" w:hAnsi="Times New Roman" w:cs="Times New Roman"/>
          <w:color w:val="000000" w:themeColor="text1"/>
          <w:sz w:val="22"/>
          <w:szCs w:val="22"/>
          <w:lang w:val="es-CO"/>
        </w:rPr>
        <w:t xml:space="preserve"> Tiempo de proceso </w:t>
      </w:r>
      <w:proofErr w:type="gramStart"/>
      <w:r w:rsidRPr="0069403C">
        <w:rPr>
          <w:rFonts w:ascii="Times New Roman" w:hAnsi="Times New Roman" w:cs="Times New Roman"/>
          <w:color w:val="000000" w:themeColor="text1"/>
          <w:sz w:val="22"/>
          <w:szCs w:val="22"/>
          <w:lang w:val="es-CO"/>
        </w:rPr>
        <w:t>más corto y más largo</w:t>
      </w:r>
      <w:proofErr w:type="gramEnd"/>
      <w:r w:rsidRPr="0069403C">
        <w:rPr>
          <w:rFonts w:ascii="Times New Roman" w:hAnsi="Times New Roman" w:cs="Times New Roman"/>
          <w:color w:val="000000" w:themeColor="text1"/>
          <w:sz w:val="22"/>
          <w:szCs w:val="22"/>
          <w:lang w:val="es-CO"/>
        </w:rPr>
        <w:t xml:space="preserve"> (SPT, LPT), más y menos trabajo restante (MWKR, LWKR), más y menos operaciones restantes (MOR, LOR), primero en entrar-primero en salir (FIFO), fecha de vencimiento más temprana (EDD), y razón crítica (CR); las dos últimas usan fechas de vencimiento sintetizadas a partir del contenido total de trabajo, ya que los puntos de referencia de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puro no llevan ninguna. Los empates se rompen de manera uniformemente aleatoria. Las reglas son políticas en línea y no requieren un programa predictivo.</w:t>
      </w:r>
    </w:p>
    <w:p w14:paraId="477B1F67"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12" w:name="sec:s1harness"/>
      <w:bookmarkEnd w:id="11"/>
      <w:r w:rsidRPr="0069403C">
        <w:rPr>
          <w:rFonts w:ascii="Times New Roman" w:hAnsi="Times New Roman" w:cs="Times New Roman"/>
          <w:color w:val="000000" w:themeColor="text1"/>
          <w:sz w:val="22"/>
          <w:szCs w:val="22"/>
          <w:lang w:val="es-CO"/>
        </w:rPr>
        <w:t>Entorno de ejecución predictivo–reactivo</w:t>
      </w:r>
    </w:p>
    <w:p w14:paraId="59709FE3"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Todos los métodos del Estudio 1 se evalúan en un único simulador de eventos discretos, de modo que ningún método sea favorecido por la implementación. Los dos métodos fuera de línea (CP-SAT, GA) se ejecutan bajo una </w:t>
      </w:r>
      <w:r w:rsidRPr="0069403C">
        <w:rPr>
          <w:rFonts w:ascii="Times New Roman" w:hAnsi="Times New Roman" w:cs="Times New Roman"/>
          <w:b/>
          <w:bCs/>
          <w:color w:val="000000" w:themeColor="text1"/>
          <w:sz w:val="22"/>
          <w:szCs w:val="22"/>
          <w:lang w:val="es-CO"/>
        </w:rPr>
        <w:t>política de reparación por desplazamiento a la derecha</w:t>
      </w:r>
      <w:r w:rsidRPr="0069403C">
        <w:rPr>
          <w:rFonts w:ascii="Times New Roman" w:hAnsi="Times New Roman" w:cs="Times New Roman"/>
          <w:color w:val="000000" w:themeColor="text1"/>
          <w:sz w:val="22"/>
          <w:szCs w:val="22"/>
          <w:lang w:val="es-CO"/>
        </w:rPr>
        <w:t xml:space="preserve"> (Vieira, Herrmann, and Lin 2003): la secuencia de operaciones por máquina del programa comprometido es fija, y cada operación comienza en el mayor entre el momento en que su máquina queda disponible (en el orden planeado) y el momento en que su predecesora en el trabajo se completa, de modo que una disrupción retrasa pero nunca reordena el plan; bajo ausencia de disrupción esto reproduce exactamente el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fuera de línea, dando una línea base limpia. Los trabajos que llegan dinámicamente, que no pueden aparecer en un programa calculado antes de que existieran, se absorben en los intervalos ociosos de las máquinas. Las nueve reglas de despacho se ejecutan </w:t>
      </w:r>
      <w:r w:rsidRPr="0069403C">
        <w:rPr>
          <w:rFonts w:ascii="Times New Roman" w:hAnsi="Times New Roman" w:cs="Times New Roman"/>
          <w:b/>
          <w:bCs/>
          <w:color w:val="000000" w:themeColor="text1"/>
          <w:sz w:val="22"/>
          <w:szCs w:val="22"/>
          <w:lang w:val="es-CO"/>
        </w:rPr>
        <w:t>en línea</w:t>
      </w:r>
      <w:r w:rsidRPr="0069403C">
        <w:rPr>
          <w:rFonts w:ascii="Times New Roman" w:hAnsi="Times New Roman" w:cs="Times New Roman"/>
          <w:color w:val="000000" w:themeColor="text1"/>
          <w:sz w:val="22"/>
          <w:szCs w:val="22"/>
          <w:lang w:val="es-CO"/>
        </w:rPr>
        <w:t>, volviendo a decidir en cada evento. Este diseño realiza cada paradigma tal como se desplegaría realmente — un programa comprometido que se repara, frente a una regla que reacciona — que es precisamente la comparación de interés.</w:t>
      </w:r>
    </w:p>
    <w:p w14:paraId="50B2BB3A"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El entorno de ejecución se validó frente a una implementación independiente de los mismos modelos: las nueve reglas de despacho reproducen exactamente las cifras publicadas de desviación porcentual relativa determinista del estudio subyacente, en todas las reglas e instancias probadas, y la capa de disrupción reproduce sus valores publicados de índice de robustez, incluyendo un artefacto documentado, contraintuitivo, de degradación negativa de la regla de razón crítica bajo averías — evidencia de que la semántica de la simulación es fiel.</w:t>
      </w:r>
    </w:p>
    <w:p w14:paraId="73C59242"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13" w:name="sec:s1stats"/>
      <w:bookmarkEnd w:id="12"/>
      <w:r w:rsidRPr="0069403C">
        <w:rPr>
          <w:rFonts w:ascii="Times New Roman" w:hAnsi="Times New Roman" w:cs="Times New Roman"/>
          <w:color w:val="000000" w:themeColor="text1"/>
          <w:sz w:val="22"/>
          <w:szCs w:val="22"/>
          <w:lang w:val="es-CO"/>
        </w:rPr>
        <w:t>Métricas, instancias y protocolo estadístico</w:t>
      </w:r>
    </w:p>
    <w:p w14:paraId="7D88E748"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Se reportan dos métricas complementarias. El </w:t>
      </w:r>
      <w:r w:rsidRPr="0069403C">
        <w:rPr>
          <w:rFonts w:ascii="Times New Roman" w:hAnsi="Times New Roman" w:cs="Times New Roman"/>
          <w:b/>
          <w:bCs/>
          <w:color w:val="000000" w:themeColor="text1"/>
          <w:sz w:val="22"/>
          <w:szCs w:val="22"/>
          <w:lang w:val="es-CO"/>
        </w:rPr>
        <w:t>índice de robustez</w:t>
      </w:r>
    </w:p>
    <w:p w14:paraId="081DB85C"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m:oMathPara>
        <m:oMathParaPr>
          <m:jc m:val="center"/>
        </m:oMathParaPr>
        <m:oMath>
          <m:r>
            <m:rPr>
              <m:sty m:val="p"/>
            </m:rPr>
            <w:rPr>
              <w:rFonts w:ascii="Cambria Math" w:hAnsi="Cambria Math" w:cs="Times New Roman"/>
              <w:color w:val="000000" w:themeColor="text1"/>
              <w:sz w:val="22"/>
              <w:szCs w:val="22"/>
              <w:lang w:val="es-CO"/>
            </w:rPr>
            <m:t>RI=</m:t>
          </m:r>
          <m:f>
            <m:fPr>
              <m:ctrlPr>
                <w:rPr>
                  <w:rFonts w:ascii="Cambria Math" w:hAnsi="Cambria Math" w:cs="Times New Roman"/>
                  <w:color w:val="000000" w:themeColor="text1"/>
                  <w:sz w:val="22"/>
                  <w:szCs w:val="22"/>
                </w:rPr>
              </m:ctrlPr>
            </m:fPr>
            <m:num>
              <m:r>
                <m:rPr>
                  <m:scr m:val="double-struck"/>
                  <m:sty m:val="p"/>
                </m:rPr>
                <w:rPr>
                  <w:rFonts w:ascii="Cambria Math" w:hAnsi="Cambria Math" w:cs="Times New Roman"/>
                  <w:color w:val="000000" w:themeColor="text1"/>
                  <w:sz w:val="22"/>
                  <w:szCs w:val="22"/>
                </w:rPr>
                <m:t>E</m:t>
              </m:r>
              <m:r>
                <w:rPr>
                  <w:rFonts w:ascii="Cambria Math" w:hAnsi="Cambria Math" w:cs="Times New Roman"/>
                  <w:color w:val="000000" w:themeColor="text1"/>
                  <w:sz w:val="22"/>
                  <w:szCs w:val="22"/>
                  <w:lang w:val="es-CO"/>
                </w:rPr>
                <m:t>​</m:t>
              </m:r>
              <m:d>
                <m:dPr>
                  <m:begChr m:val="["/>
                  <m:endChr m:val="]"/>
                  <m:ctrlPr>
                    <w:rPr>
                      <w:rFonts w:ascii="Cambria Math" w:hAnsi="Cambria Math" w:cs="Times New Roman"/>
                      <w:color w:val="000000" w:themeColor="text1"/>
                      <w:sz w:val="22"/>
                      <w:szCs w:val="22"/>
                    </w:rPr>
                  </m:ctrlPr>
                </m:dPr>
                <m:e>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C</m:t>
                      </m:r>
                    </m:e>
                    <m:sub>
                      <m:r>
                        <m:rPr>
                          <m:sty m:val="p"/>
                        </m:rPr>
                        <w:rPr>
                          <w:rFonts w:ascii="Cambria Math" w:hAnsi="Cambria Math" w:cs="Times New Roman"/>
                          <w:color w:val="000000" w:themeColor="text1"/>
                          <w:sz w:val="22"/>
                          <w:szCs w:val="22"/>
                          <w:lang w:val="es-CO"/>
                        </w:rPr>
                        <m:t>max</m:t>
                      </m:r>
                    </m:sub>
                    <m:sup>
                      <m:r>
                        <m:rPr>
                          <m:nor/>
                        </m:rPr>
                        <w:rPr>
                          <w:rFonts w:ascii="Times New Roman" w:hAnsi="Times New Roman" w:cs="Times New Roman"/>
                          <w:color w:val="000000" w:themeColor="text1"/>
                          <w:sz w:val="22"/>
                          <w:szCs w:val="22"/>
                          <w:lang w:val="es-CO"/>
                        </w:rPr>
                        <m:t>pert</m:t>
                      </m:r>
                    </m:sup>
                  </m:sSubSup>
                </m:e>
              </m:d>
              <m:r>
                <m:rPr>
                  <m:sty m:val="p"/>
                </m:rPr>
                <w:rPr>
                  <w:rFonts w:ascii="Cambria Math" w:hAnsi="Cambria Math" w:cs="Times New Roman"/>
                  <w:color w:val="000000" w:themeColor="text1"/>
                  <w:sz w:val="22"/>
                  <w:szCs w:val="22"/>
                  <w:lang w:val="es-CO"/>
                </w:rPr>
                <m:t>-</m:t>
              </m:r>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C</m:t>
                  </m:r>
                </m:e>
                <m:sub>
                  <m:r>
                    <m:rPr>
                      <m:sty m:val="p"/>
                    </m:rPr>
                    <w:rPr>
                      <w:rFonts w:ascii="Cambria Math" w:hAnsi="Cambria Math" w:cs="Times New Roman"/>
                      <w:color w:val="000000" w:themeColor="text1"/>
                      <w:sz w:val="22"/>
                      <w:szCs w:val="22"/>
                      <w:lang w:val="es-CO"/>
                    </w:rPr>
                    <m:t>max</m:t>
                  </m:r>
                </m:sub>
                <m:sup>
                  <m:r>
                    <m:rPr>
                      <m:nor/>
                    </m:rPr>
                    <w:rPr>
                      <w:rFonts w:ascii="Times New Roman" w:hAnsi="Times New Roman" w:cs="Times New Roman"/>
                      <w:color w:val="000000" w:themeColor="text1"/>
                      <w:sz w:val="22"/>
                      <w:szCs w:val="22"/>
                      <w:lang w:val="es-CO"/>
                    </w:rPr>
                    <m:t>nom</m:t>
                  </m:r>
                </m:sup>
              </m:sSubSup>
            </m:num>
            <m:den>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C</m:t>
                  </m:r>
                </m:e>
                <m:sub>
                  <m:r>
                    <m:rPr>
                      <m:sty m:val="p"/>
                    </m:rPr>
                    <w:rPr>
                      <w:rFonts w:ascii="Cambria Math" w:hAnsi="Cambria Math" w:cs="Times New Roman"/>
                      <w:color w:val="000000" w:themeColor="text1"/>
                      <w:sz w:val="22"/>
                      <w:szCs w:val="22"/>
                      <w:lang w:val="es-CO"/>
                    </w:rPr>
                    <m:t>max</m:t>
                  </m:r>
                </m:sub>
                <m:sup>
                  <m:r>
                    <m:rPr>
                      <m:nor/>
                    </m:rPr>
                    <w:rPr>
                      <w:rFonts w:ascii="Times New Roman" w:hAnsi="Times New Roman" w:cs="Times New Roman"/>
                      <w:color w:val="000000" w:themeColor="text1"/>
                      <w:sz w:val="22"/>
                      <w:szCs w:val="22"/>
                      <w:lang w:val="es-CO"/>
                    </w:rPr>
                    <m:t>nom</m:t>
                  </m:r>
                </m:sup>
              </m:sSubSup>
            </m:den>
          </m:f>
        </m:oMath>
      </m:oMathPara>
    </w:p>
    <w:p w14:paraId="773656FE"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mide la autodegradación relativa de cada método, calculada contra su propio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nominal a lo largo de treinta escenarios réplica por celda, junto con el valor en riesgo condicional del peor 10% (</w:t>
      </w:r>
      <m:oMath>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CVaR</m:t>
            </m:r>
          </m:e>
          <m:sub>
            <m:r>
              <w:rPr>
                <w:rFonts w:ascii="Cambria Math" w:hAnsi="Cambria Math" w:cs="Times New Roman"/>
                <w:color w:val="000000" w:themeColor="text1"/>
                <w:sz w:val="22"/>
                <w:szCs w:val="22"/>
                <w:lang w:val="es-CO"/>
              </w:rPr>
              <m:t>0.90</m:t>
            </m:r>
          </m:sub>
        </m:sSub>
      </m:oMath>
      <w:r w:rsidRPr="0069403C">
        <w:rPr>
          <w:rFonts w:ascii="Times New Roman" w:hAnsi="Times New Roman" w:cs="Times New Roman"/>
          <w:color w:val="000000" w:themeColor="text1"/>
          <w:sz w:val="22"/>
          <w:szCs w:val="22"/>
          <w:lang w:val="es-CO"/>
        </w:rPr>
        <w:t xml:space="preserve">). Debido a que el RI está normalizado por el makespan nominal propio de cada método </w:t>
      </w:r>
      <w:r w:rsidRPr="0069403C">
        <w:rPr>
          <w:rFonts w:ascii="Times New Roman" w:hAnsi="Times New Roman" w:cs="Times New Roman"/>
          <w:color w:val="000000" w:themeColor="text1"/>
          <w:sz w:val="22"/>
          <w:szCs w:val="22"/>
          <w:lang w:val="es-CO"/>
        </w:rPr>
        <w:lastRenderedPageBreak/>
        <w:t xml:space="preserve">— que difiere entre métodos —, se complementa con la </w:t>
      </w:r>
      <w:r w:rsidRPr="0069403C">
        <w:rPr>
          <w:rFonts w:ascii="Times New Roman" w:hAnsi="Times New Roman" w:cs="Times New Roman"/>
          <w:b/>
          <w:bCs/>
          <w:color w:val="000000" w:themeColor="text1"/>
          <w:sz w:val="22"/>
          <w:szCs w:val="22"/>
          <w:lang w:val="es-CO"/>
        </w:rPr>
        <w:t>desviación porcentual relativa realizada</w:t>
      </w:r>
      <w:r w:rsidRPr="0069403C">
        <w:rPr>
          <w:rFonts w:ascii="Times New Roman" w:hAnsi="Times New Roman" w:cs="Times New Roman"/>
          <w:color w:val="000000" w:themeColor="text1"/>
          <w:sz w:val="22"/>
          <w:szCs w:val="22"/>
          <w:lang w:val="es-CO"/>
        </w:rPr>
        <w:t xml:space="preserve"> (RPD), comparable entre métodos, del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perturbado medio frente al óptimo certificado, la cual responde directamente qué método produce los mejores programas bajo disrupción. La evaluación abarca dieciséis instancias de Fisher–Thompson (Fisher and Thompson 1963) y Lawrence (Lawrence 1984), de </w:t>
      </w:r>
      <m:oMath>
        <m:r>
          <w:rPr>
            <w:rFonts w:ascii="Cambria Math" w:hAnsi="Cambria Math" w:cs="Times New Roman"/>
            <w:color w:val="000000" w:themeColor="text1"/>
            <w:sz w:val="22"/>
            <w:szCs w:val="22"/>
            <w:lang w:val="es-CO"/>
          </w:rPr>
          <m:t>6</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6</m:t>
        </m:r>
      </m:oMath>
      <w:r w:rsidRPr="0069403C">
        <w:rPr>
          <w:rFonts w:ascii="Times New Roman" w:hAnsi="Times New Roman" w:cs="Times New Roman"/>
          <w:color w:val="000000" w:themeColor="text1"/>
          <w:sz w:val="22"/>
          <w:szCs w:val="22"/>
          <w:lang w:val="es-CO"/>
        </w:rPr>
        <w:t xml:space="preserve"> a </w:t>
      </w:r>
      <m:oMath>
        <m:r>
          <w:rPr>
            <w:rFonts w:ascii="Cambria Math" w:hAnsi="Cambria Math" w:cs="Times New Roman"/>
            <w:color w:val="000000" w:themeColor="text1"/>
            <w:sz w:val="22"/>
            <w:szCs w:val="22"/>
            <w:lang w:val="es-CO"/>
          </w:rPr>
          <m:t>20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oMath>
      <w:r w:rsidRPr="0069403C">
        <w:rPr>
          <w:rFonts w:ascii="Times New Roman" w:hAnsi="Times New Roman" w:cs="Times New Roman"/>
          <w:color w:val="000000" w:themeColor="text1"/>
          <w:sz w:val="22"/>
          <w:szCs w:val="22"/>
          <w:lang w:val="es-CO"/>
        </w:rPr>
        <w:t xml:space="preserve"> (las familias </w:t>
      </w:r>
      <w:r w:rsidRPr="0069403C">
        <w:rPr>
          <w:rFonts w:ascii="Times New Roman" w:hAnsi="Times New Roman" w:cs="Times New Roman"/>
          <w:i/>
          <w:iCs/>
          <w:color w:val="000000" w:themeColor="text1"/>
          <w:sz w:val="22"/>
          <w:szCs w:val="22"/>
          <w:lang w:val="es-CO"/>
        </w:rPr>
        <w:t>ft</w:t>
      </w:r>
      <w:r w:rsidRPr="0069403C">
        <w:rPr>
          <w:rFonts w:ascii="Times New Roman" w:hAnsi="Times New Roman" w:cs="Times New Roman"/>
          <w:color w:val="000000" w:themeColor="text1"/>
          <w:sz w:val="22"/>
          <w:szCs w:val="22"/>
          <w:lang w:val="es-CO"/>
        </w:rPr>
        <w:t xml:space="preserve"> y </w:t>
      </w:r>
      <w:r w:rsidRPr="0069403C">
        <w:rPr>
          <w:rFonts w:ascii="Times New Roman" w:hAnsi="Times New Roman" w:cs="Times New Roman"/>
          <w:i/>
          <w:iCs/>
          <w:color w:val="000000" w:themeColor="text1"/>
          <w:sz w:val="22"/>
          <w:szCs w:val="22"/>
          <w:lang w:val="es-CO"/>
        </w:rPr>
        <w:t>la</w:t>
      </w:r>
      <w:r w:rsidRPr="0069403C">
        <w:rPr>
          <w:rFonts w:ascii="Times New Roman" w:hAnsi="Times New Roman" w:cs="Times New Roman"/>
          <w:color w:val="000000" w:themeColor="text1"/>
          <w:sz w:val="22"/>
          <w:szCs w:val="22"/>
          <w:lang w:val="es-CO"/>
        </w:rPr>
        <w:t xml:space="preserve">), 9 regímenes, 11 métodos y 30 escenarios — una malla completa de 47,520 ejecuciones simuladas. Las comparaciones por pares utilizan la prueba exacta de rangos con signo de Wilcoxon (Wilcoxon 1945); la comparación conjunta entre métodos utiliza la prueba de Friedman (Friedman 1937) con análisis </w:t>
      </w:r>
      <w:proofErr w:type="spellStart"/>
      <w:r w:rsidRPr="0069403C">
        <w:rPr>
          <w:rFonts w:ascii="Times New Roman" w:hAnsi="Times New Roman" w:cs="Times New Roman"/>
          <w:color w:val="000000" w:themeColor="text1"/>
          <w:sz w:val="22"/>
          <w:szCs w:val="22"/>
          <w:lang w:val="es-CO"/>
        </w:rPr>
        <w:t>post-hoc</w:t>
      </w:r>
      <w:proofErr w:type="spellEnd"/>
      <w:r w:rsidRPr="0069403C">
        <w:rPr>
          <w:rFonts w:ascii="Times New Roman" w:hAnsi="Times New Roman" w:cs="Times New Roman"/>
          <w:color w:val="000000" w:themeColor="text1"/>
          <w:sz w:val="22"/>
          <w:szCs w:val="22"/>
          <w:lang w:val="es-CO"/>
        </w:rPr>
        <w:t xml:space="preserve"> de </w:t>
      </w:r>
      <w:proofErr w:type="spellStart"/>
      <w:r w:rsidRPr="0069403C">
        <w:rPr>
          <w:rFonts w:ascii="Times New Roman" w:hAnsi="Times New Roman" w:cs="Times New Roman"/>
          <w:color w:val="000000" w:themeColor="text1"/>
          <w:sz w:val="22"/>
          <w:szCs w:val="22"/>
          <w:lang w:val="es-CO"/>
        </w:rPr>
        <w:t>Nemenyi</w:t>
      </w:r>
      <w:proofErr w:type="spellEnd"/>
      <w:r w:rsidRPr="0069403C">
        <w:rPr>
          <w:rFonts w:ascii="Times New Roman" w:hAnsi="Times New Roman" w:cs="Times New Roman"/>
          <w:color w:val="000000" w:themeColor="text1"/>
          <w:sz w:val="22"/>
          <w:szCs w:val="22"/>
          <w:lang w:val="es-CO"/>
        </w:rPr>
        <w:t xml:space="preserve"> y diagramas de diferencia crítica (Demšar 2006).</w:t>
      </w:r>
    </w:p>
    <w:p w14:paraId="7AB4499A" w14:textId="77777777" w:rsidR="00E373E4" w:rsidRPr="0069403C" w:rsidRDefault="00000000" w:rsidP="0069403C">
      <w:pPr>
        <w:pStyle w:val="Ttulo1"/>
        <w:rPr>
          <w:rFonts w:ascii="Times New Roman" w:hAnsi="Times New Roman" w:cs="Times New Roman"/>
          <w:color w:val="000000" w:themeColor="text1"/>
          <w:sz w:val="22"/>
          <w:szCs w:val="22"/>
          <w:lang w:val="es-CO"/>
        </w:rPr>
      </w:pPr>
      <w:bookmarkStart w:id="14" w:name="sec:s1results"/>
      <w:bookmarkEnd w:id="9"/>
      <w:bookmarkEnd w:id="13"/>
      <w:r w:rsidRPr="0069403C">
        <w:rPr>
          <w:rFonts w:ascii="Times New Roman" w:hAnsi="Times New Roman" w:cs="Times New Roman"/>
          <w:color w:val="000000" w:themeColor="text1"/>
          <w:sz w:val="22"/>
          <w:szCs w:val="22"/>
          <w:lang w:val="es-CO"/>
        </w:rPr>
        <w:t>Estudio 1: resultados</w:t>
      </w:r>
    </w:p>
    <w:p w14:paraId="7178988C"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15" w:name="sec:s1nominal"/>
      <w:r w:rsidRPr="0069403C">
        <w:rPr>
          <w:rFonts w:ascii="Times New Roman" w:hAnsi="Times New Roman" w:cs="Times New Roman"/>
          <w:color w:val="000000" w:themeColor="text1"/>
          <w:sz w:val="22"/>
          <w:szCs w:val="22"/>
          <w:lang w:val="es-CO"/>
        </w:rPr>
        <w:t>La frontera de calidad nominal</w:t>
      </w:r>
    </w:p>
    <w:p w14:paraId="3A811996"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Bajo datos nominales (no perturbados), el orden entre paradigmas es exactamente el que predice la literatura determinista (Figura </w:t>
      </w:r>
      <w:hyperlink w:anchor="fig:s1_nominal">
        <w:r w:rsidRPr="0069403C">
          <w:rPr>
            <w:rStyle w:val="Hipervnculo"/>
            <w:rFonts w:ascii="Times New Roman" w:hAnsi="Times New Roman" w:cs="Times New Roman"/>
            <w:color w:val="000000" w:themeColor="text1"/>
            <w:sz w:val="22"/>
            <w:szCs w:val="22"/>
            <w:lang w:val="es-CO"/>
          </w:rPr>
          <w:t>1</w:t>
        </w:r>
      </w:hyperlink>
      <w:r w:rsidRPr="0069403C">
        <w:rPr>
          <w:rFonts w:ascii="Times New Roman" w:hAnsi="Times New Roman" w:cs="Times New Roman"/>
          <w:color w:val="000000" w:themeColor="text1"/>
          <w:sz w:val="22"/>
          <w:szCs w:val="22"/>
          <w:lang w:val="es-CO"/>
        </w:rPr>
        <w:t>). El solucionador exacto es el mejor, con una media de 3.08% por encima del óptimo certificado (alcanzando el óptimo demostrado en 7 de 16 instancias, con una brecha en el peor de los casos de 8.70%), seguido por el GA con 6.28%. Las reglas de despacho quedan rezagadas, encabezadas por más-trabajo-restante (MWKR, 12.07%) y más-operaciones-restantes (MOR, 14.15%), con primero en entrar-primero en salir en 17.59% y las reglas más débiles (LWKR, LOR) por encima de 32%. En datos nominales, en resumen, pagar por una solución exacta compra aproximadamente una reducción de cuatro veces en la brecha de optimalidad respecto a la mejor regla de despacho (MWKR, 12.07%). La Tabla </w:t>
      </w:r>
      <w:hyperlink w:anchor="tab:s1_full">
        <w:r w:rsidRPr="0069403C">
          <w:rPr>
            <w:rStyle w:val="Hipervnculo"/>
            <w:rFonts w:ascii="Times New Roman" w:hAnsi="Times New Roman" w:cs="Times New Roman"/>
            <w:color w:val="000000" w:themeColor="text1"/>
            <w:sz w:val="22"/>
            <w:szCs w:val="22"/>
            <w:lang w:val="es-CO"/>
          </w:rPr>
          <w:t>3</w:t>
        </w:r>
      </w:hyperlink>
      <w:r w:rsidRPr="0069403C">
        <w:rPr>
          <w:rFonts w:ascii="Times New Roman" w:hAnsi="Times New Roman" w:cs="Times New Roman"/>
          <w:color w:val="000000" w:themeColor="text1"/>
          <w:sz w:val="22"/>
          <w:szCs w:val="22"/>
          <w:lang w:val="es-CO"/>
        </w:rPr>
        <w:t xml:space="preserve"> enumera la frontera completa junto con los resultados de robustez que siguen.</w:t>
      </w:r>
    </w:p>
    <w:p w14:paraId="05BF6A89" w14:textId="77777777" w:rsidR="00E373E4" w:rsidRPr="0069403C" w:rsidRDefault="00000000" w:rsidP="0069403C">
      <w:pPr>
        <w:pStyle w:val="CaptionedFigure"/>
        <w:rPr>
          <w:rFonts w:ascii="Times New Roman" w:hAnsi="Times New Roman" w:cs="Times New Roman"/>
          <w:color w:val="000000" w:themeColor="text1"/>
          <w:sz w:val="22"/>
          <w:szCs w:val="22"/>
        </w:rPr>
      </w:pPr>
      <w:r w:rsidRPr="0069403C">
        <w:rPr>
          <w:rFonts w:ascii="Times New Roman" w:hAnsi="Times New Roman" w:cs="Times New Roman"/>
          <w:noProof/>
          <w:color w:val="000000" w:themeColor="text1"/>
          <w:sz w:val="22"/>
          <w:szCs w:val="22"/>
        </w:rPr>
        <w:drawing>
          <wp:inline distT="0" distB="0" distL="0" distR="0" wp14:anchorId="013B3A40" wp14:editId="58366CFC">
            <wp:extent cx="3307080" cy="200787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s/png_hires/Fig_S1_nominal_frontier.png"/>
                    <pic:cNvPicPr>
                      <a:picLocks noChangeAspect="1" noChangeArrowheads="1"/>
                    </pic:cNvPicPr>
                  </pic:nvPicPr>
                  <pic:blipFill>
                    <a:blip r:embed="rId7"/>
                    <a:stretch>
                      <a:fillRect/>
                    </a:stretch>
                  </pic:blipFill>
                  <pic:spPr bwMode="auto">
                    <a:xfrm>
                      <a:off x="0" y="0"/>
                      <a:ext cx="3307080" cy="2007870"/>
                    </a:xfrm>
                    <a:prstGeom prst="rect">
                      <a:avLst/>
                    </a:prstGeom>
                    <a:noFill/>
                    <a:ln w="9525">
                      <a:noFill/>
                      <a:headEnd/>
                      <a:tailEnd/>
                    </a:ln>
                  </pic:spPr>
                </pic:pic>
              </a:graphicData>
            </a:graphic>
          </wp:inline>
        </w:drawing>
      </w:r>
    </w:p>
    <w:p w14:paraId="1B66B17C" w14:textId="77777777" w:rsidR="00E373E4" w:rsidRPr="0069403C" w:rsidRDefault="00000000" w:rsidP="0069403C">
      <w:pPr>
        <w:pStyle w:val="ImageCaption"/>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 xml:space="preserve">Figura 1: </w:t>
      </w:r>
      <w:r w:rsidRPr="0069403C">
        <w:rPr>
          <w:rFonts w:ascii="Times New Roman" w:hAnsi="Times New Roman" w:cs="Times New Roman"/>
          <w:color w:val="000000" w:themeColor="text1"/>
          <w:sz w:val="22"/>
          <w:szCs w:val="22"/>
          <w:lang w:val="es-CO"/>
        </w:rPr>
        <w:t>Estudio 1: frontera de calidad nominal — desviación porcentual relativa media respecto al óptimo certificado, por método, en dieciséis instancias (sin disrupción). El solucionador exacto (CP-SAT) y el GA dominan a las nueve reglas de despacho en línea.</w:t>
      </w:r>
    </w:p>
    <w:p w14:paraId="4DB39FDD"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16" w:name="sec:s1robustness"/>
      <w:bookmarkEnd w:id="15"/>
      <w:r w:rsidRPr="0069403C">
        <w:rPr>
          <w:rFonts w:ascii="Times New Roman" w:hAnsi="Times New Roman" w:cs="Times New Roman"/>
          <w:color w:val="000000" w:themeColor="text1"/>
          <w:sz w:val="22"/>
          <w:szCs w:val="22"/>
          <w:lang w:val="es-CO"/>
        </w:rPr>
        <w:t>El orden de robustez es el inverso del orden de calidad</w:t>
      </w:r>
    </w:p>
    <w:p w14:paraId="7F08B580"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Medido por la degradación relativa bajo disrupción, el orden se invierte. Agrupado sobre los nueve regímenes y las dieciséis instancias, el programa exacto tiene el índice de robustez más alto de los once métodos (</w:t>
      </w:r>
      <m:oMath>
        <m:r>
          <m:rPr>
            <m:sty m:val="p"/>
          </m:rPr>
          <w:rPr>
            <w:rFonts w:ascii="Cambria Math" w:hAnsi="Cambria Math" w:cs="Times New Roman"/>
            <w:color w:val="000000" w:themeColor="text1"/>
            <w:sz w:val="22"/>
            <w:szCs w:val="22"/>
            <w:lang w:val="es-CO"/>
          </w:rPr>
          <m:t>RI=</m:t>
        </m:r>
        <m:r>
          <w:rPr>
            <w:rFonts w:ascii="Cambria Math" w:hAnsi="Cambria Math" w:cs="Times New Roman"/>
            <w:color w:val="000000" w:themeColor="text1"/>
            <w:sz w:val="22"/>
            <w:szCs w:val="22"/>
            <w:lang w:val="es-CO"/>
          </w:rPr>
          <m:t>0.732</m:t>
        </m:r>
      </m:oMath>
      <w:r w:rsidRPr="0069403C">
        <w:rPr>
          <w:rFonts w:ascii="Times New Roman" w:hAnsi="Times New Roman" w:cs="Times New Roman"/>
          <w:color w:val="000000" w:themeColor="text1"/>
          <w:sz w:val="22"/>
          <w:szCs w:val="22"/>
          <w:lang w:val="es-CO"/>
        </w:rPr>
        <w:t>), inmediatamente seguido por el GA (</w:t>
      </w:r>
      <m:oMath>
        <m:r>
          <w:rPr>
            <w:rFonts w:ascii="Cambria Math" w:hAnsi="Cambria Math" w:cs="Times New Roman"/>
            <w:color w:val="000000" w:themeColor="text1"/>
            <w:sz w:val="22"/>
            <w:szCs w:val="22"/>
            <w:lang w:val="es-CO"/>
          </w:rPr>
          <m:t>0.708</m:t>
        </m:r>
      </m:oMath>
      <w:r w:rsidRPr="0069403C">
        <w:rPr>
          <w:rFonts w:ascii="Times New Roman" w:hAnsi="Times New Roman" w:cs="Times New Roman"/>
          <w:color w:val="000000" w:themeColor="text1"/>
          <w:sz w:val="22"/>
          <w:szCs w:val="22"/>
          <w:lang w:val="es-CO"/>
        </w:rPr>
        <w:t xml:space="preserve">); cada regla de despacho es más robusta, oscilando entre </w:t>
      </w:r>
      <m:oMath>
        <m:r>
          <w:rPr>
            <w:rFonts w:ascii="Cambria Math" w:hAnsi="Cambria Math" w:cs="Times New Roman"/>
            <w:color w:val="000000" w:themeColor="text1"/>
            <w:sz w:val="22"/>
            <w:szCs w:val="22"/>
            <w:lang w:val="es-CO"/>
          </w:rPr>
          <m:t>0.432</m:t>
        </m:r>
      </m:oMath>
      <w:r w:rsidRPr="0069403C">
        <w:rPr>
          <w:rFonts w:ascii="Times New Roman" w:hAnsi="Times New Roman" w:cs="Times New Roman"/>
          <w:color w:val="000000" w:themeColor="text1"/>
          <w:sz w:val="22"/>
          <w:szCs w:val="22"/>
          <w:lang w:val="es-CO"/>
        </w:rPr>
        <w:t xml:space="preserve"> (EDD) y </w:t>
      </w:r>
      <m:oMath>
        <m:r>
          <w:rPr>
            <w:rFonts w:ascii="Cambria Math" w:hAnsi="Cambria Math" w:cs="Times New Roman"/>
            <w:color w:val="000000" w:themeColor="text1"/>
            <w:sz w:val="22"/>
            <w:szCs w:val="22"/>
            <w:lang w:val="es-CO"/>
          </w:rPr>
          <m:t>0.515</m:t>
        </m:r>
      </m:oMath>
      <w:r w:rsidRPr="0069403C">
        <w:rPr>
          <w:rFonts w:ascii="Times New Roman" w:hAnsi="Times New Roman" w:cs="Times New Roman"/>
          <w:color w:val="000000" w:themeColor="text1"/>
          <w:sz w:val="22"/>
          <w:szCs w:val="22"/>
          <w:lang w:val="es-CO"/>
        </w:rPr>
        <w:t xml:space="preserve"> (CR). La prueba de Friedman entre los once métodos es contundente (</w:t>
      </w:r>
      <m:oMath>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χ</m:t>
            </m:r>
          </m:e>
          <m:sup>
            <m:r>
              <w:rPr>
                <w:rFonts w:ascii="Cambria Math" w:hAnsi="Cambria Math" w:cs="Times New Roman"/>
                <w:color w:val="000000" w:themeColor="text1"/>
                <w:sz w:val="22"/>
                <w:szCs w:val="22"/>
                <w:lang w:val="es-CO"/>
              </w:rPr>
              <m:t>2</m:t>
            </m:r>
          </m:sup>
        </m:sSup>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542.8</m:t>
        </m:r>
      </m:oMath>
      <w:r w:rsidRPr="0069403C">
        <w:rPr>
          <w:rFonts w:ascii="Times New Roman" w:hAnsi="Times New Roman" w:cs="Times New Roman"/>
          <w:color w:val="000000" w:themeColor="text1"/>
          <w:sz w:val="22"/>
          <w:szCs w:val="22"/>
          <w:lang w:val="es-CO"/>
        </w:rPr>
        <w:t xml:space="preserve">, </w:t>
      </w:r>
      <m:oMath>
        <m:r>
          <w:rPr>
            <w:rFonts w:ascii="Cambria Math" w:hAnsi="Cambria Math" w:cs="Times New Roman"/>
            <w:color w:val="000000" w:themeColor="text1"/>
            <w:sz w:val="22"/>
            <w:szCs w:val="22"/>
          </w:rPr>
          <m:t>df</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oMath>
      <w:r w:rsidRPr="0069403C">
        <w:rPr>
          <w:rFonts w:ascii="Times New Roman" w:hAnsi="Times New Roman" w:cs="Times New Roman"/>
          <w:color w:val="000000" w:themeColor="text1"/>
          <w:sz w:val="22"/>
          <w:szCs w:val="22"/>
          <w:lang w:val="es-CO"/>
        </w:rPr>
        <w:t xml:space="preserve">, </w:t>
      </w:r>
      <m:oMath>
        <m:r>
          <w:rPr>
            <w:rFonts w:ascii="Cambria Math" w:hAnsi="Cambria Math" w:cs="Times New Roman"/>
            <w:color w:val="000000" w:themeColor="text1"/>
            <w:sz w:val="22"/>
            <w:szCs w:val="22"/>
          </w:rPr>
          <m:t>N</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144</m:t>
        </m:r>
      </m:oMath>
      <w:r w:rsidRPr="0069403C">
        <w:rPr>
          <w:rFonts w:ascii="Times New Roman" w:hAnsi="Times New Roman" w:cs="Times New Roman"/>
          <w:color w:val="000000" w:themeColor="text1"/>
          <w:sz w:val="22"/>
          <w:szCs w:val="22"/>
          <w:lang w:val="es-CO"/>
        </w:rPr>
        <w:t xml:space="preserve"> celdas; diferencia crítica de Nemenyi </w:t>
      </w:r>
      <m:oMath>
        <m:r>
          <w:rPr>
            <w:rFonts w:ascii="Cambria Math" w:hAnsi="Cambria Math" w:cs="Times New Roman"/>
            <w:color w:val="000000" w:themeColor="text1"/>
            <w:sz w:val="22"/>
            <w:szCs w:val="22"/>
          </w:rPr>
          <m:t>CD</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1.26</m:t>
        </m:r>
      </m:oMath>
      <w:r w:rsidRPr="0069403C">
        <w:rPr>
          <w:rFonts w:ascii="Times New Roman" w:hAnsi="Times New Roman" w:cs="Times New Roman"/>
          <w:color w:val="000000" w:themeColor="text1"/>
          <w:sz w:val="22"/>
          <w:szCs w:val="22"/>
          <w:lang w:val="es-CO"/>
        </w:rPr>
        <w:t xml:space="preserve"> con </w:t>
      </w:r>
      <m:oMath>
        <m:r>
          <w:rPr>
            <w:rFonts w:ascii="Cambria Math" w:hAnsi="Cambria Math" w:cs="Times New Roman"/>
            <w:color w:val="000000" w:themeColor="text1"/>
            <w:sz w:val="22"/>
            <w:szCs w:val="22"/>
          </w:rPr>
          <m:t>α</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0.05</m:t>
        </m:r>
      </m:oMath>
      <w:r w:rsidRPr="0069403C">
        <w:rPr>
          <w:rFonts w:ascii="Times New Roman" w:hAnsi="Times New Roman" w:cs="Times New Roman"/>
          <w:color w:val="000000" w:themeColor="text1"/>
          <w:sz w:val="22"/>
          <w:szCs w:val="22"/>
          <w:lang w:val="es-CO"/>
        </w:rPr>
        <w:t xml:space="preserve">): el solucionador exacto y el GA ocupan los dos peores rangos medios (10.14 y 9.82), separados del grupo completo de reglas de despacho (rangos 3.95–5.77) por mucho </w:t>
      </w:r>
      <w:r w:rsidRPr="0069403C">
        <w:rPr>
          <w:rFonts w:ascii="Times New Roman" w:hAnsi="Times New Roman" w:cs="Times New Roman"/>
          <w:color w:val="000000" w:themeColor="text1"/>
          <w:sz w:val="22"/>
          <w:szCs w:val="22"/>
          <w:lang w:val="es-CO"/>
        </w:rPr>
        <w:lastRenderedPageBreak/>
        <w:t>más que la diferencia crítica (Figura </w:t>
      </w:r>
      <w:hyperlink w:anchor="fig:s1_cd">
        <w:r w:rsidRPr="0069403C">
          <w:rPr>
            <w:rStyle w:val="Hipervnculo"/>
            <w:rFonts w:ascii="Times New Roman" w:hAnsi="Times New Roman" w:cs="Times New Roman"/>
            <w:color w:val="000000" w:themeColor="text1"/>
            <w:sz w:val="22"/>
            <w:szCs w:val="22"/>
            <w:lang w:val="es-CO"/>
          </w:rPr>
          <w:t>2</w:t>
        </w:r>
      </w:hyperlink>
      <w:r w:rsidRPr="0069403C">
        <w:rPr>
          <w:rFonts w:ascii="Times New Roman" w:hAnsi="Times New Roman" w:cs="Times New Roman"/>
          <w:color w:val="000000" w:themeColor="text1"/>
          <w:sz w:val="22"/>
          <w:szCs w:val="22"/>
          <w:lang w:val="es-CO"/>
        </w:rPr>
        <w:t xml:space="preserve">). Por pares, el programa exacto es significativamente </w:t>
      </w:r>
      <w:r w:rsidRPr="0069403C">
        <w:rPr>
          <w:rFonts w:ascii="Times New Roman" w:hAnsi="Times New Roman" w:cs="Times New Roman"/>
          <w:i/>
          <w:iCs/>
          <w:color w:val="000000" w:themeColor="text1"/>
          <w:sz w:val="22"/>
          <w:szCs w:val="22"/>
          <w:lang w:val="es-CO"/>
        </w:rPr>
        <w:t>menos</w:t>
      </w:r>
      <w:r w:rsidRPr="0069403C">
        <w:rPr>
          <w:rFonts w:ascii="Times New Roman" w:hAnsi="Times New Roman" w:cs="Times New Roman"/>
          <w:color w:val="000000" w:themeColor="text1"/>
          <w:sz w:val="22"/>
          <w:szCs w:val="22"/>
          <w:lang w:val="es-CO"/>
        </w:rPr>
        <w:t xml:space="preserve"> robusto que cualquier otro método, incluido el GA (Wilcoxon </w:t>
      </w: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1.4</m:t>
        </m:r>
        <m:r>
          <m:rPr>
            <m:sty m:val="p"/>
          </m:rPr>
          <w:rPr>
            <w:rFonts w:ascii="Cambria Math" w:hAnsi="Cambria Math" w:cs="Times New Roman"/>
            <w:color w:val="000000" w:themeColor="text1"/>
            <w:sz w:val="22"/>
            <w:szCs w:val="22"/>
            <w:lang w:val="es-CO"/>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lang w:val="es-CO"/>
              </w:rPr>
              <m:t>10</m:t>
            </m:r>
          </m:e>
          <m:sup>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5</m:t>
            </m:r>
          </m:sup>
        </m:sSup>
      </m:oMath>
      <w:r w:rsidRPr="0069403C">
        <w:rPr>
          <w:rFonts w:ascii="Times New Roman" w:hAnsi="Times New Roman" w:cs="Times New Roman"/>
          <w:color w:val="000000" w:themeColor="text1"/>
          <w:sz w:val="22"/>
          <w:szCs w:val="22"/>
          <w:lang w:val="es-CO"/>
        </w:rPr>
        <w:t xml:space="preserve">; frente a cada regla de despacho </w:t>
      </w: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lang w:val="es-CO"/>
          </w:rPr>
          <m:t>&lt;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lang w:val="es-CO"/>
              </w:rPr>
              <m:t>10</m:t>
            </m:r>
          </m:e>
          <m:sup>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sup>
        </m:sSup>
      </m:oMath>
      <w:r w:rsidRPr="0069403C">
        <w:rPr>
          <w:rFonts w:ascii="Times New Roman" w:hAnsi="Times New Roman" w:cs="Times New Roman"/>
          <w:color w:val="000000" w:themeColor="text1"/>
          <w:sz w:val="22"/>
          <w:szCs w:val="22"/>
          <w:lang w:val="es-CO"/>
        </w:rPr>
        <w:t xml:space="preserve">, diferencia mediana de RI de </w:t>
      </w:r>
      <m:oMath>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0.14</m:t>
        </m:r>
      </m:oMath>
      <w:r w:rsidRPr="0069403C">
        <w:rPr>
          <w:rFonts w:ascii="Times New Roman" w:hAnsi="Times New Roman" w:cs="Times New Roman"/>
          <w:color w:val="000000" w:themeColor="text1"/>
          <w:sz w:val="22"/>
          <w:szCs w:val="22"/>
          <w:lang w:val="es-CO"/>
        </w:rPr>
        <w:t xml:space="preserve"> a </w:t>
      </w:r>
      <m:oMath>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0.20</m:t>
        </m:r>
      </m:oMath>
      <w:r w:rsidRPr="0069403C">
        <w:rPr>
          <w:rFonts w:ascii="Times New Roman" w:hAnsi="Times New Roman" w:cs="Times New Roman"/>
          <w:color w:val="000000" w:themeColor="text1"/>
          <w:sz w:val="22"/>
          <w:szCs w:val="22"/>
          <w:lang w:val="es-CO"/>
        </w:rPr>
        <w:t>). El mecanismo es el que predice la literatura de programación robusta (Leon, Wu, and Storer 1994; Mehta and Uzsoy 1998): un programa óptimamente compacto no tiene holgura ociosa, por lo que cada retraso se propaga por completo, mientras que un programa más holgado — y aún más una regla en línea que nunca se compromete — lo absorbe. Incluso dentro del paradigma predictivo, el programa más ajustado es el más frágil: el solucionador exacto es significativamente menos robusto que el GA, más holgado.</w:t>
      </w:r>
    </w:p>
    <w:p w14:paraId="0C27F600" w14:textId="77777777" w:rsidR="00E373E4" w:rsidRPr="0069403C" w:rsidRDefault="00000000" w:rsidP="0069403C">
      <w:pPr>
        <w:pStyle w:val="CaptionedFigure"/>
        <w:rPr>
          <w:rFonts w:ascii="Times New Roman" w:hAnsi="Times New Roman" w:cs="Times New Roman"/>
          <w:color w:val="000000" w:themeColor="text1"/>
          <w:sz w:val="22"/>
          <w:szCs w:val="22"/>
        </w:rPr>
      </w:pPr>
      <w:r w:rsidRPr="0069403C">
        <w:rPr>
          <w:rFonts w:ascii="Times New Roman" w:hAnsi="Times New Roman" w:cs="Times New Roman"/>
          <w:noProof/>
          <w:color w:val="000000" w:themeColor="text1"/>
          <w:sz w:val="22"/>
          <w:szCs w:val="22"/>
        </w:rPr>
        <w:drawing>
          <wp:inline distT="0" distB="0" distL="0" distR="0" wp14:anchorId="3AFFE12E" wp14:editId="056E7AA8">
            <wp:extent cx="4907280" cy="344835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png_hires/Fig_S2_cd_diagram.png"/>
                    <pic:cNvPicPr>
                      <a:picLocks noChangeAspect="1" noChangeArrowheads="1"/>
                    </pic:cNvPicPr>
                  </pic:nvPicPr>
                  <pic:blipFill>
                    <a:blip r:embed="rId8"/>
                    <a:stretch>
                      <a:fillRect/>
                    </a:stretch>
                  </pic:blipFill>
                  <pic:spPr bwMode="auto">
                    <a:xfrm>
                      <a:off x="0" y="0"/>
                      <a:ext cx="4907280" cy="3448358"/>
                    </a:xfrm>
                    <a:prstGeom prst="rect">
                      <a:avLst/>
                    </a:prstGeom>
                    <a:noFill/>
                    <a:ln w="9525">
                      <a:noFill/>
                      <a:headEnd/>
                      <a:tailEnd/>
                    </a:ln>
                  </pic:spPr>
                </pic:pic>
              </a:graphicData>
            </a:graphic>
          </wp:inline>
        </w:drawing>
      </w:r>
    </w:p>
    <w:p w14:paraId="74151345" w14:textId="77777777" w:rsidR="00E373E4" w:rsidRPr="0069403C" w:rsidRDefault="00000000" w:rsidP="0069403C">
      <w:pPr>
        <w:pStyle w:val="ImageCaption"/>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 xml:space="preserve">Figura 2: </w:t>
      </w:r>
      <w:r w:rsidRPr="0069403C">
        <w:rPr>
          <w:rFonts w:ascii="Times New Roman" w:hAnsi="Times New Roman" w:cs="Times New Roman"/>
          <w:color w:val="000000" w:themeColor="text1"/>
          <w:sz w:val="22"/>
          <w:szCs w:val="22"/>
          <w:lang w:val="es-CO"/>
        </w:rPr>
        <w:t xml:space="preserve">Estudio 1: diagrama de diferencia crítica de Friedman–Nemenyi para la robustez (rangos de RI; izquierda = más robusto). El solucionador exacto (CP-SAT, 10.14) y el GA (9.82) son los dos métodos menos robustos, separados de las nueve reglas de despacho (3.95–5.77) por mucho más que la diferencia crítica </w:t>
      </w:r>
      <m:oMath>
        <m:r>
          <w:rPr>
            <w:rFonts w:ascii="Cambria Math" w:hAnsi="Cambria Math" w:cs="Times New Roman"/>
            <w:color w:val="000000" w:themeColor="text1"/>
            <w:sz w:val="22"/>
            <w:szCs w:val="22"/>
          </w:rPr>
          <m:t>CD</m:t>
        </m:r>
        <m:r>
          <w:rPr>
            <w:rFonts w:ascii="Cambria Math" w:hAnsi="Cambria Math" w:cs="Times New Roman"/>
            <w:color w:val="000000" w:themeColor="text1"/>
            <w:sz w:val="22"/>
            <w:szCs w:val="22"/>
            <w:lang w:val="es-CO"/>
          </w:rPr>
          <m:t>=1.26</m:t>
        </m:r>
      </m:oMath>
      <w:r w:rsidRPr="0069403C">
        <w:rPr>
          <w:rFonts w:ascii="Times New Roman" w:hAnsi="Times New Roman" w:cs="Times New Roman"/>
          <w:color w:val="000000" w:themeColor="text1"/>
          <w:sz w:val="22"/>
          <w:szCs w:val="22"/>
          <w:lang w:val="es-CO"/>
        </w:rPr>
        <w:t>.</w:t>
      </w:r>
    </w:p>
    <w:p w14:paraId="679143E3"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El orden es consistente por clase y severidad de disrupción, y la brecha se amplía con la severidad: bajo averías, el RI del programa exacto asciende de </w:t>
      </w:r>
      <m:oMath>
        <m:r>
          <w:rPr>
            <w:rFonts w:ascii="Cambria Math" w:hAnsi="Cambria Math" w:cs="Times New Roman"/>
            <w:color w:val="000000" w:themeColor="text1"/>
            <w:sz w:val="22"/>
            <w:szCs w:val="22"/>
            <w:lang w:val="es-CO"/>
          </w:rPr>
          <m:t>0.19</m:t>
        </m:r>
      </m:oMath>
      <w:r w:rsidRPr="0069403C">
        <w:rPr>
          <w:rFonts w:ascii="Times New Roman" w:hAnsi="Times New Roman" w:cs="Times New Roman"/>
          <w:color w:val="000000" w:themeColor="text1"/>
          <w:sz w:val="22"/>
          <w:szCs w:val="22"/>
          <w:lang w:val="es-CO"/>
        </w:rPr>
        <w:t xml:space="preserve">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A</m:t>
            </m:r>
          </m:e>
          <m:sub>
            <m:r>
              <w:rPr>
                <w:rFonts w:ascii="Cambria Math" w:hAnsi="Cambria Math" w:cs="Times New Roman"/>
                <w:color w:val="000000" w:themeColor="text1"/>
                <w:sz w:val="22"/>
                <w:szCs w:val="22"/>
              </w:rPr>
              <m:t>k</m:t>
            </m:r>
          </m:sub>
        </m:sSub>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0.95</m:t>
        </m:r>
      </m:oMath>
      <w:r w:rsidRPr="0069403C">
        <w:rPr>
          <w:rFonts w:ascii="Times New Roman" w:hAnsi="Times New Roman" w:cs="Times New Roman"/>
          <w:color w:val="000000" w:themeColor="text1"/>
          <w:sz w:val="22"/>
          <w:szCs w:val="22"/>
          <w:lang w:val="es-CO"/>
        </w:rPr>
        <w:t xml:space="preserve">) a </w:t>
      </w:r>
      <m:oMath>
        <m:r>
          <w:rPr>
            <w:rFonts w:ascii="Cambria Math" w:hAnsi="Cambria Math" w:cs="Times New Roman"/>
            <w:color w:val="000000" w:themeColor="text1"/>
            <w:sz w:val="22"/>
            <w:szCs w:val="22"/>
            <w:lang w:val="es-CO"/>
          </w:rPr>
          <m:t>0.69</m:t>
        </m:r>
      </m:oMath>
      <w:r w:rsidRPr="0069403C">
        <w:rPr>
          <w:rFonts w:ascii="Times New Roman" w:hAnsi="Times New Roman" w:cs="Times New Roman"/>
          <w:color w:val="000000" w:themeColor="text1"/>
          <w:sz w:val="22"/>
          <w:szCs w:val="22"/>
          <w:lang w:val="es-CO"/>
        </w:rPr>
        <w:t xml:space="preserve">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A</m:t>
            </m:r>
          </m:e>
          <m:sub>
            <m:r>
              <w:rPr>
                <w:rFonts w:ascii="Cambria Math" w:hAnsi="Cambria Math" w:cs="Times New Roman"/>
                <w:color w:val="000000" w:themeColor="text1"/>
                <w:sz w:val="22"/>
                <w:szCs w:val="22"/>
              </w:rPr>
              <m:t>k</m:t>
            </m:r>
          </m:sub>
        </m:sSub>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0.80</m:t>
        </m:r>
      </m:oMath>
      <w:r w:rsidRPr="0069403C">
        <w:rPr>
          <w:rFonts w:ascii="Times New Roman" w:hAnsi="Times New Roman" w:cs="Times New Roman"/>
          <w:color w:val="000000" w:themeColor="text1"/>
          <w:sz w:val="22"/>
          <w:szCs w:val="22"/>
          <w:lang w:val="es-CO"/>
        </w:rPr>
        <w:t xml:space="preserve">), frente a </w:t>
      </w:r>
      <m:oMath>
        <m:r>
          <w:rPr>
            <w:rFonts w:ascii="Cambria Math" w:hAnsi="Cambria Math" w:cs="Times New Roman"/>
            <w:color w:val="000000" w:themeColor="text1"/>
            <w:sz w:val="22"/>
            <w:szCs w:val="22"/>
            <w:lang w:val="es-CO"/>
          </w:rPr>
          <m:t>0.09</m:t>
        </m:r>
      </m:oMath>
      <w:r w:rsidRPr="0069403C">
        <w:rPr>
          <w:rFonts w:ascii="Times New Roman" w:hAnsi="Times New Roman" w:cs="Times New Roman"/>
          <w:color w:val="000000" w:themeColor="text1"/>
          <w:sz w:val="22"/>
          <w:szCs w:val="22"/>
          <w:lang w:val="es-CO"/>
        </w:rPr>
        <w:t xml:space="preserve"> a </w:t>
      </w:r>
      <m:oMath>
        <m:r>
          <w:rPr>
            <w:rFonts w:ascii="Cambria Math" w:hAnsi="Cambria Math" w:cs="Times New Roman"/>
            <w:color w:val="000000" w:themeColor="text1"/>
            <w:sz w:val="22"/>
            <w:szCs w:val="22"/>
            <w:lang w:val="es-CO"/>
          </w:rPr>
          <m:t>0.44</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0.49</m:t>
        </m:r>
      </m:oMath>
      <w:r w:rsidRPr="0069403C">
        <w:rPr>
          <w:rFonts w:ascii="Times New Roman" w:hAnsi="Times New Roman" w:cs="Times New Roman"/>
          <w:color w:val="000000" w:themeColor="text1"/>
          <w:sz w:val="22"/>
          <w:szCs w:val="22"/>
          <w:lang w:val="es-CO"/>
        </w:rPr>
        <w:t xml:space="preserve"> para las reglas; el eje de llegadas es el más punitivo para todos los métodos (RI </w:t>
      </w:r>
      <m:oMath>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1.6</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1.7</m:t>
        </m:r>
      </m:oMath>
      <w:r w:rsidRPr="0069403C">
        <w:rPr>
          <w:rFonts w:ascii="Times New Roman" w:hAnsi="Times New Roman" w:cs="Times New Roman"/>
          <w:color w:val="000000" w:themeColor="text1"/>
          <w:sz w:val="22"/>
          <w:szCs w:val="22"/>
          <w:lang w:val="es-CO"/>
        </w:rPr>
        <w:t xml:space="preserve"> para los programas comprometidos) precisamente porque un trabajo que llega no puede ser anticipado por ningún plan precalculado.</w:t>
      </w:r>
    </w:p>
    <w:p w14:paraId="4AE64530"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17" w:name="sec:s1realized"/>
      <w:bookmarkEnd w:id="16"/>
      <w:r w:rsidRPr="0069403C">
        <w:rPr>
          <w:rFonts w:ascii="Times New Roman" w:hAnsi="Times New Roman" w:cs="Times New Roman"/>
          <w:color w:val="000000" w:themeColor="text1"/>
          <w:sz w:val="22"/>
          <w:szCs w:val="22"/>
          <w:lang w:val="es-CO"/>
        </w:rPr>
        <w:t>Calidad realizada: la ventaja del solucionador exacto no sobrevive a la ejecución</w:t>
      </w:r>
    </w:p>
    <w:p w14:paraId="7EF92796"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 degradación relativa normaliza el punto de partida de cada método, por lo que la pregunta decisiva es la calidad realizada: una vez disrumpido, ¿qué método realmente entrega los programas más cortos? La Figura </w:t>
      </w:r>
      <w:hyperlink w:anchor="fig:s1_realized">
        <w:r w:rsidRPr="0069403C">
          <w:rPr>
            <w:rStyle w:val="Hipervnculo"/>
            <w:rFonts w:ascii="Times New Roman" w:hAnsi="Times New Roman" w:cs="Times New Roman"/>
            <w:color w:val="000000" w:themeColor="text1"/>
            <w:sz w:val="22"/>
            <w:szCs w:val="22"/>
            <w:lang w:val="es-CO"/>
          </w:rPr>
          <w:t>3</w:t>
        </w:r>
      </w:hyperlink>
      <w:r w:rsidRPr="0069403C">
        <w:rPr>
          <w:rFonts w:ascii="Times New Roman" w:hAnsi="Times New Roman" w:cs="Times New Roman"/>
          <w:color w:val="000000" w:themeColor="text1"/>
          <w:sz w:val="22"/>
          <w:szCs w:val="22"/>
          <w:lang w:val="es-CO"/>
        </w:rPr>
        <w:t xml:space="preserve"> y la Tabla </w:t>
      </w:r>
      <w:hyperlink w:anchor="tab:s1_full">
        <w:r w:rsidRPr="0069403C">
          <w:rPr>
            <w:rStyle w:val="Hipervnculo"/>
            <w:rFonts w:ascii="Times New Roman" w:hAnsi="Times New Roman" w:cs="Times New Roman"/>
            <w:color w:val="000000" w:themeColor="text1"/>
            <w:sz w:val="22"/>
            <w:szCs w:val="22"/>
            <w:lang w:val="es-CO"/>
          </w:rPr>
          <w:t>3</w:t>
        </w:r>
      </w:hyperlink>
      <w:r w:rsidRPr="0069403C">
        <w:rPr>
          <w:rFonts w:ascii="Times New Roman" w:hAnsi="Times New Roman" w:cs="Times New Roman"/>
          <w:color w:val="000000" w:themeColor="text1"/>
          <w:sz w:val="22"/>
          <w:szCs w:val="22"/>
          <w:lang w:val="es-CO"/>
        </w:rPr>
        <w:t xml:space="preserve"> responden a esto. La ventaja nominal dominante del solucionador exacto (3.08% frente a 12.07% para MWKR) colapsa y, bajo dos de las tres clases de disrupción, se revierte. Bajo </w:t>
      </w:r>
      <w:r w:rsidRPr="0069403C">
        <w:rPr>
          <w:rFonts w:ascii="Times New Roman" w:hAnsi="Times New Roman" w:cs="Times New Roman"/>
          <w:b/>
          <w:bCs/>
          <w:color w:val="000000" w:themeColor="text1"/>
          <w:sz w:val="22"/>
          <w:szCs w:val="22"/>
          <w:lang w:val="es-CO"/>
        </w:rPr>
        <w:t>averías de máquina</w:t>
      </w:r>
      <w:r w:rsidRPr="0069403C">
        <w:rPr>
          <w:rFonts w:ascii="Times New Roman" w:hAnsi="Times New Roman" w:cs="Times New Roman"/>
          <w:color w:val="000000" w:themeColor="text1"/>
          <w:sz w:val="22"/>
          <w:szCs w:val="22"/>
          <w:lang w:val="es-CO"/>
        </w:rPr>
        <w:t xml:space="preserve">, las reglas de más-trabajo-restante y más-operaciones-restantes superan al programa exacto en desviación media realizada (42.97% y 43.20% frente a 46.07%); el GA, el segundo mejor método nominal, es el peor de estos cinco (49.90%). Bajo </w:t>
      </w:r>
      <w:r w:rsidRPr="0069403C">
        <w:rPr>
          <w:rFonts w:ascii="Times New Roman" w:hAnsi="Times New Roman" w:cs="Times New Roman"/>
          <w:b/>
          <w:bCs/>
          <w:color w:val="000000" w:themeColor="text1"/>
          <w:sz w:val="22"/>
          <w:szCs w:val="22"/>
          <w:lang w:val="es-CO"/>
        </w:rPr>
        <w:t>tiempos de proceso estocásticos</w:t>
      </w:r>
      <w:r w:rsidRPr="0069403C">
        <w:rPr>
          <w:rFonts w:ascii="Times New Roman" w:hAnsi="Times New Roman" w:cs="Times New Roman"/>
          <w:color w:val="000000" w:themeColor="text1"/>
          <w:sz w:val="22"/>
          <w:szCs w:val="22"/>
          <w:lang w:val="es-CO"/>
        </w:rPr>
        <w:t xml:space="preserve">, el programa exacto conserva una ventaja estrecha (13.94% </w:t>
      </w:r>
      <w:r w:rsidRPr="0069403C">
        <w:rPr>
          <w:rFonts w:ascii="Times New Roman" w:hAnsi="Times New Roman" w:cs="Times New Roman"/>
          <w:color w:val="000000" w:themeColor="text1"/>
          <w:sz w:val="22"/>
          <w:szCs w:val="22"/>
          <w:lang w:val="es-CO"/>
        </w:rPr>
        <w:lastRenderedPageBreak/>
        <w:t xml:space="preserve">frente a 16.53% para MWKR), pero el margen nominal de aproximadamente nueve puntos porcentuales se ha reducido a menos de tres. Bajo </w:t>
      </w:r>
      <w:r w:rsidRPr="0069403C">
        <w:rPr>
          <w:rFonts w:ascii="Times New Roman" w:hAnsi="Times New Roman" w:cs="Times New Roman"/>
          <w:b/>
          <w:bCs/>
          <w:color w:val="000000" w:themeColor="text1"/>
          <w:sz w:val="22"/>
          <w:szCs w:val="22"/>
          <w:lang w:val="es-CO"/>
        </w:rPr>
        <w:t>llegadas dinámicas</w:t>
      </w:r>
      <w:r w:rsidRPr="0069403C">
        <w:rPr>
          <w:rFonts w:ascii="Times New Roman" w:hAnsi="Times New Roman" w:cs="Times New Roman"/>
          <w:color w:val="000000" w:themeColor="text1"/>
          <w:sz w:val="22"/>
          <w:szCs w:val="22"/>
          <w:lang w:val="es-CO"/>
        </w:rPr>
        <w:t>, la reversión es contundente: cinco de las nueve reglas de despacho — MOR (147.59%), MWKR (147.72%), FIFO (159.39%), SPT (160.06%) e incluso EDD (167.23%), la regla más débil en datos nominales — superan tanto al solucionador exacto (175.30%) como al GA (177.02%), porque un programa comprometido no puede planificar para trabajos que nunca ha visto.</w:t>
      </w:r>
    </w:p>
    <w:p w14:paraId="3770ADF0" w14:textId="77777777" w:rsidR="00E373E4" w:rsidRPr="0069403C" w:rsidRDefault="00000000" w:rsidP="0069403C">
      <w:pPr>
        <w:pStyle w:val="CaptionedFigure"/>
        <w:rPr>
          <w:rFonts w:ascii="Times New Roman" w:hAnsi="Times New Roman" w:cs="Times New Roman"/>
          <w:color w:val="000000" w:themeColor="text1"/>
          <w:sz w:val="22"/>
          <w:szCs w:val="22"/>
        </w:rPr>
      </w:pPr>
      <w:r w:rsidRPr="0069403C">
        <w:rPr>
          <w:rFonts w:ascii="Times New Roman" w:hAnsi="Times New Roman" w:cs="Times New Roman"/>
          <w:noProof/>
          <w:color w:val="000000" w:themeColor="text1"/>
          <w:sz w:val="22"/>
          <w:szCs w:val="22"/>
        </w:rPr>
        <w:drawing>
          <wp:inline distT="0" distB="0" distL="0" distR="0" wp14:anchorId="7A642371" wp14:editId="6EB0B0E4">
            <wp:extent cx="5227320" cy="2940367"/>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png_hires/Fig_S4_realized_quality.png"/>
                    <pic:cNvPicPr>
                      <a:picLocks noChangeAspect="1" noChangeArrowheads="1"/>
                    </pic:cNvPicPr>
                  </pic:nvPicPr>
                  <pic:blipFill>
                    <a:blip r:embed="rId9"/>
                    <a:stretch>
                      <a:fillRect/>
                    </a:stretch>
                  </pic:blipFill>
                  <pic:spPr bwMode="auto">
                    <a:xfrm>
                      <a:off x="0" y="0"/>
                      <a:ext cx="5227320" cy="2940367"/>
                    </a:xfrm>
                    <a:prstGeom prst="rect">
                      <a:avLst/>
                    </a:prstGeom>
                    <a:noFill/>
                    <a:ln w="9525">
                      <a:noFill/>
                      <a:headEnd/>
                      <a:tailEnd/>
                    </a:ln>
                  </pic:spPr>
                </pic:pic>
              </a:graphicData>
            </a:graphic>
          </wp:inline>
        </w:drawing>
      </w:r>
    </w:p>
    <w:p w14:paraId="78CDA12F" w14:textId="77777777" w:rsidR="00E373E4" w:rsidRPr="0069403C" w:rsidRDefault="00000000" w:rsidP="0069403C">
      <w:pPr>
        <w:pStyle w:val="ImageCaption"/>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 xml:space="preserve">Figura 3: </w:t>
      </w:r>
      <w:r w:rsidRPr="0069403C">
        <w:rPr>
          <w:rFonts w:ascii="Times New Roman" w:hAnsi="Times New Roman" w:cs="Times New Roman"/>
          <w:color w:val="000000" w:themeColor="text1"/>
          <w:sz w:val="22"/>
          <w:szCs w:val="22"/>
          <w:lang w:val="es-CO"/>
        </w:rPr>
        <w:t>Estudio 1: calidad realizada (RPD media respecto al óptimo certificado) por clase de disrupción para cuatro métodos representativos. El solucionador exacto domina solo nominalmente; MWKR lo supera bajo averías y, junto con FIFO, domina bajo llegadas.</w:t>
      </w:r>
    </w:p>
    <w:p w14:paraId="03AD6F7B" w14:textId="77777777" w:rsidR="00E373E4" w:rsidRPr="0069403C" w:rsidRDefault="00000000" w:rsidP="0069403C">
      <w:pPr>
        <w:pStyle w:val="TableCaption"/>
        <w:rPr>
          <w:rFonts w:ascii="Times New Roman" w:hAnsi="Times New Roman" w:cs="Times New Roman"/>
          <w:color w:val="000000" w:themeColor="text1"/>
          <w:sz w:val="22"/>
          <w:szCs w:val="22"/>
          <w:lang w:val="es-CO"/>
        </w:rPr>
      </w:pPr>
      <w:bookmarkStart w:id="18" w:name="tab:s1_full"/>
      <w:r w:rsidRPr="0069403C">
        <w:rPr>
          <w:rFonts w:ascii="Times New Roman" w:hAnsi="Times New Roman" w:cs="Times New Roman"/>
          <w:b/>
          <w:bCs/>
          <w:color w:val="000000" w:themeColor="text1"/>
          <w:sz w:val="22"/>
          <w:szCs w:val="22"/>
          <w:lang w:val="es-CO"/>
        </w:rPr>
        <w:t xml:space="preserve">Tabla 3: </w:t>
      </w:r>
      <w:r w:rsidRPr="0069403C">
        <w:rPr>
          <w:rFonts w:ascii="Times New Roman" w:hAnsi="Times New Roman" w:cs="Times New Roman"/>
          <w:color w:val="000000" w:themeColor="text1"/>
          <w:sz w:val="22"/>
          <w:szCs w:val="22"/>
          <w:lang w:val="es-CO"/>
        </w:rPr>
        <w:t xml:space="preserve">Estudio 1: calidad nominal, robustez y calidad realizada bajo disrupción, por método (medias sobre 16 instancias; los valores realizados son la RPD media respecto al óptimo certificado, %). Menor es mejor en todos los casos. Mejor valor de cada columna en </w:t>
      </w:r>
      <w:r w:rsidRPr="0069403C">
        <w:rPr>
          <w:rFonts w:ascii="Times New Roman" w:hAnsi="Times New Roman" w:cs="Times New Roman"/>
          <w:b/>
          <w:bCs/>
          <w:color w:val="000000" w:themeColor="text1"/>
          <w:sz w:val="22"/>
          <w:szCs w:val="22"/>
          <w:lang w:val="es-CO"/>
        </w:rPr>
        <w:t>negrita</w:t>
      </w:r>
      <w:r w:rsidRPr="0069403C">
        <w:rPr>
          <w:rFonts w:ascii="Times New Roman" w:hAnsi="Times New Roman" w:cs="Times New Roman"/>
          <w:color w:val="000000" w:themeColor="text1"/>
          <w:sz w:val="22"/>
          <w:szCs w:val="22"/>
          <w:lang w:val="es-CO"/>
        </w:rPr>
        <w:t>.</w:t>
      </w:r>
    </w:p>
    <w:tbl>
      <w:tblPr>
        <w:tblStyle w:val="Table"/>
        <w:tblW w:w="0" w:type="auto"/>
        <w:tblLook w:val="0020" w:firstRow="1" w:lastRow="0" w:firstColumn="0" w:lastColumn="0" w:noHBand="0" w:noVBand="0"/>
      </w:tblPr>
      <w:tblGrid>
        <w:gridCol w:w="1334"/>
        <w:gridCol w:w="1235"/>
        <w:gridCol w:w="1011"/>
        <w:gridCol w:w="1605"/>
        <w:gridCol w:w="1151"/>
        <w:gridCol w:w="1481"/>
        <w:gridCol w:w="1237"/>
      </w:tblGrid>
      <w:tr w:rsidR="00E373E4" w:rsidRPr="0069403C" w14:paraId="22BB41FF" w14:textId="77777777" w:rsidTr="00E373E4">
        <w:trPr>
          <w:cnfStyle w:val="100000000000" w:firstRow="1" w:lastRow="0" w:firstColumn="0" w:lastColumn="0" w:oddVBand="0" w:evenVBand="0" w:oddHBand="0" w:evenHBand="0" w:firstRowFirstColumn="0" w:firstRowLastColumn="0" w:lastRowFirstColumn="0" w:lastRowLastColumn="0"/>
          <w:tblHeader/>
        </w:trPr>
        <w:tc>
          <w:tcPr>
            <w:tcW w:w="0" w:type="auto"/>
          </w:tcPr>
          <w:p w14:paraId="2F9A6846" w14:textId="77777777" w:rsidR="00E373E4" w:rsidRPr="0069403C" w:rsidRDefault="00000000" w:rsidP="0069403C">
            <w:pPr>
              <w:pStyle w:val="Compact"/>
              <w:rPr>
                <w:rFonts w:ascii="Times New Roman" w:hAnsi="Times New Roman" w:cs="Times New Roman"/>
                <w:color w:val="000000" w:themeColor="text1"/>
                <w:sz w:val="22"/>
                <w:szCs w:val="22"/>
              </w:rPr>
            </w:pPr>
            <w:proofErr w:type="spellStart"/>
            <w:r w:rsidRPr="0069403C">
              <w:rPr>
                <w:rFonts w:ascii="Times New Roman" w:hAnsi="Times New Roman" w:cs="Times New Roman"/>
                <w:b/>
                <w:bCs/>
                <w:color w:val="000000" w:themeColor="text1"/>
                <w:sz w:val="22"/>
                <w:szCs w:val="22"/>
              </w:rPr>
              <w:t>Método</w:t>
            </w:r>
            <w:proofErr w:type="spellEnd"/>
          </w:p>
        </w:tc>
        <w:tc>
          <w:tcPr>
            <w:tcW w:w="0" w:type="auto"/>
          </w:tcPr>
          <w:p w14:paraId="519F0DCF"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RPD nominal</w:t>
            </w:r>
          </w:p>
        </w:tc>
        <w:tc>
          <w:tcPr>
            <w:tcW w:w="0" w:type="auto"/>
          </w:tcPr>
          <w:p w14:paraId="5DE1A9DF"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RI (todos)</w:t>
            </w:r>
          </w:p>
        </w:tc>
        <w:tc>
          <w:tcPr>
            <w:tcW w:w="0" w:type="auto"/>
          </w:tcPr>
          <w:p w14:paraId="353EAA87"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Rango de Friedman</w:t>
            </w:r>
          </w:p>
        </w:tc>
        <w:tc>
          <w:tcPr>
            <w:tcW w:w="0" w:type="auto"/>
          </w:tcPr>
          <w:p w14:paraId="4020C0B4"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Real. averías</w:t>
            </w:r>
          </w:p>
        </w:tc>
        <w:tc>
          <w:tcPr>
            <w:tcW w:w="0" w:type="auto"/>
          </w:tcPr>
          <w:p w14:paraId="438D940E"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Real. estocástico</w:t>
            </w:r>
          </w:p>
        </w:tc>
        <w:tc>
          <w:tcPr>
            <w:tcW w:w="0" w:type="auto"/>
          </w:tcPr>
          <w:p w14:paraId="2975AEAF"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Real. llegadas</w:t>
            </w:r>
          </w:p>
        </w:tc>
      </w:tr>
      <w:tr w:rsidR="00E373E4" w:rsidRPr="0069403C" w14:paraId="3BB2821B" w14:textId="77777777">
        <w:tc>
          <w:tcPr>
            <w:tcW w:w="0" w:type="auto"/>
          </w:tcPr>
          <w:p w14:paraId="04DFA5FD"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CP-SAT (exacto)</w:t>
            </w:r>
          </w:p>
        </w:tc>
        <w:tc>
          <w:tcPr>
            <w:tcW w:w="0" w:type="auto"/>
          </w:tcPr>
          <w:p w14:paraId="12EF7FEE"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3.08</w:t>
            </w:r>
          </w:p>
        </w:tc>
        <w:tc>
          <w:tcPr>
            <w:tcW w:w="0" w:type="auto"/>
          </w:tcPr>
          <w:p w14:paraId="090B769A"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0.732</w:t>
            </w:r>
          </w:p>
        </w:tc>
        <w:tc>
          <w:tcPr>
            <w:tcW w:w="0" w:type="auto"/>
          </w:tcPr>
          <w:p w14:paraId="17D19AB6"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10.14</w:t>
            </w:r>
          </w:p>
        </w:tc>
        <w:tc>
          <w:tcPr>
            <w:tcW w:w="0" w:type="auto"/>
          </w:tcPr>
          <w:p w14:paraId="5F28E466"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46.07</w:t>
            </w:r>
          </w:p>
        </w:tc>
        <w:tc>
          <w:tcPr>
            <w:tcW w:w="0" w:type="auto"/>
          </w:tcPr>
          <w:p w14:paraId="3ECF044E"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13.94</w:t>
            </w:r>
          </w:p>
        </w:tc>
        <w:tc>
          <w:tcPr>
            <w:tcW w:w="0" w:type="auto"/>
          </w:tcPr>
          <w:p w14:paraId="26E509B7"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175.30</w:t>
            </w:r>
          </w:p>
        </w:tc>
      </w:tr>
      <w:tr w:rsidR="00E373E4" w:rsidRPr="0069403C" w14:paraId="47C6E99A" w14:textId="77777777">
        <w:tc>
          <w:tcPr>
            <w:tcW w:w="0" w:type="auto"/>
          </w:tcPr>
          <w:p w14:paraId="4A360A5E"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GA</w:t>
            </w:r>
          </w:p>
        </w:tc>
        <w:tc>
          <w:tcPr>
            <w:tcW w:w="0" w:type="auto"/>
          </w:tcPr>
          <w:p w14:paraId="163899B5"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6.28</w:t>
            </w:r>
          </w:p>
        </w:tc>
        <w:tc>
          <w:tcPr>
            <w:tcW w:w="0" w:type="auto"/>
          </w:tcPr>
          <w:p w14:paraId="146D7B44"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0.708</w:t>
            </w:r>
          </w:p>
        </w:tc>
        <w:tc>
          <w:tcPr>
            <w:tcW w:w="0" w:type="auto"/>
          </w:tcPr>
          <w:p w14:paraId="471E904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9.82</w:t>
            </w:r>
          </w:p>
        </w:tc>
        <w:tc>
          <w:tcPr>
            <w:tcW w:w="0" w:type="auto"/>
          </w:tcPr>
          <w:p w14:paraId="7A91026C"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49.90</w:t>
            </w:r>
          </w:p>
        </w:tc>
        <w:tc>
          <w:tcPr>
            <w:tcW w:w="0" w:type="auto"/>
          </w:tcPr>
          <w:p w14:paraId="2816F04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16.81</w:t>
            </w:r>
          </w:p>
        </w:tc>
        <w:tc>
          <w:tcPr>
            <w:tcW w:w="0" w:type="auto"/>
          </w:tcPr>
          <w:p w14:paraId="130BD3BE"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177.02</w:t>
            </w:r>
          </w:p>
        </w:tc>
      </w:tr>
      <w:tr w:rsidR="00E373E4" w:rsidRPr="0069403C" w14:paraId="6F16AD49" w14:textId="77777777">
        <w:tc>
          <w:tcPr>
            <w:tcW w:w="0" w:type="auto"/>
          </w:tcPr>
          <w:p w14:paraId="34FCA106"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MWKR</w:t>
            </w:r>
          </w:p>
        </w:tc>
        <w:tc>
          <w:tcPr>
            <w:tcW w:w="0" w:type="auto"/>
          </w:tcPr>
          <w:p w14:paraId="5ABA221E"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12.07</w:t>
            </w:r>
          </w:p>
        </w:tc>
        <w:tc>
          <w:tcPr>
            <w:tcW w:w="0" w:type="auto"/>
          </w:tcPr>
          <w:p w14:paraId="31BBC8EB"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0.512</w:t>
            </w:r>
          </w:p>
        </w:tc>
        <w:tc>
          <w:tcPr>
            <w:tcW w:w="0" w:type="auto"/>
          </w:tcPr>
          <w:p w14:paraId="0C17A80E"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5.44</w:t>
            </w:r>
          </w:p>
        </w:tc>
        <w:tc>
          <w:tcPr>
            <w:tcW w:w="0" w:type="auto"/>
          </w:tcPr>
          <w:p w14:paraId="0296DBE9"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42.97</w:t>
            </w:r>
          </w:p>
        </w:tc>
        <w:tc>
          <w:tcPr>
            <w:tcW w:w="0" w:type="auto"/>
          </w:tcPr>
          <w:p w14:paraId="707F1D4F"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16.53</w:t>
            </w:r>
          </w:p>
        </w:tc>
        <w:tc>
          <w:tcPr>
            <w:tcW w:w="0" w:type="auto"/>
          </w:tcPr>
          <w:p w14:paraId="57944B39"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147.72</w:t>
            </w:r>
          </w:p>
        </w:tc>
      </w:tr>
      <w:tr w:rsidR="00E373E4" w:rsidRPr="0069403C" w14:paraId="141E7157" w14:textId="77777777">
        <w:tc>
          <w:tcPr>
            <w:tcW w:w="0" w:type="auto"/>
          </w:tcPr>
          <w:p w14:paraId="5402B2B8"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MOR</w:t>
            </w:r>
          </w:p>
        </w:tc>
        <w:tc>
          <w:tcPr>
            <w:tcW w:w="0" w:type="auto"/>
          </w:tcPr>
          <w:p w14:paraId="068F1796"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14.15</w:t>
            </w:r>
          </w:p>
        </w:tc>
        <w:tc>
          <w:tcPr>
            <w:tcW w:w="0" w:type="auto"/>
          </w:tcPr>
          <w:p w14:paraId="3A8887B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0.493</w:t>
            </w:r>
          </w:p>
        </w:tc>
        <w:tc>
          <w:tcPr>
            <w:tcW w:w="0" w:type="auto"/>
          </w:tcPr>
          <w:p w14:paraId="22CA85F7"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5.05</w:t>
            </w:r>
          </w:p>
        </w:tc>
        <w:tc>
          <w:tcPr>
            <w:tcW w:w="0" w:type="auto"/>
          </w:tcPr>
          <w:p w14:paraId="4E822773"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43.20</w:t>
            </w:r>
          </w:p>
        </w:tc>
        <w:tc>
          <w:tcPr>
            <w:tcW w:w="0" w:type="auto"/>
          </w:tcPr>
          <w:p w14:paraId="723054FE"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17.74</w:t>
            </w:r>
          </w:p>
        </w:tc>
        <w:tc>
          <w:tcPr>
            <w:tcW w:w="0" w:type="auto"/>
          </w:tcPr>
          <w:p w14:paraId="43399BE5"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147.59</w:t>
            </w:r>
          </w:p>
        </w:tc>
      </w:tr>
      <w:tr w:rsidR="00E373E4" w:rsidRPr="0069403C" w14:paraId="24179091" w14:textId="77777777">
        <w:tc>
          <w:tcPr>
            <w:tcW w:w="0" w:type="auto"/>
          </w:tcPr>
          <w:p w14:paraId="6EEEE594"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FIFO</w:t>
            </w:r>
          </w:p>
        </w:tc>
        <w:tc>
          <w:tcPr>
            <w:tcW w:w="0" w:type="auto"/>
          </w:tcPr>
          <w:p w14:paraId="5DEA49D6"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17.59</w:t>
            </w:r>
          </w:p>
        </w:tc>
        <w:tc>
          <w:tcPr>
            <w:tcW w:w="0" w:type="auto"/>
          </w:tcPr>
          <w:p w14:paraId="001F8651"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0.504</w:t>
            </w:r>
          </w:p>
        </w:tc>
        <w:tc>
          <w:tcPr>
            <w:tcW w:w="0" w:type="auto"/>
          </w:tcPr>
          <w:p w14:paraId="5470704C"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5.77</w:t>
            </w:r>
          </w:p>
        </w:tc>
        <w:tc>
          <w:tcPr>
            <w:tcW w:w="0" w:type="auto"/>
          </w:tcPr>
          <w:p w14:paraId="7890E727"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48.37</w:t>
            </w:r>
          </w:p>
        </w:tc>
        <w:tc>
          <w:tcPr>
            <w:tcW w:w="0" w:type="auto"/>
          </w:tcPr>
          <w:p w14:paraId="6A00BFB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21.52</w:t>
            </w:r>
          </w:p>
        </w:tc>
        <w:tc>
          <w:tcPr>
            <w:tcW w:w="0" w:type="auto"/>
          </w:tcPr>
          <w:p w14:paraId="39C70BAC"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159.39</w:t>
            </w:r>
          </w:p>
        </w:tc>
      </w:tr>
      <w:tr w:rsidR="00E373E4" w:rsidRPr="0069403C" w14:paraId="40B22974" w14:textId="77777777">
        <w:tc>
          <w:tcPr>
            <w:tcW w:w="0" w:type="auto"/>
          </w:tcPr>
          <w:p w14:paraId="3711BE4D"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SPT</w:t>
            </w:r>
          </w:p>
        </w:tc>
        <w:tc>
          <w:tcPr>
            <w:tcW w:w="0" w:type="auto"/>
          </w:tcPr>
          <w:p w14:paraId="3EBE6F95"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21.45</w:t>
            </w:r>
          </w:p>
        </w:tc>
        <w:tc>
          <w:tcPr>
            <w:tcW w:w="0" w:type="auto"/>
          </w:tcPr>
          <w:p w14:paraId="2ACB7847"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0.484</w:t>
            </w:r>
          </w:p>
        </w:tc>
        <w:tc>
          <w:tcPr>
            <w:tcW w:w="0" w:type="auto"/>
          </w:tcPr>
          <w:p w14:paraId="5AD20AC4"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5.28</w:t>
            </w:r>
          </w:p>
        </w:tc>
        <w:tc>
          <w:tcPr>
            <w:tcW w:w="0" w:type="auto"/>
          </w:tcPr>
          <w:p w14:paraId="46F3EC47"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53.22</w:t>
            </w:r>
          </w:p>
        </w:tc>
        <w:tc>
          <w:tcPr>
            <w:tcW w:w="0" w:type="auto"/>
          </w:tcPr>
          <w:p w14:paraId="16BC28ED"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24.75</w:t>
            </w:r>
          </w:p>
        </w:tc>
        <w:tc>
          <w:tcPr>
            <w:tcW w:w="0" w:type="auto"/>
          </w:tcPr>
          <w:p w14:paraId="4B7ACA5D"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160.06</w:t>
            </w:r>
          </w:p>
        </w:tc>
      </w:tr>
      <w:tr w:rsidR="00E373E4" w:rsidRPr="0069403C" w14:paraId="3B012BFD" w14:textId="77777777">
        <w:tc>
          <w:tcPr>
            <w:tcW w:w="0" w:type="auto"/>
          </w:tcPr>
          <w:p w14:paraId="0DED0E8D"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CR</w:t>
            </w:r>
          </w:p>
        </w:tc>
        <w:tc>
          <w:tcPr>
            <w:tcW w:w="0" w:type="auto"/>
          </w:tcPr>
          <w:p w14:paraId="5A53EEAB"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26.67</w:t>
            </w:r>
          </w:p>
        </w:tc>
        <w:tc>
          <w:tcPr>
            <w:tcW w:w="0" w:type="auto"/>
          </w:tcPr>
          <w:p w14:paraId="60F7FFD8"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0.515</w:t>
            </w:r>
          </w:p>
        </w:tc>
        <w:tc>
          <w:tcPr>
            <w:tcW w:w="0" w:type="auto"/>
          </w:tcPr>
          <w:p w14:paraId="251EE6A0"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5.65</w:t>
            </w:r>
          </w:p>
        </w:tc>
        <w:tc>
          <w:tcPr>
            <w:tcW w:w="0" w:type="auto"/>
          </w:tcPr>
          <w:p w14:paraId="2D8243D8"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61.76</w:t>
            </w:r>
          </w:p>
        </w:tc>
        <w:tc>
          <w:tcPr>
            <w:tcW w:w="0" w:type="auto"/>
          </w:tcPr>
          <w:p w14:paraId="79718663"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30.19</w:t>
            </w:r>
          </w:p>
        </w:tc>
        <w:tc>
          <w:tcPr>
            <w:tcW w:w="0" w:type="auto"/>
          </w:tcPr>
          <w:p w14:paraId="133D8AC4"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180.00</w:t>
            </w:r>
          </w:p>
        </w:tc>
      </w:tr>
      <w:tr w:rsidR="00E373E4" w:rsidRPr="0069403C" w14:paraId="174E207D" w14:textId="77777777">
        <w:tc>
          <w:tcPr>
            <w:tcW w:w="0" w:type="auto"/>
          </w:tcPr>
          <w:p w14:paraId="370157E3"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LPT</w:t>
            </w:r>
          </w:p>
        </w:tc>
        <w:tc>
          <w:tcPr>
            <w:tcW w:w="0" w:type="auto"/>
          </w:tcPr>
          <w:p w14:paraId="4995642D"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29.19</w:t>
            </w:r>
          </w:p>
        </w:tc>
        <w:tc>
          <w:tcPr>
            <w:tcW w:w="0" w:type="auto"/>
          </w:tcPr>
          <w:p w14:paraId="0330DB7B"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0.509</w:t>
            </w:r>
          </w:p>
        </w:tc>
        <w:tc>
          <w:tcPr>
            <w:tcW w:w="0" w:type="auto"/>
          </w:tcPr>
          <w:p w14:paraId="0460BBF4"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5.50</w:t>
            </w:r>
          </w:p>
        </w:tc>
        <w:tc>
          <w:tcPr>
            <w:tcW w:w="0" w:type="auto"/>
          </w:tcPr>
          <w:p w14:paraId="0E1730F3"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65.58</w:t>
            </w:r>
          </w:p>
        </w:tc>
        <w:tc>
          <w:tcPr>
            <w:tcW w:w="0" w:type="auto"/>
          </w:tcPr>
          <w:p w14:paraId="2ABD9251"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33.29</w:t>
            </w:r>
          </w:p>
        </w:tc>
        <w:tc>
          <w:tcPr>
            <w:tcW w:w="0" w:type="auto"/>
          </w:tcPr>
          <w:p w14:paraId="45A2F2EC"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184.23</w:t>
            </w:r>
          </w:p>
        </w:tc>
      </w:tr>
      <w:tr w:rsidR="00E373E4" w:rsidRPr="0069403C" w14:paraId="7FE1BC43" w14:textId="77777777">
        <w:tc>
          <w:tcPr>
            <w:tcW w:w="0" w:type="auto"/>
          </w:tcPr>
          <w:p w14:paraId="2B4127FD"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EDD</w:t>
            </w:r>
          </w:p>
        </w:tc>
        <w:tc>
          <w:tcPr>
            <w:tcW w:w="0" w:type="auto"/>
          </w:tcPr>
          <w:p w14:paraId="7DA7E0CF"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31.72</w:t>
            </w:r>
          </w:p>
        </w:tc>
        <w:tc>
          <w:tcPr>
            <w:tcW w:w="0" w:type="auto"/>
          </w:tcPr>
          <w:p w14:paraId="2C68657A"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0.432</w:t>
            </w:r>
          </w:p>
        </w:tc>
        <w:tc>
          <w:tcPr>
            <w:tcW w:w="0" w:type="auto"/>
          </w:tcPr>
          <w:p w14:paraId="3C09D1F6"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3.95</w:t>
            </w:r>
          </w:p>
        </w:tc>
        <w:tc>
          <w:tcPr>
            <w:tcW w:w="0" w:type="auto"/>
          </w:tcPr>
          <w:p w14:paraId="5FC89FA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62.95</w:t>
            </w:r>
          </w:p>
        </w:tc>
        <w:tc>
          <w:tcPr>
            <w:tcW w:w="0" w:type="auto"/>
          </w:tcPr>
          <w:p w14:paraId="2EA0FED1"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32.71</w:t>
            </w:r>
          </w:p>
        </w:tc>
        <w:tc>
          <w:tcPr>
            <w:tcW w:w="0" w:type="auto"/>
          </w:tcPr>
          <w:p w14:paraId="715C6027"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167.23</w:t>
            </w:r>
          </w:p>
        </w:tc>
      </w:tr>
      <w:tr w:rsidR="00E373E4" w:rsidRPr="0069403C" w14:paraId="2199FABD" w14:textId="77777777">
        <w:tc>
          <w:tcPr>
            <w:tcW w:w="0" w:type="auto"/>
          </w:tcPr>
          <w:p w14:paraId="12005F89"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LWKR</w:t>
            </w:r>
          </w:p>
        </w:tc>
        <w:tc>
          <w:tcPr>
            <w:tcW w:w="0" w:type="auto"/>
          </w:tcPr>
          <w:p w14:paraId="335DD4BA"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32.63</w:t>
            </w:r>
          </w:p>
        </w:tc>
        <w:tc>
          <w:tcPr>
            <w:tcW w:w="0" w:type="auto"/>
          </w:tcPr>
          <w:p w14:paraId="31B6A1C3"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0.482</w:t>
            </w:r>
          </w:p>
        </w:tc>
        <w:tc>
          <w:tcPr>
            <w:tcW w:w="0" w:type="auto"/>
          </w:tcPr>
          <w:p w14:paraId="4668868A"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4.67</w:t>
            </w:r>
          </w:p>
        </w:tc>
        <w:tc>
          <w:tcPr>
            <w:tcW w:w="0" w:type="auto"/>
          </w:tcPr>
          <w:p w14:paraId="32FE27A9"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68.16</w:t>
            </w:r>
          </w:p>
        </w:tc>
        <w:tc>
          <w:tcPr>
            <w:tcW w:w="0" w:type="auto"/>
          </w:tcPr>
          <w:p w14:paraId="5B445BD4"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36.31</w:t>
            </w:r>
          </w:p>
        </w:tc>
        <w:tc>
          <w:tcPr>
            <w:tcW w:w="0" w:type="auto"/>
          </w:tcPr>
          <w:p w14:paraId="6883C14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183.88</w:t>
            </w:r>
          </w:p>
        </w:tc>
      </w:tr>
      <w:tr w:rsidR="00E373E4" w:rsidRPr="0069403C" w14:paraId="4CAD1FBE" w14:textId="77777777">
        <w:tc>
          <w:tcPr>
            <w:tcW w:w="0" w:type="auto"/>
          </w:tcPr>
          <w:p w14:paraId="2B34DE82"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LOR</w:t>
            </w:r>
          </w:p>
        </w:tc>
        <w:tc>
          <w:tcPr>
            <w:tcW w:w="0" w:type="auto"/>
          </w:tcPr>
          <w:p w14:paraId="2648DD65"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33.81</w:t>
            </w:r>
          </w:p>
        </w:tc>
        <w:tc>
          <w:tcPr>
            <w:tcW w:w="0" w:type="auto"/>
          </w:tcPr>
          <w:p w14:paraId="5462400F"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0.465</w:t>
            </w:r>
          </w:p>
        </w:tc>
        <w:tc>
          <w:tcPr>
            <w:tcW w:w="0" w:type="auto"/>
          </w:tcPr>
          <w:p w14:paraId="58406D85"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4.73</w:t>
            </w:r>
          </w:p>
        </w:tc>
        <w:tc>
          <w:tcPr>
            <w:tcW w:w="0" w:type="auto"/>
          </w:tcPr>
          <w:p w14:paraId="3AB65AA3"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67.39</w:t>
            </w:r>
          </w:p>
        </w:tc>
        <w:tc>
          <w:tcPr>
            <w:tcW w:w="0" w:type="auto"/>
          </w:tcPr>
          <w:p w14:paraId="00BFF875"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35.30</w:t>
            </w:r>
          </w:p>
        </w:tc>
        <w:tc>
          <w:tcPr>
            <w:tcW w:w="0" w:type="auto"/>
          </w:tcPr>
          <w:p w14:paraId="5FAB60CA"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184.22</w:t>
            </w:r>
          </w:p>
        </w:tc>
      </w:tr>
    </w:tbl>
    <w:bookmarkEnd w:id="18"/>
    <w:p w14:paraId="28A792B8"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lastRenderedPageBreak/>
        <w:t>Dos características de la Tabla </w:t>
      </w:r>
      <w:hyperlink w:anchor="tab:s1_full">
        <w:r w:rsidRPr="0069403C">
          <w:rPr>
            <w:rStyle w:val="Hipervnculo"/>
            <w:rFonts w:ascii="Times New Roman" w:hAnsi="Times New Roman" w:cs="Times New Roman"/>
            <w:color w:val="000000" w:themeColor="text1"/>
            <w:sz w:val="22"/>
            <w:szCs w:val="22"/>
            <w:lang w:val="es-CO"/>
          </w:rPr>
          <w:t>3</w:t>
        </w:r>
      </w:hyperlink>
      <w:r w:rsidRPr="0069403C">
        <w:rPr>
          <w:rFonts w:ascii="Times New Roman" w:hAnsi="Times New Roman" w:cs="Times New Roman"/>
          <w:color w:val="000000" w:themeColor="text1"/>
          <w:sz w:val="22"/>
          <w:szCs w:val="22"/>
          <w:lang w:val="es-CO"/>
        </w:rPr>
        <w:t xml:space="preserve"> merecen énfasis, y ambas importan para cómo debe leerse el Estudio 2 (Secciones </w:t>
      </w:r>
      <w:hyperlink w:anchor="sec:s2methods">
        <w:r w:rsidRPr="0069403C">
          <w:rPr>
            <w:rStyle w:val="Hipervnculo"/>
            <w:rFonts w:ascii="Times New Roman" w:hAnsi="Times New Roman" w:cs="Times New Roman"/>
            <w:color w:val="000000" w:themeColor="text1"/>
            <w:sz w:val="22"/>
            <w:szCs w:val="22"/>
            <w:lang w:val="es-CO"/>
          </w:rPr>
          <w:t>5</w:t>
        </w:r>
      </w:hyperlink>
      <w:r w:rsidRPr="0069403C">
        <w:rPr>
          <w:rFonts w:ascii="Times New Roman" w:hAnsi="Times New Roman" w:cs="Times New Roman"/>
          <w:color w:val="000000" w:themeColor="text1"/>
          <w:sz w:val="22"/>
          <w:szCs w:val="22"/>
          <w:lang w:val="es-CO"/>
        </w:rPr>
        <w:t>–</w:t>
      </w:r>
      <w:hyperlink w:anchor="sec:s2results">
        <w:r w:rsidRPr="0069403C">
          <w:rPr>
            <w:rStyle w:val="Hipervnculo"/>
            <w:rFonts w:ascii="Times New Roman" w:hAnsi="Times New Roman" w:cs="Times New Roman"/>
            <w:color w:val="000000" w:themeColor="text1"/>
            <w:sz w:val="22"/>
            <w:szCs w:val="22"/>
            <w:lang w:val="es-CO"/>
          </w:rPr>
          <w:t>6</w:t>
        </w:r>
      </w:hyperlink>
      <w:r w:rsidRPr="0069403C">
        <w:rPr>
          <w:rFonts w:ascii="Times New Roman" w:hAnsi="Times New Roman" w:cs="Times New Roman"/>
          <w:color w:val="000000" w:themeColor="text1"/>
          <w:sz w:val="22"/>
          <w:szCs w:val="22"/>
          <w:lang w:val="es-CO"/>
        </w:rPr>
        <w:t xml:space="preserve">). Primero, las columnas cuentan historias opuestas: el método que lidera la columna nominal (CP-SAT) es el único menos robusto de los once por rango de Friedman y es superado en dos de las tres columnas de disrupción realizada. Segundo, ninguna regla de despacho individual es uniformemente la mejor — EDD es la más </w:t>
      </w:r>
      <w:r w:rsidRPr="0069403C">
        <w:rPr>
          <w:rFonts w:ascii="Times New Roman" w:hAnsi="Times New Roman" w:cs="Times New Roman"/>
          <w:i/>
          <w:iCs/>
          <w:color w:val="000000" w:themeColor="text1"/>
          <w:sz w:val="22"/>
          <w:szCs w:val="22"/>
          <w:lang w:val="es-CO"/>
        </w:rPr>
        <w:t>robusta</w:t>
      </w:r>
      <w:r w:rsidRPr="0069403C">
        <w:rPr>
          <w:rFonts w:ascii="Times New Roman" w:hAnsi="Times New Roman" w:cs="Times New Roman"/>
          <w:color w:val="000000" w:themeColor="text1"/>
          <w:sz w:val="22"/>
          <w:szCs w:val="22"/>
          <w:lang w:val="es-CO"/>
        </w:rPr>
        <w:t xml:space="preserve"> por degradación relativa, pero mediocre en calidad realizada porque su programa nominal es pobre, mientras que MWKR y MOR combinan un programa nominal fuerte con una fuerte calidad realizada bajo disrupción. Esta distinción entre degradación relativa y calidad realizada es esencial para leer correctamente los resultados de robustez, en ambos estudios, y se retoma metodológicamente en la Sección </w:t>
      </w:r>
      <w:hyperlink w:anchor="sec:discussion">
        <w:r w:rsidRPr="0069403C">
          <w:rPr>
            <w:rStyle w:val="Hipervnculo"/>
            <w:rFonts w:ascii="Times New Roman" w:hAnsi="Times New Roman" w:cs="Times New Roman"/>
            <w:color w:val="000000" w:themeColor="text1"/>
            <w:sz w:val="22"/>
            <w:szCs w:val="22"/>
            <w:lang w:val="es-CO"/>
          </w:rPr>
          <w:t>8</w:t>
        </w:r>
      </w:hyperlink>
      <w:r w:rsidRPr="0069403C">
        <w:rPr>
          <w:rFonts w:ascii="Times New Roman" w:hAnsi="Times New Roman" w:cs="Times New Roman"/>
          <w:color w:val="000000" w:themeColor="text1"/>
          <w:sz w:val="22"/>
          <w:szCs w:val="22"/>
          <w:lang w:val="es-CO"/>
        </w:rPr>
        <w:t>.</w:t>
      </w:r>
    </w:p>
    <w:p w14:paraId="3FB45664" w14:textId="77777777" w:rsidR="00E373E4" w:rsidRPr="0069403C" w:rsidRDefault="00000000" w:rsidP="0069403C">
      <w:pPr>
        <w:pStyle w:val="Ttulo1"/>
        <w:rPr>
          <w:rFonts w:ascii="Times New Roman" w:hAnsi="Times New Roman" w:cs="Times New Roman"/>
          <w:color w:val="000000" w:themeColor="text1"/>
          <w:sz w:val="22"/>
          <w:szCs w:val="22"/>
          <w:lang w:val="es-CO"/>
        </w:rPr>
      </w:pPr>
      <w:bookmarkStart w:id="19" w:name="sec:s2methods"/>
      <w:bookmarkEnd w:id="14"/>
      <w:bookmarkEnd w:id="17"/>
      <w:r w:rsidRPr="0069403C">
        <w:rPr>
          <w:rFonts w:ascii="Times New Roman" w:hAnsi="Times New Roman" w:cs="Times New Roman"/>
          <w:color w:val="000000" w:themeColor="text1"/>
          <w:sz w:val="22"/>
          <w:szCs w:val="22"/>
          <w:lang w:val="es-CO"/>
        </w:rPr>
        <w:t xml:space="preserve">Estudio 2: política, líneas base y protocolo </w:t>
      </w:r>
      <w:proofErr w:type="spellStart"/>
      <w:r w:rsidRPr="0069403C">
        <w:rPr>
          <w:rFonts w:ascii="Times New Roman" w:hAnsi="Times New Roman" w:cs="Times New Roman"/>
          <w:color w:val="000000" w:themeColor="text1"/>
          <w:sz w:val="22"/>
          <w:szCs w:val="22"/>
          <w:lang w:val="es-CO"/>
        </w:rPr>
        <w:t>pre-registrado</w:t>
      </w:r>
      <w:proofErr w:type="spellEnd"/>
    </w:p>
    <w:p w14:paraId="046300FD"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El Estudio 2 pregunta si la inversión documentada anteriormente — calidad nominal comprada al precio de la robustez ante la disrupción — es específica de los métodos que buscan o certifican un óptimo, o si se extiende a un cuarto paradigma que ni busca ni certifica: una política entrenada, una sola vez, para generalizar. Comparte en su totalidad los modelos de disrupción (Sección </w:t>
      </w:r>
      <w:hyperlink w:anchor="sec:disruptionmodels">
        <w:r w:rsidRPr="0069403C">
          <w:rPr>
            <w:rStyle w:val="Hipervnculo"/>
            <w:rFonts w:ascii="Times New Roman" w:hAnsi="Times New Roman" w:cs="Times New Roman"/>
            <w:color w:val="000000" w:themeColor="text1"/>
            <w:sz w:val="22"/>
            <w:szCs w:val="22"/>
            <w:lang w:val="es-CO"/>
          </w:rPr>
          <w:t>3.1</w:t>
        </w:r>
      </w:hyperlink>
      <w:r w:rsidRPr="0069403C">
        <w:rPr>
          <w:rFonts w:ascii="Times New Roman" w:hAnsi="Times New Roman" w:cs="Times New Roman"/>
          <w:color w:val="000000" w:themeColor="text1"/>
          <w:sz w:val="22"/>
          <w:szCs w:val="22"/>
          <w:lang w:val="es-CO"/>
        </w:rPr>
        <w:t>) y las familias de línea base (Sección </w:t>
      </w:r>
      <w:hyperlink w:anchor="sec:s1families">
        <w:r w:rsidRPr="0069403C">
          <w:rPr>
            <w:rStyle w:val="Hipervnculo"/>
            <w:rFonts w:ascii="Times New Roman" w:hAnsi="Times New Roman" w:cs="Times New Roman"/>
            <w:color w:val="000000" w:themeColor="text1"/>
            <w:sz w:val="22"/>
            <w:szCs w:val="22"/>
            <w:lang w:val="es-CO"/>
          </w:rPr>
          <w:t>3.2</w:t>
        </w:r>
      </w:hyperlink>
      <w:r w:rsidRPr="0069403C">
        <w:rPr>
          <w:rFonts w:ascii="Times New Roman" w:hAnsi="Times New Roman" w:cs="Times New Roman"/>
          <w:color w:val="000000" w:themeColor="text1"/>
          <w:sz w:val="22"/>
          <w:szCs w:val="22"/>
          <w:lang w:val="es-CO"/>
        </w:rPr>
        <w:t xml:space="preserve">) del Estudio 1, añadiendo una política GNN–PPO como quinto competidor y evaluando todos los métodos conjuntamente bajo un protocolo </w:t>
      </w:r>
      <w:proofErr w:type="spellStart"/>
      <w:r w:rsidRPr="0069403C">
        <w:rPr>
          <w:rFonts w:ascii="Times New Roman" w:hAnsi="Times New Roman" w:cs="Times New Roman"/>
          <w:color w:val="000000" w:themeColor="text1"/>
          <w:sz w:val="22"/>
          <w:szCs w:val="22"/>
          <w:lang w:val="es-CO"/>
        </w:rPr>
        <w:t>pre-registrado</w:t>
      </w:r>
      <w:proofErr w:type="spellEnd"/>
      <w:r w:rsidRPr="0069403C">
        <w:rPr>
          <w:rFonts w:ascii="Times New Roman" w:hAnsi="Times New Roman" w:cs="Times New Roman"/>
          <w:color w:val="000000" w:themeColor="text1"/>
          <w:sz w:val="22"/>
          <w:szCs w:val="22"/>
          <w:lang w:val="es-CO"/>
        </w:rPr>
        <w:t>.</w:t>
      </w:r>
    </w:p>
    <w:p w14:paraId="6529A866"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20" w:name="sec:architecture"/>
      <w:r w:rsidRPr="0069403C">
        <w:rPr>
          <w:rFonts w:ascii="Times New Roman" w:hAnsi="Times New Roman" w:cs="Times New Roman"/>
          <w:color w:val="000000" w:themeColor="text1"/>
          <w:sz w:val="22"/>
          <w:szCs w:val="22"/>
          <w:lang w:val="es-CO"/>
        </w:rPr>
        <w:t>Arquitectura de la política</w:t>
      </w:r>
    </w:p>
    <w:p w14:paraId="0A2E3DA1"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En la época de decisión </w:t>
      </w:r>
      <m:oMath>
        <m:r>
          <w:rPr>
            <w:rFonts w:ascii="Cambria Math" w:hAnsi="Cambria Math" w:cs="Times New Roman"/>
            <w:color w:val="000000" w:themeColor="text1"/>
            <w:sz w:val="22"/>
            <w:szCs w:val="22"/>
          </w:rPr>
          <m:t>t</m:t>
        </m:r>
      </m:oMath>
      <w:r w:rsidRPr="0069403C">
        <w:rPr>
          <w:rFonts w:ascii="Times New Roman" w:hAnsi="Times New Roman" w:cs="Times New Roman"/>
          <w:color w:val="000000" w:themeColor="text1"/>
          <w:sz w:val="22"/>
          <w:szCs w:val="22"/>
          <w:lang w:val="es-CO"/>
        </w:rPr>
        <w:t xml:space="preserve">, el estado se representa como un grafo heterogéneo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G</m:t>
            </m:r>
          </m:e>
          <m:sub>
            <m:r>
              <w:rPr>
                <w:rFonts w:ascii="Cambria Math" w:hAnsi="Cambria Math" w:cs="Times New Roman"/>
                <w:color w:val="000000" w:themeColor="text1"/>
                <w:sz w:val="22"/>
                <w:szCs w:val="22"/>
              </w:rPr>
              <m:t>t</m:t>
            </m:r>
          </m:sub>
        </m:sSub>
        <m:r>
          <m:rPr>
            <m:sty m:val="p"/>
          </m:rPr>
          <w:rPr>
            <w:rFonts w:ascii="Cambria Math" w:hAnsi="Cambria Math" w:cs="Times New Roman"/>
            <w:color w:val="000000" w:themeColor="text1"/>
            <w:sz w:val="22"/>
            <w:szCs w:val="22"/>
            <w:lang w:val="es-CO"/>
          </w:rPr>
          <m:t>=</m:t>
        </m:r>
        <m:d>
          <m:dPr>
            <m:ctrlPr>
              <w:rPr>
                <w:rFonts w:ascii="Cambria Math" w:hAnsi="Cambria Math" w:cs="Times New Roman"/>
                <w:color w:val="000000" w:themeColor="text1"/>
                <w:sz w:val="22"/>
                <w:szCs w:val="22"/>
              </w:rPr>
            </m:ctrlPr>
          </m:dPr>
          <m:e>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O</m:t>
                </m:r>
              </m:e>
              <m:sub>
                <m:r>
                  <w:rPr>
                    <w:rFonts w:ascii="Cambria Math" w:hAnsi="Cambria Math" w:cs="Times New Roman"/>
                    <w:color w:val="000000" w:themeColor="text1"/>
                    <w:sz w:val="22"/>
                    <w:szCs w:val="22"/>
                  </w:rPr>
                  <m:t>t</m:t>
                </m:r>
              </m:sub>
            </m:sSub>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rPr>
              <m:t>M</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 </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E</m:t>
                </m:r>
              </m:e>
              <m:sup>
                <m:r>
                  <m:rPr>
                    <m:sty m:val="p"/>
                  </m:rPr>
                  <w:rPr>
                    <w:rFonts w:ascii="Cambria Math" w:hAnsi="Cambria Math" w:cs="Times New Roman"/>
                    <w:color w:val="000000" w:themeColor="text1"/>
                    <w:sz w:val="22"/>
                    <w:szCs w:val="22"/>
                    <w:lang w:val="es-CO"/>
                  </w:rPr>
                  <m:t>prec</m:t>
                </m:r>
              </m:sup>
            </m:sSup>
            <m:r>
              <m:rPr>
                <m:sty m:val="p"/>
              </m:rPr>
              <w:rPr>
                <w:rFonts w:ascii="Cambria Math" w:hAnsi="Cambria Math" w:cs="Times New Roman"/>
                <w:color w:val="000000" w:themeColor="text1"/>
                <w:sz w:val="22"/>
                <w:szCs w:val="22"/>
                <w:lang w:val="es-CO"/>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E</m:t>
                </m:r>
              </m:e>
              <m:sup>
                <m:r>
                  <m:rPr>
                    <m:sty m:val="p"/>
                  </m:rPr>
                  <w:rPr>
                    <w:rFonts w:ascii="Cambria Math" w:hAnsi="Cambria Math" w:cs="Times New Roman"/>
                    <w:color w:val="000000" w:themeColor="text1"/>
                    <w:sz w:val="22"/>
                    <w:szCs w:val="22"/>
                    <w:lang w:val="es-CO"/>
                  </w:rPr>
                  <m:t>mach</m:t>
                </m:r>
              </m:sup>
            </m:sSup>
            <m:r>
              <m:rPr>
                <m:sty m:val="p"/>
              </m:rPr>
              <w:rPr>
                <w:rFonts w:ascii="Cambria Math" w:hAnsi="Cambria Math" w:cs="Times New Roman"/>
                <w:color w:val="000000" w:themeColor="text1"/>
                <w:sz w:val="22"/>
                <w:szCs w:val="22"/>
                <w:lang w:val="es-CO"/>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E</m:t>
                </m:r>
              </m:e>
              <m:sup>
                <m:r>
                  <m:rPr>
                    <m:sty m:val="p"/>
                  </m:rPr>
                  <w:rPr>
                    <w:rFonts w:ascii="Cambria Math" w:hAnsi="Cambria Math" w:cs="Times New Roman"/>
                    <w:color w:val="000000" w:themeColor="text1"/>
                    <w:sz w:val="22"/>
                    <w:szCs w:val="22"/>
                    <w:lang w:val="es-CO"/>
                  </w:rPr>
                  <m:t>elig</m:t>
                </m:r>
              </m:sup>
            </m:sSup>
          </m:e>
        </m:d>
      </m:oMath>
      <w:r w:rsidRPr="0069403C">
        <w:rPr>
          <w:rFonts w:ascii="Times New Roman" w:hAnsi="Times New Roman" w:cs="Times New Roman"/>
          <w:color w:val="000000" w:themeColor="text1"/>
          <w:sz w:val="22"/>
          <w:szCs w:val="22"/>
          <w:lang w:val="es-CO"/>
        </w:rPr>
        <w:t xml:space="preserve"> sobre nodos de operación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O</m:t>
            </m:r>
          </m:e>
          <m:sub>
            <m:r>
              <w:rPr>
                <w:rFonts w:ascii="Cambria Math" w:hAnsi="Cambria Math" w:cs="Times New Roman"/>
                <w:color w:val="000000" w:themeColor="text1"/>
                <w:sz w:val="22"/>
                <w:szCs w:val="22"/>
              </w:rPr>
              <m:t>t</m:t>
            </m:r>
          </m:sub>
        </m:sSub>
      </m:oMath>
      <w:r w:rsidRPr="0069403C">
        <w:rPr>
          <w:rFonts w:ascii="Times New Roman" w:hAnsi="Times New Roman" w:cs="Times New Roman"/>
          <w:color w:val="000000" w:themeColor="text1"/>
          <w:sz w:val="22"/>
          <w:szCs w:val="22"/>
          <w:lang w:val="es-CO"/>
        </w:rPr>
        <w:t xml:space="preserve"> y nodos de máquina </w:t>
      </w:r>
      <m:oMath>
        <m:r>
          <w:rPr>
            <w:rFonts w:ascii="Cambria Math" w:hAnsi="Cambria Math" w:cs="Times New Roman"/>
            <w:color w:val="000000" w:themeColor="text1"/>
            <w:sz w:val="22"/>
            <w:szCs w:val="22"/>
          </w:rPr>
          <m:t>M</m:t>
        </m:r>
      </m:oMath>
      <w:r w:rsidRPr="0069403C">
        <w:rPr>
          <w:rFonts w:ascii="Times New Roman" w:hAnsi="Times New Roman" w:cs="Times New Roman"/>
          <w:color w:val="000000" w:themeColor="text1"/>
          <w:sz w:val="22"/>
          <w:szCs w:val="22"/>
          <w:lang w:val="es-CO"/>
        </w:rPr>
        <w:t xml:space="preserve">, conectados por tres relaciones tipificadas: precedencia intra-trabajo, competencia por máquina compartida entre operaciones no despachadas, y elegibilidad operación–máquina. El Estudio 2 adopta una </w:t>
      </w:r>
      <w:r w:rsidRPr="0069403C">
        <w:rPr>
          <w:rFonts w:ascii="Times New Roman" w:hAnsi="Times New Roman" w:cs="Times New Roman"/>
          <w:b/>
          <w:bCs/>
          <w:color w:val="000000" w:themeColor="text1"/>
          <w:sz w:val="22"/>
          <w:szCs w:val="22"/>
          <w:lang w:val="es-CO"/>
        </w:rPr>
        <w:t>GIN relacional</w:t>
      </w:r>
      <w:r w:rsidRPr="0069403C">
        <w:rPr>
          <w:rFonts w:ascii="Times New Roman" w:hAnsi="Times New Roman" w:cs="Times New Roman"/>
          <w:color w:val="000000" w:themeColor="text1"/>
          <w:sz w:val="22"/>
          <w:szCs w:val="22"/>
          <w:lang w:val="es-CO"/>
        </w:rPr>
        <w:t xml:space="preserve"> — un único tipo de nodo con tres transformaciones lineales separadas, una por tipo de arista, agregadas por suma antes de una actualización GIN — en lugar del grafo completamente homogéneo de L2D (C. Zhang et al. 2020) o del grafo completamente heterogéneo y basado en atención de Song et al. (2023). Este es un punto medio deliberado del espectro homogéneo–heterogéneo discutido en la Sección </w:t>
      </w:r>
      <w:hyperlink w:anchor="sec:drlreview">
        <w:r w:rsidRPr="0069403C">
          <w:rPr>
            <w:rStyle w:val="Hipervnculo"/>
            <w:rFonts w:ascii="Times New Roman" w:hAnsi="Times New Roman" w:cs="Times New Roman"/>
            <w:color w:val="000000" w:themeColor="text1"/>
            <w:sz w:val="22"/>
            <w:szCs w:val="22"/>
            <w:lang w:val="es-CO"/>
          </w:rPr>
          <w:t>2.3</w:t>
        </w:r>
      </w:hyperlink>
      <w:r w:rsidRPr="0069403C">
        <w:rPr>
          <w:rFonts w:ascii="Times New Roman" w:hAnsi="Times New Roman" w:cs="Times New Roman"/>
          <w:color w:val="000000" w:themeColor="text1"/>
          <w:sz w:val="22"/>
          <w:szCs w:val="22"/>
          <w:lang w:val="es-CO"/>
        </w:rPr>
        <w:t xml:space="preserve">: más expresivo que una única adyacencia compartida, porque distingue la semántica opuesta de cada relación, sin el costo de parámetros y de cómputo de la heterogeneidad completa — y consistente con la evidencia de Hoss, Link, and Klarmann (2026) de que la heterogeneidad no es una precondición estricta para la generalización escalable. La agregación por suma, en lugar de por media o por máximo, se utiliza en todo el trabajo, siguiendo el argumento de expresividad de </w:t>
      </w:r>
      <w:proofErr w:type="spellStart"/>
      <w:r w:rsidRPr="0069403C">
        <w:rPr>
          <w:rFonts w:ascii="Times New Roman" w:hAnsi="Times New Roman" w:cs="Times New Roman"/>
          <w:color w:val="000000" w:themeColor="text1"/>
          <w:sz w:val="22"/>
          <w:szCs w:val="22"/>
          <w:lang w:val="es-CO"/>
        </w:rPr>
        <w:t>Xu</w:t>
      </w:r>
      <w:proofErr w:type="spellEnd"/>
      <w:r w:rsidRPr="0069403C">
        <w:rPr>
          <w:rFonts w:ascii="Times New Roman" w:hAnsi="Times New Roman" w:cs="Times New Roman"/>
          <w:color w:val="000000" w:themeColor="text1"/>
          <w:sz w:val="22"/>
          <w:szCs w:val="22"/>
          <w:lang w:val="es-CO"/>
        </w:rPr>
        <w:t xml:space="preserve"> et al. (2019).</w:t>
      </w:r>
    </w:p>
    <w:p w14:paraId="2AFF0489"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El paso de mensajes en la capa </w:t>
      </w:r>
      <m:oMath>
        <m:r>
          <w:rPr>
            <w:rFonts w:ascii="Cambria Math" w:hAnsi="Cambria Math" w:cs="Times New Roman"/>
            <w:color w:val="000000" w:themeColor="text1"/>
            <w:sz w:val="22"/>
            <w:szCs w:val="22"/>
          </w:rPr>
          <m:t>l</m:t>
        </m:r>
      </m:oMath>
      <w:r w:rsidRPr="0069403C">
        <w:rPr>
          <w:rFonts w:ascii="Times New Roman" w:hAnsi="Times New Roman" w:cs="Times New Roman"/>
          <w:color w:val="000000" w:themeColor="text1"/>
          <w:sz w:val="22"/>
          <w:szCs w:val="22"/>
          <w:lang w:val="es-CO"/>
        </w:rPr>
        <w:t xml:space="preserve"> para un nodo de operación </w:t>
      </w:r>
      <m:oMath>
        <m:r>
          <w:rPr>
            <w:rFonts w:ascii="Cambria Math" w:hAnsi="Cambria Math" w:cs="Times New Roman"/>
            <w:color w:val="000000" w:themeColor="text1"/>
            <w:sz w:val="22"/>
            <w:szCs w:val="22"/>
          </w:rPr>
          <m:t>v</m:t>
        </m:r>
      </m:oMath>
      <w:r w:rsidRPr="0069403C">
        <w:rPr>
          <w:rFonts w:ascii="Times New Roman" w:hAnsi="Times New Roman" w:cs="Times New Roman"/>
          <w:color w:val="000000" w:themeColor="text1"/>
          <w:sz w:val="22"/>
          <w:szCs w:val="22"/>
          <w:lang w:val="es-CO"/>
        </w:rPr>
        <w:t xml:space="preserve"> y un nodo de máquina </w:t>
      </w:r>
      <m:oMath>
        <m:r>
          <w:rPr>
            <w:rFonts w:ascii="Cambria Math" w:hAnsi="Cambria Math" w:cs="Times New Roman"/>
            <w:color w:val="000000" w:themeColor="text1"/>
            <w:sz w:val="22"/>
            <w:szCs w:val="22"/>
          </w:rPr>
          <m:t>k</m:t>
        </m:r>
      </m:oMath>
      <w:r w:rsidRPr="0069403C">
        <w:rPr>
          <w:rFonts w:ascii="Times New Roman" w:hAnsi="Times New Roman" w:cs="Times New Roman"/>
          <w:color w:val="000000" w:themeColor="text1"/>
          <w:sz w:val="22"/>
          <w:szCs w:val="22"/>
          <w:lang w:val="es-CO"/>
        </w:rPr>
        <w:t xml:space="preserve"> está dado por:</w:t>
      </w:r>
    </w:p>
    <w:p w14:paraId="145DB458" w14:textId="77777777" w:rsidR="00E373E4" w:rsidRPr="0069403C" w:rsidRDefault="00000000" w:rsidP="0069403C">
      <w:pPr>
        <w:pStyle w:val="Textoindependiente"/>
        <w:rPr>
          <w:rFonts w:ascii="Times New Roman" w:hAnsi="Times New Roman" w:cs="Times New Roman"/>
          <w:color w:val="000000" w:themeColor="text1"/>
          <w:sz w:val="22"/>
          <w:szCs w:val="22"/>
        </w:rPr>
      </w:pPr>
      <m:oMathPara>
        <m:oMathParaPr>
          <m:jc m:val="center"/>
        </m:oMathParaPr>
        <m:oMath>
          <m:m>
            <m:mPr>
              <m:plcHide m:val="1"/>
              <m:mcs>
                <m:mc>
                  <m:mcPr>
                    <m:count m:val="1"/>
                    <m:mcJc m:val="right"/>
                  </m:mcPr>
                </m:mc>
                <m:mc>
                  <m:mcPr>
                    <m:count m:val="1"/>
                    <m:mcJc m:val="left"/>
                  </m:mcPr>
                </m:mc>
              </m:mcs>
              <m:ctrlPr>
                <w:rPr>
                  <w:rFonts w:ascii="Cambria Math" w:hAnsi="Cambria Math" w:cs="Times New Roman"/>
                  <w:color w:val="000000" w:themeColor="text1"/>
                  <w:sz w:val="22"/>
                  <w:szCs w:val="22"/>
                </w:rPr>
              </m:ctrlPr>
            </m:mPr>
            <m:mr>
              <m:e>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v</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e>
                    </m:d>
                  </m:sup>
                </m:sSubSup>
              </m:e>
              <m:e>
                <m:r>
                  <m:rPr>
                    <m:sty m:val="p"/>
                  </m:rPr>
                  <w:rPr>
                    <w:rFonts w:ascii="Cambria Math" w:hAnsi="Cambria Math" w:cs="Times New Roman"/>
                    <w:color w:val="000000" w:themeColor="text1"/>
                    <w:sz w:val="22"/>
                    <w:szCs w:val="22"/>
                  </w:rPr>
                  <m:t>=</m:t>
                </m:r>
                <m:sSubSup>
                  <m:sSubSupPr>
                    <m:ctrlPr>
                      <w:rPr>
                        <w:rFonts w:ascii="Cambria Math" w:hAnsi="Cambria Math" w:cs="Times New Roman"/>
                        <w:color w:val="000000" w:themeColor="text1"/>
                        <w:sz w:val="22"/>
                        <w:szCs w:val="22"/>
                      </w:rPr>
                    </m:ctrlPr>
                  </m:sSubSupPr>
                  <m:e>
                    <m:r>
                      <m:rPr>
                        <m:sty m:val="p"/>
                      </m:rPr>
                      <w:rPr>
                        <w:rFonts w:ascii="Cambria Math" w:hAnsi="Cambria Math" w:cs="Times New Roman"/>
                        <w:color w:val="000000" w:themeColor="text1"/>
                        <w:sz w:val="22"/>
                        <w:szCs w:val="22"/>
                      </w:rPr>
                      <m:t>MLP</m:t>
                    </m:r>
                  </m:e>
                  <m:sub>
                    <m:r>
                      <w:rPr>
                        <w:rFonts w:ascii="Cambria Math" w:hAnsi="Cambria Math" w:cs="Times New Roman"/>
                        <w:color w:val="000000" w:themeColor="text1"/>
                        <w:sz w:val="22"/>
                        <w:szCs w:val="22"/>
                      </w:rPr>
                      <m:t>O</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e>
                    </m:d>
                  </m:sup>
                </m:sSubSup>
                <m:d>
                  <m:dPr>
                    <m:ctrlPr>
                      <w:rPr>
                        <w:rFonts w:ascii="Cambria Math" w:hAnsi="Cambria Math" w:cs="Times New Roman"/>
                        <w:color w:val="000000" w:themeColor="text1"/>
                        <w:sz w:val="22"/>
                        <w:szCs w:val="22"/>
                      </w:rPr>
                    </m:ctrlPr>
                  </m:dPr>
                  <m:e>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1</m:t>
                        </m:r>
                        <m:r>
                          <m:rPr>
                            <m:sty m:val="p"/>
                          </m:rPr>
                          <w:rPr>
                            <w:rFonts w:ascii="Cambria Math" w:hAnsi="Cambria Math" w:cs="Times New Roman"/>
                            <w:color w:val="000000" w:themeColor="text1"/>
                            <w:sz w:val="22"/>
                            <w:szCs w:val="22"/>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ϵ</m:t>
                            </m:r>
                          </m:e>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e>
                            </m:d>
                          </m:sup>
                        </m:sSup>
                      </m:e>
                    </m:d>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v</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e>
                        </m:d>
                      </m:sup>
                    </m:sSubSup>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W</m:t>
                        </m:r>
                      </m:e>
                      <m:sub>
                        <m:r>
                          <m:rPr>
                            <m:sty m:val="p"/>
                          </m:rPr>
                          <w:rPr>
                            <w:rFonts w:ascii="Cambria Math" w:hAnsi="Cambria Math" w:cs="Times New Roman"/>
                            <w:color w:val="000000" w:themeColor="text1"/>
                            <w:sz w:val="22"/>
                            <w:szCs w:val="22"/>
                          </w:rPr>
                          <m:t>pred</m:t>
                        </m:r>
                      </m:sub>
                    </m:sSub>
                    <m:r>
                      <w:rPr>
                        <w:rFonts w:ascii="Cambria Math" w:hAnsi="Cambria Math" w:cs="Times New Roman"/>
                        <w:color w:val="000000" w:themeColor="text1"/>
                        <w:sz w:val="22"/>
                        <w:szCs w:val="22"/>
                      </w:rPr>
                      <m:t>​​</m:t>
                    </m:r>
                    <m:nary>
                      <m:naryPr>
                        <m:chr m:val="∑"/>
                        <m:limLoc m:val="undOvr"/>
                        <m:supHide m:val="1"/>
                        <m:ctrlPr>
                          <w:rPr>
                            <w:rFonts w:ascii="Cambria Math" w:hAnsi="Cambria Math" w:cs="Times New Roman"/>
                            <w:color w:val="000000" w:themeColor="text1"/>
                            <w:sz w:val="22"/>
                            <w:szCs w:val="22"/>
                          </w:rPr>
                        </m:ctrlPr>
                      </m:naryPr>
                      <m:sub>
                        <m:r>
                          <w:rPr>
                            <w:rFonts w:ascii="Cambria Math" w:hAnsi="Cambria Math" w:cs="Times New Roman"/>
                            <w:color w:val="000000" w:themeColor="text1"/>
                            <w:sz w:val="22"/>
                            <w:szCs w:val="22"/>
                          </w:rPr>
                          <m:t>u</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v</m:t>
                        </m:r>
                      </m:sub>
                      <m:sup>
                        <m:r>
                          <w:rPr>
                            <w:rFonts w:ascii="Cambria Math" w:hAnsi="Cambria Math" w:cs="Times New Roman"/>
                            <w:color w:val="000000" w:themeColor="text1"/>
                            <w:sz w:val="22"/>
                            <w:szCs w:val="22"/>
                          </w:rPr>
                          <m:t>​</m:t>
                        </m:r>
                      </m:sup>
                      <m:e>
                        <m:r>
                          <w:rPr>
                            <w:rFonts w:ascii="Cambria Math" w:hAnsi="Cambria Math" w:cs="Times New Roman"/>
                            <w:color w:val="000000" w:themeColor="text1"/>
                            <w:sz w:val="22"/>
                            <w:szCs w:val="22"/>
                          </w:rPr>
                          <m:t>​</m:t>
                        </m:r>
                      </m:e>
                    </m:nary>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u</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e>
                        </m:d>
                      </m:sup>
                    </m:sSubSup>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W</m:t>
                        </m:r>
                      </m:e>
                      <m:sub>
                        <m:r>
                          <m:rPr>
                            <m:sty m:val="p"/>
                          </m:rPr>
                          <w:rPr>
                            <w:rFonts w:ascii="Cambria Math" w:hAnsi="Cambria Math" w:cs="Times New Roman"/>
                            <w:color w:val="000000" w:themeColor="text1"/>
                            <w:sz w:val="22"/>
                            <w:szCs w:val="22"/>
                          </w:rPr>
                          <m:t>succ</m:t>
                        </m:r>
                      </m:sub>
                    </m:sSub>
                    <m:r>
                      <w:rPr>
                        <w:rFonts w:ascii="Cambria Math" w:hAnsi="Cambria Math" w:cs="Times New Roman"/>
                        <w:color w:val="000000" w:themeColor="text1"/>
                        <w:sz w:val="22"/>
                        <w:szCs w:val="22"/>
                      </w:rPr>
                      <m:t>​​</m:t>
                    </m:r>
                    <m:nary>
                      <m:naryPr>
                        <m:chr m:val="∑"/>
                        <m:limLoc m:val="undOvr"/>
                        <m:supHide m:val="1"/>
                        <m:ctrlPr>
                          <w:rPr>
                            <w:rFonts w:ascii="Cambria Math" w:hAnsi="Cambria Math" w:cs="Times New Roman"/>
                            <w:color w:val="000000" w:themeColor="text1"/>
                            <w:sz w:val="22"/>
                            <w:szCs w:val="22"/>
                          </w:rPr>
                        </m:ctrlPr>
                      </m:naryPr>
                      <m:sub>
                        <m:r>
                          <w:rPr>
                            <w:rFonts w:ascii="Cambria Math" w:hAnsi="Cambria Math" w:cs="Times New Roman"/>
                            <w:color w:val="000000" w:themeColor="text1"/>
                            <w:sz w:val="22"/>
                            <w:szCs w:val="22"/>
                          </w:rPr>
                          <m:t>v</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u</m:t>
                        </m:r>
                      </m:sub>
                      <m:sup>
                        <m:r>
                          <w:rPr>
                            <w:rFonts w:ascii="Cambria Math" w:hAnsi="Cambria Math" w:cs="Times New Roman"/>
                            <w:color w:val="000000" w:themeColor="text1"/>
                            <w:sz w:val="22"/>
                            <w:szCs w:val="22"/>
                          </w:rPr>
                          <m:t>​</m:t>
                        </m:r>
                      </m:sup>
                      <m:e>
                        <m:r>
                          <w:rPr>
                            <w:rFonts w:ascii="Cambria Math" w:hAnsi="Cambria Math" w:cs="Times New Roman"/>
                            <w:color w:val="000000" w:themeColor="text1"/>
                            <w:sz w:val="22"/>
                            <w:szCs w:val="22"/>
                          </w:rPr>
                          <m:t>​</m:t>
                        </m:r>
                      </m:e>
                    </m:nary>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u</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e>
                        </m:d>
                      </m:sup>
                    </m:sSubSup>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W</m:t>
                        </m:r>
                      </m:e>
                      <m:sub>
                        <m:r>
                          <m:rPr>
                            <m:sty m:val="p"/>
                          </m:rPr>
                          <w:rPr>
                            <w:rFonts w:ascii="Cambria Math" w:hAnsi="Cambria Math" w:cs="Times New Roman"/>
                            <w:color w:val="000000" w:themeColor="text1"/>
                            <w:sz w:val="22"/>
                            <w:szCs w:val="22"/>
                          </w:rPr>
                          <m:t>mach</m:t>
                        </m:r>
                      </m:sub>
                    </m:sSub>
                    <m:r>
                      <w:rPr>
                        <w:rFonts w:ascii="Cambria Math" w:hAnsi="Cambria Math" w:cs="Times New Roman"/>
                        <w:color w:val="000000" w:themeColor="text1"/>
                        <w:sz w:val="22"/>
                        <w:szCs w:val="22"/>
                      </w:rPr>
                      <m:t>​​</m:t>
                    </m:r>
                    <m:nary>
                      <m:naryPr>
                        <m:chr m:val="∑"/>
                        <m:limLoc m:val="undOvr"/>
                        <m:supHide m:val="1"/>
                        <m:ctrlPr>
                          <w:rPr>
                            <w:rFonts w:ascii="Cambria Math" w:hAnsi="Cambria Math" w:cs="Times New Roman"/>
                            <w:color w:val="000000" w:themeColor="text1"/>
                            <w:sz w:val="22"/>
                            <w:szCs w:val="22"/>
                          </w:rPr>
                        </m:ctrlPr>
                      </m:naryPr>
                      <m:sub>
                        <m:r>
                          <w:rPr>
                            <w:rFonts w:ascii="Cambria Math" w:hAnsi="Cambria Math" w:cs="Times New Roman"/>
                            <w:color w:val="000000" w:themeColor="text1"/>
                            <w:sz w:val="22"/>
                            <w:szCs w:val="22"/>
                          </w:rPr>
                          <m:t>u</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v</m:t>
                        </m:r>
                      </m:sub>
                      <m:sup>
                        <m:r>
                          <w:rPr>
                            <w:rFonts w:ascii="Cambria Math" w:hAnsi="Cambria Math" w:cs="Times New Roman"/>
                            <w:color w:val="000000" w:themeColor="text1"/>
                            <w:sz w:val="22"/>
                            <w:szCs w:val="22"/>
                          </w:rPr>
                          <m:t>​</m:t>
                        </m:r>
                      </m:sup>
                      <m:e>
                        <m:r>
                          <w:rPr>
                            <w:rFonts w:ascii="Cambria Math" w:hAnsi="Cambria Math" w:cs="Times New Roman"/>
                            <w:color w:val="000000" w:themeColor="text1"/>
                            <w:sz w:val="22"/>
                            <w:szCs w:val="22"/>
                          </w:rPr>
                          <m:t>​</m:t>
                        </m:r>
                      </m:e>
                    </m:nary>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u</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e>
                        </m:d>
                      </m:sup>
                    </m:sSubSup>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W</m:t>
                        </m:r>
                      </m:e>
                      <m:sub>
                        <m:r>
                          <m:rPr>
                            <m:sty m:val="p"/>
                          </m:rPr>
                          <w:rPr>
                            <w:rFonts w:ascii="Cambria Math" w:hAnsi="Cambria Math" w:cs="Times New Roman"/>
                            <w:color w:val="000000" w:themeColor="text1"/>
                            <w:sz w:val="22"/>
                            <w:szCs w:val="22"/>
                          </w:rPr>
                          <m:t>elig</m:t>
                        </m:r>
                      </m:sub>
                    </m:sSub>
                    <m:r>
                      <w:rPr>
                        <w:rFonts w:ascii="Cambria Math" w:hAnsi="Cambria Math" w:cs="Times New Roman"/>
                        <w:color w:val="000000" w:themeColor="text1"/>
                        <w:sz w:val="22"/>
                        <w:szCs w:val="22"/>
                      </w:rPr>
                      <m:t> </m:t>
                    </m:r>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m</m:t>
                        </m:r>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v</m:t>
                            </m:r>
                          </m:e>
                        </m:d>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e>
                        </m:d>
                      </m:sup>
                    </m:sSubSup>
                  </m:e>
                </m:d>
              </m:e>
            </m:mr>
            <m:mr>
              <m:e>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k</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e>
                    </m:d>
                  </m:sup>
                </m:sSubSup>
              </m:e>
              <m:e>
                <m:r>
                  <m:rPr>
                    <m:sty m:val="p"/>
                  </m:rPr>
                  <w:rPr>
                    <w:rFonts w:ascii="Cambria Math" w:hAnsi="Cambria Math" w:cs="Times New Roman"/>
                    <w:color w:val="000000" w:themeColor="text1"/>
                    <w:sz w:val="22"/>
                    <w:szCs w:val="22"/>
                  </w:rPr>
                  <m:t>=</m:t>
                </m:r>
                <m:sSubSup>
                  <m:sSubSupPr>
                    <m:ctrlPr>
                      <w:rPr>
                        <w:rFonts w:ascii="Cambria Math" w:hAnsi="Cambria Math" w:cs="Times New Roman"/>
                        <w:color w:val="000000" w:themeColor="text1"/>
                        <w:sz w:val="22"/>
                        <w:szCs w:val="22"/>
                      </w:rPr>
                    </m:ctrlPr>
                  </m:sSubSupPr>
                  <m:e>
                    <m:r>
                      <m:rPr>
                        <m:sty m:val="p"/>
                      </m:rPr>
                      <w:rPr>
                        <w:rFonts w:ascii="Cambria Math" w:hAnsi="Cambria Math" w:cs="Times New Roman"/>
                        <w:color w:val="000000" w:themeColor="text1"/>
                        <w:sz w:val="22"/>
                        <w:szCs w:val="22"/>
                      </w:rPr>
                      <m:t>MLP</m:t>
                    </m:r>
                  </m:e>
                  <m:sub>
                    <m:r>
                      <w:rPr>
                        <w:rFonts w:ascii="Cambria Math" w:hAnsi="Cambria Math" w:cs="Times New Roman"/>
                        <w:color w:val="000000" w:themeColor="text1"/>
                        <w:sz w:val="22"/>
                        <w:szCs w:val="22"/>
                      </w:rPr>
                      <m:t>M</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e>
                    </m:d>
                  </m:sup>
                </m:sSubSup>
                <m:d>
                  <m:dPr>
                    <m:ctrlPr>
                      <w:rPr>
                        <w:rFonts w:ascii="Cambria Math" w:hAnsi="Cambria Math" w:cs="Times New Roman"/>
                        <w:color w:val="000000" w:themeColor="text1"/>
                        <w:sz w:val="22"/>
                        <w:szCs w:val="22"/>
                      </w:rPr>
                    </m:ctrlPr>
                  </m:dPr>
                  <m:e>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1</m:t>
                        </m:r>
                        <m:r>
                          <m:rPr>
                            <m:sty m:val="p"/>
                          </m:rPr>
                          <w:rPr>
                            <w:rFonts w:ascii="Cambria Math" w:hAnsi="Cambria Math" w:cs="Times New Roman"/>
                            <w:color w:val="000000" w:themeColor="text1"/>
                            <w:sz w:val="22"/>
                            <w:szCs w:val="22"/>
                          </w:rPr>
                          <m:t>+</m:t>
                        </m:r>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ϵ</m:t>
                            </m:r>
                          </m:e>
                          <m:sub>
                            <m:r>
                              <w:rPr>
                                <w:rFonts w:ascii="Cambria Math" w:hAnsi="Cambria Math" w:cs="Times New Roman"/>
                                <w:color w:val="000000" w:themeColor="text1"/>
                                <w:sz w:val="22"/>
                                <w:szCs w:val="22"/>
                              </w:rPr>
                              <m:t>M</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e>
                            </m:d>
                          </m:sup>
                        </m:sSubSup>
                      </m:e>
                    </m:d>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k</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e>
                        </m:d>
                      </m:sup>
                    </m:sSubSup>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W</m:t>
                        </m:r>
                      </m:e>
                      <m:sub>
                        <m:r>
                          <m:rPr>
                            <m:sty m:val="p"/>
                          </m:rPr>
                          <w:rPr>
                            <w:rFonts w:ascii="Cambria Math" w:hAnsi="Cambria Math" w:cs="Times New Roman"/>
                            <w:color w:val="000000" w:themeColor="text1"/>
                            <w:sz w:val="22"/>
                            <w:szCs w:val="22"/>
                          </w:rPr>
                          <m:t>cand</m:t>
                        </m:r>
                      </m:sub>
                    </m:sSub>
                    <m:r>
                      <w:rPr>
                        <w:rFonts w:ascii="Cambria Math" w:hAnsi="Cambria Math" w:cs="Times New Roman"/>
                        <w:color w:val="000000" w:themeColor="text1"/>
                        <w:sz w:val="22"/>
                        <w:szCs w:val="22"/>
                      </w:rPr>
                      <m:t>​​​</m:t>
                    </m:r>
                    <m:nary>
                      <m:naryPr>
                        <m:chr m:val="∑"/>
                        <m:limLoc m:val="undOvr"/>
                        <m:supHide m:val="1"/>
                        <m:ctrlPr>
                          <w:rPr>
                            <w:rFonts w:ascii="Cambria Math" w:hAnsi="Cambria Math" w:cs="Times New Roman"/>
                            <w:color w:val="000000" w:themeColor="text1"/>
                            <w:sz w:val="22"/>
                            <w:szCs w:val="22"/>
                          </w:rPr>
                        </m:ctrlPr>
                      </m:naryPr>
                      <m:sub>
                        <m:r>
                          <w:rPr>
                            <w:rFonts w:ascii="Cambria Math" w:hAnsi="Cambria Math" w:cs="Times New Roman"/>
                            <w:color w:val="000000" w:themeColor="text1"/>
                            <w:sz w:val="22"/>
                            <w:szCs w:val="22"/>
                          </w:rPr>
                          <m:t>v</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 m</m:t>
                        </m:r>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v</m:t>
                            </m:r>
                          </m:e>
                        </m:d>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k</m:t>
                        </m:r>
                      </m:sub>
                      <m:sup>
                        <m:r>
                          <w:rPr>
                            <w:rFonts w:ascii="Cambria Math" w:hAnsi="Cambria Math" w:cs="Times New Roman"/>
                            <w:color w:val="000000" w:themeColor="text1"/>
                            <w:sz w:val="22"/>
                            <w:szCs w:val="22"/>
                          </w:rPr>
                          <m:t>​</m:t>
                        </m:r>
                      </m:sup>
                      <m:e>
                        <m:r>
                          <w:rPr>
                            <w:rFonts w:ascii="Cambria Math" w:hAnsi="Cambria Math" w:cs="Times New Roman"/>
                            <w:color w:val="000000" w:themeColor="text1"/>
                            <w:sz w:val="22"/>
                            <w:szCs w:val="22"/>
                          </w:rPr>
                          <m:t>​</m:t>
                        </m:r>
                      </m:e>
                    </m:nary>
                    <m:r>
                      <w:rPr>
                        <w:rFonts w:ascii="Cambria Math" w:hAnsi="Cambria Math" w:cs="Times New Roman"/>
                        <w:color w:val="000000" w:themeColor="text1"/>
                        <w:sz w:val="22"/>
                        <w:szCs w:val="22"/>
                      </w:rPr>
                      <m:t>​​</m:t>
                    </m:r>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h</m:t>
                        </m:r>
                      </m:e>
                      <m:sub>
                        <m:r>
                          <w:rPr>
                            <w:rFonts w:ascii="Cambria Math" w:hAnsi="Cambria Math" w:cs="Times New Roman"/>
                            <w:color w:val="000000" w:themeColor="text1"/>
                            <w:sz w:val="22"/>
                            <w:szCs w:val="22"/>
                          </w:rPr>
                          <m:t>v</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e>
                        </m:d>
                      </m:sup>
                    </m:sSubSup>
                  </m:e>
                </m:d>
              </m:e>
            </m:mr>
          </m:m>
        </m:oMath>
      </m:oMathPara>
    </w:p>
    <w:p w14:paraId="69DC4CC3"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donde </w:t>
      </w:r>
      <m:oMath>
        <m:r>
          <w:rPr>
            <w:rFonts w:ascii="Cambria Math" w:hAnsi="Cambria Math" w:cs="Times New Roman"/>
            <w:color w:val="000000" w:themeColor="text1"/>
            <w:sz w:val="22"/>
            <w:szCs w:val="22"/>
            <w:lang w:val="es-CO"/>
          </w:rPr>
          <m:t>h</m:t>
        </m:r>
      </m:oMath>
      <w:r w:rsidRPr="0069403C">
        <w:rPr>
          <w:rFonts w:ascii="Times New Roman" w:hAnsi="Times New Roman" w:cs="Times New Roman"/>
          <w:color w:val="000000" w:themeColor="text1"/>
          <w:sz w:val="22"/>
          <w:szCs w:val="22"/>
          <w:lang w:val="es-CO"/>
        </w:rPr>
        <w:t xml:space="preserve"> denota una incrustación (embedding) de nodo, </w:t>
      </w:r>
      <m:oMath>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ϵ</m:t>
            </m:r>
          </m:e>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e>
            </m:d>
          </m:sup>
        </m:sSup>
      </m:oMath>
      <w:r w:rsidRPr="0069403C">
        <w:rPr>
          <w:rFonts w:ascii="Times New Roman" w:hAnsi="Times New Roman" w:cs="Times New Roman"/>
          <w:color w:val="000000" w:themeColor="text1"/>
          <w:sz w:val="22"/>
          <w:szCs w:val="22"/>
          <w:lang w:val="es-CO"/>
        </w:rPr>
        <w:t xml:space="preserve"> y </w:t>
      </w:r>
      <m:oMath>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ϵ</m:t>
            </m:r>
          </m:e>
          <m:sub>
            <m:r>
              <w:rPr>
                <w:rFonts w:ascii="Cambria Math" w:hAnsi="Cambria Math" w:cs="Times New Roman"/>
                <w:color w:val="000000" w:themeColor="text1"/>
                <w:sz w:val="22"/>
                <w:szCs w:val="22"/>
              </w:rPr>
              <m:t>M</m:t>
            </m:r>
          </m:sub>
          <m:sup>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e>
            </m:d>
          </m:sup>
        </m:sSubSup>
      </m:oMath>
      <w:r w:rsidRPr="0069403C">
        <w:rPr>
          <w:rFonts w:ascii="Times New Roman" w:hAnsi="Times New Roman" w:cs="Times New Roman"/>
          <w:color w:val="000000" w:themeColor="text1"/>
          <w:sz w:val="22"/>
          <w:szCs w:val="22"/>
          <w:lang w:val="es-CO"/>
        </w:rPr>
        <w:t xml:space="preserve"> son escalares de autoponderación GIN aprendibles, y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W</m:t>
            </m:r>
          </m:e>
          <m:sub>
            <m:r>
              <m:rPr>
                <m:sty m:val="p"/>
              </m:rPr>
              <w:rPr>
                <w:rFonts w:ascii="Cambria Math" w:hAnsi="Cambria Math" w:cs="Times New Roman"/>
                <w:color w:val="000000" w:themeColor="text1"/>
                <w:sz w:val="22"/>
                <w:szCs w:val="22"/>
                <w:lang w:val="es-CO"/>
              </w:rPr>
              <m:t>pred</m:t>
            </m:r>
          </m:sub>
        </m:sSub>
        <m:r>
          <m:rPr>
            <m:sty m:val="p"/>
          </m:rPr>
          <w:rPr>
            <w:rFonts w:ascii="Cambria Math" w:hAnsi="Cambria Math" w:cs="Times New Roman"/>
            <w:color w:val="000000" w:themeColor="text1"/>
            <w:sz w:val="22"/>
            <w:szCs w:val="22"/>
            <w:lang w:val="es-CO"/>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W</m:t>
            </m:r>
          </m:e>
          <m:sub>
            <m:r>
              <m:rPr>
                <m:sty m:val="p"/>
              </m:rPr>
              <w:rPr>
                <w:rFonts w:ascii="Cambria Math" w:hAnsi="Cambria Math" w:cs="Times New Roman"/>
                <w:color w:val="000000" w:themeColor="text1"/>
                <w:sz w:val="22"/>
                <w:szCs w:val="22"/>
                <w:lang w:val="es-CO"/>
              </w:rPr>
              <m:t>succ</m:t>
            </m:r>
          </m:sub>
        </m:sSub>
        <m:r>
          <m:rPr>
            <m:sty m:val="p"/>
          </m:rPr>
          <w:rPr>
            <w:rFonts w:ascii="Cambria Math" w:hAnsi="Cambria Math" w:cs="Times New Roman"/>
            <w:color w:val="000000" w:themeColor="text1"/>
            <w:sz w:val="22"/>
            <w:szCs w:val="22"/>
            <w:lang w:val="es-CO"/>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W</m:t>
            </m:r>
          </m:e>
          <m:sub>
            <m:r>
              <m:rPr>
                <m:sty m:val="p"/>
              </m:rPr>
              <w:rPr>
                <w:rFonts w:ascii="Cambria Math" w:hAnsi="Cambria Math" w:cs="Times New Roman"/>
                <w:color w:val="000000" w:themeColor="text1"/>
                <w:sz w:val="22"/>
                <w:szCs w:val="22"/>
                <w:lang w:val="es-CO"/>
              </w:rPr>
              <m:t>mach</m:t>
            </m:r>
          </m:sub>
        </m:sSub>
        <m:r>
          <m:rPr>
            <m:sty m:val="p"/>
          </m:rPr>
          <w:rPr>
            <w:rFonts w:ascii="Cambria Math" w:hAnsi="Cambria Math" w:cs="Times New Roman"/>
            <w:color w:val="000000" w:themeColor="text1"/>
            <w:sz w:val="22"/>
            <w:szCs w:val="22"/>
            <w:lang w:val="es-CO"/>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W</m:t>
            </m:r>
          </m:e>
          <m:sub>
            <m:r>
              <m:rPr>
                <m:sty m:val="p"/>
              </m:rPr>
              <w:rPr>
                <w:rFonts w:ascii="Cambria Math" w:hAnsi="Cambria Math" w:cs="Times New Roman"/>
                <w:color w:val="000000" w:themeColor="text1"/>
                <w:sz w:val="22"/>
                <w:szCs w:val="22"/>
                <w:lang w:val="es-CO"/>
              </w:rPr>
              <m:t>elig</m:t>
            </m:r>
          </m:sub>
        </m:sSub>
        <m:r>
          <m:rPr>
            <m:sty m:val="p"/>
          </m:rPr>
          <w:rPr>
            <w:rFonts w:ascii="Cambria Math" w:hAnsi="Cambria Math" w:cs="Times New Roman"/>
            <w:color w:val="000000" w:themeColor="text1"/>
            <w:sz w:val="22"/>
            <w:szCs w:val="22"/>
            <w:lang w:val="es-CO"/>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W</m:t>
            </m:r>
          </m:e>
          <m:sub>
            <m:r>
              <m:rPr>
                <m:sty m:val="p"/>
              </m:rPr>
              <w:rPr>
                <w:rFonts w:ascii="Cambria Math" w:hAnsi="Cambria Math" w:cs="Times New Roman"/>
                <w:color w:val="000000" w:themeColor="text1"/>
                <w:sz w:val="22"/>
                <w:szCs w:val="22"/>
                <w:lang w:val="es-CO"/>
              </w:rPr>
              <m:t>cand</m:t>
            </m:r>
          </m:sub>
        </m:sSub>
      </m:oMath>
      <w:r w:rsidRPr="0069403C">
        <w:rPr>
          <w:rFonts w:ascii="Times New Roman" w:hAnsi="Times New Roman" w:cs="Times New Roman"/>
          <w:color w:val="000000" w:themeColor="text1"/>
          <w:sz w:val="22"/>
          <w:szCs w:val="22"/>
          <w:lang w:val="es-CO"/>
        </w:rPr>
        <w:t xml:space="preserve"> son transformaciones lineales específicas de cada relación.</w:t>
      </w:r>
    </w:p>
    <w:p w14:paraId="4379C8E7"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lastRenderedPageBreak/>
        <w:t xml:space="preserve">Una cabeza de actor por nodo, compartida entre todas las incrustaciones de operación, produce un </w:t>
      </w:r>
      <w:proofErr w:type="spellStart"/>
      <w:r w:rsidRPr="0069403C">
        <w:rPr>
          <w:rFonts w:ascii="Times New Roman" w:hAnsi="Times New Roman" w:cs="Times New Roman"/>
          <w:color w:val="000000" w:themeColor="text1"/>
          <w:sz w:val="22"/>
          <w:szCs w:val="22"/>
          <w:lang w:val="es-CO"/>
        </w:rPr>
        <w:t>logit</w:t>
      </w:r>
      <w:proofErr w:type="spellEnd"/>
      <w:r w:rsidRPr="0069403C">
        <w:rPr>
          <w:rFonts w:ascii="Times New Roman" w:hAnsi="Times New Roman" w:cs="Times New Roman"/>
          <w:color w:val="000000" w:themeColor="text1"/>
          <w:sz w:val="22"/>
          <w:szCs w:val="22"/>
          <w:lang w:val="es-CO"/>
        </w:rPr>
        <w:t xml:space="preserve"> por cada operación candidata independientemente del tamaño de la instancia, normalizado por </w:t>
      </w:r>
      <w:proofErr w:type="spellStart"/>
      <w:r w:rsidRPr="0069403C">
        <w:rPr>
          <w:rFonts w:ascii="Times New Roman" w:hAnsi="Times New Roman" w:cs="Times New Roman"/>
          <w:color w:val="000000" w:themeColor="text1"/>
          <w:sz w:val="22"/>
          <w:szCs w:val="22"/>
          <w:lang w:val="es-CO"/>
        </w:rPr>
        <w:t>softmax</w:t>
      </w:r>
      <w:proofErr w:type="spellEnd"/>
      <w:r w:rsidRPr="0069403C">
        <w:rPr>
          <w:rFonts w:ascii="Times New Roman" w:hAnsi="Times New Roman" w:cs="Times New Roman"/>
          <w:color w:val="000000" w:themeColor="text1"/>
          <w:sz w:val="22"/>
          <w:szCs w:val="22"/>
          <w:lang w:val="es-CO"/>
        </w:rPr>
        <w:t xml:space="preserve"> solo sobre las acciones legales, con la máscara aplicada antes del cálculo de la log-probabilidad en lugar de como una penalización de recompensa (Huang and </w:t>
      </w:r>
      <w:proofErr w:type="spellStart"/>
      <w:r w:rsidRPr="0069403C">
        <w:rPr>
          <w:rFonts w:ascii="Times New Roman" w:hAnsi="Times New Roman" w:cs="Times New Roman"/>
          <w:color w:val="000000" w:themeColor="text1"/>
          <w:sz w:val="22"/>
          <w:szCs w:val="22"/>
          <w:lang w:val="es-CO"/>
        </w:rPr>
        <w:t>Ontañón</w:t>
      </w:r>
      <w:proofErr w:type="spellEnd"/>
      <w:r w:rsidRPr="0069403C">
        <w:rPr>
          <w:rFonts w:ascii="Times New Roman" w:hAnsi="Times New Roman" w:cs="Times New Roman"/>
          <w:color w:val="000000" w:themeColor="text1"/>
          <w:sz w:val="22"/>
          <w:szCs w:val="22"/>
          <w:lang w:val="es-CO"/>
        </w:rPr>
        <w:t xml:space="preserve"> 2022). El número de parámetros del actor es, por construcción, independiente del número de operaciones </w:t>
      </w:r>
      <m:oMath>
        <m:r>
          <w:rPr>
            <w:rFonts w:ascii="Cambria Math" w:hAnsi="Cambria Math" w:cs="Times New Roman"/>
            <w:color w:val="000000" w:themeColor="text1"/>
            <w:sz w:val="22"/>
            <w:szCs w:val="22"/>
          </w:rPr>
          <m:t>N</m:t>
        </m:r>
      </m:oMath>
      <w:r w:rsidRPr="0069403C">
        <w:rPr>
          <w:rFonts w:ascii="Times New Roman" w:hAnsi="Times New Roman" w:cs="Times New Roman"/>
          <w:color w:val="000000" w:themeColor="text1"/>
          <w:sz w:val="22"/>
          <w:szCs w:val="22"/>
          <w:lang w:val="es-CO"/>
        </w:rPr>
        <w:t xml:space="preserve"> — la propiedad arquitectónica que sustenta la hipótesis de generalización de tamaño (H2). El crítico consume una incrustación de grafo agregada por media (mean-</w:t>
      </w:r>
      <w:proofErr w:type="spellStart"/>
      <w:r w:rsidRPr="0069403C">
        <w:rPr>
          <w:rFonts w:ascii="Times New Roman" w:hAnsi="Times New Roman" w:cs="Times New Roman"/>
          <w:color w:val="000000" w:themeColor="text1"/>
          <w:sz w:val="22"/>
          <w:szCs w:val="22"/>
          <w:lang w:val="es-CO"/>
        </w:rPr>
        <w:t>pooled</w:t>
      </w:r>
      <w:proofErr w:type="spellEnd"/>
      <w:r w:rsidRPr="0069403C">
        <w:rPr>
          <w:rFonts w:ascii="Times New Roman" w:hAnsi="Times New Roman" w:cs="Times New Roman"/>
          <w:color w:val="000000" w:themeColor="text1"/>
          <w:sz w:val="22"/>
          <w:szCs w:val="22"/>
          <w:lang w:val="es-CO"/>
        </w:rPr>
        <w:t xml:space="preserve">). El entrenamiento utiliza </w:t>
      </w:r>
      <w:proofErr w:type="spellStart"/>
      <w:r w:rsidRPr="0069403C">
        <w:rPr>
          <w:rFonts w:ascii="Times New Roman" w:hAnsi="Times New Roman" w:cs="Times New Roman"/>
          <w:color w:val="000000" w:themeColor="text1"/>
          <w:sz w:val="22"/>
          <w:szCs w:val="22"/>
          <w:lang w:val="es-CO"/>
        </w:rPr>
        <w:t>MaskablePPO</w:t>
      </w:r>
      <w:proofErr w:type="spellEnd"/>
      <w:r w:rsidRPr="0069403C">
        <w:rPr>
          <w:rFonts w:ascii="Times New Roman" w:hAnsi="Times New Roman" w:cs="Times New Roman"/>
          <w:color w:val="000000" w:themeColor="text1"/>
          <w:sz w:val="22"/>
          <w:szCs w:val="22"/>
          <w:lang w:val="es-CO"/>
        </w:rPr>
        <w:t xml:space="preserve"> (Raffin et al. 2021) con un objetivo sustituto recortado (</w:t>
      </w:r>
      <w:proofErr w:type="spellStart"/>
      <w:r w:rsidRPr="0069403C">
        <w:rPr>
          <w:rFonts w:ascii="Times New Roman" w:hAnsi="Times New Roman" w:cs="Times New Roman"/>
          <w:color w:val="000000" w:themeColor="text1"/>
          <w:sz w:val="22"/>
          <w:szCs w:val="22"/>
          <w:lang w:val="es-CO"/>
        </w:rPr>
        <w:t>clipped</w:t>
      </w:r>
      <w:proofErr w:type="spellEnd"/>
      <w:r w:rsidRPr="0069403C">
        <w:rPr>
          <w:rFonts w:ascii="Times New Roman" w:hAnsi="Times New Roman" w:cs="Times New Roman"/>
          <w:color w:val="000000" w:themeColor="text1"/>
          <w:sz w:val="22"/>
          <w:szCs w:val="22"/>
          <w:lang w:val="es-CO"/>
        </w:rPr>
        <w:t xml:space="preserve"> </w:t>
      </w:r>
      <w:proofErr w:type="spellStart"/>
      <w:r w:rsidRPr="0069403C">
        <w:rPr>
          <w:rFonts w:ascii="Times New Roman" w:hAnsi="Times New Roman" w:cs="Times New Roman"/>
          <w:color w:val="000000" w:themeColor="text1"/>
          <w:sz w:val="22"/>
          <w:szCs w:val="22"/>
          <w:lang w:val="es-CO"/>
        </w:rPr>
        <w:t>surrogate</w:t>
      </w:r>
      <w:proofErr w:type="spellEnd"/>
      <w:r w:rsidRPr="0069403C">
        <w:rPr>
          <w:rFonts w:ascii="Times New Roman" w:hAnsi="Times New Roman" w:cs="Times New Roman"/>
          <w:color w:val="000000" w:themeColor="text1"/>
          <w:sz w:val="22"/>
          <w:szCs w:val="22"/>
          <w:lang w:val="es-CO"/>
        </w:rPr>
        <w:t xml:space="preserve">) y estimación de ventaja generalizada (Schulman et al. 2016), con factor de descuento </w:t>
      </w:r>
      <m:oMath>
        <m:r>
          <w:rPr>
            <w:rFonts w:ascii="Cambria Math" w:hAnsi="Cambria Math" w:cs="Times New Roman"/>
            <w:color w:val="000000" w:themeColor="text1"/>
            <w:sz w:val="22"/>
            <w:szCs w:val="22"/>
          </w:rPr>
          <m:t>γ</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m:t>
        </m:r>
      </m:oMath>
      <w:r w:rsidRPr="0069403C">
        <w:rPr>
          <w:rFonts w:ascii="Times New Roman" w:hAnsi="Times New Roman" w:cs="Times New Roman"/>
          <w:color w:val="000000" w:themeColor="text1"/>
          <w:sz w:val="22"/>
          <w:szCs w:val="22"/>
          <w:lang w:val="es-CO"/>
        </w:rPr>
        <w:t>, justificado por la estructura de suma telescópica de la recompensa descrita a continuación.</w:t>
      </w:r>
    </w:p>
    <w:p w14:paraId="321D2D9F"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21" w:name="sec:reward"/>
      <w:bookmarkEnd w:id="20"/>
      <w:r w:rsidRPr="0069403C">
        <w:rPr>
          <w:rFonts w:ascii="Times New Roman" w:hAnsi="Times New Roman" w:cs="Times New Roman"/>
          <w:color w:val="000000" w:themeColor="text1"/>
          <w:sz w:val="22"/>
          <w:szCs w:val="22"/>
          <w:lang w:val="es-CO"/>
        </w:rPr>
        <w:t>Recompensa consciente de la disrupción</w:t>
      </w:r>
    </w:p>
    <w:p w14:paraId="246BEF3A"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 recompensa base es densa y basada en potencial:</w:t>
      </w:r>
    </w:p>
    <w:p w14:paraId="5BC53BF7" w14:textId="77777777" w:rsidR="00E373E4" w:rsidRPr="0069403C" w:rsidRDefault="00000000" w:rsidP="0069403C">
      <w:pPr>
        <w:pStyle w:val="Textoindependiente"/>
        <w:rPr>
          <w:rFonts w:ascii="Times New Roman" w:hAnsi="Times New Roman" w:cs="Times New Roman"/>
          <w:color w:val="000000" w:themeColor="text1"/>
          <w:sz w:val="22"/>
          <w:szCs w:val="22"/>
        </w:rPr>
      </w:pPr>
      <m:oMathPara>
        <m:oMathParaPr>
          <m:jc m:val="center"/>
        </m:oMathParaP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r</m:t>
              </m:r>
            </m:e>
            <m:sub>
              <m:r>
                <w:rPr>
                  <w:rFonts w:ascii="Cambria Math" w:hAnsi="Cambria Math" w:cs="Times New Roman"/>
                  <w:color w:val="000000" w:themeColor="text1"/>
                  <w:sz w:val="22"/>
                  <w:szCs w:val="22"/>
                </w:rPr>
                <m:t>t</m:t>
              </m:r>
            </m:sub>
          </m:sSub>
          <m:r>
            <m:rPr>
              <m:sty m:val="p"/>
            </m:rPr>
            <w:rPr>
              <w:rFonts w:ascii="Cambria Math" w:hAnsi="Cambria Math" w:cs="Times New Roman"/>
              <w:color w:val="000000" w:themeColor="text1"/>
              <w:sz w:val="22"/>
              <w:szCs w:val="22"/>
            </w:rPr>
            <m:t>=</m:t>
          </m:r>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H</m:t>
              </m:r>
              <m:d>
                <m:dPr>
                  <m:ctrlPr>
                    <w:rPr>
                      <w:rFonts w:ascii="Cambria Math" w:hAnsi="Cambria Math" w:cs="Times New Roman"/>
                      <w:color w:val="000000" w:themeColor="text1"/>
                      <w:sz w:val="22"/>
                      <w:szCs w:val="22"/>
                    </w:rPr>
                  </m:ctrlPr>
                </m:dPr>
                <m:e>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s</m:t>
                      </m:r>
                    </m:e>
                    <m:sub>
                      <m:r>
                        <w:rPr>
                          <w:rFonts w:ascii="Cambria Math" w:hAnsi="Cambria Math" w:cs="Times New Roman"/>
                          <w:color w:val="000000" w:themeColor="text1"/>
                          <w:sz w:val="22"/>
                          <w:szCs w:val="22"/>
                        </w:rPr>
                        <m:t>t</m:t>
                      </m:r>
                    </m:sub>
                  </m:sSub>
                </m:e>
              </m:d>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H</m:t>
              </m:r>
              <m:d>
                <m:dPr>
                  <m:ctrlPr>
                    <w:rPr>
                      <w:rFonts w:ascii="Cambria Math" w:hAnsi="Cambria Math" w:cs="Times New Roman"/>
                      <w:color w:val="000000" w:themeColor="text1"/>
                      <w:sz w:val="22"/>
                      <w:szCs w:val="22"/>
                    </w:rPr>
                  </m:ctrlPr>
                </m:dPr>
                <m:e>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s</m:t>
                      </m:r>
                    </m:e>
                    <m:sub>
                      <m:r>
                        <w:rPr>
                          <w:rFonts w:ascii="Cambria Math" w:hAnsi="Cambria Math" w:cs="Times New Roman"/>
                          <w:color w:val="000000" w:themeColor="text1"/>
                          <w:sz w:val="22"/>
                          <w:szCs w:val="22"/>
                        </w:rPr>
                        <m:t>t</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sub>
                  </m:sSub>
                </m:e>
              </m:d>
            </m:e>
          </m:d>
          <m:r>
            <m:rPr>
              <m:sty m:val="p"/>
            </m:rPr>
            <w:rPr>
              <w:rFonts w:ascii="Cambria Math" w:hAnsi="Cambria Math" w:cs="Times New Roman"/>
              <w:color w:val="000000" w:themeColor="text1"/>
              <w:sz w:val="22"/>
              <w:szCs w:val="22"/>
            </w:rPr>
            <m:t>×</m:t>
          </m:r>
          <m:r>
            <m:rPr>
              <m:nor/>
            </m:rPr>
            <w:rPr>
              <w:rFonts w:ascii="Times New Roman" w:hAnsi="Times New Roman" w:cs="Times New Roman"/>
              <w:color w:val="000000" w:themeColor="text1"/>
              <w:sz w:val="22"/>
              <w:szCs w:val="22"/>
            </w:rPr>
            <m:t>reward_scale</m:t>
          </m:r>
          <m:r>
            <m:rPr>
              <m:sty m:val="p"/>
            </m:rPr>
            <w:rPr>
              <w:rFonts w:ascii="Cambria Math" w:hAnsi="Cambria Math" w:cs="Times New Roman"/>
              <w:color w:val="000000" w:themeColor="text1"/>
              <w:sz w:val="22"/>
              <w:szCs w:val="22"/>
            </w:rPr>
            <m:t>,</m:t>
          </m:r>
        </m:oMath>
      </m:oMathPara>
    </w:p>
    <w:p w14:paraId="389A5FE7"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donde </w:t>
      </w:r>
      <m:oMath>
        <m:r>
          <w:rPr>
            <w:rFonts w:ascii="Cambria Math" w:hAnsi="Cambria Math" w:cs="Times New Roman"/>
            <w:color w:val="000000" w:themeColor="text1"/>
            <w:sz w:val="22"/>
            <w:szCs w:val="22"/>
          </w:rPr>
          <m:t>H</m:t>
        </m:r>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s</m:t>
            </m:r>
          </m:e>
        </m:d>
      </m:oMath>
      <w:r w:rsidRPr="0069403C">
        <w:rPr>
          <w:rFonts w:ascii="Times New Roman" w:hAnsi="Times New Roman" w:cs="Times New Roman"/>
          <w:color w:val="000000" w:themeColor="text1"/>
          <w:sz w:val="22"/>
          <w:szCs w:val="22"/>
          <w:lang w:val="es-CO"/>
        </w:rPr>
        <w:t xml:space="preserve"> es una estimación de cota inferior dependiente del estado para el makespan, que garantiza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r</m:t>
            </m:r>
          </m:e>
          <m:sub>
            <m:r>
              <w:rPr>
                <w:rFonts w:ascii="Cambria Math" w:hAnsi="Cambria Math" w:cs="Times New Roman"/>
                <w:color w:val="000000" w:themeColor="text1"/>
                <w:sz w:val="22"/>
                <w:szCs w:val="22"/>
              </w:rPr>
              <m:t>t</m:t>
            </m:r>
          </m:sub>
        </m:sSub>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m:t>
        </m:r>
      </m:oMath>
      <w:r w:rsidRPr="0069403C">
        <w:rPr>
          <w:rFonts w:ascii="Times New Roman" w:hAnsi="Times New Roman" w:cs="Times New Roman"/>
          <w:color w:val="000000" w:themeColor="text1"/>
          <w:sz w:val="22"/>
          <w:szCs w:val="22"/>
          <w:lang w:val="es-CO"/>
        </w:rPr>
        <w:t xml:space="preserve"> y un retorno telescópico </w:t>
      </w:r>
      <m:oMath>
        <m:nary>
          <m:naryPr>
            <m:chr m:val="∑"/>
            <m:limLoc m:val="undOvr"/>
            <m:supHide m:val="1"/>
            <m:ctrlPr>
              <w:rPr>
                <w:rFonts w:ascii="Cambria Math" w:hAnsi="Cambria Math" w:cs="Times New Roman"/>
                <w:color w:val="000000" w:themeColor="text1"/>
                <w:sz w:val="22"/>
                <w:szCs w:val="22"/>
              </w:rPr>
            </m:ctrlPr>
          </m:naryPr>
          <m:sub>
            <m:r>
              <w:rPr>
                <w:rFonts w:ascii="Cambria Math" w:hAnsi="Cambria Math" w:cs="Times New Roman"/>
                <w:color w:val="000000" w:themeColor="text1"/>
                <w:sz w:val="22"/>
                <w:szCs w:val="22"/>
              </w:rPr>
              <m:t>t</m:t>
            </m:r>
          </m:sub>
          <m:sup>
            <m:r>
              <w:rPr>
                <w:rFonts w:ascii="Cambria Math" w:hAnsi="Cambria Math" w:cs="Times New Roman"/>
                <w:color w:val="000000" w:themeColor="text1"/>
                <w:sz w:val="22"/>
                <w:szCs w:val="22"/>
                <w:lang w:val="es-CO"/>
              </w:rPr>
              <m:t>​</m:t>
            </m:r>
          </m:sup>
          <m:e>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r</m:t>
                </m:r>
              </m:e>
              <m:sub>
                <m:r>
                  <w:rPr>
                    <w:rFonts w:ascii="Cambria Math" w:hAnsi="Cambria Math" w:cs="Times New Roman"/>
                    <w:color w:val="000000" w:themeColor="text1"/>
                    <w:sz w:val="22"/>
                    <w:szCs w:val="22"/>
                  </w:rPr>
                  <m:t>t</m:t>
                </m:r>
              </m:sub>
            </m:sSub>
          </m:e>
        </m:nary>
        <m:r>
          <m:rPr>
            <m:sty m:val="p"/>
          </m:rPr>
          <w:rPr>
            <w:rFonts w:ascii="Cambria Math" w:hAnsi="Cambria Math" w:cs="Times New Roman"/>
            <w:color w:val="000000" w:themeColor="text1"/>
            <w:sz w:val="22"/>
            <w:szCs w:val="22"/>
            <w:lang w:val="es-CO"/>
          </w:rPr>
          <m:t>=</m:t>
        </m:r>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H</m:t>
            </m:r>
            <m:d>
              <m:dPr>
                <m:ctrlPr>
                  <w:rPr>
                    <w:rFonts w:ascii="Cambria Math" w:hAnsi="Cambria Math" w:cs="Times New Roman"/>
                    <w:color w:val="000000" w:themeColor="text1"/>
                    <w:sz w:val="22"/>
                    <w:szCs w:val="22"/>
                  </w:rPr>
                </m:ctrlPr>
              </m:dPr>
              <m:e>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s</m:t>
                    </m:r>
                  </m:e>
                  <m:sub>
                    <m:r>
                      <w:rPr>
                        <w:rFonts w:ascii="Cambria Math" w:hAnsi="Cambria Math" w:cs="Times New Roman"/>
                        <w:color w:val="000000" w:themeColor="text1"/>
                        <w:sz w:val="22"/>
                        <w:szCs w:val="22"/>
                        <w:lang w:val="es-CO"/>
                      </w:rPr>
                      <m:t>0</m:t>
                    </m:r>
                  </m:sub>
                </m:sSub>
              </m:e>
            </m:d>
            <m:r>
              <m:rPr>
                <m:sty m:val="p"/>
              </m:rPr>
              <w:rPr>
                <w:rFonts w:ascii="Cambria Math" w:hAnsi="Cambria Math" w:cs="Times New Roman"/>
                <w:color w:val="000000" w:themeColor="text1"/>
                <w:sz w:val="22"/>
                <w:szCs w:val="22"/>
                <w:lang w:val="es-CO"/>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C</m:t>
                </m:r>
              </m:e>
              <m:sub>
                <m:r>
                  <m:rPr>
                    <m:sty m:val="p"/>
                  </m:rPr>
                  <w:rPr>
                    <w:rFonts w:ascii="Cambria Math" w:hAnsi="Cambria Math" w:cs="Times New Roman"/>
                    <w:color w:val="000000" w:themeColor="text1"/>
                    <w:sz w:val="22"/>
                    <w:szCs w:val="22"/>
                    <w:lang w:val="es-CO"/>
                  </w:rPr>
                  <m:t>max</m:t>
                </m:r>
              </m:sub>
            </m:sSub>
          </m:e>
        </m:d>
        <m:r>
          <m:rPr>
            <m:sty m:val="p"/>
          </m:rPr>
          <w:rPr>
            <w:rFonts w:ascii="Cambria Math" w:hAnsi="Cambria Math" w:cs="Times New Roman"/>
            <w:color w:val="000000" w:themeColor="text1"/>
            <w:sz w:val="22"/>
            <w:szCs w:val="22"/>
            <w:lang w:val="es-CO"/>
          </w:rPr>
          <m:t>×</m:t>
        </m:r>
        <m:r>
          <m:rPr>
            <m:nor/>
          </m:rPr>
          <w:rPr>
            <w:rFonts w:ascii="Times New Roman" w:hAnsi="Times New Roman" w:cs="Times New Roman"/>
            <w:color w:val="000000" w:themeColor="text1"/>
            <w:sz w:val="22"/>
            <w:szCs w:val="22"/>
            <w:lang w:val="es-CO"/>
          </w:rPr>
          <m:t>reward_scale</m:t>
        </m:r>
      </m:oMath>
      <w:r w:rsidRPr="0069403C">
        <w:rPr>
          <w:rFonts w:ascii="Times New Roman" w:hAnsi="Times New Roman" w:cs="Times New Roman"/>
          <w:color w:val="000000" w:themeColor="text1"/>
          <w:sz w:val="22"/>
          <w:szCs w:val="22"/>
          <w:lang w:val="es-CO"/>
        </w:rPr>
        <w:t xml:space="preserve">; maximizar el retorno no descontado es, por lo tanto, exactamente equivalente a minimizar el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(Ng, Harada, and Russell 1999). Para probar H4, esta recompensa se extiende con una penalización por inestabilidad:</w:t>
      </w:r>
    </w:p>
    <w:p w14:paraId="155DED59" w14:textId="77777777" w:rsidR="00E373E4" w:rsidRPr="0069403C" w:rsidRDefault="00000000" w:rsidP="0069403C">
      <w:pPr>
        <w:pStyle w:val="Textoindependiente"/>
        <w:rPr>
          <w:rFonts w:ascii="Times New Roman" w:hAnsi="Times New Roman" w:cs="Times New Roman"/>
          <w:color w:val="000000" w:themeColor="text1"/>
          <w:sz w:val="22"/>
          <w:szCs w:val="22"/>
        </w:rPr>
      </w:pPr>
      <m:oMathPara>
        <m:oMathParaPr>
          <m:jc m:val="center"/>
        </m:oMathParaP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r</m:t>
              </m:r>
            </m:e>
            <m:sub>
              <m:r>
                <w:rPr>
                  <w:rFonts w:ascii="Cambria Math" w:hAnsi="Cambria Math" w:cs="Times New Roman"/>
                  <w:color w:val="000000" w:themeColor="text1"/>
                  <w:sz w:val="22"/>
                  <w:szCs w:val="22"/>
                </w:rPr>
                <m:t>t</m:t>
              </m:r>
            </m:sub>
          </m:sSub>
          <m:r>
            <m:rPr>
              <m:sty m:val="p"/>
            </m:rPr>
            <w:rPr>
              <w:rFonts w:ascii="Cambria Math" w:hAnsi="Cambria Math" w:cs="Times New Roman"/>
              <w:color w:val="000000" w:themeColor="text1"/>
              <w:sz w:val="22"/>
              <w:szCs w:val="22"/>
            </w:rPr>
            <m:t>=</m:t>
          </m:r>
          <m:d>
            <m:dPr>
              <m:ctrlPr>
                <w:rPr>
                  <w:rFonts w:ascii="Cambria Math" w:hAnsi="Cambria Math" w:cs="Times New Roman"/>
                  <w:color w:val="000000" w:themeColor="text1"/>
                  <w:sz w:val="22"/>
                  <w:szCs w:val="22"/>
                </w:rPr>
              </m:ctrlPr>
            </m:dPr>
            <m:e>
              <m:r>
                <w:rPr>
                  <w:rFonts w:ascii="Cambria Math" w:hAnsi="Cambria Math" w:cs="Times New Roman"/>
                  <w:color w:val="000000" w:themeColor="text1"/>
                  <w:sz w:val="22"/>
                  <w:szCs w:val="22"/>
                </w:rPr>
                <m:t>L</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B</m:t>
                  </m:r>
                </m:e>
                <m:sub>
                  <m:r>
                    <w:rPr>
                      <w:rFonts w:ascii="Cambria Math" w:hAnsi="Cambria Math" w:cs="Times New Roman"/>
                      <w:color w:val="000000" w:themeColor="text1"/>
                      <w:sz w:val="22"/>
                      <w:szCs w:val="22"/>
                    </w:rPr>
                    <m:t>t</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L</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B</m:t>
                  </m:r>
                </m:e>
                <m:sub>
                  <m:r>
                    <w:rPr>
                      <w:rFonts w:ascii="Cambria Math" w:hAnsi="Cambria Math" w:cs="Times New Roman"/>
                      <w:color w:val="000000" w:themeColor="text1"/>
                      <w:sz w:val="22"/>
                      <w:szCs w:val="22"/>
                    </w:rPr>
                    <m:t>t</m:t>
                  </m:r>
                </m:sub>
              </m:sSub>
            </m:e>
          </m:d>
          <m:r>
            <m:rPr>
              <m:sty m:val="p"/>
            </m:rPr>
            <w:rPr>
              <w:rFonts w:ascii="Cambria Math" w:hAnsi="Cambria Math" w:cs="Times New Roman"/>
              <w:color w:val="000000" w:themeColor="text1"/>
              <w:sz w:val="22"/>
              <w:szCs w:val="22"/>
            </w:rPr>
            <m:t>×</m:t>
          </m:r>
          <m:r>
            <m:rPr>
              <m:nor/>
            </m:rPr>
            <w:rPr>
              <w:rFonts w:ascii="Times New Roman" w:hAnsi="Times New Roman" w:cs="Times New Roman"/>
              <w:color w:val="000000" w:themeColor="text1"/>
              <w:sz w:val="22"/>
              <w:szCs w:val="22"/>
            </w:rPr>
            <m:t>reward_scale</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Δ</m:t>
              </m:r>
            </m:e>
            <m:sub>
              <m:r>
                <m:rPr>
                  <m:sty m:val="p"/>
                </m:rPr>
                <w:rPr>
                  <w:rFonts w:ascii="Cambria Math" w:hAnsi="Cambria Math" w:cs="Times New Roman"/>
                  <w:color w:val="000000" w:themeColor="text1"/>
                  <w:sz w:val="22"/>
                  <w:szCs w:val="22"/>
                </w:rPr>
                <m:t>inest</m:t>
              </m:r>
            </m:sub>
          </m:sSub>
          <m:r>
            <m:rPr>
              <m:sty m:val="p"/>
            </m:rPr>
            <w:rPr>
              <w:rFonts w:ascii="Cambria Math" w:hAnsi="Cambria Math" w:cs="Times New Roman"/>
              <w:color w:val="000000" w:themeColor="text1"/>
              <w:sz w:val="22"/>
              <w:szCs w:val="22"/>
            </w:rPr>
            <m:t>×</m:t>
          </m:r>
          <m:r>
            <m:rPr>
              <m:nor/>
            </m:rPr>
            <w:rPr>
              <w:rFonts w:ascii="Times New Roman" w:hAnsi="Times New Roman" w:cs="Times New Roman"/>
              <w:color w:val="000000" w:themeColor="text1"/>
              <w:sz w:val="22"/>
              <w:szCs w:val="22"/>
            </w:rPr>
            <m:t>reward_scale</m:t>
          </m:r>
          <m:r>
            <m:rPr>
              <m:sty m:val="p"/>
            </m:rPr>
            <w:rPr>
              <w:rFonts w:ascii="Cambria Math" w:hAnsi="Cambria Math" w:cs="Times New Roman"/>
              <w:color w:val="000000" w:themeColor="text1"/>
              <w:sz w:val="22"/>
              <w:szCs w:val="22"/>
            </w:rPr>
            <m:t>,</m:t>
          </m:r>
        </m:oMath>
      </m:oMathPara>
    </w:p>
    <w:p w14:paraId="4F672D4C"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donde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Δ</m:t>
            </m:r>
          </m:e>
          <m:sub>
            <m:r>
              <m:rPr>
                <m:sty m:val="p"/>
              </m:rPr>
              <w:rPr>
                <w:rFonts w:ascii="Cambria Math" w:hAnsi="Cambria Math" w:cs="Times New Roman"/>
                <w:color w:val="000000" w:themeColor="text1"/>
                <w:sz w:val="22"/>
                <w:szCs w:val="22"/>
                <w:lang w:val="es-CO"/>
              </w:rPr>
              <m:t>inest</m:t>
            </m:r>
          </m:sub>
        </m:sSub>
      </m:oMath>
      <w:r w:rsidRPr="0069403C">
        <w:rPr>
          <w:rFonts w:ascii="Times New Roman" w:hAnsi="Times New Roman" w:cs="Times New Roman"/>
          <w:color w:val="000000" w:themeColor="text1"/>
          <w:sz w:val="22"/>
          <w:szCs w:val="22"/>
          <w:lang w:val="es-CO"/>
        </w:rPr>
        <w:t xml:space="preserve"> es la desviación respecto a los tiempos de inicio previamente planeados, inducida por la replanificación tras un evento de disrupción, y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0.5</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m:t>
        </m:r>
      </m:oMath>
      <w:r w:rsidRPr="0069403C">
        <w:rPr>
          <w:rFonts w:ascii="Times New Roman" w:hAnsi="Times New Roman" w:cs="Times New Roman"/>
          <w:color w:val="000000" w:themeColor="text1"/>
          <w:sz w:val="22"/>
          <w:szCs w:val="22"/>
          <w:lang w:val="es-CO"/>
        </w:rPr>
        <w:t xml:space="preserve"> recupera exactamente la recompensa base (verificado mediante prueba unitaria).</w:t>
      </w:r>
    </w:p>
    <w:p w14:paraId="44419EC4"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22" w:name="sec:s2baselines"/>
      <w:bookmarkEnd w:id="21"/>
      <w:r w:rsidRPr="0069403C">
        <w:rPr>
          <w:rFonts w:ascii="Times New Roman" w:hAnsi="Times New Roman" w:cs="Times New Roman"/>
          <w:color w:val="000000" w:themeColor="text1"/>
          <w:sz w:val="22"/>
          <w:szCs w:val="22"/>
          <w:lang w:val="es-CO"/>
        </w:rPr>
        <w:t>Líneas base compartidas y una nota sobre comparabilidad</w:t>
      </w:r>
    </w:p>
    <w:p w14:paraId="24749D19"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El Estudio 2 evalúa la política frente a las mismas familias de línea base que el Estudio 1 — las mismas nueve PDR, el mismo diseño de GA y CP-SAT (Perron, Didier, and Gay 2023) —, con todos los métodos excepto las PDR operando bajo un presupuesto de tiempo de reloj (</w:t>
      </w:r>
      <w:proofErr w:type="spellStart"/>
      <w:r w:rsidRPr="0069403C">
        <w:rPr>
          <w:rFonts w:ascii="Times New Roman" w:hAnsi="Times New Roman" w:cs="Times New Roman"/>
          <w:color w:val="000000" w:themeColor="text1"/>
          <w:sz w:val="22"/>
          <w:szCs w:val="22"/>
          <w:lang w:val="es-CO"/>
        </w:rPr>
        <w:t>wall-clock</w:t>
      </w:r>
      <w:proofErr w:type="spellEnd"/>
      <w:r w:rsidRPr="0069403C">
        <w:rPr>
          <w:rFonts w:ascii="Times New Roman" w:hAnsi="Times New Roman" w:cs="Times New Roman"/>
          <w:color w:val="000000" w:themeColor="text1"/>
          <w:sz w:val="22"/>
          <w:szCs w:val="22"/>
          <w:lang w:val="es-CO"/>
        </w:rPr>
        <w:t>) equiparado al de CP-SAT (60 segundos). Esta metodología compartida es deliberada: es lo que permite que la síntesis entre estudios de la Sección </w:t>
      </w:r>
      <w:hyperlink w:anchor="sec:synthesis">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xml:space="preserve"> compare paradigmas en lugar de comparar experimentos. Una diferencia metodológica se revela explícitamente en lugar de disimularse: el Estudio 1 evalúa el conjunto de 16 instancias de Fisher–Thompson/Lawrence (</w:t>
      </w:r>
      <m:oMath>
        <m:r>
          <w:rPr>
            <w:rFonts w:ascii="Cambria Math" w:hAnsi="Cambria Math" w:cs="Times New Roman"/>
            <w:color w:val="000000" w:themeColor="text1"/>
            <w:sz w:val="22"/>
            <w:szCs w:val="22"/>
            <w:lang w:val="es-CO"/>
          </w:rPr>
          <m:t>6</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6</m:t>
        </m:r>
      </m:oMath>
      <w:r w:rsidRPr="0069403C">
        <w:rPr>
          <w:rFonts w:ascii="Times New Roman" w:hAnsi="Times New Roman" w:cs="Times New Roman"/>
          <w:color w:val="000000" w:themeColor="text1"/>
          <w:sz w:val="22"/>
          <w:szCs w:val="22"/>
          <w:lang w:val="es-CO"/>
        </w:rPr>
        <w:t xml:space="preserve"> a </w:t>
      </w:r>
      <m:oMath>
        <m:r>
          <w:rPr>
            <w:rFonts w:ascii="Cambria Math" w:hAnsi="Cambria Math" w:cs="Times New Roman"/>
            <w:color w:val="000000" w:themeColor="text1"/>
            <w:sz w:val="22"/>
            <w:szCs w:val="22"/>
            <w:lang w:val="es-CO"/>
          </w:rPr>
          <m:t>20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oMath>
      <w:r w:rsidRPr="0069403C">
        <w:rPr>
          <w:rFonts w:ascii="Times New Roman" w:hAnsi="Times New Roman" w:cs="Times New Roman"/>
          <w:color w:val="000000" w:themeColor="text1"/>
          <w:sz w:val="22"/>
          <w:szCs w:val="22"/>
          <w:lang w:val="es-CO"/>
        </w:rPr>
        <w:t>); el Estudio 2, siguiendo su propio pre-registro (Sección </w:t>
      </w:r>
      <w:hyperlink w:anchor="sec:prereg">
        <w:r w:rsidRPr="0069403C">
          <w:rPr>
            <w:rStyle w:val="Hipervnculo"/>
            <w:rFonts w:ascii="Times New Roman" w:hAnsi="Times New Roman" w:cs="Times New Roman"/>
            <w:color w:val="000000" w:themeColor="text1"/>
            <w:sz w:val="22"/>
            <w:szCs w:val="22"/>
            <w:lang w:val="es-CO"/>
          </w:rPr>
          <w:t>5.5</w:t>
        </w:r>
      </w:hyperlink>
      <w:r w:rsidRPr="0069403C">
        <w:rPr>
          <w:rFonts w:ascii="Times New Roman" w:hAnsi="Times New Roman" w:cs="Times New Roman"/>
          <w:color w:val="000000" w:themeColor="text1"/>
          <w:sz w:val="22"/>
          <w:szCs w:val="22"/>
          <w:lang w:val="es-CO"/>
        </w:rPr>
        <w:t>), evalúa un conjunto JSSP más grande, de 43 instancias (</w:t>
      </w:r>
      <w:r w:rsidRPr="0069403C">
        <w:rPr>
          <w:rFonts w:ascii="Times New Roman" w:hAnsi="Times New Roman" w:cs="Times New Roman"/>
          <w:i/>
          <w:iCs/>
          <w:color w:val="000000" w:themeColor="text1"/>
          <w:sz w:val="22"/>
          <w:szCs w:val="22"/>
          <w:lang w:val="es-CO"/>
        </w:rPr>
        <w:t>ft06/ft10/ft20</w:t>
      </w:r>
      <w:r w:rsidRPr="0069403C">
        <w:rPr>
          <w:rFonts w:ascii="Times New Roman" w:hAnsi="Times New Roman" w:cs="Times New Roman"/>
          <w:color w:val="000000" w:themeColor="text1"/>
          <w:sz w:val="22"/>
          <w:szCs w:val="22"/>
          <w:lang w:val="es-CO"/>
        </w:rPr>
        <w:t xml:space="preserve">, </w:t>
      </w:r>
      <w:r w:rsidRPr="0069403C">
        <w:rPr>
          <w:rFonts w:ascii="Times New Roman" w:hAnsi="Times New Roman" w:cs="Times New Roman"/>
          <w:i/>
          <w:iCs/>
          <w:color w:val="000000" w:themeColor="text1"/>
          <w:sz w:val="22"/>
          <w:szCs w:val="22"/>
          <w:lang w:val="es-CO"/>
        </w:rPr>
        <w:t>la01</w:t>
      </w:r>
      <w:r w:rsidRPr="0069403C">
        <w:rPr>
          <w:rFonts w:ascii="Times New Roman" w:hAnsi="Times New Roman" w:cs="Times New Roman"/>
          <w:color w:val="000000" w:themeColor="text1"/>
          <w:sz w:val="22"/>
          <w:szCs w:val="22"/>
          <w:lang w:val="es-CO"/>
        </w:rPr>
        <w:t>–</w:t>
      </w:r>
      <w:r w:rsidRPr="0069403C">
        <w:rPr>
          <w:rFonts w:ascii="Times New Roman" w:hAnsi="Times New Roman" w:cs="Times New Roman"/>
          <w:i/>
          <w:iCs/>
          <w:color w:val="000000" w:themeColor="text1"/>
          <w:sz w:val="22"/>
          <w:szCs w:val="22"/>
          <w:lang w:val="es-CO"/>
        </w:rPr>
        <w:t>la40</w:t>
      </w:r>
      <w:r w:rsidRPr="0069403C">
        <w:rPr>
          <w:rFonts w:ascii="Times New Roman" w:hAnsi="Times New Roman" w:cs="Times New Roman"/>
          <w:color w:val="000000" w:themeColor="text1"/>
          <w:sz w:val="22"/>
          <w:szCs w:val="22"/>
          <w:lang w:val="es-CO"/>
        </w:rPr>
        <w:t>), más dos ramas FJSP. Los dos conjuntos de instancias se solapan sustancialmente pero no son idénticos, y las cifras absolutas de línea base difieren correspondientemente entre estudios — lo más visible: la RPD nominal media de SPT es 21.45% en las 16 instancias del Estudio 1 pero 268.23% en el conjunto de 43 instancias del Estudio 2 (Tabla </w:t>
      </w:r>
      <w:hyperlink w:anchor="tab:s2_rpd">
        <w:r w:rsidRPr="0069403C">
          <w:rPr>
            <w:rStyle w:val="Hipervnculo"/>
            <w:rFonts w:ascii="Times New Roman" w:hAnsi="Times New Roman" w:cs="Times New Roman"/>
            <w:color w:val="000000" w:themeColor="text1"/>
            <w:sz w:val="22"/>
            <w:szCs w:val="22"/>
            <w:lang w:val="es-CO"/>
          </w:rPr>
          <w:t>6</w:t>
        </w:r>
      </w:hyperlink>
      <w:r w:rsidRPr="0069403C">
        <w:rPr>
          <w:rFonts w:ascii="Times New Roman" w:hAnsi="Times New Roman" w:cs="Times New Roman"/>
          <w:color w:val="000000" w:themeColor="text1"/>
          <w:sz w:val="22"/>
          <w:szCs w:val="22"/>
          <w:lang w:val="es-CO"/>
        </w:rPr>
        <w:t xml:space="preserve">), porque las instancias </w:t>
      </w:r>
      <w:r w:rsidRPr="0069403C">
        <w:rPr>
          <w:rFonts w:ascii="Times New Roman" w:hAnsi="Times New Roman" w:cs="Times New Roman"/>
          <w:i/>
          <w:iCs/>
          <w:color w:val="000000" w:themeColor="text1"/>
          <w:sz w:val="22"/>
          <w:szCs w:val="22"/>
          <w:lang w:val="es-CO"/>
        </w:rPr>
        <w:t>la31</w:t>
      </w:r>
      <w:r w:rsidRPr="0069403C">
        <w:rPr>
          <w:rFonts w:ascii="Times New Roman" w:hAnsi="Times New Roman" w:cs="Times New Roman"/>
          <w:color w:val="000000" w:themeColor="text1"/>
          <w:sz w:val="22"/>
          <w:szCs w:val="22"/>
          <w:lang w:val="es-CO"/>
        </w:rPr>
        <w:t>–</w:t>
      </w:r>
      <w:r w:rsidRPr="0069403C">
        <w:rPr>
          <w:rFonts w:ascii="Times New Roman" w:hAnsi="Times New Roman" w:cs="Times New Roman"/>
          <w:i/>
          <w:iCs/>
          <w:color w:val="000000" w:themeColor="text1"/>
          <w:sz w:val="22"/>
          <w:szCs w:val="22"/>
          <w:lang w:val="es-CO"/>
        </w:rPr>
        <w:t>la40</w:t>
      </w:r>
      <w:r w:rsidRPr="0069403C">
        <w:rPr>
          <w:rFonts w:ascii="Times New Roman" w:hAnsi="Times New Roman" w:cs="Times New Roman"/>
          <w:color w:val="000000" w:themeColor="text1"/>
          <w:sz w:val="22"/>
          <w:szCs w:val="22"/>
          <w:lang w:val="es-CO"/>
        </w:rPr>
        <w:t>, más grandes y más difíciles del conjunto mayor, son desproporcionadamente punitivas para una regla sin mecanismo de balanceo de carga. La Sección </w:t>
      </w:r>
      <w:hyperlink w:anchor="sec:synthesis">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xml:space="preserve"> y la Sección </w:t>
      </w:r>
      <w:hyperlink w:anchor="sec:limitations">
        <w:r w:rsidRPr="0069403C">
          <w:rPr>
            <w:rStyle w:val="Hipervnculo"/>
            <w:rFonts w:ascii="Times New Roman" w:hAnsi="Times New Roman" w:cs="Times New Roman"/>
            <w:color w:val="000000" w:themeColor="text1"/>
            <w:sz w:val="22"/>
            <w:szCs w:val="22"/>
            <w:lang w:val="es-CO"/>
          </w:rPr>
          <w:t>8.6</w:t>
        </w:r>
      </w:hyperlink>
      <w:r w:rsidRPr="0069403C">
        <w:rPr>
          <w:rFonts w:ascii="Times New Roman" w:hAnsi="Times New Roman" w:cs="Times New Roman"/>
          <w:color w:val="000000" w:themeColor="text1"/>
          <w:sz w:val="22"/>
          <w:szCs w:val="22"/>
          <w:lang w:val="es-CO"/>
        </w:rPr>
        <w:t xml:space="preserve"> retoman este punto; ninguna cantidad de este artículo agrupa valores brutos entre los dos conjuntos de instancias, y toda comparación que abarca ambos estudios se hace a nivel de </w:t>
      </w:r>
      <w:r w:rsidRPr="0069403C">
        <w:rPr>
          <w:rFonts w:ascii="Times New Roman" w:hAnsi="Times New Roman" w:cs="Times New Roman"/>
          <w:i/>
          <w:iCs/>
          <w:color w:val="000000" w:themeColor="text1"/>
          <w:sz w:val="22"/>
          <w:szCs w:val="22"/>
          <w:lang w:val="es-CO"/>
        </w:rPr>
        <w:t>orden y patrón</w:t>
      </w:r>
      <w:r w:rsidRPr="0069403C">
        <w:rPr>
          <w:rFonts w:ascii="Times New Roman" w:hAnsi="Times New Roman" w:cs="Times New Roman"/>
          <w:color w:val="000000" w:themeColor="text1"/>
          <w:sz w:val="22"/>
          <w:szCs w:val="22"/>
          <w:lang w:val="es-CO"/>
        </w:rPr>
        <w:t>, no de aritmética agrupada.</w:t>
      </w:r>
    </w:p>
    <w:p w14:paraId="28BB7E08"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23" w:name="sec:s2design"/>
      <w:bookmarkEnd w:id="22"/>
      <w:r w:rsidRPr="0069403C">
        <w:rPr>
          <w:rFonts w:ascii="Times New Roman" w:hAnsi="Times New Roman" w:cs="Times New Roman"/>
          <w:color w:val="000000" w:themeColor="text1"/>
          <w:sz w:val="22"/>
          <w:szCs w:val="22"/>
          <w:lang w:val="es-CO"/>
        </w:rPr>
        <w:t>Diseño experimental y protocolo estadístico</w:t>
      </w:r>
    </w:p>
    <w:p w14:paraId="3BDECA5B"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La evaluación abarca 43 instancias JSSP y dos ramas FJSP: una rama sintética (las mismas 43 instancias base extendidas con flexibilidad de máquina) y siete de las ocho instancias de </w:t>
      </w:r>
      <w:r w:rsidRPr="0069403C">
        <w:rPr>
          <w:rFonts w:ascii="Times New Roman" w:hAnsi="Times New Roman" w:cs="Times New Roman"/>
          <w:color w:val="000000" w:themeColor="text1"/>
          <w:sz w:val="22"/>
          <w:szCs w:val="22"/>
          <w:lang w:val="es-CO"/>
        </w:rPr>
        <w:lastRenderedPageBreak/>
        <w:t>Brandimarte (</w:t>
      </w:r>
      <w:r w:rsidRPr="0069403C">
        <w:rPr>
          <w:rFonts w:ascii="Times New Roman" w:hAnsi="Times New Roman" w:cs="Times New Roman"/>
          <w:i/>
          <w:iCs/>
          <w:color w:val="000000" w:themeColor="text1"/>
          <w:sz w:val="22"/>
          <w:szCs w:val="22"/>
          <w:lang w:val="es-CO"/>
        </w:rPr>
        <w:t>mk06</w:t>
      </w:r>
      <w:r w:rsidRPr="0069403C">
        <w:rPr>
          <w:rFonts w:ascii="Times New Roman" w:hAnsi="Times New Roman" w:cs="Times New Roman"/>
          <w:color w:val="000000" w:themeColor="text1"/>
          <w:sz w:val="22"/>
          <w:szCs w:val="22"/>
          <w:lang w:val="es-CO"/>
        </w:rPr>
        <w:t xml:space="preserve"> excluida tras rastrearse, durante la carga de instancias, una inconsistencia en un espejo (</w:t>
      </w:r>
      <w:proofErr w:type="spellStart"/>
      <w:r w:rsidRPr="0069403C">
        <w:rPr>
          <w:rFonts w:ascii="Times New Roman" w:hAnsi="Times New Roman" w:cs="Times New Roman"/>
          <w:color w:val="000000" w:themeColor="text1"/>
          <w:sz w:val="22"/>
          <w:szCs w:val="22"/>
          <w:lang w:val="es-CO"/>
        </w:rPr>
        <w:t>mirror</w:t>
      </w:r>
      <w:proofErr w:type="spellEnd"/>
      <w:r w:rsidRPr="0069403C">
        <w:rPr>
          <w:rFonts w:ascii="Times New Roman" w:hAnsi="Times New Roman" w:cs="Times New Roman"/>
          <w:color w:val="000000" w:themeColor="text1"/>
          <w:sz w:val="22"/>
          <w:szCs w:val="22"/>
          <w:lang w:val="es-CO"/>
        </w:rPr>
        <w:t xml:space="preserve">) de referencia previo en la cadena — 15 máquinas en lugar de las 10 publicadas). Todas las comparaciones por pares utilizan la prueba exacta de rangos con signo de Wilcoxon; las comparaciones conjuntas entre los diez métodos (la política más nueve PDR) utilizan la prueba de Friedman con análisis </w:t>
      </w:r>
      <w:proofErr w:type="spellStart"/>
      <w:r w:rsidRPr="0069403C">
        <w:rPr>
          <w:rFonts w:ascii="Times New Roman" w:hAnsi="Times New Roman" w:cs="Times New Roman"/>
          <w:color w:val="000000" w:themeColor="text1"/>
          <w:sz w:val="22"/>
          <w:szCs w:val="22"/>
          <w:lang w:val="es-CO"/>
        </w:rPr>
        <w:t>post-hoc</w:t>
      </w:r>
      <w:proofErr w:type="spellEnd"/>
      <w:r w:rsidRPr="0069403C">
        <w:rPr>
          <w:rFonts w:ascii="Times New Roman" w:hAnsi="Times New Roman" w:cs="Times New Roman"/>
          <w:color w:val="000000" w:themeColor="text1"/>
          <w:sz w:val="22"/>
          <w:szCs w:val="22"/>
          <w:lang w:val="es-CO"/>
        </w:rPr>
        <w:t xml:space="preserve"> de </w:t>
      </w:r>
      <w:proofErr w:type="spellStart"/>
      <w:r w:rsidRPr="0069403C">
        <w:rPr>
          <w:rFonts w:ascii="Times New Roman" w:hAnsi="Times New Roman" w:cs="Times New Roman"/>
          <w:color w:val="000000" w:themeColor="text1"/>
          <w:sz w:val="22"/>
          <w:szCs w:val="22"/>
          <w:lang w:val="es-CO"/>
        </w:rPr>
        <w:t>Nemenyi</w:t>
      </w:r>
      <w:proofErr w:type="spellEnd"/>
      <w:r w:rsidRPr="0069403C">
        <w:rPr>
          <w:rFonts w:ascii="Times New Roman" w:hAnsi="Times New Roman" w:cs="Times New Roman"/>
          <w:color w:val="000000" w:themeColor="text1"/>
          <w:sz w:val="22"/>
          <w:szCs w:val="22"/>
          <w:lang w:val="es-CO"/>
        </w:rPr>
        <w:t xml:space="preserve"> y diagramas de diferencia crítica (Demšar 2006); los tamaños de efecto (</w:t>
      </w:r>
      <m:oMath>
        <m:r>
          <w:rPr>
            <w:rFonts w:ascii="Cambria Math" w:hAnsi="Cambria Math" w:cs="Times New Roman"/>
            <w:color w:val="000000" w:themeColor="text1"/>
            <w:sz w:val="22"/>
            <w:szCs w:val="22"/>
          </w:rPr>
          <m:t>r</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rPr>
          <m:t>Z</m:t>
        </m:r>
        <m:r>
          <m:rPr>
            <m:sty m:val="p"/>
          </m:rPr>
          <w:rPr>
            <w:rFonts w:ascii="Cambria Math" w:hAnsi="Cambria Math" w:cs="Times New Roman"/>
            <w:color w:val="000000" w:themeColor="text1"/>
            <w:sz w:val="22"/>
            <w:szCs w:val="22"/>
            <w:lang w:val="es-CO"/>
          </w:rPr>
          <m:t>/</m:t>
        </m:r>
        <m:rad>
          <m:radPr>
            <m:degHide m:val="1"/>
            <m:ctrlPr>
              <w:rPr>
                <w:rFonts w:ascii="Cambria Math" w:hAnsi="Cambria Math" w:cs="Times New Roman"/>
                <w:color w:val="000000" w:themeColor="text1"/>
                <w:sz w:val="22"/>
                <w:szCs w:val="22"/>
              </w:rPr>
            </m:ctrlPr>
          </m:radPr>
          <m:deg/>
          <m:e>
            <m:r>
              <w:rPr>
                <w:rFonts w:ascii="Cambria Math" w:hAnsi="Cambria Math" w:cs="Times New Roman"/>
                <w:color w:val="000000" w:themeColor="text1"/>
                <w:sz w:val="22"/>
                <w:szCs w:val="22"/>
              </w:rPr>
              <m:t>N</m:t>
            </m:r>
          </m:e>
        </m:rad>
      </m:oMath>
      <w:r w:rsidRPr="0069403C">
        <w:rPr>
          <w:rFonts w:ascii="Times New Roman" w:hAnsi="Times New Roman" w:cs="Times New Roman"/>
          <w:color w:val="000000" w:themeColor="text1"/>
          <w:sz w:val="22"/>
          <w:szCs w:val="22"/>
          <w:lang w:val="es-CO"/>
        </w:rPr>
        <w:t>) se reportan en todo el trabajo.</w:t>
      </w:r>
    </w:p>
    <w:p w14:paraId="6D05C98A"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24" w:name="sec:prereg"/>
      <w:bookmarkEnd w:id="23"/>
      <w:proofErr w:type="spellStart"/>
      <w:r w:rsidRPr="0069403C">
        <w:rPr>
          <w:rFonts w:ascii="Times New Roman" w:hAnsi="Times New Roman" w:cs="Times New Roman"/>
          <w:color w:val="000000" w:themeColor="text1"/>
          <w:sz w:val="22"/>
          <w:szCs w:val="22"/>
          <w:lang w:val="es-CO"/>
        </w:rPr>
        <w:t>Pre-registro</w:t>
      </w:r>
      <w:proofErr w:type="spellEnd"/>
      <w:r w:rsidRPr="0069403C">
        <w:rPr>
          <w:rFonts w:ascii="Times New Roman" w:hAnsi="Times New Roman" w:cs="Times New Roman"/>
          <w:color w:val="000000" w:themeColor="text1"/>
          <w:sz w:val="22"/>
          <w:szCs w:val="22"/>
          <w:lang w:val="es-CO"/>
        </w:rPr>
        <w:t xml:space="preserve"> e hipótesis</w:t>
      </w:r>
    </w:p>
    <w:p w14:paraId="1211B416"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Se </w:t>
      </w:r>
      <w:proofErr w:type="spellStart"/>
      <w:r w:rsidRPr="0069403C">
        <w:rPr>
          <w:rFonts w:ascii="Times New Roman" w:hAnsi="Times New Roman" w:cs="Times New Roman"/>
          <w:color w:val="000000" w:themeColor="text1"/>
          <w:sz w:val="22"/>
          <w:szCs w:val="22"/>
          <w:lang w:val="es-CO"/>
        </w:rPr>
        <w:t>pre-registraron</w:t>
      </w:r>
      <w:proofErr w:type="spellEnd"/>
      <w:r w:rsidRPr="0069403C">
        <w:rPr>
          <w:rFonts w:ascii="Times New Roman" w:hAnsi="Times New Roman" w:cs="Times New Roman"/>
          <w:color w:val="000000" w:themeColor="text1"/>
          <w:sz w:val="22"/>
          <w:szCs w:val="22"/>
          <w:lang w:val="es-CO"/>
        </w:rPr>
        <w:t xml:space="preserve"> cinco hipótesis, con reglas cuantitativas de aceptación/rechazo congeladas en un documento con marca de tiempo antes de que se generara cualquier resultado de evaluación de la política — una disciplina destinada a proteger contra la formulación de hipótesis después de conocer los resultados (</w:t>
      </w:r>
      <w:proofErr w:type="spellStart"/>
      <w:r w:rsidRPr="0069403C">
        <w:rPr>
          <w:rFonts w:ascii="Times New Roman" w:hAnsi="Times New Roman" w:cs="Times New Roman"/>
          <w:color w:val="000000" w:themeColor="text1"/>
          <w:sz w:val="22"/>
          <w:szCs w:val="22"/>
          <w:lang w:val="es-CO"/>
        </w:rPr>
        <w:t>HARKing</w:t>
      </w:r>
      <w:proofErr w:type="spellEnd"/>
      <w:r w:rsidRPr="0069403C">
        <w:rPr>
          <w:rFonts w:ascii="Times New Roman" w:hAnsi="Times New Roman" w:cs="Times New Roman"/>
          <w:color w:val="000000" w:themeColor="text1"/>
          <w:sz w:val="22"/>
          <w:szCs w:val="22"/>
          <w:lang w:val="es-CO"/>
        </w:rPr>
        <w:t>), y una que la Tabla </w:t>
      </w:r>
      <w:hyperlink w:anchor="tab:gap2">
        <w:r w:rsidRPr="0069403C">
          <w:rPr>
            <w:rStyle w:val="Hipervnculo"/>
            <w:rFonts w:ascii="Times New Roman" w:hAnsi="Times New Roman" w:cs="Times New Roman"/>
            <w:color w:val="000000" w:themeColor="text1"/>
            <w:sz w:val="22"/>
            <w:szCs w:val="22"/>
            <w:lang w:val="es-CO"/>
          </w:rPr>
          <w:t>2</w:t>
        </w:r>
      </w:hyperlink>
      <w:r w:rsidRPr="0069403C">
        <w:rPr>
          <w:rFonts w:ascii="Times New Roman" w:hAnsi="Times New Roman" w:cs="Times New Roman"/>
          <w:color w:val="000000" w:themeColor="text1"/>
          <w:sz w:val="22"/>
          <w:szCs w:val="22"/>
          <w:lang w:val="es-CO"/>
        </w:rPr>
        <w:t xml:space="preserve"> muestra que está en gran medida ausente de los trabajos de programación con DRL revisados en la Sección </w:t>
      </w:r>
      <w:hyperlink w:anchor="sec:drlreview">
        <w:r w:rsidRPr="0069403C">
          <w:rPr>
            <w:rStyle w:val="Hipervnculo"/>
            <w:rFonts w:ascii="Times New Roman" w:hAnsi="Times New Roman" w:cs="Times New Roman"/>
            <w:color w:val="000000" w:themeColor="text1"/>
            <w:sz w:val="22"/>
            <w:szCs w:val="22"/>
            <w:lang w:val="es-CO"/>
          </w:rPr>
          <w:t>2.3</w:t>
        </w:r>
      </w:hyperlink>
      <w:r w:rsidRPr="0069403C">
        <w:rPr>
          <w:rFonts w:ascii="Times New Roman" w:hAnsi="Times New Roman" w:cs="Times New Roman"/>
          <w:color w:val="000000" w:themeColor="text1"/>
          <w:sz w:val="22"/>
          <w:szCs w:val="22"/>
          <w:lang w:val="es-CO"/>
        </w:rPr>
        <w:t>. La Tabla </w:t>
      </w:r>
      <w:hyperlink w:anchor="tab:hypotheses">
        <w:r w:rsidRPr="0069403C">
          <w:rPr>
            <w:rStyle w:val="Hipervnculo"/>
            <w:rFonts w:ascii="Times New Roman" w:hAnsi="Times New Roman" w:cs="Times New Roman"/>
            <w:color w:val="000000" w:themeColor="text1"/>
            <w:sz w:val="22"/>
            <w:szCs w:val="22"/>
            <w:lang w:val="es-CO"/>
          </w:rPr>
          <w:t>4</w:t>
        </w:r>
      </w:hyperlink>
      <w:r w:rsidRPr="0069403C">
        <w:rPr>
          <w:rFonts w:ascii="Times New Roman" w:hAnsi="Times New Roman" w:cs="Times New Roman"/>
          <w:color w:val="000000" w:themeColor="text1"/>
          <w:sz w:val="22"/>
          <w:szCs w:val="22"/>
          <w:lang w:val="es-CO"/>
        </w:rPr>
        <w:t xml:space="preserve"> expone cada hipótesis y su regla de decisión exacta. El hallazgo de inversión del Estudio 1 (Sección </w:t>
      </w:r>
      <w:hyperlink w:anchor="sec:s1robustness">
        <w:r w:rsidRPr="0069403C">
          <w:rPr>
            <w:rStyle w:val="Hipervnculo"/>
            <w:rFonts w:ascii="Times New Roman" w:hAnsi="Times New Roman" w:cs="Times New Roman"/>
            <w:color w:val="000000" w:themeColor="text1"/>
            <w:sz w:val="22"/>
            <w:szCs w:val="22"/>
            <w:lang w:val="es-CO"/>
          </w:rPr>
          <w:t>4.2</w:t>
        </w:r>
      </w:hyperlink>
      <w:r w:rsidRPr="0069403C">
        <w:rPr>
          <w:rFonts w:ascii="Times New Roman" w:hAnsi="Times New Roman" w:cs="Times New Roman"/>
          <w:color w:val="000000" w:themeColor="text1"/>
          <w:sz w:val="22"/>
          <w:szCs w:val="22"/>
          <w:lang w:val="es-CO"/>
        </w:rPr>
        <w:t xml:space="preserve">) motivó directamente este diseño: es precisamente porque la calidad nominal resultó ser un mal predictor de la robustez para la búsqueda exacta y evolutiva que el Estudio 2 </w:t>
      </w:r>
      <w:proofErr w:type="spellStart"/>
      <w:r w:rsidRPr="0069403C">
        <w:rPr>
          <w:rFonts w:ascii="Times New Roman" w:hAnsi="Times New Roman" w:cs="Times New Roman"/>
          <w:color w:val="000000" w:themeColor="text1"/>
          <w:sz w:val="22"/>
          <w:szCs w:val="22"/>
          <w:lang w:val="es-CO"/>
        </w:rPr>
        <w:t>pre-registra</w:t>
      </w:r>
      <w:proofErr w:type="spellEnd"/>
      <w:r w:rsidRPr="0069403C">
        <w:rPr>
          <w:rFonts w:ascii="Times New Roman" w:hAnsi="Times New Roman" w:cs="Times New Roman"/>
          <w:color w:val="000000" w:themeColor="text1"/>
          <w:sz w:val="22"/>
          <w:szCs w:val="22"/>
          <w:lang w:val="es-CO"/>
        </w:rPr>
        <w:t>, en lugar de meramente observar a posteriori, su prueba de si la celebrada propiedad de generalización de una política aprendida predice mejor la robustez.</w:t>
      </w:r>
    </w:p>
    <w:p w14:paraId="4C367AB2" w14:textId="77777777" w:rsidR="00E373E4" w:rsidRPr="0069403C" w:rsidRDefault="00000000" w:rsidP="0069403C">
      <w:pPr>
        <w:pStyle w:val="TableCaption"/>
        <w:rPr>
          <w:rFonts w:ascii="Times New Roman" w:hAnsi="Times New Roman" w:cs="Times New Roman"/>
          <w:color w:val="000000" w:themeColor="text1"/>
          <w:sz w:val="22"/>
          <w:szCs w:val="22"/>
          <w:lang w:val="es-CO"/>
        </w:rPr>
      </w:pPr>
      <w:bookmarkStart w:id="25" w:name="tab:hypotheses"/>
      <w:r w:rsidRPr="0069403C">
        <w:rPr>
          <w:rFonts w:ascii="Times New Roman" w:hAnsi="Times New Roman" w:cs="Times New Roman"/>
          <w:b/>
          <w:bCs/>
          <w:color w:val="000000" w:themeColor="text1"/>
          <w:sz w:val="22"/>
          <w:szCs w:val="22"/>
          <w:lang w:val="es-CO"/>
        </w:rPr>
        <w:t xml:space="preserve">Tabla 4: </w:t>
      </w:r>
      <w:r w:rsidRPr="0069403C">
        <w:rPr>
          <w:rFonts w:ascii="Times New Roman" w:hAnsi="Times New Roman" w:cs="Times New Roman"/>
          <w:color w:val="000000" w:themeColor="text1"/>
          <w:sz w:val="22"/>
          <w:szCs w:val="22"/>
          <w:lang w:val="es-CO"/>
        </w:rPr>
        <w:t xml:space="preserve">Estudio 2: hipótesis </w:t>
      </w:r>
      <w:proofErr w:type="spellStart"/>
      <w:r w:rsidRPr="0069403C">
        <w:rPr>
          <w:rFonts w:ascii="Times New Roman" w:hAnsi="Times New Roman" w:cs="Times New Roman"/>
          <w:color w:val="000000" w:themeColor="text1"/>
          <w:sz w:val="22"/>
          <w:szCs w:val="22"/>
          <w:lang w:val="es-CO"/>
        </w:rPr>
        <w:t>pre-registradas</w:t>
      </w:r>
      <w:proofErr w:type="spellEnd"/>
      <w:r w:rsidRPr="0069403C">
        <w:rPr>
          <w:rFonts w:ascii="Times New Roman" w:hAnsi="Times New Roman" w:cs="Times New Roman"/>
          <w:color w:val="000000" w:themeColor="text1"/>
          <w:sz w:val="22"/>
          <w:szCs w:val="22"/>
          <w:lang w:val="es-CO"/>
        </w:rPr>
        <w:t xml:space="preserve"> y reglas de decisión congeladas.</w:t>
      </w:r>
    </w:p>
    <w:tbl>
      <w:tblPr>
        <w:tblStyle w:val="Table"/>
        <w:tblW w:w="0" w:type="auto"/>
        <w:tblLook w:val="0020" w:firstRow="1" w:lastRow="0" w:firstColumn="0" w:lastColumn="0" w:noHBand="0" w:noVBand="0"/>
      </w:tblPr>
      <w:tblGrid>
        <w:gridCol w:w="626"/>
        <w:gridCol w:w="3604"/>
        <w:gridCol w:w="4824"/>
      </w:tblGrid>
      <w:tr w:rsidR="00E373E4" w:rsidRPr="0069403C" w14:paraId="2C859835" w14:textId="77777777" w:rsidTr="00E373E4">
        <w:trPr>
          <w:cnfStyle w:val="100000000000" w:firstRow="1" w:lastRow="0" w:firstColumn="0" w:lastColumn="0" w:oddVBand="0" w:evenVBand="0" w:oddHBand="0" w:evenHBand="0" w:firstRowFirstColumn="0" w:firstRowLastColumn="0" w:lastRowFirstColumn="0" w:lastRowLastColumn="0"/>
          <w:tblHeader/>
        </w:trPr>
        <w:tc>
          <w:tcPr>
            <w:tcW w:w="0" w:type="auto"/>
          </w:tcPr>
          <w:p w14:paraId="610DDC2C"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Hip.</w:t>
            </w:r>
          </w:p>
        </w:tc>
        <w:tc>
          <w:tcPr>
            <w:tcW w:w="0" w:type="auto"/>
          </w:tcPr>
          <w:p w14:paraId="6BC47832"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Afirmación</w:t>
            </w:r>
          </w:p>
        </w:tc>
        <w:tc>
          <w:tcPr>
            <w:tcW w:w="0" w:type="auto"/>
          </w:tcPr>
          <w:p w14:paraId="6B440BCD"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Criterio de aceptación (congelado antes de la evaluación)</w:t>
            </w:r>
          </w:p>
        </w:tc>
      </w:tr>
      <w:tr w:rsidR="00E373E4" w:rsidRPr="0069403C" w14:paraId="6DF0D729" w14:textId="77777777">
        <w:tc>
          <w:tcPr>
            <w:tcW w:w="0" w:type="auto"/>
          </w:tcPr>
          <w:p w14:paraId="1C2CEFEA"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H1</w:t>
            </w:r>
          </w:p>
        </w:tc>
        <w:tc>
          <w:tcPr>
            <w:tcW w:w="0" w:type="auto"/>
          </w:tcPr>
          <w:p w14:paraId="02FCA281"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 política supera a la mejor PDR en RPD media en instancias estáticas</w:t>
            </w:r>
          </w:p>
        </w:tc>
        <w:tc>
          <w:tcPr>
            <w:tcW w:w="0" w:type="auto"/>
          </w:tcPr>
          <w:p w14:paraId="30F2CEB6"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Wilcoxon </w:t>
            </w: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lang w:val="es-CO"/>
                </w:rPr>
                <m:t>&lt;</m:t>
              </m:r>
              <m:r>
                <w:rPr>
                  <w:rFonts w:ascii="Cambria Math" w:hAnsi="Cambria Math" w:cs="Times New Roman"/>
                  <w:color w:val="000000" w:themeColor="text1"/>
                  <w:sz w:val="22"/>
                  <w:szCs w:val="22"/>
                  <w:lang w:val="es-CO"/>
                </w:rPr>
                <m:t>0.05</m:t>
              </m:r>
            </m:oMath>
            <w:r w:rsidRPr="0069403C">
              <w:rPr>
                <w:rFonts w:ascii="Times New Roman" w:hAnsi="Times New Roman" w:cs="Times New Roman"/>
                <w:color w:val="000000" w:themeColor="text1"/>
                <w:sz w:val="22"/>
                <w:szCs w:val="22"/>
                <w:lang w:val="es-CO"/>
              </w:rPr>
              <w:t xml:space="preserve"> y </w:t>
            </w:r>
            <m:oMath>
              <m:r>
                <m:rPr>
                  <m:nor/>
                </m:rPr>
                <w:rPr>
                  <w:rFonts w:ascii="Times New Roman" w:hAnsi="Times New Roman" w:cs="Times New Roman"/>
                  <w:color w:val="000000" w:themeColor="text1"/>
                  <w:sz w:val="22"/>
                  <w:szCs w:val="22"/>
                  <w:lang w:val="es-CO"/>
                </w:rPr>
                <m:t>mediana</m:t>
              </m:r>
              <m:d>
                <m:dPr>
                  <m:ctrlPr>
                    <w:rPr>
                      <w:rFonts w:ascii="Cambria Math" w:hAnsi="Cambria Math" w:cs="Times New Roman"/>
                      <w:color w:val="000000" w:themeColor="text1"/>
                      <w:sz w:val="22"/>
                      <w:szCs w:val="22"/>
                    </w:rPr>
                  </m:ctrlPr>
                </m:dPr>
                <m:e>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RPD</m:t>
                      </m:r>
                    </m:e>
                    <m:sub>
                      <m:r>
                        <m:rPr>
                          <m:nor/>
                        </m:rPr>
                        <w:rPr>
                          <w:rFonts w:ascii="Times New Roman" w:hAnsi="Times New Roman" w:cs="Times New Roman"/>
                          <w:color w:val="000000" w:themeColor="text1"/>
                          <w:sz w:val="22"/>
                          <w:szCs w:val="22"/>
                          <w:lang w:val="es-CO"/>
                        </w:rPr>
                        <m:t>mejorPDR</m:t>
                      </m:r>
                    </m:sub>
                  </m:sSub>
                  <m:r>
                    <m:rPr>
                      <m:sty m:val="p"/>
                    </m:rPr>
                    <w:rPr>
                      <w:rFonts w:ascii="Cambria Math" w:hAnsi="Cambria Math" w:cs="Times New Roman"/>
                      <w:color w:val="000000" w:themeColor="text1"/>
                      <w:sz w:val="22"/>
                      <w:szCs w:val="22"/>
                      <w:lang w:val="es-CO"/>
                    </w:rPr>
                    <m:t>-</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RPD</m:t>
                      </m:r>
                    </m:e>
                    <m:sub>
                      <m:r>
                        <m:rPr>
                          <m:nor/>
                        </m:rPr>
                        <w:rPr>
                          <w:rFonts w:ascii="Times New Roman" w:hAnsi="Times New Roman" w:cs="Times New Roman"/>
                          <w:color w:val="000000" w:themeColor="text1"/>
                          <w:sz w:val="22"/>
                          <w:szCs w:val="22"/>
                          <w:lang w:val="es-CO"/>
                        </w:rPr>
                        <m:t>RL</m:t>
                      </m:r>
                    </m:sub>
                  </m:sSub>
                </m:e>
              </m:d>
              <m:r>
                <m:rPr>
                  <m:sty m:val="p"/>
                </m:rPr>
                <w:rPr>
                  <w:rFonts w:ascii="Cambria Math" w:hAnsi="Cambria Math" w:cs="Times New Roman"/>
                  <w:color w:val="000000" w:themeColor="text1"/>
                  <w:sz w:val="22"/>
                  <w:szCs w:val="22"/>
                  <w:lang w:val="es-CO"/>
                </w:rPr>
                <m:t>&gt;</m:t>
              </m:r>
              <m:r>
                <w:rPr>
                  <w:rFonts w:ascii="Cambria Math" w:hAnsi="Cambria Math" w:cs="Times New Roman"/>
                  <w:color w:val="000000" w:themeColor="text1"/>
                  <w:sz w:val="22"/>
                  <w:szCs w:val="22"/>
                  <w:lang w:val="es-CO"/>
                </w:rPr>
                <m:t>0</m:t>
              </m:r>
            </m:oMath>
            <w:r w:rsidRPr="0069403C">
              <w:rPr>
                <w:rFonts w:ascii="Times New Roman" w:hAnsi="Times New Roman" w:cs="Times New Roman"/>
                <w:color w:val="000000" w:themeColor="text1"/>
                <w:sz w:val="22"/>
                <w:szCs w:val="22"/>
                <w:lang w:val="es-CO"/>
              </w:rPr>
              <w:t>, por familia de instancias</w:t>
            </w:r>
          </w:p>
        </w:tc>
      </w:tr>
      <w:tr w:rsidR="00E373E4" w:rsidRPr="0069403C" w14:paraId="32F9EC18" w14:textId="77777777">
        <w:tc>
          <w:tcPr>
            <w:tcW w:w="0" w:type="auto"/>
          </w:tcPr>
          <w:p w14:paraId="4B7B35D5"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H2</w:t>
            </w:r>
          </w:p>
        </w:tc>
        <w:tc>
          <w:tcPr>
            <w:tcW w:w="0" w:type="auto"/>
          </w:tcPr>
          <w:p w14:paraId="50CD029F"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La RPD en instancias </w:t>
            </w:r>
            <m:oMath>
              <m:r>
                <w:rPr>
                  <w:rFonts w:ascii="Cambria Math" w:hAnsi="Cambria Math" w:cs="Times New Roman"/>
                  <w:color w:val="000000" w:themeColor="text1"/>
                  <w:sz w:val="22"/>
                  <w:szCs w:val="22"/>
                  <w:lang w:val="es-CO"/>
                </w:rPr>
                <m:t>1.5</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3.0</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más grandes se mantiene competitiva con la mejor PDR</w:t>
            </w:r>
          </w:p>
        </w:tc>
        <w:tc>
          <w:tcPr>
            <w:tcW w:w="0" w:type="auto"/>
          </w:tcPr>
          <w:p w14:paraId="63EA6A39"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Friedman–Nemenyi: el rango de la política no significativamente peor que el de la mejor PDR, en cada nivel de tamaño</w:t>
            </w:r>
          </w:p>
        </w:tc>
      </w:tr>
      <w:tr w:rsidR="00E373E4" w:rsidRPr="0069403C" w14:paraId="6C1A1C73" w14:textId="77777777">
        <w:tc>
          <w:tcPr>
            <w:tcW w:w="0" w:type="auto"/>
          </w:tcPr>
          <w:p w14:paraId="38E310F6"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H3</w:t>
            </w:r>
          </w:p>
        </w:tc>
        <w:tc>
          <w:tcPr>
            <w:tcW w:w="0" w:type="auto"/>
          </w:tcPr>
          <w:p w14:paraId="7A0E88B4"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El índice de robustez (RI) es menor que el de las PDR bajo averías, tiempos estocásticos y llegadas</w:t>
            </w:r>
          </w:p>
        </w:tc>
        <w:tc>
          <w:tcPr>
            <w:tcW w:w="0" w:type="auto"/>
          </w:tcPr>
          <w:p w14:paraId="1A9F4B58"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Wilcoxon </w:t>
            </w: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lang w:val="es-CO"/>
                </w:rPr>
                <m:t>&lt;</m:t>
              </m:r>
              <m:r>
                <w:rPr>
                  <w:rFonts w:ascii="Cambria Math" w:hAnsi="Cambria Math" w:cs="Times New Roman"/>
                  <w:color w:val="000000" w:themeColor="text1"/>
                  <w:sz w:val="22"/>
                  <w:szCs w:val="22"/>
                  <w:lang w:val="es-CO"/>
                </w:rPr>
                <m:t>0.05</m:t>
              </m:r>
            </m:oMath>
            <w:r w:rsidRPr="0069403C">
              <w:rPr>
                <w:rFonts w:ascii="Times New Roman" w:hAnsi="Times New Roman" w:cs="Times New Roman"/>
                <w:color w:val="000000" w:themeColor="text1"/>
                <w:sz w:val="22"/>
                <w:szCs w:val="22"/>
                <w:lang w:val="es-CO"/>
              </w:rPr>
              <w:t xml:space="preserve"> y </w:t>
            </w:r>
            <m:oMath>
              <m:r>
                <m:rPr>
                  <m:nor/>
                </m:rPr>
                <w:rPr>
                  <w:rFonts w:ascii="Times New Roman" w:hAnsi="Times New Roman" w:cs="Times New Roman"/>
                  <w:color w:val="000000" w:themeColor="text1"/>
                  <w:sz w:val="22"/>
                  <w:szCs w:val="22"/>
                  <w:lang w:val="es-CO"/>
                </w:rPr>
                <m:t>mediana</m:t>
              </m:r>
              <m:d>
                <m:dPr>
                  <m:ctrlPr>
                    <w:rPr>
                      <w:rFonts w:ascii="Cambria Math" w:hAnsi="Cambria Math" w:cs="Times New Roman"/>
                      <w:color w:val="000000" w:themeColor="text1"/>
                      <w:sz w:val="22"/>
                      <w:szCs w:val="22"/>
                    </w:rPr>
                  </m:ctrlPr>
                </m:dPr>
                <m:e>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RI</m:t>
                      </m:r>
                    </m:e>
                    <m:sub>
                      <m:r>
                        <m:rPr>
                          <m:nor/>
                        </m:rPr>
                        <w:rPr>
                          <w:rFonts w:ascii="Times New Roman" w:hAnsi="Times New Roman" w:cs="Times New Roman"/>
                          <w:color w:val="000000" w:themeColor="text1"/>
                          <w:sz w:val="22"/>
                          <w:szCs w:val="22"/>
                          <w:lang w:val="es-CO"/>
                        </w:rPr>
                        <m:t>PDR</m:t>
                      </m:r>
                    </m:sub>
                  </m:sSub>
                  <m:r>
                    <m:rPr>
                      <m:sty m:val="p"/>
                    </m:rPr>
                    <w:rPr>
                      <w:rFonts w:ascii="Cambria Math" w:hAnsi="Cambria Math" w:cs="Times New Roman"/>
                      <w:color w:val="000000" w:themeColor="text1"/>
                      <w:sz w:val="22"/>
                      <w:szCs w:val="22"/>
                      <w:lang w:val="es-CO"/>
                    </w:rPr>
                    <m:t>-</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RI</m:t>
                      </m:r>
                    </m:e>
                    <m:sub>
                      <m:r>
                        <m:rPr>
                          <m:nor/>
                        </m:rPr>
                        <w:rPr>
                          <w:rFonts w:ascii="Times New Roman" w:hAnsi="Times New Roman" w:cs="Times New Roman"/>
                          <w:color w:val="000000" w:themeColor="text1"/>
                          <w:sz w:val="22"/>
                          <w:szCs w:val="22"/>
                          <w:lang w:val="es-CO"/>
                        </w:rPr>
                        <m:t>RL</m:t>
                      </m:r>
                    </m:sub>
                  </m:sSub>
                </m:e>
              </m:d>
              <m:r>
                <m:rPr>
                  <m:sty m:val="p"/>
                </m:rPr>
                <w:rPr>
                  <w:rFonts w:ascii="Cambria Math" w:hAnsi="Cambria Math" w:cs="Times New Roman"/>
                  <w:color w:val="000000" w:themeColor="text1"/>
                  <w:sz w:val="22"/>
                  <w:szCs w:val="22"/>
                  <w:lang w:val="es-CO"/>
                </w:rPr>
                <m:t>&gt;</m:t>
              </m:r>
              <m:r>
                <w:rPr>
                  <w:rFonts w:ascii="Cambria Math" w:hAnsi="Cambria Math" w:cs="Times New Roman"/>
                  <w:color w:val="000000" w:themeColor="text1"/>
                  <w:sz w:val="22"/>
                  <w:szCs w:val="22"/>
                  <w:lang w:val="es-CO"/>
                </w:rPr>
                <m:t>0</m:t>
              </m:r>
            </m:oMath>
            <w:r w:rsidRPr="0069403C">
              <w:rPr>
                <w:rFonts w:ascii="Times New Roman" w:hAnsi="Times New Roman" w:cs="Times New Roman"/>
                <w:color w:val="000000" w:themeColor="text1"/>
                <w:sz w:val="22"/>
                <w:szCs w:val="22"/>
                <w:lang w:val="es-CO"/>
              </w:rPr>
              <w:t>, en los 9 regímenes de disrupción (regla conjuntiva)</w:t>
            </w:r>
          </w:p>
        </w:tc>
      </w:tr>
      <w:tr w:rsidR="00E373E4" w:rsidRPr="0069403C" w14:paraId="670FD22D" w14:textId="77777777">
        <w:tc>
          <w:tcPr>
            <w:tcW w:w="0" w:type="auto"/>
          </w:tcPr>
          <w:p w14:paraId="40C24B6F"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H4</w:t>
            </w:r>
          </w:p>
        </w:tc>
        <w:tc>
          <w:tcPr>
            <w:tcW w:w="0" w:type="auto"/>
          </w:tcPr>
          <w:p w14:paraId="78D4AB46" w14:textId="77777777" w:rsidR="00E373E4" w:rsidRPr="0069403C" w:rsidRDefault="00000000" w:rsidP="0069403C">
            <w:pPr>
              <w:pStyle w:val="Compact"/>
              <w:rPr>
                <w:rFonts w:ascii="Times New Roman" w:hAnsi="Times New Roman" w:cs="Times New Roman"/>
                <w:color w:val="000000" w:themeColor="text1"/>
                <w:sz w:val="22"/>
                <w:szCs w:val="22"/>
                <w:lang w:val="es-CO"/>
              </w:rPr>
            </w:pP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&gt;</m:t>
              </m:r>
              <m:r>
                <w:rPr>
                  <w:rFonts w:ascii="Cambria Math" w:hAnsi="Cambria Math" w:cs="Times New Roman"/>
                  <w:color w:val="000000" w:themeColor="text1"/>
                  <w:sz w:val="22"/>
                  <w:szCs w:val="22"/>
                  <w:lang w:val="es-CO"/>
                </w:rPr>
                <m:t>0</m:t>
              </m:r>
            </m:oMath>
            <w:r w:rsidRPr="0069403C">
              <w:rPr>
                <w:rFonts w:ascii="Times New Roman" w:hAnsi="Times New Roman" w:cs="Times New Roman"/>
                <w:color w:val="000000" w:themeColor="text1"/>
                <w:sz w:val="22"/>
                <w:szCs w:val="22"/>
                <w:lang w:val="es-CO"/>
              </w:rPr>
              <w:t xml:space="preserve"> reduce el RI sin aumentar la RPD nominal en más de 2 puntos porcentuales</w:t>
            </w:r>
          </w:p>
        </w:tc>
        <w:tc>
          <w:tcPr>
            <w:tcW w:w="0" w:type="auto"/>
          </w:tcPr>
          <w:p w14:paraId="11BBA75A" w14:textId="77777777" w:rsidR="00E373E4" w:rsidRPr="0069403C" w:rsidRDefault="00000000" w:rsidP="0069403C">
            <w:pPr>
              <w:pStyle w:val="Compact"/>
              <w:rPr>
                <w:rFonts w:ascii="Times New Roman" w:hAnsi="Times New Roman" w:cs="Times New Roman"/>
                <w:color w:val="000000" w:themeColor="text1"/>
                <w:sz w:val="22"/>
                <w:szCs w:val="22"/>
                <w:lang w:val="es-CO"/>
              </w:rPr>
            </w:pPr>
            <m:oMath>
              <m:r>
                <w:rPr>
                  <w:rFonts w:ascii="Cambria Math" w:hAnsi="Cambria Math" w:cs="Times New Roman"/>
                  <w:color w:val="000000" w:themeColor="text1"/>
                  <w:sz w:val="22"/>
                  <w:szCs w:val="22"/>
                </w:rPr>
                <m:t>Δ</m:t>
              </m:r>
              <m:r>
                <m:rPr>
                  <m:sty m:val="p"/>
                </m:rPr>
                <w:rPr>
                  <w:rFonts w:ascii="Cambria Math" w:hAnsi="Cambria Math" w:cs="Times New Roman"/>
                  <w:color w:val="000000" w:themeColor="text1"/>
                  <w:sz w:val="22"/>
                  <w:szCs w:val="22"/>
                  <w:lang w:val="es-CO"/>
                </w:rPr>
                <m:t>RI&lt;</m:t>
              </m:r>
              <m:r>
                <w:rPr>
                  <w:rFonts w:ascii="Cambria Math" w:hAnsi="Cambria Math" w:cs="Times New Roman"/>
                  <w:color w:val="000000" w:themeColor="text1"/>
                  <w:sz w:val="22"/>
                  <w:szCs w:val="22"/>
                  <w:lang w:val="es-CO"/>
                </w:rPr>
                <m:t>0</m:t>
              </m:r>
            </m:oMath>
            <w:r w:rsidRPr="0069403C">
              <w:rPr>
                <w:rFonts w:ascii="Times New Roman" w:hAnsi="Times New Roman" w:cs="Times New Roman"/>
                <w:color w:val="000000" w:themeColor="text1"/>
                <w:sz w:val="22"/>
                <w:szCs w:val="22"/>
                <w:lang w:val="es-CO"/>
              </w:rPr>
              <w:t xml:space="preserve"> significativo en </w:t>
            </w:r>
            <m:oMath>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5</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9</m:t>
              </m:r>
            </m:oMath>
            <w:r w:rsidRPr="0069403C">
              <w:rPr>
                <w:rFonts w:ascii="Times New Roman" w:hAnsi="Times New Roman" w:cs="Times New Roman"/>
                <w:color w:val="000000" w:themeColor="text1"/>
                <w:sz w:val="22"/>
                <w:szCs w:val="22"/>
                <w:lang w:val="es-CO"/>
              </w:rPr>
              <w:t xml:space="preserve"> regímenes </w:t>
            </w:r>
            <w:r w:rsidRPr="0069403C">
              <w:rPr>
                <w:rFonts w:ascii="Times New Roman" w:hAnsi="Times New Roman" w:cs="Times New Roman"/>
                <w:b/>
                <w:bCs/>
                <w:color w:val="000000" w:themeColor="text1"/>
                <w:sz w:val="22"/>
                <w:szCs w:val="22"/>
                <w:lang w:val="es-CO"/>
              </w:rPr>
              <w:t>y</w:t>
            </w:r>
            <w:r w:rsidRPr="0069403C">
              <w:rPr>
                <w:rFonts w:ascii="Times New Roman" w:hAnsi="Times New Roman" w:cs="Times New Roman"/>
                <w:color w:val="000000" w:themeColor="text1"/>
                <w:sz w:val="22"/>
                <w:szCs w:val="22"/>
                <w:lang w:val="es-CO"/>
              </w:rPr>
              <w:t xml:space="preserve"> </w:t>
            </w:r>
            <m:oMath>
              <m:r>
                <w:rPr>
                  <w:rFonts w:ascii="Cambria Math" w:hAnsi="Cambria Math" w:cs="Times New Roman"/>
                  <w:color w:val="000000" w:themeColor="text1"/>
                  <w:sz w:val="22"/>
                  <w:szCs w:val="22"/>
                </w:rPr>
                <m:t>Δ</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RPD</m:t>
                  </m:r>
                </m:e>
                <m:sub>
                  <m:r>
                    <m:rPr>
                      <m:nor/>
                    </m:rPr>
                    <w:rPr>
                      <w:rFonts w:ascii="Times New Roman" w:hAnsi="Times New Roman" w:cs="Times New Roman"/>
                      <w:color w:val="000000" w:themeColor="text1"/>
                      <w:sz w:val="22"/>
                      <w:szCs w:val="22"/>
                      <w:lang w:val="es-CO"/>
                    </w:rPr>
                    <m:t>nom</m:t>
                  </m:r>
                </m:sub>
              </m:sSub>
              <m:r>
                <m:rPr>
                  <m:sty m:val="p"/>
                </m:rPr>
                <w:rPr>
                  <w:rFonts w:ascii="Cambria Math" w:hAnsi="Cambria Math" w:cs="Times New Roman"/>
                  <w:color w:val="000000" w:themeColor="text1"/>
                  <w:sz w:val="22"/>
                  <w:szCs w:val="22"/>
                  <w:lang w:val="es-CO"/>
                </w:rPr>
                <m:t>&lt;</m:t>
              </m:r>
              <m:r>
                <w:rPr>
                  <w:rFonts w:ascii="Cambria Math" w:hAnsi="Cambria Math" w:cs="Times New Roman"/>
                  <w:color w:val="000000" w:themeColor="text1"/>
                  <w:sz w:val="22"/>
                  <w:szCs w:val="22"/>
                  <w:lang w:val="es-CO"/>
                </w:rPr>
                <m:t>2</m:t>
              </m:r>
            </m:oMath>
            <w:r w:rsidRPr="0069403C">
              <w:rPr>
                <w:rFonts w:ascii="Times New Roman" w:hAnsi="Times New Roman" w:cs="Times New Roman"/>
                <w:color w:val="000000" w:themeColor="text1"/>
                <w:sz w:val="22"/>
                <w:szCs w:val="22"/>
                <w:lang w:val="es-CO"/>
              </w:rPr>
              <w:t>pp (ambos requeridos)</w:t>
            </w:r>
          </w:p>
        </w:tc>
      </w:tr>
      <w:tr w:rsidR="00E373E4" w:rsidRPr="0069403C" w14:paraId="258FFD58" w14:textId="77777777">
        <w:tc>
          <w:tcPr>
            <w:tcW w:w="0" w:type="auto"/>
          </w:tcPr>
          <w:p w14:paraId="64FF082C"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H5</w:t>
            </w:r>
          </w:p>
        </w:tc>
        <w:tc>
          <w:tcPr>
            <w:tcW w:w="0" w:type="auto"/>
          </w:tcPr>
          <w:p w14:paraId="26E97B8B"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 latencia de decisión se mantiene muy por debajo de la de CP-SAT a medida que crece el tamaño de la instancia</w:t>
            </w:r>
          </w:p>
        </w:tc>
        <w:tc>
          <w:tcPr>
            <w:tcW w:w="0" w:type="auto"/>
          </w:tcPr>
          <w:p w14:paraId="66354B20" w14:textId="77777777" w:rsidR="00E373E4" w:rsidRPr="0069403C" w:rsidRDefault="00000000" w:rsidP="0069403C">
            <w:pPr>
              <w:pStyle w:val="Compact"/>
              <w:rPr>
                <w:rFonts w:ascii="Times New Roman" w:hAnsi="Times New Roman" w:cs="Times New Roman"/>
                <w:color w:val="000000" w:themeColor="text1"/>
                <w:sz w:val="22"/>
                <w:szCs w:val="22"/>
                <w:lang w:val="es-CO"/>
              </w:rPr>
            </w:pPr>
            <m:oMath>
              <m:r>
                <m:rPr>
                  <m:nor/>
                </m:rPr>
                <w:rPr>
                  <w:rFonts w:ascii="Times New Roman" w:hAnsi="Times New Roman" w:cs="Times New Roman"/>
                  <w:color w:val="000000" w:themeColor="text1"/>
                  <w:sz w:val="22"/>
                  <w:szCs w:val="22"/>
                  <w:lang w:val="es-CO"/>
                </w:rPr>
                <m:t>mediana</m:t>
              </m:r>
              <m:d>
                <m:dPr>
                  <m:ctrlPr>
                    <w:rPr>
                      <w:rFonts w:ascii="Cambria Math" w:hAnsi="Cambria Math" w:cs="Times New Roman"/>
                      <w:color w:val="000000" w:themeColor="text1"/>
                      <w:sz w:val="22"/>
                      <w:szCs w:val="22"/>
                    </w:rPr>
                  </m:ctrlPr>
                </m:dPr>
                <m:e>
                  <m:sSub>
                    <m:sSubPr>
                      <m:ctrlPr>
                        <w:rPr>
                          <w:rFonts w:ascii="Cambria Math" w:hAnsi="Cambria Math" w:cs="Times New Roman"/>
                          <w:color w:val="000000" w:themeColor="text1"/>
                          <w:sz w:val="22"/>
                          <w:szCs w:val="22"/>
                        </w:rPr>
                      </m:ctrlPr>
                    </m:sSubPr>
                    <m:e>
                      <m:r>
                        <m:rPr>
                          <m:nor/>
                        </m:rPr>
                        <w:rPr>
                          <w:rFonts w:ascii="Times New Roman" w:hAnsi="Times New Roman" w:cs="Times New Roman"/>
                          <w:color w:val="000000" w:themeColor="text1"/>
                          <w:sz w:val="22"/>
                          <w:szCs w:val="22"/>
                          <w:lang w:val="es-CO"/>
                        </w:rPr>
                        <m:t>ms/decisión</m:t>
                      </m:r>
                    </m:e>
                    <m:sub>
                      <m:r>
                        <m:rPr>
                          <m:nor/>
                        </m:rPr>
                        <w:rPr>
                          <w:rFonts w:ascii="Times New Roman" w:hAnsi="Times New Roman" w:cs="Times New Roman"/>
                          <w:color w:val="000000" w:themeColor="text1"/>
                          <w:sz w:val="22"/>
                          <w:szCs w:val="22"/>
                          <w:lang w:val="es-CO"/>
                        </w:rPr>
                        <m:t>RL</m:t>
                      </m:r>
                    </m:sub>
                  </m:sSub>
                </m:e>
              </m:d>
              <m:r>
                <m:rPr>
                  <m:sty m:val="p"/>
                </m:rPr>
                <w:rPr>
                  <w:rFonts w:ascii="Cambria Math" w:hAnsi="Cambria Math" w:cs="Times New Roman"/>
                  <w:color w:val="000000" w:themeColor="text1"/>
                  <w:sz w:val="22"/>
                  <w:szCs w:val="22"/>
                  <w:lang w:val="es-CO"/>
                </w:rPr>
                <m:t>&lt;</m:t>
              </m:r>
              <m:r>
                <w:rPr>
                  <w:rFonts w:ascii="Cambria Math" w:hAnsi="Cambria Math" w:cs="Times New Roman"/>
                  <w:color w:val="000000" w:themeColor="text1"/>
                  <w:sz w:val="22"/>
                  <w:szCs w:val="22"/>
                  <w:lang w:val="es-CO"/>
                </w:rPr>
                <m:t>1</m:t>
              </m:r>
              <m:r>
                <m:rPr>
                  <m:sty m:val="p"/>
                </m:rPr>
                <w:rPr>
                  <w:rFonts w:ascii="Cambria Math" w:hAnsi="Cambria Math" w:cs="Times New Roman"/>
                  <w:color w:val="000000" w:themeColor="text1"/>
                  <w:sz w:val="22"/>
                  <w:szCs w:val="22"/>
                  <w:lang w:val="es-CO"/>
                </w:rPr>
                <m:t>%×</m:t>
              </m:r>
              <m:r>
                <m:rPr>
                  <m:nor/>
                </m:rPr>
                <w:rPr>
                  <w:rFonts w:ascii="Times New Roman" w:hAnsi="Times New Roman" w:cs="Times New Roman"/>
                  <w:color w:val="000000" w:themeColor="text1"/>
                  <w:sz w:val="22"/>
                  <w:szCs w:val="22"/>
                  <w:lang w:val="es-CO"/>
                </w:rPr>
                <m:t>mediana</m:t>
              </m:r>
              <m:d>
                <m:dPr>
                  <m:ctrlPr>
                    <w:rPr>
                      <w:rFonts w:ascii="Cambria Math" w:hAnsi="Cambria Math" w:cs="Times New Roman"/>
                      <w:color w:val="000000" w:themeColor="text1"/>
                      <w:sz w:val="22"/>
                      <w:szCs w:val="22"/>
                    </w:rPr>
                  </m:ctrlPr>
                </m:dPr>
                <m:e>
                  <m:sSub>
                    <m:sSubPr>
                      <m:ctrlPr>
                        <w:rPr>
                          <w:rFonts w:ascii="Cambria Math" w:hAnsi="Cambria Math" w:cs="Times New Roman"/>
                          <w:color w:val="000000" w:themeColor="text1"/>
                          <w:sz w:val="22"/>
                          <w:szCs w:val="22"/>
                        </w:rPr>
                      </m:ctrlPr>
                    </m:sSubPr>
                    <m:e>
                      <m:r>
                        <m:rPr>
                          <m:nor/>
                        </m:rPr>
                        <w:rPr>
                          <w:rFonts w:ascii="Times New Roman" w:hAnsi="Times New Roman" w:cs="Times New Roman"/>
                          <w:color w:val="000000" w:themeColor="text1"/>
                          <w:sz w:val="22"/>
                          <w:szCs w:val="22"/>
                          <w:lang w:val="es-CO"/>
                        </w:rPr>
                        <m:t>ms/decisión</m:t>
                      </m:r>
                    </m:e>
                    <m:sub>
                      <m:r>
                        <m:rPr>
                          <m:nor/>
                        </m:rPr>
                        <w:rPr>
                          <w:rFonts w:ascii="Times New Roman" w:hAnsi="Times New Roman" w:cs="Times New Roman"/>
                          <w:color w:val="000000" w:themeColor="text1"/>
                          <w:sz w:val="22"/>
                          <w:szCs w:val="22"/>
                          <w:lang w:val="es-CO"/>
                        </w:rPr>
                        <m:t>CP-SAT</m:t>
                      </m:r>
                    </m:sub>
                  </m:sSub>
                </m:e>
              </m:d>
            </m:oMath>
            <w:r w:rsidRPr="0069403C">
              <w:rPr>
                <w:rFonts w:ascii="Times New Roman" w:hAnsi="Times New Roman" w:cs="Times New Roman"/>
                <w:color w:val="000000" w:themeColor="text1"/>
                <w:sz w:val="22"/>
                <w:szCs w:val="22"/>
                <w:lang w:val="es-CO"/>
              </w:rPr>
              <w:t>, para cada instancia</w:t>
            </w:r>
          </w:p>
        </w:tc>
      </w:tr>
    </w:tbl>
    <w:p w14:paraId="1FF6CFF8" w14:textId="77777777" w:rsidR="00E373E4" w:rsidRPr="0069403C" w:rsidRDefault="00000000" w:rsidP="0069403C">
      <w:pPr>
        <w:pStyle w:val="Ttulo1"/>
        <w:rPr>
          <w:rFonts w:ascii="Times New Roman" w:hAnsi="Times New Roman" w:cs="Times New Roman"/>
          <w:color w:val="000000" w:themeColor="text1"/>
          <w:sz w:val="22"/>
          <w:szCs w:val="22"/>
          <w:lang w:val="es-CO"/>
        </w:rPr>
      </w:pPr>
      <w:bookmarkStart w:id="26" w:name="sec:s2results"/>
      <w:bookmarkEnd w:id="19"/>
      <w:bookmarkEnd w:id="24"/>
      <w:bookmarkEnd w:id="25"/>
      <w:r w:rsidRPr="0069403C">
        <w:rPr>
          <w:rFonts w:ascii="Times New Roman" w:hAnsi="Times New Roman" w:cs="Times New Roman"/>
          <w:color w:val="000000" w:themeColor="text1"/>
          <w:sz w:val="22"/>
          <w:szCs w:val="22"/>
          <w:lang w:val="es-CO"/>
        </w:rPr>
        <w:t>Estudio 2: resultados</w:t>
      </w:r>
    </w:p>
    <w:p w14:paraId="5A951D02"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 Tabla </w:t>
      </w:r>
      <w:hyperlink w:anchor="tab:verdicts">
        <w:r w:rsidRPr="0069403C">
          <w:rPr>
            <w:rStyle w:val="Hipervnculo"/>
            <w:rFonts w:ascii="Times New Roman" w:hAnsi="Times New Roman" w:cs="Times New Roman"/>
            <w:color w:val="000000" w:themeColor="text1"/>
            <w:sz w:val="22"/>
            <w:szCs w:val="22"/>
            <w:lang w:val="es-CO"/>
          </w:rPr>
          <w:t>5</w:t>
        </w:r>
      </w:hyperlink>
      <w:r w:rsidRPr="0069403C">
        <w:rPr>
          <w:rFonts w:ascii="Times New Roman" w:hAnsi="Times New Roman" w:cs="Times New Roman"/>
          <w:color w:val="000000" w:themeColor="text1"/>
          <w:sz w:val="22"/>
          <w:szCs w:val="22"/>
          <w:lang w:val="es-CO"/>
        </w:rPr>
        <w:t xml:space="preserve"> resume el veredicto de las cinco hipótesis </w:t>
      </w:r>
      <w:proofErr w:type="spellStart"/>
      <w:r w:rsidRPr="0069403C">
        <w:rPr>
          <w:rFonts w:ascii="Times New Roman" w:hAnsi="Times New Roman" w:cs="Times New Roman"/>
          <w:color w:val="000000" w:themeColor="text1"/>
          <w:sz w:val="22"/>
          <w:szCs w:val="22"/>
          <w:lang w:val="es-CO"/>
        </w:rPr>
        <w:t>pre-registradas</w:t>
      </w:r>
      <w:proofErr w:type="spellEnd"/>
      <w:r w:rsidRPr="0069403C">
        <w:rPr>
          <w:rFonts w:ascii="Times New Roman" w:hAnsi="Times New Roman" w:cs="Times New Roman"/>
          <w:color w:val="000000" w:themeColor="text1"/>
          <w:sz w:val="22"/>
          <w:szCs w:val="22"/>
          <w:lang w:val="es-CO"/>
        </w:rPr>
        <w:t>; las Secciones </w:t>
      </w:r>
      <w:hyperlink w:anchor="sec:h1">
        <w:r w:rsidRPr="0069403C">
          <w:rPr>
            <w:rStyle w:val="Hipervnculo"/>
            <w:rFonts w:ascii="Times New Roman" w:hAnsi="Times New Roman" w:cs="Times New Roman"/>
            <w:color w:val="000000" w:themeColor="text1"/>
            <w:sz w:val="22"/>
            <w:szCs w:val="22"/>
            <w:lang w:val="es-CO"/>
          </w:rPr>
          <w:t>6.1</w:t>
        </w:r>
      </w:hyperlink>
      <w:r w:rsidRPr="0069403C">
        <w:rPr>
          <w:rFonts w:ascii="Times New Roman" w:hAnsi="Times New Roman" w:cs="Times New Roman"/>
          <w:color w:val="000000" w:themeColor="text1"/>
          <w:sz w:val="22"/>
          <w:szCs w:val="22"/>
          <w:lang w:val="es-CO"/>
        </w:rPr>
        <w:t>–</w:t>
      </w:r>
      <w:hyperlink w:anchor="sec:h5">
        <w:r w:rsidRPr="0069403C">
          <w:rPr>
            <w:rStyle w:val="Hipervnculo"/>
            <w:rFonts w:ascii="Times New Roman" w:hAnsi="Times New Roman" w:cs="Times New Roman"/>
            <w:color w:val="000000" w:themeColor="text1"/>
            <w:sz w:val="22"/>
            <w:szCs w:val="22"/>
            <w:lang w:val="es-CO"/>
          </w:rPr>
          <w:t>6.4</w:t>
        </w:r>
      </w:hyperlink>
      <w:r w:rsidRPr="0069403C">
        <w:rPr>
          <w:rFonts w:ascii="Times New Roman" w:hAnsi="Times New Roman" w:cs="Times New Roman"/>
          <w:color w:val="000000" w:themeColor="text1"/>
          <w:sz w:val="22"/>
          <w:szCs w:val="22"/>
          <w:lang w:val="es-CO"/>
        </w:rPr>
        <w:t xml:space="preserve"> detallan cada una por turno.</w:t>
      </w:r>
    </w:p>
    <w:p w14:paraId="2586AD3F" w14:textId="77777777" w:rsidR="00E373E4" w:rsidRPr="0069403C" w:rsidRDefault="00000000" w:rsidP="0069403C">
      <w:pPr>
        <w:pStyle w:val="TableCaption"/>
        <w:rPr>
          <w:rFonts w:ascii="Times New Roman" w:hAnsi="Times New Roman" w:cs="Times New Roman"/>
          <w:color w:val="000000" w:themeColor="text1"/>
          <w:sz w:val="22"/>
          <w:szCs w:val="22"/>
          <w:lang w:val="es-CO"/>
        </w:rPr>
      </w:pPr>
      <w:bookmarkStart w:id="27" w:name="tab:verdicts"/>
      <w:r w:rsidRPr="0069403C">
        <w:rPr>
          <w:rFonts w:ascii="Times New Roman" w:hAnsi="Times New Roman" w:cs="Times New Roman"/>
          <w:b/>
          <w:bCs/>
          <w:color w:val="000000" w:themeColor="text1"/>
          <w:sz w:val="22"/>
          <w:szCs w:val="22"/>
          <w:lang w:val="es-CO"/>
        </w:rPr>
        <w:t xml:space="preserve">Tabla 5: </w:t>
      </w:r>
      <w:r w:rsidRPr="0069403C">
        <w:rPr>
          <w:rFonts w:ascii="Times New Roman" w:hAnsi="Times New Roman" w:cs="Times New Roman"/>
          <w:color w:val="000000" w:themeColor="text1"/>
          <w:sz w:val="22"/>
          <w:szCs w:val="22"/>
          <w:lang w:val="es-CO"/>
        </w:rPr>
        <w:t xml:space="preserve">Estudio 2: veredictos de las hipótesis (todas las pruebas bilaterales, </w:t>
      </w:r>
      <m:oMath>
        <m:r>
          <w:rPr>
            <w:rFonts w:ascii="Cambria Math" w:hAnsi="Cambria Math" w:cs="Times New Roman"/>
            <w:color w:val="000000" w:themeColor="text1"/>
            <w:sz w:val="22"/>
            <w:szCs w:val="22"/>
          </w:rPr>
          <m:t>α</m:t>
        </m:r>
        <m:r>
          <w:rPr>
            <w:rFonts w:ascii="Cambria Math" w:hAnsi="Cambria Math" w:cs="Times New Roman"/>
            <w:color w:val="000000" w:themeColor="text1"/>
            <w:sz w:val="22"/>
            <w:szCs w:val="22"/>
            <w:lang w:val="es-CO"/>
          </w:rPr>
          <m:t>=0.05</m:t>
        </m:r>
      </m:oMath>
      <w:r w:rsidRPr="0069403C">
        <w:rPr>
          <w:rFonts w:ascii="Times New Roman" w:hAnsi="Times New Roman" w:cs="Times New Roman"/>
          <w:color w:val="000000" w:themeColor="text1"/>
          <w:sz w:val="22"/>
          <w:szCs w:val="22"/>
          <w:lang w:val="es-CO"/>
        </w:rPr>
        <w:t>).</w:t>
      </w:r>
    </w:p>
    <w:tbl>
      <w:tblPr>
        <w:tblStyle w:val="Table"/>
        <w:tblW w:w="0" w:type="auto"/>
        <w:tblLook w:val="0020" w:firstRow="1" w:lastRow="0" w:firstColumn="0" w:lastColumn="0" w:noHBand="0" w:noVBand="0"/>
      </w:tblPr>
      <w:tblGrid>
        <w:gridCol w:w="2303"/>
        <w:gridCol w:w="1778"/>
        <w:gridCol w:w="3644"/>
        <w:gridCol w:w="1329"/>
      </w:tblGrid>
      <w:tr w:rsidR="00E373E4" w:rsidRPr="0069403C" w14:paraId="6526E024" w14:textId="77777777" w:rsidTr="00E373E4">
        <w:trPr>
          <w:cnfStyle w:val="100000000000" w:firstRow="1" w:lastRow="0" w:firstColumn="0" w:lastColumn="0" w:oddVBand="0" w:evenVBand="0" w:oddHBand="0" w:evenHBand="0" w:firstRowFirstColumn="0" w:firstRowLastColumn="0" w:lastRowFirstColumn="0" w:lastRowLastColumn="0"/>
          <w:tblHeader/>
        </w:trPr>
        <w:tc>
          <w:tcPr>
            <w:tcW w:w="0" w:type="auto"/>
          </w:tcPr>
          <w:p w14:paraId="3AB1035B"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Hipótesis</w:t>
            </w:r>
          </w:p>
        </w:tc>
        <w:tc>
          <w:tcPr>
            <w:tcW w:w="0" w:type="auto"/>
          </w:tcPr>
          <w:p w14:paraId="33DAA01D"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Prueba</w:t>
            </w:r>
          </w:p>
        </w:tc>
        <w:tc>
          <w:tcPr>
            <w:tcW w:w="0" w:type="auto"/>
          </w:tcPr>
          <w:p w14:paraId="653D3B25"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Estadístico</w:t>
            </w:r>
          </w:p>
        </w:tc>
        <w:tc>
          <w:tcPr>
            <w:tcW w:w="0" w:type="auto"/>
          </w:tcPr>
          <w:p w14:paraId="7912E6A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Veredicto</w:t>
            </w:r>
          </w:p>
        </w:tc>
      </w:tr>
      <w:tr w:rsidR="00E373E4" w:rsidRPr="0069403C" w14:paraId="4609007D" w14:textId="77777777">
        <w:tc>
          <w:tcPr>
            <w:tcW w:w="0" w:type="auto"/>
          </w:tcPr>
          <w:p w14:paraId="1F71B8B2"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H1 (JSSP)</w:t>
            </w:r>
          </w:p>
        </w:tc>
        <w:tc>
          <w:tcPr>
            <w:tcW w:w="0" w:type="auto"/>
          </w:tcPr>
          <w:p w14:paraId="68C7428D"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 xml:space="preserve">Wilcoxon, </w:t>
            </w:r>
            <m:oMath>
              <m:r>
                <w:rPr>
                  <w:rFonts w:ascii="Cambria Math" w:hAnsi="Cambria Math" w:cs="Times New Roman"/>
                  <w:color w:val="000000" w:themeColor="text1"/>
                  <w:sz w:val="22"/>
                  <w:szCs w:val="22"/>
                </w:rPr>
                <m:t>N</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43</m:t>
              </m:r>
            </m:oMath>
          </w:p>
        </w:tc>
        <w:tc>
          <w:tcPr>
            <w:tcW w:w="0" w:type="auto"/>
          </w:tcPr>
          <w:p w14:paraId="3F511CC6" w14:textId="77777777" w:rsidR="00E373E4" w:rsidRPr="0069403C" w:rsidRDefault="00000000" w:rsidP="0069403C">
            <w:pPr>
              <w:pStyle w:val="Compact"/>
              <w:rPr>
                <w:rFonts w:ascii="Times New Roman" w:hAnsi="Times New Roman" w:cs="Times New Roman"/>
                <w:color w:val="000000" w:themeColor="text1"/>
                <w:sz w:val="22"/>
                <w:szCs w:val="22"/>
              </w:rPr>
            </w:pPr>
            <m:oMath>
              <m:r>
                <w:rPr>
                  <w:rFonts w:ascii="Cambria Math" w:hAnsi="Cambria Math" w:cs="Times New Roman"/>
                  <w:color w:val="000000" w:themeColor="text1"/>
                  <w:sz w:val="22"/>
                  <w:szCs w:val="22"/>
                </w:rPr>
                <m:t>W</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133</m:t>
              </m:r>
            </m:oMath>
            <w:r w:rsidRPr="0069403C">
              <w:rPr>
                <w:rFonts w:ascii="Times New Roman" w:hAnsi="Times New Roman" w:cs="Times New Roman"/>
                <w:color w:val="000000" w:themeColor="text1"/>
                <w:sz w:val="22"/>
                <w:szCs w:val="22"/>
              </w:rPr>
              <w:t xml:space="preserve">, </w:t>
            </w: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4.03</m:t>
              </m:r>
              <m:r>
                <m:rPr>
                  <m:sty m:val="p"/>
                </m:rPr>
                <w:rPr>
                  <w:rFonts w:ascii="Cambria Math" w:hAnsi="Cambria Math" w:cs="Times New Roman"/>
                  <w:color w:val="000000" w:themeColor="text1"/>
                  <w:sz w:val="22"/>
                  <w:szCs w:val="22"/>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10</m:t>
                  </m:r>
                </m:e>
                <m: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5</m:t>
                  </m:r>
                </m:sup>
              </m:sSup>
            </m:oMath>
            <w:r w:rsidRPr="0069403C">
              <w:rPr>
                <w:rFonts w:ascii="Times New Roman" w:hAnsi="Times New Roman" w:cs="Times New Roman"/>
                <w:color w:val="000000" w:themeColor="text1"/>
                <w:sz w:val="22"/>
                <w:szCs w:val="22"/>
              </w:rPr>
              <w:t xml:space="preserve">, </w:t>
            </w:r>
            <m:oMath>
              <m:r>
                <w:rPr>
                  <w:rFonts w:ascii="Cambria Math" w:hAnsi="Cambria Math" w:cs="Times New Roman"/>
                  <w:color w:val="000000" w:themeColor="text1"/>
                  <w:sz w:val="22"/>
                  <w:szCs w:val="22"/>
                </w:rPr>
                <m:t>r</m:t>
              </m:r>
              <m:r>
                <m:rPr>
                  <m:sty m:val="p"/>
                </m:rPr>
                <w:rPr>
                  <w:rFonts w:ascii="Cambria Math" w:hAnsi="Cambria Math" w:cs="Times New Roman"/>
                  <w:color w:val="000000" w:themeColor="text1"/>
                  <w:sz w:val="22"/>
                  <w:szCs w:val="22"/>
                </w:rPr>
                <m:t>=</m:t>
              </m:r>
              <m:r>
                <m:rPr>
                  <m:sty m:val="p"/>
                </m:rPr>
                <w:rPr>
                  <w:rFonts w:ascii="Cambria Math" w:hAnsi="Cambria Math" w:cs="Times New Roman"/>
                  <w:color w:val="000000" w:themeColor="text1"/>
                  <w:sz w:val="22"/>
                  <w:szCs w:val="22"/>
                </w:rPr>
                <w:lastRenderedPageBreak/>
                <m:t>-</m:t>
              </m:r>
              <m:r>
                <w:rPr>
                  <w:rFonts w:ascii="Cambria Math" w:hAnsi="Cambria Math" w:cs="Times New Roman"/>
                  <w:color w:val="000000" w:themeColor="text1"/>
                  <w:sz w:val="22"/>
                  <w:szCs w:val="22"/>
                </w:rPr>
                <m:t>0.63</m:t>
              </m:r>
            </m:oMath>
          </w:p>
        </w:tc>
        <w:tc>
          <w:tcPr>
            <w:tcW w:w="0" w:type="auto"/>
          </w:tcPr>
          <w:p w14:paraId="25C9B3F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lastRenderedPageBreak/>
              <w:t>RECHAZO</w:t>
            </w:r>
          </w:p>
        </w:tc>
      </w:tr>
      <w:tr w:rsidR="00E373E4" w:rsidRPr="0069403C" w14:paraId="05A8390B" w14:textId="77777777">
        <w:tc>
          <w:tcPr>
            <w:tcW w:w="0" w:type="auto"/>
          </w:tcPr>
          <w:p w14:paraId="62649061"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H1 (FJSP sintético)</w:t>
            </w:r>
          </w:p>
        </w:tc>
        <w:tc>
          <w:tcPr>
            <w:tcW w:w="0" w:type="auto"/>
          </w:tcPr>
          <w:p w14:paraId="4703B254"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 xml:space="preserve">Wilcoxon, </w:t>
            </w:r>
            <m:oMath>
              <m:r>
                <w:rPr>
                  <w:rFonts w:ascii="Cambria Math" w:hAnsi="Cambria Math" w:cs="Times New Roman"/>
                  <w:color w:val="000000" w:themeColor="text1"/>
                  <w:sz w:val="22"/>
                  <w:szCs w:val="22"/>
                </w:rPr>
                <m:t>N</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43</m:t>
              </m:r>
            </m:oMath>
          </w:p>
        </w:tc>
        <w:tc>
          <w:tcPr>
            <w:tcW w:w="0" w:type="auto"/>
          </w:tcPr>
          <w:p w14:paraId="73DD193A" w14:textId="77777777" w:rsidR="00E373E4" w:rsidRPr="0069403C" w:rsidRDefault="00000000" w:rsidP="0069403C">
            <w:pPr>
              <w:pStyle w:val="Compact"/>
              <w:rPr>
                <w:rFonts w:ascii="Times New Roman" w:hAnsi="Times New Roman" w:cs="Times New Roman"/>
                <w:color w:val="000000" w:themeColor="text1"/>
                <w:sz w:val="22"/>
                <w:szCs w:val="22"/>
              </w:rPr>
            </w:pPr>
            <m:oMath>
              <m:r>
                <w:rPr>
                  <w:rFonts w:ascii="Cambria Math" w:hAnsi="Cambria Math" w:cs="Times New Roman"/>
                  <w:color w:val="000000" w:themeColor="text1"/>
                  <w:sz w:val="22"/>
                  <w:szCs w:val="22"/>
                </w:rPr>
                <m:t>W</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m:t>
              </m:r>
            </m:oMath>
            <w:r w:rsidRPr="0069403C">
              <w:rPr>
                <w:rFonts w:ascii="Times New Roman" w:hAnsi="Times New Roman" w:cs="Times New Roman"/>
                <w:color w:val="000000" w:themeColor="text1"/>
                <w:sz w:val="22"/>
                <w:szCs w:val="22"/>
              </w:rPr>
              <w:t xml:space="preserve">, </w:t>
            </w: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1.12</m:t>
              </m:r>
              <m:r>
                <m:rPr>
                  <m:sty m:val="p"/>
                </m:rPr>
                <w:rPr>
                  <w:rFonts w:ascii="Cambria Math" w:hAnsi="Cambria Math" w:cs="Times New Roman"/>
                  <w:color w:val="000000" w:themeColor="text1"/>
                  <w:sz w:val="22"/>
                  <w:szCs w:val="22"/>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10</m:t>
                  </m:r>
                </m:e>
                <m: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8</m:t>
                  </m:r>
                </m:sup>
              </m:sSup>
            </m:oMath>
            <w:r w:rsidRPr="0069403C">
              <w:rPr>
                <w:rFonts w:ascii="Times New Roman" w:hAnsi="Times New Roman" w:cs="Times New Roman"/>
                <w:color w:val="000000" w:themeColor="text1"/>
                <w:sz w:val="22"/>
                <w:szCs w:val="22"/>
              </w:rPr>
              <w:t xml:space="preserve">, </w:t>
            </w:r>
            <m:oMath>
              <m:r>
                <w:rPr>
                  <w:rFonts w:ascii="Cambria Math" w:hAnsi="Cambria Math" w:cs="Times New Roman"/>
                  <w:color w:val="000000" w:themeColor="text1"/>
                  <w:sz w:val="22"/>
                  <w:szCs w:val="22"/>
                </w:rPr>
                <m:t>r</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0.87</m:t>
              </m:r>
            </m:oMath>
          </w:p>
        </w:tc>
        <w:tc>
          <w:tcPr>
            <w:tcW w:w="0" w:type="auto"/>
          </w:tcPr>
          <w:p w14:paraId="041DC8AD"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RECHAZO</w:t>
            </w:r>
          </w:p>
        </w:tc>
      </w:tr>
      <w:tr w:rsidR="00E373E4" w:rsidRPr="0069403C" w14:paraId="39308CEE" w14:textId="77777777">
        <w:tc>
          <w:tcPr>
            <w:tcW w:w="0" w:type="auto"/>
          </w:tcPr>
          <w:p w14:paraId="21A10435"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H1 (FJSP Brandimarte)</w:t>
            </w:r>
          </w:p>
        </w:tc>
        <w:tc>
          <w:tcPr>
            <w:tcW w:w="0" w:type="auto"/>
          </w:tcPr>
          <w:p w14:paraId="392B3B59"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 xml:space="preserve">Wilcoxon, </w:t>
            </w:r>
            <m:oMath>
              <m:r>
                <w:rPr>
                  <w:rFonts w:ascii="Cambria Math" w:hAnsi="Cambria Math" w:cs="Times New Roman"/>
                  <w:color w:val="000000" w:themeColor="text1"/>
                  <w:sz w:val="22"/>
                  <w:szCs w:val="22"/>
                </w:rPr>
                <m:t>N</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7</m:t>
              </m:r>
            </m:oMath>
          </w:p>
        </w:tc>
        <w:tc>
          <w:tcPr>
            <w:tcW w:w="0" w:type="auto"/>
          </w:tcPr>
          <w:p w14:paraId="4A9093DB" w14:textId="77777777" w:rsidR="00E373E4" w:rsidRPr="0069403C" w:rsidRDefault="00000000" w:rsidP="0069403C">
            <w:pPr>
              <w:pStyle w:val="Compact"/>
              <w:rPr>
                <w:rFonts w:ascii="Times New Roman" w:hAnsi="Times New Roman" w:cs="Times New Roman"/>
                <w:color w:val="000000" w:themeColor="text1"/>
                <w:sz w:val="22"/>
                <w:szCs w:val="22"/>
              </w:rPr>
            </w:pPr>
            <m:oMath>
              <m:r>
                <w:rPr>
                  <w:rFonts w:ascii="Cambria Math" w:hAnsi="Cambria Math" w:cs="Times New Roman"/>
                  <w:color w:val="000000" w:themeColor="text1"/>
                  <w:sz w:val="22"/>
                  <w:szCs w:val="22"/>
                </w:rPr>
                <m:t>W</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m:t>
              </m:r>
            </m:oMath>
            <w:r w:rsidRPr="0069403C">
              <w:rPr>
                <w:rFonts w:ascii="Times New Roman" w:hAnsi="Times New Roman" w:cs="Times New Roman"/>
                <w:color w:val="000000" w:themeColor="text1"/>
                <w:sz w:val="22"/>
                <w:szCs w:val="22"/>
              </w:rPr>
              <w:t xml:space="preserve">, </w:t>
            </w: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0.0156</m:t>
              </m:r>
            </m:oMath>
            <w:r w:rsidRPr="0069403C">
              <w:rPr>
                <w:rFonts w:ascii="Times New Roman" w:hAnsi="Times New Roman" w:cs="Times New Roman"/>
                <w:color w:val="000000" w:themeColor="text1"/>
                <w:sz w:val="22"/>
                <w:szCs w:val="22"/>
              </w:rPr>
              <w:t xml:space="preserve">, </w:t>
            </w:r>
            <m:oMath>
              <m:r>
                <w:rPr>
                  <w:rFonts w:ascii="Cambria Math" w:hAnsi="Cambria Math" w:cs="Times New Roman"/>
                  <w:color w:val="000000" w:themeColor="text1"/>
                  <w:sz w:val="22"/>
                  <w:szCs w:val="22"/>
                </w:rPr>
                <m:t>r</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0.91</m:t>
              </m:r>
            </m:oMath>
          </w:p>
        </w:tc>
        <w:tc>
          <w:tcPr>
            <w:tcW w:w="0" w:type="auto"/>
          </w:tcPr>
          <w:p w14:paraId="27852030"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RECHAZO</w:t>
            </w:r>
          </w:p>
        </w:tc>
      </w:tr>
      <w:tr w:rsidR="00E373E4" w:rsidRPr="0069403C" w14:paraId="74ACD0A0" w14:textId="77777777">
        <w:tc>
          <w:tcPr>
            <w:tcW w:w="0" w:type="auto"/>
          </w:tcPr>
          <w:p w14:paraId="169B68D8"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H2 (4 niveles de tamaño)</w:t>
            </w:r>
          </w:p>
        </w:tc>
        <w:tc>
          <w:tcPr>
            <w:tcW w:w="0" w:type="auto"/>
          </w:tcPr>
          <w:p w14:paraId="6311ECE6"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Friedman + Nemenyi</w:t>
            </w:r>
          </w:p>
        </w:tc>
        <w:tc>
          <w:tcPr>
            <w:tcW w:w="0" w:type="auto"/>
          </w:tcPr>
          <w:p w14:paraId="41BA29DE"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brecha de rango </w:t>
            </w:r>
            <m:oMath>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1.00</m:t>
              </m:r>
              <m:r>
                <m:rPr>
                  <m:sty m:val="p"/>
                </m:rPr>
                <w:rPr>
                  <w:rFonts w:ascii="Cambria Math" w:hAnsi="Cambria Math" w:cs="Times New Roman"/>
                  <w:color w:val="000000" w:themeColor="text1"/>
                  <w:sz w:val="22"/>
                  <w:szCs w:val="22"/>
                  <w:lang w:val="es-CO"/>
                </w:rPr>
                <m:t>&lt;</m:t>
              </m:r>
            </m:oMath>
            <w:r w:rsidRPr="0069403C">
              <w:rPr>
                <w:rFonts w:ascii="Times New Roman" w:hAnsi="Times New Roman" w:cs="Times New Roman"/>
                <w:color w:val="000000" w:themeColor="text1"/>
                <w:sz w:val="22"/>
                <w:szCs w:val="22"/>
                <w:lang w:val="es-CO"/>
              </w:rPr>
              <w:t xml:space="preserve"> CD</w:t>
            </w:r>
            <m:oMath>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6.06</m:t>
              </m:r>
            </m:oMath>
            <w:r w:rsidRPr="0069403C">
              <w:rPr>
                <w:rFonts w:ascii="Times New Roman" w:hAnsi="Times New Roman" w:cs="Times New Roman"/>
                <w:color w:val="000000" w:themeColor="text1"/>
                <w:sz w:val="22"/>
                <w:szCs w:val="22"/>
                <w:lang w:val="es-CO"/>
              </w:rPr>
              <w:t xml:space="preserve"> en todos los niveles</w:t>
            </w:r>
          </w:p>
        </w:tc>
        <w:tc>
          <w:tcPr>
            <w:tcW w:w="0" w:type="auto"/>
          </w:tcPr>
          <w:p w14:paraId="1DE4FC39"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ACEPTO</w:t>
            </w:r>
          </w:p>
        </w:tc>
      </w:tr>
      <w:tr w:rsidR="00E373E4" w:rsidRPr="0069403C" w14:paraId="731A2078" w14:textId="77777777">
        <w:tc>
          <w:tcPr>
            <w:tcW w:w="0" w:type="auto"/>
          </w:tcPr>
          <w:p w14:paraId="24CC73A0"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H3 (9 regímenes de disrupción)</w:t>
            </w:r>
          </w:p>
        </w:tc>
        <w:tc>
          <w:tcPr>
            <w:tcW w:w="0" w:type="auto"/>
          </w:tcPr>
          <w:p w14:paraId="527C915F"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 xml:space="preserve">Wilcoxon </w:t>
            </w:r>
            <m:oMath>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9</m:t>
              </m:r>
            </m:oMath>
          </w:p>
        </w:tc>
        <w:tc>
          <w:tcPr>
            <w:tcW w:w="0" w:type="auto"/>
          </w:tcPr>
          <w:p w14:paraId="0FE1D7F6" w14:textId="77777777" w:rsidR="00E373E4" w:rsidRPr="0069403C" w:rsidRDefault="00000000" w:rsidP="0069403C">
            <w:pPr>
              <w:pStyle w:val="Compact"/>
              <w:rPr>
                <w:rFonts w:ascii="Times New Roman" w:hAnsi="Times New Roman" w:cs="Times New Roman"/>
                <w:color w:val="000000" w:themeColor="text1"/>
                <w:sz w:val="22"/>
                <w:szCs w:val="22"/>
              </w:rPr>
            </w:pP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rPr>
                <m:t>&lt;</m:t>
              </m:r>
              <m:r>
                <w:rPr>
                  <w:rFonts w:ascii="Cambria Math" w:hAnsi="Cambria Math" w:cs="Times New Roman"/>
                  <w:color w:val="000000" w:themeColor="text1"/>
                  <w:sz w:val="22"/>
                  <w:szCs w:val="22"/>
                </w:rPr>
                <m:t>1.7</m:t>
              </m:r>
              <m:r>
                <m:rPr>
                  <m:sty m:val="p"/>
                </m:rPr>
                <w:rPr>
                  <w:rFonts w:ascii="Cambria Math" w:hAnsi="Cambria Math" w:cs="Times New Roman"/>
                  <w:color w:val="000000" w:themeColor="text1"/>
                  <w:sz w:val="22"/>
                  <w:szCs w:val="22"/>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10</m:t>
                  </m:r>
                </m:e>
                <m: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11</m:t>
                  </m:r>
                </m:sup>
              </m:sSup>
            </m:oMath>
            <w:r w:rsidRPr="0069403C">
              <w:rPr>
                <w:rFonts w:ascii="Times New Roman" w:hAnsi="Times New Roman" w:cs="Times New Roman"/>
                <w:color w:val="000000" w:themeColor="text1"/>
                <w:sz w:val="22"/>
                <w:szCs w:val="22"/>
              </w:rPr>
              <w:t xml:space="preserve"> en las 9</w:t>
            </w:r>
          </w:p>
        </w:tc>
        <w:tc>
          <w:tcPr>
            <w:tcW w:w="0" w:type="auto"/>
          </w:tcPr>
          <w:p w14:paraId="6626A1CD"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RECHAZO</w:t>
            </w:r>
          </w:p>
        </w:tc>
      </w:tr>
      <w:tr w:rsidR="00E373E4" w:rsidRPr="0069403C" w14:paraId="0EE10BD9" w14:textId="77777777">
        <w:tc>
          <w:tcPr>
            <w:tcW w:w="0" w:type="auto"/>
          </w:tcPr>
          <w:p w14:paraId="4C5C841E"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H4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0.5</m:t>
              </m:r>
            </m:oMath>
            <w:r w:rsidRPr="0069403C">
              <w:rPr>
                <w:rFonts w:ascii="Times New Roman" w:hAnsi="Times New Roman" w:cs="Times New Roman"/>
                <w:color w:val="000000" w:themeColor="text1"/>
                <w:sz w:val="22"/>
                <w:szCs w:val="22"/>
              </w:rPr>
              <w:t>)</w:t>
            </w:r>
          </w:p>
        </w:tc>
        <w:tc>
          <w:tcPr>
            <w:tcW w:w="0" w:type="auto"/>
          </w:tcPr>
          <w:p w14:paraId="14455BBA"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 xml:space="preserve">Wilcoxon </w:t>
            </w:r>
            <m:oMath>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9</m:t>
              </m:r>
            </m:oMath>
            <w:r w:rsidRPr="0069403C">
              <w:rPr>
                <w:rFonts w:ascii="Times New Roman" w:hAnsi="Times New Roman" w:cs="Times New Roman"/>
                <w:color w:val="000000" w:themeColor="text1"/>
                <w:sz w:val="22"/>
                <w:szCs w:val="22"/>
              </w:rPr>
              <w:t xml:space="preserve"> + </w:t>
            </w:r>
            <m:oMath>
              <m:r>
                <w:rPr>
                  <w:rFonts w:ascii="Cambria Math" w:hAnsi="Cambria Math" w:cs="Times New Roman"/>
                  <w:color w:val="000000" w:themeColor="text1"/>
                  <w:sz w:val="22"/>
                  <w:szCs w:val="22"/>
                </w:rPr>
                <m:t>Δ</m:t>
              </m:r>
            </m:oMath>
            <w:r w:rsidRPr="0069403C">
              <w:rPr>
                <w:rFonts w:ascii="Times New Roman" w:hAnsi="Times New Roman" w:cs="Times New Roman"/>
                <w:color w:val="000000" w:themeColor="text1"/>
                <w:sz w:val="22"/>
                <w:szCs w:val="22"/>
              </w:rPr>
              <w:t>RPD</w:t>
            </w:r>
          </w:p>
        </w:tc>
        <w:tc>
          <w:tcPr>
            <w:tcW w:w="0" w:type="auto"/>
          </w:tcPr>
          <w:p w14:paraId="43DCA678"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0/9 significativas; </w:t>
            </w:r>
            <m:oMath>
              <m:r>
                <w:rPr>
                  <w:rFonts w:ascii="Cambria Math" w:hAnsi="Cambria Math" w:cs="Times New Roman"/>
                  <w:color w:val="000000" w:themeColor="text1"/>
                  <w:sz w:val="22"/>
                  <w:szCs w:val="22"/>
                </w:rPr>
                <m:t>Δ</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RPD</m:t>
                  </m:r>
                </m:e>
                <m:sub>
                  <m:r>
                    <m:rPr>
                      <m:nor/>
                    </m:rPr>
                    <w:rPr>
                      <w:rFonts w:ascii="Times New Roman" w:hAnsi="Times New Roman" w:cs="Times New Roman"/>
                      <w:color w:val="000000" w:themeColor="text1"/>
                      <w:sz w:val="22"/>
                      <w:szCs w:val="22"/>
                      <w:lang w:val="es-CO"/>
                    </w:rPr>
                    <m:t>nom</m:t>
                  </m:r>
                </m:sub>
              </m:sSub>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106.0</m:t>
              </m:r>
            </m:oMath>
            <w:r w:rsidRPr="0069403C">
              <w:rPr>
                <w:rFonts w:ascii="Times New Roman" w:hAnsi="Times New Roman" w:cs="Times New Roman"/>
                <w:color w:val="000000" w:themeColor="text1"/>
                <w:sz w:val="22"/>
                <w:szCs w:val="22"/>
                <w:lang w:val="es-CO"/>
              </w:rPr>
              <w:t>pp</w:t>
            </w:r>
          </w:p>
        </w:tc>
        <w:tc>
          <w:tcPr>
            <w:tcW w:w="0" w:type="auto"/>
          </w:tcPr>
          <w:p w14:paraId="02EB1068"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RECHAZO</w:t>
            </w:r>
          </w:p>
        </w:tc>
      </w:tr>
      <w:tr w:rsidR="00E373E4" w:rsidRPr="0069403C" w14:paraId="342C351B" w14:textId="77777777">
        <w:tc>
          <w:tcPr>
            <w:tcW w:w="0" w:type="auto"/>
          </w:tcPr>
          <w:p w14:paraId="6A9041CC"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H4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1.0</m:t>
              </m:r>
            </m:oMath>
            <w:r w:rsidRPr="0069403C">
              <w:rPr>
                <w:rFonts w:ascii="Times New Roman" w:hAnsi="Times New Roman" w:cs="Times New Roman"/>
                <w:color w:val="000000" w:themeColor="text1"/>
                <w:sz w:val="22"/>
                <w:szCs w:val="22"/>
              </w:rPr>
              <w:t>)</w:t>
            </w:r>
          </w:p>
        </w:tc>
        <w:tc>
          <w:tcPr>
            <w:tcW w:w="0" w:type="auto"/>
          </w:tcPr>
          <w:p w14:paraId="3B392845"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 xml:space="preserve">Wilcoxon </w:t>
            </w:r>
            <m:oMath>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9</m:t>
              </m:r>
            </m:oMath>
            <w:r w:rsidRPr="0069403C">
              <w:rPr>
                <w:rFonts w:ascii="Times New Roman" w:hAnsi="Times New Roman" w:cs="Times New Roman"/>
                <w:color w:val="000000" w:themeColor="text1"/>
                <w:sz w:val="22"/>
                <w:szCs w:val="22"/>
              </w:rPr>
              <w:t xml:space="preserve"> + </w:t>
            </w:r>
            <m:oMath>
              <m:r>
                <w:rPr>
                  <w:rFonts w:ascii="Cambria Math" w:hAnsi="Cambria Math" w:cs="Times New Roman"/>
                  <w:color w:val="000000" w:themeColor="text1"/>
                  <w:sz w:val="22"/>
                  <w:szCs w:val="22"/>
                </w:rPr>
                <m:t>Δ</m:t>
              </m:r>
            </m:oMath>
            <w:r w:rsidRPr="0069403C">
              <w:rPr>
                <w:rFonts w:ascii="Times New Roman" w:hAnsi="Times New Roman" w:cs="Times New Roman"/>
                <w:color w:val="000000" w:themeColor="text1"/>
                <w:sz w:val="22"/>
                <w:szCs w:val="22"/>
              </w:rPr>
              <w:t>RPD</w:t>
            </w:r>
          </w:p>
        </w:tc>
        <w:tc>
          <w:tcPr>
            <w:tcW w:w="0" w:type="auto"/>
          </w:tcPr>
          <w:p w14:paraId="1ACAADE5"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1/9 significativa; </w:t>
            </w:r>
            <m:oMath>
              <m:r>
                <w:rPr>
                  <w:rFonts w:ascii="Cambria Math" w:hAnsi="Cambria Math" w:cs="Times New Roman"/>
                  <w:color w:val="000000" w:themeColor="text1"/>
                  <w:sz w:val="22"/>
                  <w:szCs w:val="22"/>
                </w:rPr>
                <m:t>Δ</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lang w:val="es-CO"/>
                    </w:rPr>
                    <m:t>RPD</m:t>
                  </m:r>
                </m:e>
                <m:sub>
                  <m:r>
                    <m:rPr>
                      <m:nor/>
                    </m:rPr>
                    <w:rPr>
                      <w:rFonts w:ascii="Times New Roman" w:hAnsi="Times New Roman" w:cs="Times New Roman"/>
                      <w:color w:val="000000" w:themeColor="text1"/>
                      <w:sz w:val="22"/>
                      <w:szCs w:val="22"/>
                      <w:lang w:val="es-CO"/>
                    </w:rPr>
                    <m:t>nom</m:t>
                  </m:r>
                </m:sub>
              </m:sSub>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46.6</m:t>
              </m:r>
            </m:oMath>
            <w:r w:rsidRPr="0069403C">
              <w:rPr>
                <w:rFonts w:ascii="Times New Roman" w:hAnsi="Times New Roman" w:cs="Times New Roman"/>
                <w:color w:val="000000" w:themeColor="text1"/>
                <w:sz w:val="22"/>
                <w:szCs w:val="22"/>
                <w:lang w:val="es-CO"/>
              </w:rPr>
              <w:t>pp</w:t>
            </w:r>
          </w:p>
        </w:tc>
        <w:tc>
          <w:tcPr>
            <w:tcW w:w="0" w:type="auto"/>
          </w:tcPr>
          <w:p w14:paraId="6C7DE0F6"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RECHAZO</w:t>
            </w:r>
          </w:p>
        </w:tc>
      </w:tr>
      <w:tr w:rsidR="00E373E4" w:rsidRPr="0069403C" w14:paraId="2AE2537B" w14:textId="77777777">
        <w:tc>
          <w:tcPr>
            <w:tcW w:w="0" w:type="auto"/>
          </w:tcPr>
          <w:p w14:paraId="1EFE0A7A"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H5 (latencia, estricto)</w:t>
            </w:r>
          </w:p>
        </w:tc>
        <w:tc>
          <w:tcPr>
            <w:tcW w:w="0" w:type="auto"/>
          </w:tcPr>
          <w:p w14:paraId="12E4B09B"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 xml:space="preserve">umbral, </w:t>
            </w:r>
            <m:oMath>
              <m:r>
                <w:rPr>
                  <w:rFonts w:ascii="Cambria Math" w:hAnsi="Cambria Math" w:cs="Times New Roman"/>
                  <w:color w:val="000000" w:themeColor="text1"/>
                  <w:sz w:val="22"/>
                  <w:szCs w:val="22"/>
                </w:rPr>
                <m:t>N</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43</m:t>
              </m:r>
            </m:oMath>
          </w:p>
        </w:tc>
        <w:tc>
          <w:tcPr>
            <w:tcW w:w="0" w:type="auto"/>
          </w:tcPr>
          <w:p w14:paraId="6A57EC51"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42/43 instancias fallan la regla del 1%</w:t>
            </w:r>
          </w:p>
        </w:tc>
        <w:tc>
          <w:tcPr>
            <w:tcW w:w="0" w:type="auto"/>
          </w:tcPr>
          <w:p w14:paraId="4A11E09A"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RECHAZO</w:t>
            </w:r>
          </w:p>
        </w:tc>
      </w:tr>
    </w:tbl>
    <w:p w14:paraId="47A95FDD" w14:textId="77777777" w:rsidR="00E373E4" w:rsidRPr="0069403C" w:rsidRDefault="00000000" w:rsidP="0069403C">
      <w:pPr>
        <w:pStyle w:val="Ttulo2"/>
        <w:rPr>
          <w:rFonts w:ascii="Times New Roman" w:hAnsi="Times New Roman" w:cs="Times New Roman"/>
          <w:color w:val="000000" w:themeColor="text1"/>
          <w:sz w:val="22"/>
          <w:szCs w:val="22"/>
        </w:rPr>
      </w:pPr>
      <w:bookmarkStart w:id="28" w:name="sec:h1"/>
      <w:bookmarkEnd w:id="27"/>
      <w:r w:rsidRPr="0069403C">
        <w:rPr>
          <w:rFonts w:ascii="Times New Roman" w:hAnsi="Times New Roman" w:cs="Times New Roman"/>
          <w:color w:val="000000" w:themeColor="text1"/>
          <w:sz w:val="22"/>
          <w:szCs w:val="22"/>
        </w:rPr>
        <w:t>H1 — Competitividad estática (rechazada)</w:t>
      </w:r>
    </w:p>
    <w:p w14:paraId="47CF7461"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 RPD media en las 43 instancias JSSP es 24.82% para la política, 18.96% para la mejor PDR por instancia, 5.52% para el GA, y aproximadamente 0% para CP-SAT (Figura </w:t>
      </w:r>
      <w:hyperlink w:anchor="fig:h1">
        <w:r w:rsidRPr="0069403C">
          <w:rPr>
            <w:rStyle w:val="Hipervnculo"/>
            <w:rFonts w:ascii="Times New Roman" w:hAnsi="Times New Roman" w:cs="Times New Roman"/>
            <w:color w:val="000000" w:themeColor="text1"/>
            <w:sz w:val="22"/>
            <w:szCs w:val="22"/>
            <w:lang w:val="es-CO"/>
          </w:rPr>
          <w:t>4</w:t>
        </w:r>
      </w:hyperlink>
      <w:r w:rsidRPr="0069403C">
        <w:rPr>
          <w:rFonts w:ascii="Times New Roman" w:hAnsi="Times New Roman" w:cs="Times New Roman"/>
          <w:color w:val="000000" w:themeColor="text1"/>
          <w:sz w:val="22"/>
          <w:szCs w:val="22"/>
          <w:lang w:val="es-CO"/>
        </w:rPr>
        <w:t>; la Tabla </w:t>
      </w:r>
      <w:hyperlink w:anchor="tab:s2_rpd">
        <w:r w:rsidRPr="0069403C">
          <w:rPr>
            <w:rStyle w:val="Hipervnculo"/>
            <w:rFonts w:ascii="Times New Roman" w:hAnsi="Times New Roman" w:cs="Times New Roman"/>
            <w:color w:val="000000" w:themeColor="text1"/>
            <w:sz w:val="22"/>
            <w:szCs w:val="22"/>
            <w:lang w:val="es-CO"/>
          </w:rPr>
          <w:t>6</w:t>
        </w:r>
      </w:hyperlink>
      <w:r w:rsidRPr="0069403C">
        <w:rPr>
          <w:rFonts w:ascii="Times New Roman" w:hAnsi="Times New Roman" w:cs="Times New Roman"/>
          <w:color w:val="000000" w:themeColor="text1"/>
          <w:sz w:val="22"/>
          <w:szCs w:val="22"/>
          <w:lang w:val="es-CO"/>
        </w:rPr>
        <w:t xml:space="preserve"> ofrece el desglose completo por método). La política supera a la mejor PDR por instancia en solo 8 de 43 instancias (18.6%) y pierde en cada instancia de ambas ramas FJSP: la RPD media frente al mejor de {GA, CP-SAT} es 48.76% en la rama sintética (0/43 victorias) y 89.65% en la rama de Brandimarte (0/7 victorias). Las tres pruebas rechazan H1 con tamaños de efecto grandes (</w:t>
      </w:r>
      <m:oMath>
        <m:r>
          <w:rPr>
            <w:rFonts w:ascii="Cambria Math" w:hAnsi="Cambria Math" w:cs="Times New Roman"/>
            <w:color w:val="000000" w:themeColor="text1"/>
            <w:sz w:val="22"/>
            <w:szCs w:val="22"/>
          </w:rPr>
          <m:t>r</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0.63</m:t>
        </m:r>
      </m:oMath>
      <w:r w:rsidRPr="0069403C">
        <w:rPr>
          <w:rFonts w:ascii="Times New Roman" w:hAnsi="Times New Roman" w:cs="Times New Roman"/>
          <w:color w:val="000000" w:themeColor="text1"/>
          <w:sz w:val="22"/>
          <w:szCs w:val="22"/>
          <w:lang w:val="es-CO"/>
        </w:rPr>
        <w:t xml:space="preserve"> a </w:t>
      </w:r>
      <m:oMath>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0.91</m:t>
        </m:r>
      </m:oMath>
      <w:r w:rsidRPr="0069403C">
        <w:rPr>
          <w:rFonts w:ascii="Times New Roman" w:hAnsi="Times New Roman" w:cs="Times New Roman"/>
          <w:color w:val="000000" w:themeColor="text1"/>
          <w:sz w:val="22"/>
          <w:szCs w:val="22"/>
          <w:lang w:val="es-CO"/>
        </w:rPr>
        <w:t>). Cabe destacar que el GA — bajo el mismo presupuesto de tiempo de reloj de 60 segundos que CP-SAT — supera tanto a la política como a la mejor PDR por un margen aún mayor que el que sugiere la comparación con la PDR sola (Tabla </w:t>
      </w:r>
      <w:hyperlink w:anchor="tab:s2_rpd">
        <w:r w:rsidRPr="0069403C">
          <w:rPr>
            <w:rStyle w:val="Hipervnculo"/>
            <w:rFonts w:ascii="Times New Roman" w:hAnsi="Times New Roman" w:cs="Times New Roman"/>
            <w:color w:val="000000" w:themeColor="text1"/>
            <w:sz w:val="22"/>
            <w:szCs w:val="22"/>
            <w:lang w:val="es-CO"/>
          </w:rPr>
          <w:t>6</w:t>
        </w:r>
      </w:hyperlink>
      <w:r w:rsidRPr="0069403C">
        <w:rPr>
          <w:rFonts w:ascii="Times New Roman" w:hAnsi="Times New Roman" w:cs="Times New Roman"/>
          <w:color w:val="000000" w:themeColor="text1"/>
          <w:sz w:val="22"/>
          <w:szCs w:val="22"/>
          <w:lang w:val="es-CO"/>
        </w:rPr>
        <w:t>); la Sección </w:t>
      </w:r>
      <w:hyperlink w:anchor="sec:discussion">
        <w:r w:rsidRPr="0069403C">
          <w:rPr>
            <w:rStyle w:val="Hipervnculo"/>
            <w:rFonts w:ascii="Times New Roman" w:hAnsi="Times New Roman" w:cs="Times New Roman"/>
            <w:color w:val="000000" w:themeColor="text1"/>
            <w:sz w:val="22"/>
            <w:szCs w:val="22"/>
            <w:lang w:val="es-CO"/>
          </w:rPr>
          <w:t>8</w:t>
        </w:r>
      </w:hyperlink>
      <w:r w:rsidRPr="0069403C">
        <w:rPr>
          <w:rFonts w:ascii="Times New Roman" w:hAnsi="Times New Roman" w:cs="Times New Roman"/>
          <w:color w:val="000000" w:themeColor="text1"/>
          <w:sz w:val="22"/>
          <w:szCs w:val="22"/>
          <w:lang w:val="es-CO"/>
        </w:rPr>
        <w:t xml:space="preserve"> retoma esta asimetría entre cómputo en tiempo de entrenamiento y búsqueda en tiempo de evaluación. La Tabla </w:t>
      </w:r>
      <w:hyperlink w:anchor="tab:s2_rpd">
        <w:r w:rsidRPr="0069403C">
          <w:rPr>
            <w:rStyle w:val="Hipervnculo"/>
            <w:rFonts w:ascii="Times New Roman" w:hAnsi="Times New Roman" w:cs="Times New Roman"/>
            <w:color w:val="000000" w:themeColor="text1"/>
            <w:sz w:val="22"/>
            <w:szCs w:val="22"/>
            <w:lang w:val="es-CO"/>
          </w:rPr>
          <w:t>6</w:t>
        </w:r>
      </w:hyperlink>
      <w:r w:rsidRPr="0069403C">
        <w:rPr>
          <w:rFonts w:ascii="Times New Roman" w:hAnsi="Times New Roman" w:cs="Times New Roman"/>
          <w:color w:val="000000" w:themeColor="text1"/>
          <w:sz w:val="22"/>
          <w:szCs w:val="22"/>
          <w:lang w:val="es-CO"/>
        </w:rPr>
        <w:t xml:space="preserve"> también sustenta una afirmación utilizada a lo largo de este artículo: FIFO es la más fuerte de las nueve reglas de despacho en el conjunto de instancias del Estudio 2, por un amplio margen (RPD media de 19.15% frente a 39.83% para la siguiente mejor, MOR), y por ello es el comparador dominante en la mayoría de los resultados de generalización de tamaño y robustez a continuación — la misma familia de balanceo de carga (MWKR/MOR/FIFO) que el Estudio 1 encontró más fuerte bajo disrupción (Sección </w:t>
      </w:r>
      <w:hyperlink w:anchor="sec:s1realized">
        <w:r w:rsidRPr="0069403C">
          <w:rPr>
            <w:rStyle w:val="Hipervnculo"/>
            <w:rFonts w:ascii="Times New Roman" w:hAnsi="Times New Roman" w:cs="Times New Roman"/>
            <w:color w:val="000000" w:themeColor="text1"/>
            <w:sz w:val="22"/>
            <w:szCs w:val="22"/>
            <w:lang w:val="es-CO"/>
          </w:rPr>
          <w:t>4.3</w:t>
        </w:r>
      </w:hyperlink>
      <w:r w:rsidRPr="0069403C">
        <w:rPr>
          <w:rFonts w:ascii="Times New Roman" w:hAnsi="Times New Roman" w:cs="Times New Roman"/>
          <w:color w:val="000000" w:themeColor="text1"/>
          <w:sz w:val="22"/>
          <w:szCs w:val="22"/>
          <w:lang w:val="es-CO"/>
        </w:rPr>
        <w:t>).</w:t>
      </w:r>
    </w:p>
    <w:p w14:paraId="7CB097EF" w14:textId="77777777" w:rsidR="00E373E4" w:rsidRPr="0069403C" w:rsidRDefault="00000000" w:rsidP="0069403C">
      <w:pPr>
        <w:pStyle w:val="CaptionedFigure"/>
        <w:rPr>
          <w:rFonts w:ascii="Times New Roman" w:hAnsi="Times New Roman" w:cs="Times New Roman"/>
          <w:color w:val="000000" w:themeColor="text1"/>
          <w:sz w:val="22"/>
          <w:szCs w:val="22"/>
        </w:rPr>
      </w:pPr>
      <w:r w:rsidRPr="0069403C">
        <w:rPr>
          <w:rFonts w:ascii="Times New Roman" w:hAnsi="Times New Roman" w:cs="Times New Roman"/>
          <w:noProof/>
          <w:color w:val="000000" w:themeColor="text1"/>
          <w:sz w:val="22"/>
          <w:szCs w:val="22"/>
        </w:rPr>
        <w:lastRenderedPageBreak/>
        <w:drawing>
          <wp:inline distT="0" distB="0" distL="0" distR="0" wp14:anchorId="0B7F0B00" wp14:editId="23D5AF55">
            <wp:extent cx="3189696" cy="2345634"/>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png_hires/Fig_P1_h1_rpd_overview.png"/>
                    <pic:cNvPicPr>
                      <a:picLocks noChangeAspect="1" noChangeArrowheads="1"/>
                    </pic:cNvPicPr>
                  </pic:nvPicPr>
                  <pic:blipFill>
                    <a:blip r:embed="rId10"/>
                    <a:stretch>
                      <a:fillRect/>
                    </a:stretch>
                  </pic:blipFill>
                  <pic:spPr bwMode="auto">
                    <a:xfrm>
                      <a:off x="0" y="0"/>
                      <a:ext cx="3189696" cy="2345634"/>
                    </a:xfrm>
                    <a:prstGeom prst="rect">
                      <a:avLst/>
                    </a:prstGeom>
                    <a:noFill/>
                    <a:ln w="9525">
                      <a:noFill/>
                      <a:headEnd/>
                      <a:tailEnd/>
                    </a:ln>
                  </pic:spPr>
                </pic:pic>
              </a:graphicData>
            </a:graphic>
          </wp:inline>
        </w:drawing>
      </w:r>
    </w:p>
    <w:p w14:paraId="1DC19ED7" w14:textId="77777777" w:rsidR="00E373E4" w:rsidRPr="0069403C" w:rsidRDefault="00000000" w:rsidP="0069403C">
      <w:pPr>
        <w:pStyle w:val="ImageCaption"/>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 xml:space="preserve">Figura 4: </w:t>
      </w:r>
      <w:r w:rsidRPr="0069403C">
        <w:rPr>
          <w:rFonts w:ascii="Times New Roman" w:hAnsi="Times New Roman" w:cs="Times New Roman"/>
          <w:color w:val="000000" w:themeColor="text1"/>
          <w:sz w:val="22"/>
          <w:szCs w:val="22"/>
          <w:lang w:val="es-CO"/>
        </w:rPr>
        <w:t xml:space="preserve">Estudio 2: desviación porcentual relativa (RPD) media por método y familia de instancias. La RPD se calcula contra el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de CP-SAT como referencia casi óptima dentro de cada familia; la prueba </w:t>
      </w:r>
      <w:proofErr w:type="spellStart"/>
      <w:r w:rsidRPr="0069403C">
        <w:rPr>
          <w:rFonts w:ascii="Times New Roman" w:hAnsi="Times New Roman" w:cs="Times New Roman"/>
          <w:color w:val="000000" w:themeColor="text1"/>
          <w:sz w:val="22"/>
          <w:szCs w:val="22"/>
          <w:lang w:val="es-CO"/>
        </w:rPr>
        <w:t>pre-registrada</w:t>
      </w:r>
      <w:proofErr w:type="spellEnd"/>
      <w:r w:rsidRPr="0069403C">
        <w:rPr>
          <w:rFonts w:ascii="Times New Roman" w:hAnsi="Times New Roman" w:cs="Times New Roman"/>
          <w:color w:val="000000" w:themeColor="text1"/>
          <w:sz w:val="22"/>
          <w:szCs w:val="22"/>
          <w:lang w:val="es-CO"/>
        </w:rPr>
        <w:t xml:space="preserve"> de H1 en sí misma compara la política contra la mejor PDR (JSSP) o contra el mejor de {GA, CP-SAT} (ramas FJSP) instancia por instancia (véase el texto).</w:t>
      </w:r>
    </w:p>
    <w:p w14:paraId="27F7710E" w14:textId="77777777" w:rsidR="00E373E4" w:rsidRPr="0069403C" w:rsidRDefault="00000000" w:rsidP="0069403C">
      <w:pPr>
        <w:pStyle w:val="TableCaption"/>
        <w:rPr>
          <w:rFonts w:ascii="Times New Roman" w:hAnsi="Times New Roman" w:cs="Times New Roman"/>
          <w:color w:val="000000" w:themeColor="text1"/>
          <w:sz w:val="22"/>
          <w:szCs w:val="22"/>
          <w:lang w:val="es-CO"/>
        </w:rPr>
      </w:pPr>
      <w:bookmarkStart w:id="29" w:name="tab:s2_rpd"/>
      <w:r w:rsidRPr="0069403C">
        <w:rPr>
          <w:rFonts w:ascii="Times New Roman" w:hAnsi="Times New Roman" w:cs="Times New Roman"/>
          <w:b/>
          <w:bCs/>
          <w:color w:val="000000" w:themeColor="text1"/>
          <w:sz w:val="22"/>
          <w:szCs w:val="22"/>
          <w:lang w:val="es-CO"/>
        </w:rPr>
        <w:t xml:space="preserve">Tabla 6: </w:t>
      </w:r>
      <w:r w:rsidRPr="0069403C">
        <w:rPr>
          <w:rFonts w:ascii="Times New Roman" w:hAnsi="Times New Roman" w:cs="Times New Roman"/>
          <w:color w:val="000000" w:themeColor="text1"/>
          <w:sz w:val="22"/>
          <w:szCs w:val="22"/>
          <w:lang w:val="es-CO"/>
        </w:rPr>
        <w:t>Estudio 2: media y desviación estándar de la RPD (%) por método, rama JSSP (</w:t>
      </w:r>
      <m:oMath>
        <m:r>
          <w:rPr>
            <w:rFonts w:ascii="Cambria Math" w:hAnsi="Cambria Math" w:cs="Times New Roman"/>
            <w:color w:val="000000" w:themeColor="text1"/>
            <w:sz w:val="22"/>
            <w:szCs w:val="22"/>
          </w:rPr>
          <m:t>N</m:t>
        </m:r>
        <m:r>
          <w:rPr>
            <w:rFonts w:ascii="Cambria Math" w:hAnsi="Cambria Math" w:cs="Times New Roman"/>
            <w:color w:val="000000" w:themeColor="text1"/>
            <w:sz w:val="22"/>
            <w:szCs w:val="22"/>
            <w:lang w:val="es-CO"/>
          </w:rPr>
          <m:t>=43</m:t>
        </m:r>
      </m:oMath>
      <w:r w:rsidRPr="0069403C">
        <w:rPr>
          <w:rFonts w:ascii="Times New Roman" w:hAnsi="Times New Roman" w:cs="Times New Roman"/>
          <w:color w:val="000000" w:themeColor="text1"/>
          <w:sz w:val="22"/>
          <w:szCs w:val="22"/>
          <w:lang w:val="es-CO"/>
        </w:rPr>
        <w:t xml:space="preserve"> instancias, evaluación determinista con semilla 0). Nótese el conjunto de instancias más grande y difícil respecto al Estudio 1 (Sección </w:t>
      </w:r>
      <w:hyperlink w:anchor="sec:s2baselines">
        <w:r w:rsidRPr="0069403C">
          <w:rPr>
            <w:rStyle w:val="Hipervnculo"/>
            <w:rFonts w:ascii="Times New Roman" w:hAnsi="Times New Roman" w:cs="Times New Roman"/>
            <w:color w:val="000000" w:themeColor="text1"/>
            <w:sz w:val="22"/>
            <w:szCs w:val="22"/>
            <w:lang w:val="es-CO"/>
          </w:rPr>
          <w:t>5.3</w:t>
        </w:r>
      </w:hyperlink>
      <w:r w:rsidRPr="0069403C">
        <w:rPr>
          <w:rFonts w:ascii="Times New Roman" w:hAnsi="Times New Roman" w:cs="Times New Roman"/>
          <w:color w:val="000000" w:themeColor="text1"/>
          <w:sz w:val="22"/>
          <w:szCs w:val="22"/>
          <w:lang w:val="es-CO"/>
        </w:rPr>
        <w:t>).</w:t>
      </w:r>
    </w:p>
    <w:tbl>
      <w:tblPr>
        <w:tblStyle w:val="Table"/>
        <w:tblW w:w="0" w:type="auto"/>
        <w:tblLook w:val="0020" w:firstRow="1" w:lastRow="0" w:firstColumn="0" w:lastColumn="0" w:noHBand="0" w:noVBand="0"/>
      </w:tblPr>
      <w:tblGrid>
        <w:gridCol w:w="1732"/>
        <w:gridCol w:w="1934"/>
        <w:gridCol w:w="1720"/>
        <w:gridCol w:w="944"/>
      </w:tblGrid>
      <w:tr w:rsidR="00E373E4" w:rsidRPr="0069403C" w14:paraId="0D47B845" w14:textId="77777777" w:rsidTr="00E373E4">
        <w:trPr>
          <w:cnfStyle w:val="100000000000" w:firstRow="1" w:lastRow="0" w:firstColumn="0" w:lastColumn="0" w:oddVBand="0" w:evenVBand="0" w:oddHBand="0" w:evenHBand="0" w:firstRowFirstColumn="0" w:firstRowLastColumn="0" w:lastRowFirstColumn="0" w:lastRowLastColumn="0"/>
          <w:tblHeader/>
        </w:trPr>
        <w:tc>
          <w:tcPr>
            <w:tcW w:w="0" w:type="auto"/>
          </w:tcPr>
          <w:p w14:paraId="5AB8DC7C"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Método</w:t>
            </w:r>
          </w:p>
        </w:tc>
        <w:tc>
          <w:tcPr>
            <w:tcW w:w="0" w:type="auto"/>
          </w:tcPr>
          <w:p w14:paraId="00EF55F2"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Tipo</w:t>
            </w:r>
          </w:p>
        </w:tc>
        <w:tc>
          <w:tcPr>
            <w:tcW w:w="0" w:type="auto"/>
          </w:tcPr>
          <w:p w14:paraId="78C0D0AB"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RPD media (%)</w:t>
            </w:r>
          </w:p>
        </w:tc>
        <w:tc>
          <w:tcPr>
            <w:tcW w:w="0" w:type="auto"/>
          </w:tcPr>
          <w:p w14:paraId="18123353"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DE (%)</w:t>
            </w:r>
          </w:p>
        </w:tc>
      </w:tr>
      <w:tr w:rsidR="00E373E4" w:rsidRPr="0069403C" w14:paraId="1D24B908" w14:textId="77777777">
        <w:tc>
          <w:tcPr>
            <w:tcW w:w="0" w:type="auto"/>
          </w:tcPr>
          <w:p w14:paraId="1374DCA0"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CP-SAT</w:t>
            </w:r>
          </w:p>
        </w:tc>
        <w:tc>
          <w:tcPr>
            <w:tcW w:w="0" w:type="auto"/>
          </w:tcPr>
          <w:p w14:paraId="0540AA63"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Exacto</w:t>
            </w:r>
          </w:p>
        </w:tc>
        <w:tc>
          <w:tcPr>
            <w:tcW w:w="0" w:type="auto"/>
          </w:tcPr>
          <w:p w14:paraId="1CD55DA7"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0.02</w:t>
            </w:r>
          </w:p>
        </w:tc>
        <w:tc>
          <w:tcPr>
            <w:tcW w:w="0" w:type="auto"/>
          </w:tcPr>
          <w:p w14:paraId="4076804C"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0.13</w:t>
            </w:r>
          </w:p>
        </w:tc>
      </w:tr>
      <w:tr w:rsidR="00E373E4" w:rsidRPr="0069403C" w14:paraId="1B1860FE" w14:textId="77777777">
        <w:tc>
          <w:tcPr>
            <w:tcW w:w="0" w:type="auto"/>
          </w:tcPr>
          <w:p w14:paraId="24DB1E15"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GA</w:t>
            </w:r>
          </w:p>
        </w:tc>
        <w:tc>
          <w:tcPr>
            <w:tcW w:w="0" w:type="auto"/>
          </w:tcPr>
          <w:p w14:paraId="051DCB9F"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Metaheurística</w:t>
            </w:r>
          </w:p>
        </w:tc>
        <w:tc>
          <w:tcPr>
            <w:tcW w:w="0" w:type="auto"/>
          </w:tcPr>
          <w:p w14:paraId="63194AE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5.52</w:t>
            </w:r>
          </w:p>
        </w:tc>
        <w:tc>
          <w:tcPr>
            <w:tcW w:w="0" w:type="auto"/>
          </w:tcPr>
          <w:p w14:paraId="5C5A9BD0"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5.31</w:t>
            </w:r>
          </w:p>
        </w:tc>
      </w:tr>
      <w:tr w:rsidR="00E373E4" w:rsidRPr="0069403C" w14:paraId="58FBA4B7" w14:textId="77777777">
        <w:tc>
          <w:tcPr>
            <w:tcW w:w="0" w:type="auto"/>
          </w:tcPr>
          <w:p w14:paraId="114DAF5E"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FIFO</w:t>
            </w:r>
          </w:p>
        </w:tc>
        <w:tc>
          <w:tcPr>
            <w:tcW w:w="0" w:type="auto"/>
          </w:tcPr>
          <w:p w14:paraId="6C4D5A60"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PDR</w:t>
            </w:r>
          </w:p>
        </w:tc>
        <w:tc>
          <w:tcPr>
            <w:tcW w:w="0" w:type="auto"/>
          </w:tcPr>
          <w:p w14:paraId="6E90FBAD"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19.15</w:t>
            </w:r>
          </w:p>
        </w:tc>
        <w:tc>
          <w:tcPr>
            <w:tcW w:w="0" w:type="auto"/>
          </w:tcPr>
          <w:p w14:paraId="4B13FDC7"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11.10</w:t>
            </w:r>
          </w:p>
        </w:tc>
      </w:tr>
      <w:tr w:rsidR="00E373E4" w:rsidRPr="0069403C" w14:paraId="51FC5A05" w14:textId="77777777">
        <w:tc>
          <w:tcPr>
            <w:tcW w:w="0" w:type="auto"/>
          </w:tcPr>
          <w:p w14:paraId="48EAF020"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RL (este estudio)</w:t>
            </w:r>
          </w:p>
        </w:tc>
        <w:tc>
          <w:tcPr>
            <w:tcW w:w="0" w:type="auto"/>
          </w:tcPr>
          <w:p w14:paraId="780AC7D3"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Política GNN–PPO</w:t>
            </w:r>
          </w:p>
        </w:tc>
        <w:tc>
          <w:tcPr>
            <w:tcW w:w="0" w:type="auto"/>
          </w:tcPr>
          <w:p w14:paraId="50A0DF70"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24.82</w:t>
            </w:r>
          </w:p>
        </w:tc>
        <w:tc>
          <w:tcPr>
            <w:tcW w:w="0" w:type="auto"/>
          </w:tcPr>
          <w:p w14:paraId="46A8BA35"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12.92</w:t>
            </w:r>
          </w:p>
        </w:tc>
      </w:tr>
      <w:tr w:rsidR="00E373E4" w:rsidRPr="0069403C" w14:paraId="5E4B0D35" w14:textId="77777777">
        <w:tc>
          <w:tcPr>
            <w:tcW w:w="0" w:type="auto"/>
          </w:tcPr>
          <w:p w14:paraId="591658B1"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MOR</w:t>
            </w:r>
          </w:p>
        </w:tc>
        <w:tc>
          <w:tcPr>
            <w:tcW w:w="0" w:type="auto"/>
          </w:tcPr>
          <w:p w14:paraId="49556733"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PDR</w:t>
            </w:r>
          </w:p>
        </w:tc>
        <w:tc>
          <w:tcPr>
            <w:tcW w:w="0" w:type="auto"/>
          </w:tcPr>
          <w:p w14:paraId="6C64F4C1"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39.83</w:t>
            </w:r>
          </w:p>
        </w:tc>
        <w:tc>
          <w:tcPr>
            <w:tcW w:w="0" w:type="auto"/>
          </w:tcPr>
          <w:p w14:paraId="780E7929"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16.91</w:t>
            </w:r>
          </w:p>
        </w:tc>
      </w:tr>
      <w:tr w:rsidR="00E373E4" w:rsidRPr="0069403C" w14:paraId="4A1F44C8" w14:textId="77777777">
        <w:tc>
          <w:tcPr>
            <w:tcW w:w="0" w:type="auto"/>
          </w:tcPr>
          <w:p w14:paraId="00469914"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MWKR</w:t>
            </w:r>
          </w:p>
        </w:tc>
        <w:tc>
          <w:tcPr>
            <w:tcW w:w="0" w:type="auto"/>
          </w:tcPr>
          <w:p w14:paraId="2F6B3A2E"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PDR</w:t>
            </w:r>
          </w:p>
        </w:tc>
        <w:tc>
          <w:tcPr>
            <w:tcW w:w="0" w:type="auto"/>
          </w:tcPr>
          <w:p w14:paraId="3FA3CD1B"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42.59</w:t>
            </w:r>
          </w:p>
        </w:tc>
        <w:tc>
          <w:tcPr>
            <w:tcW w:w="0" w:type="auto"/>
          </w:tcPr>
          <w:p w14:paraId="0A00573C"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16.19</w:t>
            </w:r>
          </w:p>
        </w:tc>
      </w:tr>
      <w:tr w:rsidR="00E373E4" w:rsidRPr="0069403C" w14:paraId="4DFAD72A" w14:textId="77777777">
        <w:tc>
          <w:tcPr>
            <w:tcW w:w="0" w:type="auto"/>
          </w:tcPr>
          <w:p w14:paraId="2C9E7809"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SPT</w:t>
            </w:r>
          </w:p>
        </w:tc>
        <w:tc>
          <w:tcPr>
            <w:tcW w:w="0" w:type="auto"/>
          </w:tcPr>
          <w:p w14:paraId="566FC0C4"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PDR</w:t>
            </w:r>
          </w:p>
        </w:tc>
        <w:tc>
          <w:tcPr>
            <w:tcW w:w="0" w:type="auto"/>
          </w:tcPr>
          <w:p w14:paraId="184314B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268.23</w:t>
            </w:r>
          </w:p>
        </w:tc>
        <w:tc>
          <w:tcPr>
            <w:tcW w:w="0" w:type="auto"/>
          </w:tcPr>
          <w:p w14:paraId="607D9CF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114.01</w:t>
            </w:r>
          </w:p>
        </w:tc>
      </w:tr>
      <w:tr w:rsidR="00E373E4" w:rsidRPr="0069403C" w14:paraId="7C614114" w14:textId="77777777">
        <w:tc>
          <w:tcPr>
            <w:tcW w:w="0" w:type="auto"/>
          </w:tcPr>
          <w:p w14:paraId="2B1D4BA3"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LPT</w:t>
            </w:r>
          </w:p>
        </w:tc>
        <w:tc>
          <w:tcPr>
            <w:tcW w:w="0" w:type="auto"/>
          </w:tcPr>
          <w:p w14:paraId="1DEB7CD7"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PDR</w:t>
            </w:r>
          </w:p>
        </w:tc>
        <w:tc>
          <w:tcPr>
            <w:tcW w:w="0" w:type="auto"/>
          </w:tcPr>
          <w:p w14:paraId="6E2108AA"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281.88</w:t>
            </w:r>
          </w:p>
        </w:tc>
        <w:tc>
          <w:tcPr>
            <w:tcW w:w="0" w:type="auto"/>
          </w:tcPr>
          <w:p w14:paraId="0456435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116.91</w:t>
            </w:r>
          </w:p>
        </w:tc>
      </w:tr>
      <w:tr w:rsidR="00E373E4" w:rsidRPr="0069403C" w14:paraId="27E6A051" w14:textId="77777777">
        <w:tc>
          <w:tcPr>
            <w:tcW w:w="0" w:type="auto"/>
          </w:tcPr>
          <w:p w14:paraId="3A0AA77C"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EDD</w:t>
            </w:r>
          </w:p>
        </w:tc>
        <w:tc>
          <w:tcPr>
            <w:tcW w:w="0" w:type="auto"/>
          </w:tcPr>
          <w:p w14:paraId="45C80668"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PDR</w:t>
            </w:r>
          </w:p>
        </w:tc>
        <w:tc>
          <w:tcPr>
            <w:tcW w:w="0" w:type="auto"/>
          </w:tcPr>
          <w:p w14:paraId="25AA8CC3"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387.34</w:t>
            </w:r>
          </w:p>
        </w:tc>
        <w:tc>
          <w:tcPr>
            <w:tcW w:w="0" w:type="auto"/>
          </w:tcPr>
          <w:p w14:paraId="1AE6EB89"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177.00</w:t>
            </w:r>
          </w:p>
        </w:tc>
      </w:tr>
      <w:tr w:rsidR="00E373E4" w:rsidRPr="0069403C" w14:paraId="654C30C0" w14:textId="77777777">
        <w:tc>
          <w:tcPr>
            <w:tcW w:w="0" w:type="auto"/>
          </w:tcPr>
          <w:p w14:paraId="55A10A15"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LWKR</w:t>
            </w:r>
          </w:p>
        </w:tc>
        <w:tc>
          <w:tcPr>
            <w:tcW w:w="0" w:type="auto"/>
          </w:tcPr>
          <w:p w14:paraId="1E0CAC7C"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PDR</w:t>
            </w:r>
          </w:p>
        </w:tc>
        <w:tc>
          <w:tcPr>
            <w:tcW w:w="0" w:type="auto"/>
          </w:tcPr>
          <w:p w14:paraId="6741D741"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391.91</w:t>
            </w:r>
          </w:p>
        </w:tc>
        <w:tc>
          <w:tcPr>
            <w:tcW w:w="0" w:type="auto"/>
          </w:tcPr>
          <w:p w14:paraId="63EBBA05"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177.61</w:t>
            </w:r>
          </w:p>
        </w:tc>
      </w:tr>
      <w:tr w:rsidR="00E373E4" w:rsidRPr="0069403C" w14:paraId="2449852D" w14:textId="77777777">
        <w:tc>
          <w:tcPr>
            <w:tcW w:w="0" w:type="auto"/>
          </w:tcPr>
          <w:p w14:paraId="36F714E9"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LOR</w:t>
            </w:r>
          </w:p>
        </w:tc>
        <w:tc>
          <w:tcPr>
            <w:tcW w:w="0" w:type="auto"/>
          </w:tcPr>
          <w:p w14:paraId="3FE9FC58"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PDR</w:t>
            </w:r>
          </w:p>
        </w:tc>
        <w:tc>
          <w:tcPr>
            <w:tcW w:w="0" w:type="auto"/>
          </w:tcPr>
          <w:p w14:paraId="0E82A3AC"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401.15</w:t>
            </w:r>
          </w:p>
        </w:tc>
        <w:tc>
          <w:tcPr>
            <w:tcW w:w="0" w:type="auto"/>
          </w:tcPr>
          <w:p w14:paraId="44CDBFF2"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174.56</w:t>
            </w:r>
          </w:p>
        </w:tc>
      </w:tr>
      <w:tr w:rsidR="00E373E4" w:rsidRPr="0069403C" w14:paraId="23B54F2A" w14:textId="77777777">
        <w:tc>
          <w:tcPr>
            <w:tcW w:w="0" w:type="auto"/>
          </w:tcPr>
          <w:p w14:paraId="3386D628"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CR</w:t>
            </w:r>
          </w:p>
        </w:tc>
        <w:tc>
          <w:tcPr>
            <w:tcW w:w="0" w:type="auto"/>
          </w:tcPr>
          <w:p w14:paraId="56D288F5"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PDR</w:t>
            </w:r>
          </w:p>
        </w:tc>
        <w:tc>
          <w:tcPr>
            <w:tcW w:w="0" w:type="auto"/>
          </w:tcPr>
          <w:p w14:paraId="65DD0355"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430.31</w:t>
            </w:r>
          </w:p>
        </w:tc>
        <w:tc>
          <w:tcPr>
            <w:tcW w:w="0" w:type="auto"/>
          </w:tcPr>
          <w:p w14:paraId="6AD5B608" w14:textId="77777777" w:rsidR="00E373E4" w:rsidRPr="0069403C" w:rsidRDefault="00000000" w:rsidP="0069403C">
            <w:pPr>
              <w:pStyle w:val="Compact"/>
              <w:jc w:val="center"/>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183.62</w:t>
            </w:r>
          </w:p>
        </w:tc>
      </w:tr>
    </w:tbl>
    <w:p w14:paraId="7DAAB447"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30" w:name="sec:h2"/>
      <w:bookmarkEnd w:id="28"/>
      <w:bookmarkEnd w:id="29"/>
      <w:r w:rsidRPr="0069403C">
        <w:rPr>
          <w:rFonts w:ascii="Times New Roman" w:hAnsi="Times New Roman" w:cs="Times New Roman"/>
          <w:color w:val="000000" w:themeColor="text1"/>
          <w:sz w:val="22"/>
          <w:szCs w:val="22"/>
          <w:lang w:val="es-CO"/>
        </w:rPr>
        <w:t>H2 — Generalización de tamaño (aceptada)</w:t>
      </w:r>
    </w:p>
    <w:p w14:paraId="18D30693"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A través de cuatro niveles de tamaño (</w:t>
      </w:r>
      <m:oMath>
        <m:r>
          <w:rPr>
            <w:rFonts w:ascii="Cambria Math" w:hAnsi="Cambria Math" w:cs="Times New Roman"/>
            <w:color w:val="000000" w:themeColor="text1"/>
            <w:sz w:val="22"/>
            <w:szCs w:val="22"/>
            <w:lang w:val="es-CO"/>
          </w:rPr>
          <m:t>1.5</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3.0</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el tamaño de entrenamiento, </w:t>
      </w:r>
      <w:r w:rsidRPr="0069403C">
        <w:rPr>
          <w:rFonts w:ascii="Times New Roman" w:hAnsi="Times New Roman" w:cs="Times New Roman"/>
          <w:i/>
          <w:iCs/>
          <w:color w:val="000000" w:themeColor="text1"/>
          <w:sz w:val="22"/>
          <w:szCs w:val="22"/>
          <w:lang w:val="es-CO"/>
        </w:rPr>
        <w:t>la21</w:t>
      </w:r>
      <w:r w:rsidRPr="0069403C">
        <w:rPr>
          <w:rFonts w:ascii="Times New Roman" w:hAnsi="Times New Roman" w:cs="Times New Roman"/>
          <w:color w:val="000000" w:themeColor="text1"/>
          <w:sz w:val="22"/>
          <w:szCs w:val="22"/>
          <w:lang w:val="es-CO"/>
        </w:rPr>
        <w:t>–</w:t>
      </w:r>
      <w:r w:rsidRPr="0069403C">
        <w:rPr>
          <w:rFonts w:ascii="Times New Roman" w:hAnsi="Times New Roman" w:cs="Times New Roman"/>
          <w:i/>
          <w:iCs/>
          <w:color w:val="000000" w:themeColor="text1"/>
          <w:sz w:val="22"/>
          <w:szCs w:val="22"/>
          <w:lang w:val="es-CO"/>
        </w:rPr>
        <w:t>la40</w:t>
      </w:r>
      <w:r w:rsidRPr="0069403C">
        <w:rPr>
          <w:rFonts w:ascii="Times New Roman" w:hAnsi="Times New Roman" w:cs="Times New Roman"/>
          <w:color w:val="000000" w:themeColor="text1"/>
          <w:sz w:val="22"/>
          <w:szCs w:val="22"/>
          <w:lang w:val="es-CO"/>
        </w:rPr>
        <w:t>), la prueba de Friedman rechaza de manera decisiva la igualdad de desempeño en cada nivel (</w:t>
      </w:r>
      <m:oMath>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lang w:val="es-CO"/>
          </w:rPr>
          <m:t>&lt;</m:t>
        </m:r>
        <m:r>
          <w:rPr>
            <w:rFonts w:ascii="Cambria Math" w:hAnsi="Cambria Math" w:cs="Times New Roman"/>
            <w:color w:val="000000" w:themeColor="text1"/>
            <w:sz w:val="22"/>
            <w:szCs w:val="22"/>
            <w:lang w:val="es-CO"/>
          </w:rPr>
          <m:t>3.4</m:t>
        </m:r>
        <m:r>
          <m:rPr>
            <m:sty m:val="p"/>
          </m:rPr>
          <w:rPr>
            <w:rFonts w:ascii="Cambria Math" w:hAnsi="Cambria Math" w:cs="Times New Roman"/>
            <w:color w:val="000000" w:themeColor="text1"/>
            <w:sz w:val="22"/>
            <w:szCs w:val="22"/>
            <w:lang w:val="es-CO"/>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lang w:val="es-CO"/>
              </w:rPr>
              <m:t>10</m:t>
            </m:r>
          </m:e>
          <m:sup>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6</m:t>
            </m:r>
          </m:sup>
        </m:sSup>
      </m:oMath>
      <w:r w:rsidRPr="0069403C">
        <w:rPr>
          <w:rFonts w:ascii="Times New Roman" w:hAnsi="Times New Roman" w:cs="Times New Roman"/>
          <w:color w:val="000000" w:themeColor="text1"/>
          <w:sz w:val="22"/>
          <w:szCs w:val="22"/>
          <w:lang w:val="es-CO"/>
        </w:rPr>
        <w:t>), y en cada nivel el rango medio de la política no es significativamente distinto del de la mejor PDR (</w:t>
      </w:r>
      <m:oMath>
        <m:r>
          <w:rPr>
            <w:rFonts w:ascii="Cambria Math" w:hAnsi="Cambria Math" w:cs="Times New Roman"/>
            <w:color w:val="000000" w:themeColor="text1"/>
            <w:sz w:val="22"/>
            <w:szCs w:val="22"/>
          </w:rPr>
          <m:t>Δ</m:t>
        </m:r>
      </m:oMath>
      <w:r w:rsidRPr="0069403C">
        <w:rPr>
          <w:rFonts w:ascii="Times New Roman" w:hAnsi="Times New Roman" w:cs="Times New Roman"/>
          <w:color w:val="000000" w:themeColor="text1"/>
          <w:sz w:val="22"/>
          <w:szCs w:val="22"/>
          <w:lang w:val="es-CO"/>
        </w:rPr>
        <w:t xml:space="preserve">rango </w:t>
      </w:r>
      <m:oMath>
        <m:r>
          <w:rPr>
            <w:rFonts w:ascii="Cambria Math" w:hAnsi="Cambria Math" w:cs="Times New Roman"/>
            <w:color w:val="000000" w:themeColor="text1"/>
            <w:sz w:val="22"/>
            <w:szCs w:val="22"/>
            <w:lang w:val="es-CO"/>
          </w:rPr>
          <m:t>0.20</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1.00</m:t>
        </m:r>
      </m:oMath>
      <w:r w:rsidRPr="0069403C">
        <w:rPr>
          <w:rFonts w:ascii="Times New Roman" w:hAnsi="Times New Roman" w:cs="Times New Roman"/>
          <w:color w:val="000000" w:themeColor="text1"/>
          <w:sz w:val="22"/>
          <w:szCs w:val="22"/>
          <w:lang w:val="es-CO"/>
        </w:rPr>
        <w:t xml:space="preserve"> frente a una diferencia crítica de Nemenyi de </w:t>
      </w:r>
      <m:oMath>
        <m:r>
          <w:rPr>
            <w:rFonts w:ascii="Cambria Math" w:hAnsi="Cambria Math" w:cs="Times New Roman"/>
            <w:color w:val="000000" w:themeColor="text1"/>
            <w:sz w:val="22"/>
            <w:szCs w:val="22"/>
            <w:lang w:val="es-CO"/>
          </w:rPr>
          <m:t>6.06</m:t>
        </m:r>
      </m:oMath>
      <w:r w:rsidRPr="0069403C">
        <w:rPr>
          <w:rFonts w:ascii="Times New Roman" w:hAnsi="Times New Roman" w:cs="Times New Roman"/>
          <w:color w:val="000000" w:themeColor="text1"/>
          <w:sz w:val="22"/>
          <w:szCs w:val="22"/>
          <w:lang w:val="es-CO"/>
        </w:rPr>
        <w:t>; Figura </w:t>
      </w:r>
      <w:hyperlink w:anchor="fig:h2">
        <w:r w:rsidRPr="0069403C">
          <w:rPr>
            <w:rStyle w:val="Hipervnculo"/>
            <w:rFonts w:ascii="Times New Roman" w:hAnsi="Times New Roman" w:cs="Times New Roman"/>
            <w:color w:val="000000" w:themeColor="text1"/>
            <w:sz w:val="22"/>
            <w:szCs w:val="22"/>
            <w:lang w:val="es-CO"/>
          </w:rPr>
          <w:t>5</w:t>
        </w:r>
      </w:hyperlink>
      <w:r w:rsidRPr="0069403C">
        <w:rPr>
          <w:rFonts w:ascii="Times New Roman" w:hAnsi="Times New Roman" w:cs="Times New Roman"/>
          <w:color w:val="000000" w:themeColor="text1"/>
          <w:sz w:val="22"/>
          <w:szCs w:val="22"/>
          <w:lang w:val="es-CO"/>
        </w:rPr>
        <w:t xml:space="preserve">). Los diagramas de diferencia crítica ubican a la política en el mismo grupo estadísticamente indistinguible que FIFO, MWKR, MOR y SPT en los cuatro niveles. Esta es una aceptación de la </w:t>
      </w:r>
      <w:r w:rsidRPr="0069403C">
        <w:rPr>
          <w:rFonts w:ascii="Times New Roman" w:hAnsi="Times New Roman" w:cs="Times New Roman"/>
          <w:b/>
          <w:bCs/>
          <w:color w:val="000000" w:themeColor="text1"/>
          <w:sz w:val="22"/>
          <w:szCs w:val="22"/>
          <w:lang w:val="es-CO"/>
        </w:rPr>
        <w:t>competitividad relativa de rango, no absoluta</w:t>
      </w:r>
      <w:r w:rsidRPr="0069403C">
        <w:rPr>
          <w:rFonts w:ascii="Times New Roman" w:hAnsi="Times New Roman" w:cs="Times New Roman"/>
          <w:color w:val="000000" w:themeColor="text1"/>
          <w:sz w:val="22"/>
          <w:szCs w:val="22"/>
          <w:lang w:val="es-CO"/>
        </w:rPr>
        <w:t>: la RPD media de la política (</w:t>
      </w:r>
      <m:oMath>
        <m:r>
          <w:rPr>
            <w:rFonts w:ascii="Cambria Math" w:hAnsi="Cambria Math" w:cs="Times New Roman"/>
            <w:color w:val="000000" w:themeColor="text1"/>
            <w:sz w:val="22"/>
            <w:szCs w:val="22"/>
            <w:lang w:val="es-CO"/>
          </w:rPr>
          <m:t>23.9</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32.9</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a través </w:t>
      </w:r>
      <w:r w:rsidRPr="0069403C">
        <w:rPr>
          <w:rFonts w:ascii="Times New Roman" w:hAnsi="Times New Roman" w:cs="Times New Roman"/>
          <w:color w:val="000000" w:themeColor="text1"/>
          <w:sz w:val="22"/>
          <w:szCs w:val="22"/>
          <w:lang w:val="es-CO"/>
        </w:rPr>
        <w:lastRenderedPageBreak/>
        <w:t>de los niveles) permanece numéricamente por encima de la de FIFO (</w:t>
      </w:r>
      <m:oMath>
        <m:r>
          <w:rPr>
            <w:rFonts w:ascii="Cambria Math" w:hAnsi="Cambria Math" w:cs="Times New Roman"/>
            <w:color w:val="000000" w:themeColor="text1"/>
            <w:sz w:val="22"/>
            <w:szCs w:val="22"/>
            <w:lang w:val="es-CO"/>
          </w:rPr>
          <m:t>12.7</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26.8</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en cada nivel. La </w:t>
      </w:r>
      <w:proofErr w:type="gramStart"/>
      <w:r w:rsidRPr="0069403C">
        <w:rPr>
          <w:rFonts w:ascii="Times New Roman" w:hAnsi="Times New Roman" w:cs="Times New Roman"/>
          <w:color w:val="000000" w:themeColor="text1"/>
          <w:sz w:val="22"/>
          <w:szCs w:val="22"/>
          <w:lang w:val="es-CO"/>
        </w:rPr>
        <w:t>relación tamaño</w:t>
      </w:r>
      <w:proofErr w:type="gramEnd"/>
      <w:r w:rsidRPr="0069403C">
        <w:rPr>
          <w:rFonts w:ascii="Times New Roman" w:hAnsi="Times New Roman" w:cs="Times New Roman"/>
          <w:color w:val="000000" w:themeColor="text1"/>
          <w:sz w:val="22"/>
          <w:szCs w:val="22"/>
          <w:lang w:val="es-CO"/>
        </w:rPr>
        <w:t xml:space="preserve">–RPD es no monótona: el nivel </w:t>
      </w:r>
      <m:oMath>
        <m:r>
          <w:rPr>
            <w:rFonts w:ascii="Cambria Math" w:hAnsi="Cambria Math" w:cs="Times New Roman"/>
            <w:color w:val="000000" w:themeColor="text1"/>
            <w:sz w:val="22"/>
            <w:szCs w:val="22"/>
            <w:lang w:val="es-CO"/>
          </w:rPr>
          <m:t>3.0</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tiene la RPD media más baja de los cuatro (</w:t>
      </w:r>
      <m:oMath>
        <m:r>
          <w:rPr>
            <w:rFonts w:ascii="Cambria Math" w:hAnsi="Cambria Math" w:cs="Times New Roman"/>
            <w:color w:val="000000" w:themeColor="text1"/>
            <w:sz w:val="22"/>
            <w:szCs w:val="22"/>
            <w:lang w:val="es-CO"/>
          </w:rPr>
          <m:t>23.86</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por debajo incluso de la del nivel </w:t>
      </w:r>
      <m:oMath>
        <m:r>
          <w:rPr>
            <w:rFonts w:ascii="Cambria Math" w:hAnsi="Cambria Math" w:cs="Times New Roman"/>
            <w:color w:val="000000" w:themeColor="text1"/>
            <w:sz w:val="22"/>
            <w:szCs w:val="22"/>
            <w:lang w:val="es-CO"/>
          </w:rPr>
          <m:t>1.5</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w:t>
      </w:r>
      <m:oMath>
        <m:r>
          <w:rPr>
            <w:rFonts w:ascii="Cambria Math" w:hAnsi="Cambria Math" w:cs="Times New Roman"/>
            <w:color w:val="000000" w:themeColor="text1"/>
            <w:sz w:val="22"/>
            <w:szCs w:val="22"/>
            <w:lang w:val="es-CO"/>
          </w:rPr>
          <m:t>32.55</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 un patrón genuino y corroborado, no un artefacto de muestreo.</w:t>
      </w:r>
    </w:p>
    <w:p w14:paraId="72AFF5C3" w14:textId="77777777" w:rsidR="00E373E4" w:rsidRPr="0069403C" w:rsidRDefault="00000000" w:rsidP="0069403C">
      <w:pPr>
        <w:pStyle w:val="CaptionedFigure"/>
        <w:rPr>
          <w:rFonts w:ascii="Times New Roman" w:hAnsi="Times New Roman" w:cs="Times New Roman"/>
          <w:color w:val="000000" w:themeColor="text1"/>
          <w:sz w:val="22"/>
          <w:szCs w:val="22"/>
        </w:rPr>
      </w:pPr>
      <w:r w:rsidRPr="0069403C">
        <w:rPr>
          <w:rFonts w:ascii="Times New Roman" w:hAnsi="Times New Roman" w:cs="Times New Roman"/>
          <w:noProof/>
          <w:color w:val="000000" w:themeColor="text1"/>
          <w:sz w:val="22"/>
          <w:szCs w:val="22"/>
        </w:rPr>
        <w:drawing>
          <wp:inline distT="0" distB="0" distL="0" distR="0" wp14:anchorId="57B4096C" wp14:editId="30DA6142">
            <wp:extent cx="4907280" cy="3634498"/>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png_hires/Fig_P2_h2_cd_grid.png"/>
                    <pic:cNvPicPr>
                      <a:picLocks noChangeAspect="1" noChangeArrowheads="1"/>
                    </pic:cNvPicPr>
                  </pic:nvPicPr>
                  <pic:blipFill>
                    <a:blip r:embed="rId11"/>
                    <a:stretch>
                      <a:fillRect/>
                    </a:stretch>
                  </pic:blipFill>
                  <pic:spPr bwMode="auto">
                    <a:xfrm>
                      <a:off x="0" y="0"/>
                      <a:ext cx="4907280" cy="3634498"/>
                    </a:xfrm>
                    <a:prstGeom prst="rect">
                      <a:avLst/>
                    </a:prstGeom>
                    <a:noFill/>
                    <a:ln w="9525">
                      <a:noFill/>
                      <a:headEnd/>
                      <a:tailEnd/>
                    </a:ln>
                  </pic:spPr>
                </pic:pic>
              </a:graphicData>
            </a:graphic>
          </wp:inline>
        </w:drawing>
      </w:r>
    </w:p>
    <w:p w14:paraId="63743B2A" w14:textId="77777777" w:rsidR="00E373E4" w:rsidRPr="0069403C" w:rsidRDefault="00000000" w:rsidP="0069403C">
      <w:pPr>
        <w:pStyle w:val="ImageCaption"/>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 xml:space="preserve">Figura 5: </w:t>
      </w:r>
      <w:r w:rsidRPr="0069403C">
        <w:rPr>
          <w:rFonts w:ascii="Times New Roman" w:hAnsi="Times New Roman" w:cs="Times New Roman"/>
          <w:color w:val="000000" w:themeColor="text1"/>
          <w:sz w:val="22"/>
          <w:szCs w:val="22"/>
          <w:lang w:val="es-CO"/>
        </w:rPr>
        <w:t>Estudio 2: diagramas de diferencia crítica de Friedman–Nemenyi para los cuatro niveles de tamaño (</w:t>
      </w:r>
      <m:oMath>
        <m:r>
          <w:rPr>
            <w:rFonts w:ascii="Cambria Math" w:hAnsi="Cambria Math" w:cs="Times New Roman"/>
            <w:color w:val="000000" w:themeColor="text1"/>
            <w:sz w:val="22"/>
            <w:szCs w:val="22"/>
            <w:lang w:val="es-CO"/>
          </w:rPr>
          <m:t>1.5×</m:t>
        </m:r>
      </m:oMath>
      <w:r w:rsidRPr="0069403C">
        <w:rPr>
          <w:rFonts w:ascii="Times New Roman" w:hAnsi="Times New Roman" w:cs="Times New Roman"/>
          <w:color w:val="000000" w:themeColor="text1"/>
          <w:sz w:val="22"/>
          <w:szCs w:val="22"/>
          <w:lang w:val="es-CO"/>
        </w:rPr>
        <w:t xml:space="preserve">, </w:t>
      </w:r>
      <m:oMath>
        <m:r>
          <w:rPr>
            <w:rFonts w:ascii="Cambria Math" w:hAnsi="Cambria Math" w:cs="Times New Roman"/>
            <w:color w:val="000000" w:themeColor="text1"/>
            <w:sz w:val="22"/>
            <w:szCs w:val="22"/>
            <w:lang w:val="es-CO"/>
          </w:rPr>
          <m:t>2.0×</m:t>
        </m:r>
      </m:oMath>
      <w:r w:rsidRPr="0069403C">
        <w:rPr>
          <w:rFonts w:ascii="Times New Roman" w:hAnsi="Times New Roman" w:cs="Times New Roman"/>
          <w:color w:val="000000" w:themeColor="text1"/>
          <w:sz w:val="22"/>
          <w:szCs w:val="22"/>
          <w:lang w:val="es-CO"/>
        </w:rPr>
        <w:t xml:space="preserve">, </w:t>
      </w:r>
      <m:oMath>
        <m:r>
          <w:rPr>
            <w:rFonts w:ascii="Cambria Math" w:hAnsi="Cambria Math" w:cs="Times New Roman"/>
            <w:color w:val="000000" w:themeColor="text1"/>
            <w:sz w:val="22"/>
            <w:szCs w:val="22"/>
            <w:lang w:val="es-CO"/>
          </w:rPr>
          <m:t>2.25×</m:t>
        </m:r>
      </m:oMath>
      <w:r w:rsidRPr="0069403C">
        <w:rPr>
          <w:rFonts w:ascii="Times New Roman" w:hAnsi="Times New Roman" w:cs="Times New Roman"/>
          <w:color w:val="000000" w:themeColor="text1"/>
          <w:sz w:val="22"/>
          <w:szCs w:val="22"/>
          <w:lang w:val="es-CO"/>
        </w:rPr>
        <w:t xml:space="preserve">, </w:t>
      </w:r>
      <m:oMath>
        <m:r>
          <w:rPr>
            <w:rFonts w:ascii="Cambria Math" w:hAnsi="Cambria Math" w:cs="Times New Roman"/>
            <w:color w:val="000000" w:themeColor="text1"/>
            <w:sz w:val="22"/>
            <w:szCs w:val="22"/>
            <w:lang w:val="es-CO"/>
          </w:rPr>
          <m:t>3.0×</m:t>
        </m:r>
      </m:oMath>
      <w:r w:rsidRPr="0069403C">
        <w:rPr>
          <w:rFonts w:ascii="Times New Roman" w:hAnsi="Times New Roman" w:cs="Times New Roman"/>
          <w:color w:val="000000" w:themeColor="text1"/>
          <w:sz w:val="22"/>
          <w:szCs w:val="22"/>
          <w:lang w:val="es-CO"/>
        </w:rPr>
        <w:t xml:space="preserve"> el tamaño de entrenamiento). Los métodos conectados por una barra horizontal no son significativamente distintos en rango medio (CD </w:t>
      </w:r>
      <m:oMath>
        <m:r>
          <w:rPr>
            <w:rFonts w:ascii="Cambria Math" w:hAnsi="Cambria Math" w:cs="Times New Roman"/>
            <w:color w:val="000000" w:themeColor="text1"/>
            <w:sz w:val="22"/>
            <w:szCs w:val="22"/>
            <w:lang w:val="es-CO"/>
          </w:rPr>
          <m:t>=6.06</m:t>
        </m:r>
      </m:oMath>
      <w:r w:rsidRPr="0069403C">
        <w:rPr>
          <w:rFonts w:ascii="Times New Roman" w:hAnsi="Times New Roman" w:cs="Times New Roman"/>
          <w:color w:val="000000" w:themeColor="text1"/>
          <w:sz w:val="22"/>
          <w:szCs w:val="22"/>
          <w:lang w:val="es-CO"/>
        </w:rPr>
        <w:t>). La política (RL) cae en el mismo grupo superior que FIFO, MWKR, MOR y SPT en cada nivel.</w:t>
      </w:r>
    </w:p>
    <w:p w14:paraId="7D0EA7E0"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31" w:name="sec:h3h4"/>
      <w:bookmarkEnd w:id="30"/>
      <w:r w:rsidRPr="0069403C">
        <w:rPr>
          <w:rFonts w:ascii="Times New Roman" w:hAnsi="Times New Roman" w:cs="Times New Roman"/>
          <w:color w:val="000000" w:themeColor="text1"/>
          <w:sz w:val="22"/>
          <w:szCs w:val="22"/>
          <w:lang w:val="es-CO"/>
        </w:rPr>
        <w:t>H3/H4 — Robustez y recompensa consciente de la disrupción (rechazadas)</w:t>
      </w:r>
    </w:p>
    <w:p w14:paraId="364B329D"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El índice de robustez (RI) de la política es peor que el de la mejor PDR en los nueve regímenes de disrupción, con tamaños de efecto grandes y uniformemente consistentes (</w:t>
      </w:r>
      <m:oMath>
        <m:r>
          <w:rPr>
            <w:rFonts w:ascii="Cambria Math" w:hAnsi="Cambria Math" w:cs="Times New Roman"/>
            <w:color w:val="000000" w:themeColor="text1"/>
            <w:sz w:val="22"/>
            <w:szCs w:val="22"/>
          </w:rPr>
          <m:t>r</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0.87</m:t>
        </m:r>
      </m:oMath>
      <w:r w:rsidRPr="0069403C">
        <w:rPr>
          <w:rFonts w:ascii="Times New Roman" w:hAnsi="Times New Roman" w:cs="Times New Roman"/>
          <w:color w:val="000000" w:themeColor="text1"/>
          <w:sz w:val="22"/>
          <w:szCs w:val="22"/>
          <w:lang w:val="es-CO"/>
        </w:rPr>
        <w:t xml:space="preserve"> en las nueve; Figura </w:t>
      </w:r>
      <w:hyperlink w:anchor="fig:h3">
        <w:r w:rsidRPr="0069403C">
          <w:rPr>
            <w:rStyle w:val="Hipervnculo"/>
            <w:rFonts w:ascii="Times New Roman" w:hAnsi="Times New Roman" w:cs="Times New Roman"/>
            <w:color w:val="000000" w:themeColor="text1"/>
            <w:sz w:val="22"/>
            <w:szCs w:val="22"/>
            <w:lang w:val="es-CO"/>
          </w:rPr>
          <w:t>6</w:t>
        </w:r>
      </w:hyperlink>
      <w:r w:rsidRPr="0069403C">
        <w:rPr>
          <w:rFonts w:ascii="Times New Roman" w:hAnsi="Times New Roman" w:cs="Times New Roman"/>
          <w:color w:val="000000" w:themeColor="text1"/>
          <w:sz w:val="22"/>
          <w:szCs w:val="22"/>
          <w:lang w:val="es-CO"/>
        </w:rPr>
        <w:t xml:space="preserve">). El eje de llegadas es el más severo (RI </w:t>
      </w:r>
      <m:oMath>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1.65</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1.82</m:t>
        </m:r>
      </m:oMath>
      <w:r w:rsidRPr="0069403C">
        <w:rPr>
          <w:rFonts w:ascii="Times New Roman" w:hAnsi="Times New Roman" w:cs="Times New Roman"/>
          <w:color w:val="000000" w:themeColor="text1"/>
          <w:sz w:val="22"/>
          <w:szCs w:val="22"/>
          <w:lang w:val="es-CO"/>
        </w:rPr>
        <w:t xml:space="preserve"> para la política no perturbada, con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m:t>
        </m:r>
      </m:oMath>
      <w:r w:rsidRPr="0069403C">
        <w:rPr>
          <w:rFonts w:ascii="Times New Roman" w:hAnsi="Times New Roman" w:cs="Times New Roman"/>
          <w:color w:val="000000" w:themeColor="text1"/>
          <w:sz w:val="22"/>
          <w:szCs w:val="22"/>
          <w:lang w:val="es-CO"/>
        </w:rPr>
        <w:t xml:space="preserve">, frente a </w:t>
      </w:r>
      <m:oMath>
        <m:r>
          <w:rPr>
            <w:rFonts w:ascii="Cambria Math" w:hAnsi="Cambria Math" w:cs="Times New Roman"/>
            <w:color w:val="000000" w:themeColor="text1"/>
            <w:sz w:val="22"/>
            <w:szCs w:val="22"/>
            <w:lang w:val="es-CO"/>
          </w:rPr>
          <m:t>0.26</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0.28</m:t>
        </m:r>
      </m:oMath>
      <w:r w:rsidRPr="0069403C">
        <w:rPr>
          <w:rFonts w:ascii="Times New Roman" w:hAnsi="Times New Roman" w:cs="Times New Roman"/>
          <w:color w:val="000000" w:themeColor="text1"/>
          <w:sz w:val="22"/>
          <w:szCs w:val="22"/>
          <w:lang w:val="es-CO"/>
        </w:rPr>
        <w:t xml:space="preserve"> para la mejor PDR) — el eje más alejado de la distribución de entrenamiento de la política, dado que las llegadas dinámicas presentan inserciones de trabajos a mitad de episodio genuinamente no vistas, mientras que las averías y los tiempos de proceso estocásticos solo perturban el momento de operaciones que la política ya espera ver. Este es el mismo eje que el Estudio 1 encontró más punitivo para los métodos predictivos clásicos (Sección </w:t>
      </w:r>
      <w:hyperlink w:anchor="sec:s1robustness">
        <w:r w:rsidRPr="0069403C">
          <w:rPr>
            <w:rStyle w:val="Hipervnculo"/>
            <w:rFonts w:ascii="Times New Roman" w:hAnsi="Times New Roman" w:cs="Times New Roman"/>
            <w:color w:val="000000" w:themeColor="text1"/>
            <w:sz w:val="22"/>
            <w:szCs w:val="22"/>
            <w:lang w:val="es-CO"/>
          </w:rPr>
          <w:t>4.2</w:t>
        </w:r>
      </w:hyperlink>
      <w:r w:rsidRPr="0069403C">
        <w:rPr>
          <w:rFonts w:ascii="Times New Roman" w:hAnsi="Times New Roman" w:cs="Times New Roman"/>
          <w:color w:val="000000" w:themeColor="text1"/>
          <w:sz w:val="22"/>
          <w:szCs w:val="22"/>
          <w:lang w:val="es-CO"/>
        </w:rPr>
        <w:t>), aunque por una razón relacionada pero distinta: los programas comprometidos del Estudio 1 no pueden planificar para trabajos nunca vistos en el momento de la compilación, mientras que la política del Estudio 2, aunque decide en línea, se evalúa aun así más lejos de su distribución de entrenamiento precisamente en este eje.</w:t>
      </w:r>
    </w:p>
    <w:p w14:paraId="7DE17CC9"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Extender la recompensa con la penalización por inestabilidad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Δ</m:t>
            </m:r>
          </m:e>
          <m:sub>
            <m:r>
              <m:rPr>
                <m:sty m:val="p"/>
              </m:rPr>
              <w:rPr>
                <w:rFonts w:ascii="Cambria Math" w:hAnsi="Cambria Math" w:cs="Times New Roman"/>
                <w:color w:val="000000" w:themeColor="text1"/>
                <w:sz w:val="22"/>
                <w:szCs w:val="22"/>
                <w:lang w:val="es-CO"/>
              </w:rPr>
              <m:t>inest</m:t>
            </m:r>
          </m:sub>
        </m:sSub>
      </m:oMath>
      <w:r w:rsidRPr="0069403C">
        <w:rPr>
          <w:rFonts w:ascii="Times New Roman" w:hAnsi="Times New Roman" w:cs="Times New Roman"/>
          <w:color w:val="000000" w:themeColor="text1"/>
          <w:sz w:val="22"/>
          <w:szCs w:val="22"/>
          <w:lang w:val="es-CO"/>
        </w:rPr>
        <w:t xml:space="preserve"> no rescata la robustez. Con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0.5</m:t>
        </m:r>
      </m:oMath>
      <w:r w:rsidRPr="0069403C">
        <w:rPr>
          <w:rFonts w:ascii="Times New Roman" w:hAnsi="Times New Roman" w:cs="Times New Roman"/>
          <w:color w:val="000000" w:themeColor="text1"/>
          <w:sz w:val="22"/>
          <w:szCs w:val="22"/>
          <w:lang w:val="es-CO"/>
        </w:rPr>
        <w:t xml:space="preserve">, los nueve regímenes muestran una robustez </w:t>
      </w:r>
      <w:r w:rsidRPr="0069403C">
        <w:rPr>
          <w:rFonts w:ascii="Times New Roman" w:hAnsi="Times New Roman" w:cs="Times New Roman"/>
          <w:i/>
          <w:iCs/>
          <w:color w:val="000000" w:themeColor="text1"/>
          <w:sz w:val="22"/>
          <w:szCs w:val="22"/>
          <w:lang w:val="es-CO"/>
        </w:rPr>
        <w:t>significativamente peor</w:t>
      </w:r>
      <w:r w:rsidRPr="0069403C">
        <w:rPr>
          <w:rFonts w:ascii="Times New Roman" w:hAnsi="Times New Roman" w:cs="Times New Roman"/>
          <w:color w:val="000000" w:themeColor="text1"/>
          <w:sz w:val="22"/>
          <w:szCs w:val="22"/>
          <w:lang w:val="es-CO"/>
        </w:rPr>
        <w:t xml:space="preserve">, no mejor; con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oMath>
      <w:r w:rsidRPr="0069403C">
        <w:rPr>
          <w:rFonts w:ascii="Times New Roman" w:hAnsi="Times New Roman" w:cs="Times New Roman"/>
          <w:color w:val="000000" w:themeColor="text1"/>
          <w:sz w:val="22"/>
          <w:szCs w:val="22"/>
          <w:lang w:val="es-CO"/>
        </w:rPr>
        <w:t xml:space="preserve">, solo uno de nueve regímenes mejora significativamente, por debajo del umbral pre-registrado </w:t>
      </w:r>
      <w:r w:rsidRPr="0069403C">
        <w:rPr>
          <w:rFonts w:ascii="Times New Roman" w:hAnsi="Times New Roman" w:cs="Times New Roman"/>
          <w:color w:val="000000" w:themeColor="text1"/>
          <w:sz w:val="22"/>
          <w:szCs w:val="22"/>
          <w:lang w:val="es-CO"/>
        </w:rPr>
        <w:lastRenderedPageBreak/>
        <w:t xml:space="preserve">de cinco de nueve. De manera crítica, ambos valores de </w:t>
      </w:r>
      <m:oMath>
        <m:r>
          <w:rPr>
            <w:rFonts w:ascii="Cambria Math" w:hAnsi="Cambria Math" w:cs="Times New Roman"/>
            <w:color w:val="000000" w:themeColor="text1"/>
            <w:sz w:val="22"/>
            <w:szCs w:val="22"/>
          </w:rPr>
          <m:t>κ</m:t>
        </m:r>
      </m:oMath>
      <w:r w:rsidRPr="0069403C">
        <w:rPr>
          <w:rFonts w:ascii="Times New Roman" w:hAnsi="Times New Roman" w:cs="Times New Roman"/>
          <w:color w:val="000000" w:themeColor="text1"/>
          <w:sz w:val="22"/>
          <w:szCs w:val="22"/>
          <w:lang w:val="es-CO"/>
        </w:rPr>
        <w:t xml:space="preserve"> colapsan el desempeño nominal, no perturbado: la RPD nominal aumenta en 106.0 puntos porcentuales con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0.5</m:t>
        </m:r>
      </m:oMath>
      <w:r w:rsidRPr="0069403C">
        <w:rPr>
          <w:rFonts w:ascii="Times New Roman" w:hAnsi="Times New Roman" w:cs="Times New Roman"/>
          <w:color w:val="000000" w:themeColor="text1"/>
          <w:sz w:val="22"/>
          <w:szCs w:val="22"/>
          <w:lang w:val="es-CO"/>
        </w:rPr>
        <w:t xml:space="preserve"> y en 46.6 puntos porcentuales con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oMath>
      <w:r w:rsidRPr="0069403C">
        <w:rPr>
          <w:rFonts w:ascii="Times New Roman" w:hAnsi="Times New Roman" w:cs="Times New Roman"/>
          <w:color w:val="000000" w:themeColor="text1"/>
          <w:sz w:val="22"/>
          <w:szCs w:val="22"/>
          <w:lang w:val="es-CO"/>
        </w:rPr>
        <w:t xml:space="preserve">. La causa raíz probable: ambas políticas con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&gt;</m:t>
        </m:r>
        <m:r>
          <w:rPr>
            <w:rFonts w:ascii="Cambria Math" w:hAnsi="Cambria Math" w:cs="Times New Roman"/>
            <w:color w:val="000000" w:themeColor="text1"/>
            <w:sz w:val="22"/>
            <w:szCs w:val="22"/>
            <w:lang w:val="es-CO"/>
          </w:rPr>
          <m:t>0</m:t>
        </m:r>
      </m:oMath>
      <w:r w:rsidRPr="0069403C">
        <w:rPr>
          <w:rFonts w:ascii="Times New Roman" w:hAnsi="Times New Roman" w:cs="Times New Roman"/>
          <w:color w:val="000000" w:themeColor="text1"/>
          <w:sz w:val="22"/>
          <w:szCs w:val="22"/>
          <w:lang w:val="es-CO"/>
        </w:rPr>
        <w:t xml:space="preserve"> fueron entrenadas bajo muestreo con aleatorización de dominio a través de los nueve regímenes de disrupción, sin incluir nunca un episodio no perturbado, lo cual es suficiente por sí solo para explicar el colapso nominal independientemente de cualquier cosa que aporte por sí mismo el término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Δ</m:t>
            </m:r>
          </m:e>
          <m:sub>
            <m:r>
              <m:rPr>
                <m:sty m:val="p"/>
              </m:rPr>
              <w:rPr>
                <w:rFonts w:ascii="Cambria Math" w:hAnsi="Cambria Math" w:cs="Times New Roman"/>
                <w:color w:val="000000" w:themeColor="text1"/>
                <w:sz w:val="22"/>
                <w:szCs w:val="22"/>
                <w:lang w:val="es-CO"/>
              </w:rPr>
              <m:t>inest</m:t>
            </m:r>
          </m:sub>
        </m:sSub>
      </m:oMath>
      <w:r w:rsidRPr="0069403C">
        <w:rPr>
          <w:rFonts w:ascii="Times New Roman" w:hAnsi="Times New Roman" w:cs="Times New Roman"/>
          <w:color w:val="000000" w:themeColor="text1"/>
          <w:sz w:val="22"/>
          <w:szCs w:val="22"/>
          <w:lang w:val="es-CO"/>
        </w:rPr>
        <w:t xml:space="preserve"> — un hallazgo con implicaciones directas y transferibles para cualquier intento de extender el diseño de recompensa de un solo tipo de disrupción (L. Zhang et al. 2024) a un régimen de entrenamiento con múltiples disrupciones.</w:t>
      </w:r>
    </w:p>
    <w:p w14:paraId="4E7D1D5C" w14:textId="77777777" w:rsidR="00E373E4" w:rsidRPr="0069403C" w:rsidRDefault="00000000" w:rsidP="0069403C">
      <w:pPr>
        <w:pStyle w:val="CaptionedFigure"/>
        <w:rPr>
          <w:rFonts w:ascii="Times New Roman" w:hAnsi="Times New Roman" w:cs="Times New Roman"/>
          <w:color w:val="000000" w:themeColor="text1"/>
          <w:sz w:val="22"/>
          <w:szCs w:val="22"/>
        </w:rPr>
      </w:pPr>
      <w:r w:rsidRPr="0069403C">
        <w:rPr>
          <w:rFonts w:ascii="Times New Roman" w:hAnsi="Times New Roman" w:cs="Times New Roman"/>
          <w:noProof/>
          <w:color w:val="000000" w:themeColor="text1"/>
          <w:sz w:val="22"/>
          <w:szCs w:val="22"/>
        </w:rPr>
        <w:drawing>
          <wp:inline distT="0" distB="0" distL="0" distR="0" wp14:anchorId="44D1DF77" wp14:editId="4276C4CD">
            <wp:extent cx="5227320" cy="236605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png_hires/Fig_P3_h3h4_ri_combined.png"/>
                    <pic:cNvPicPr>
                      <a:picLocks noChangeAspect="1" noChangeArrowheads="1"/>
                    </pic:cNvPicPr>
                  </pic:nvPicPr>
                  <pic:blipFill>
                    <a:blip r:embed="rId12"/>
                    <a:stretch>
                      <a:fillRect/>
                    </a:stretch>
                  </pic:blipFill>
                  <pic:spPr bwMode="auto">
                    <a:xfrm>
                      <a:off x="0" y="0"/>
                      <a:ext cx="5227320" cy="2366050"/>
                    </a:xfrm>
                    <a:prstGeom prst="rect">
                      <a:avLst/>
                    </a:prstGeom>
                    <a:noFill/>
                    <a:ln w="9525">
                      <a:noFill/>
                      <a:headEnd/>
                      <a:tailEnd/>
                    </a:ln>
                  </pic:spPr>
                </pic:pic>
              </a:graphicData>
            </a:graphic>
          </wp:inline>
        </w:drawing>
      </w:r>
    </w:p>
    <w:p w14:paraId="30DC3375" w14:textId="77777777" w:rsidR="00E373E4" w:rsidRPr="0069403C" w:rsidRDefault="00000000" w:rsidP="0069403C">
      <w:pPr>
        <w:pStyle w:val="ImageCaption"/>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 xml:space="preserve">Figura 6: </w:t>
      </w:r>
      <w:r w:rsidRPr="0069403C">
        <w:rPr>
          <w:rFonts w:ascii="Times New Roman" w:hAnsi="Times New Roman" w:cs="Times New Roman"/>
          <w:color w:val="000000" w:themeColor="text1"/>
          <w:sz w:val="22"/>
          <w:szCs w:val="22"/>
          <w:lang w:val="es-CO"/>
        </w:rPr>
        <w:t>Estudio 2: índice de robustez (RI, media) versus nivel de disrupción, un panel por eje (averías, tiempos de proceso estocásticos, llegadas). Menor RI es mejor. La mejor PDR (azul) permanece muy por debajo de las tres variantes de RL (</w:t>
      </w:r>
      <m:oMath>
        <m:r>
          <w:rPr>
            <w:rFonts w:ascii="Cambria Math" w:hAnsi="Cambria Math" w:cs="Times New Roman"/>
            <w:color w:val="000000" w:themeColor="text1"/>
            <w:sz w:val="22"/>
            <w:szCs w:val="22"/>
          </w:rPr>
          <m:t>κ</m:t>
        </m:r>
        <m:r>
          <w:rPr>
            <w:rFonts w:ascii="Cambria Math" w:hAnsi="Cambria Math" w:cs="Times New Roman"/>
            <w:color w:val="000000" w:themeColor="text1"/>
            <w:sz w:val="22"/>
            <w:szCs w:val="22"/>
            <w:lang w:val="es-CO"/>
          </w:rPr>
          <m:t>=0,0.5,1.0</m:t>
        </m:r>
      </m:oMath>
      <w:r w:rsidRPr="0069403C">
        <w:rPr>
          <w:rFonts w:ascii="Times New Roman" w:hAnsi="Times New Roman" w:cs="Times New Roman"/>
          <w:color w:val="000000" w:themeColor="text1"/>
          <w:sz w:val="22"/>
          <w:szCs w:val="22"/>
          <w:lang w:val="es-CO"/>
        </w:rPr>
        <w:t>) en cada eje y cada nivel.</w:t>
      </w:r>
    </w:p>
    <w:p w14:paraId="0AAECB9A"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32" w:name="sec:h5"/>
      <w:bookmarkEnd w:id="31"/>
      <w:r w:rsidRPr="0069403C">
        <w:rPr>
          <w:rFonts w:ascii="Times New Roman" w:hAnsi="Times New Roman" w:cs="Times New Roman"/>
          <w:color w:val="000000" w:themeColor="text1"/>
          <w:sz w:val="22"/>
          <w:szCs w:val="22"/>
          <w:lang w:val="es-CO"/>
        </w:rPr>
        <w:t>H5 — Latencia de decisión (rechazada bajo el umbral estricto)</w:t>
      </w:r>
    </w:p>
    <w:p w14:paraId="6EC579FB"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 latencia por decisión de la política es esencialmente plana a lo largo de todo el rango de tamaños de instancia — típicamente 4–11 ms, y nunca excede 44 ms incluso en las instancias más grandes evaluadas —, mientras que el tiempo total de solución de CP-SAT es muy variable: casi instantáneo en instancias pequeñas y fáciles, y saturando su presupuesto de 60 segundos en instancias grandes o estructuralmente difíciles (Figura </w:t>
      </w:r>
      <w:hyperlink w:anchor="fig:h5">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xml:space="preserve">). Bajo el criterio estricto </w:t>
      </w:r>
      <w:proofErr w:type="spellStart"/>
      <w:r w:rsidRPr="0069403C">
        <w:rPr>
          <w:rFonts w:ascii="Times New Roman" w:hAnsi="Times New Roman" w:cs="Times New Roman"/>
          <w:color w:val="000000" w:themeColor="text1"/>
          <w:sz w:val="22"/>
          <w:szCs w:val="22"/>
          <w:lang w:val="es-CO"/>
        </w:rPr>
        <w:t>pre-registrado</w:t>
      </w:r>
      <w:proofErr w:type="spellEnd"/>
      <w:r w:rsidRPr="0069403C">
        <w:rPr>
          <w:rFonts w:ascii="Times New Roman" w:hAnsi="Times New Roman" w:cs="Times New Roman"/>
          <w:color w:val="000000" w:themeColor="text1"/>
          <w:sz w:val="22"/>
          <w:szCs w:val="22"/>
          <w:lang w:val="es-CO"/>
        </w:rPr>
        <w:t xml:space="preserve"> — el umbral del 1% debe cumplirse para </w:t>
      </w:r>
      <w:r w:rsidRPr="0069403C">
        <w:rPr>
          <w:rFonts w:ascii="Times New Roman" w:hAnsi="Times New Roman" w:cs="Times New Roman"/>
          <w:i/>
          <w:iCs/>
          <w:color w:val="000000" w:themeColor="text1"/>
          <w:sz w:val="22"/>
          <w:szCs w:val="22"/>
          <w:lang w:val="es-CO"/>
        </w:rPr>
        <w:t>cada</w:t>
      </w:r>
      <w:r w:rsidRPr="0069403C">
        <w:rPr>
          <w:rFonts w:ascii="Times New Roman" w:hAnsi="Times New Roman" w:cs="Times New Roman"/>
          <w:color w:val="000000" w:themeColor="text1"/>
          <w:sz w:val="22"/>
          <w:szCs w:val="22"/>
          <w:lang w:val="es-CO"/>
        </w:rPr>
        <w:t xml:space="preserve"> instancia —, 42 de 43 instancias fallan, impulsado en gran medida por instancias pequeñas donde la solución casi instantánea de CP-SAT produce un denominador por decisión artificialmente diminuto, una limitación de validez de constructo derivada de dividir el tiempo total de solución de un solucionador de un solo disparo entre el número de operaciones, más que evidencia de que la política misma sea lenta. La medición de CP-SAT para una instancia grande (</w:t>
      </w:r>
      <w:r w:rsidRPr="0069403C">
        <w:rPr>
          <w:rFonts w:ascii="Times New Roman" w:hAnsi="Times New Roman" w:cs="Times New Roman"/>
          <w:i/>
          <w:iCs/>
          <w:color w:val="000000" w:themeColor="text1"/>
          <w:sz w:val="22"/>
          <w:szCs w:val="22"/>
          <w:lang w:val="es-CO"/>
        </w:rPr>
        <w:t>la40</w:t>
      </w:r>
      <w:r w:rsidRPr="0069403C">
        <w:rPr>
          <w:rFonts w:ascii="Times New Roman" w:hAnsi="Times New Roman" w:cs="Times New Roman"/>
          <w:color w:val="000000" w:themeColor="text1"/>
          <w:sz w:val="22"/>
          <w:szCs w:val="22"/>
          <w:lang w:val="es-CO"/>
        </w:rPr>
        <w:t xml:space="preserve">: 32,074 ms/decisión, una razón de </w:t>
      </w:r>
      <m:oMath>
        <m:r>
          <w:rPr>
            <w:rFonts w:ascii="Cambria Math" w:hAnsi="Cambria Math" w:cs="Times New Roman"/>
            <w:color w:val="000000" w:themeColor="text1"/>
            <w:sz w:val="22"/>
            <w:szCs w:val="22"/>
            <w:lang w:val="es-CO"/>
          </w:rPr>
          <m:t>1</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773</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frente a la política) se rastreó hasta una probable anomalía de medición mediante una auditoría del registro bruto; una verificación de sensibilidad que sustituye el valor de una instancia estructuralmente comparable (</w:t>
      </w:r>
      <w:r w:rsidRPr="0069403C">
        <w:rPr>
          <w:rFonts w:ascii="Times New Roman" w:hAnsi="Times New Roman" w:cs="Times New Roman"/>
          <w:i/>
          <w:iCs/>
          <w:color w:val="000000" w:themeColor="text1"/>
          <w:sz w:val="22"/>
          <w:szCs w:val="22"/>
          <w:lang w:val="es-CO"/>
        </w:rPr>
        <w:t>la38</w:t>
      </w:r>
      <w:r w:rsidRPr="0069403C">
        <w:rPr>
          <w:rFonts w:ascii="Times New Roman" w:hAnsi="Times New Roman" w:cs="Times New Roman"/>
          <w:color w:val="000000" w:themeColor="text1"/>
          <w:sz w:val="22"/>
          <w:szCs w:val="22"/>
          <w:lang w:val="es-CO"/>
        </w:rPr>
        <w:t xml:space="preserve">, la misma clase de tamaño de 225 operaciones, ambas resueltas hasta un resultado FACTIBLE limitado por tiempo bajo el mismo presupuesto de 60 segundos) reduce la razón a </w:t>
      </w:r>
      <m:oMath>
        <m:r>
          <w:rPr>
            <w:rFonts w:ascii="Cambria Math" w:hAnsi="Cambria Math" w:cs="Times New Roman"/>
            <w:color w:val="000000" w:themeColor="text1"/>
            <w:sz w:val="22"/>
            <w:szCs w:val="22"/>
            <w:lang w:val="es-CO"/>
          </w:rPr>
          <m:t>14.76</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pero aun así rechaza H5 bajo el umbral estricto — la corrección hace que el rechazo sea </w:t>
      </w:r>
      <w:r w:rsidRPr="0069403C">
        <w:rPr>
          <w:rFonts w:ascii="Times New Roman" w:hAnsi="Times New Roman" w:cs="Times New Roman"/>
          <w:i/>
          <w:iCs/>
          <w:color w:val="000000" w:themeColor="text1"/>
          <w:sz w:val="22"/>
          <w:szCs w:val="22"/>
          <w:lang w:val="es-CO"/>
        </w:rPr>
        <w:t>más</w:t>
      </w:r>
      <w:r w:rsidRPr="0069403C">
        <w:rPr>
          <w:rFonts w:ascii="Times New Roman" w:hAnsi="Times New Roman" w:cs="Times New Roman"/>
          <w:color w:val="000000" w:themeColor="text1"/>
          <w:sz w:val="22"/>
          <w:szCs w:val="22"/>
          <w:lang w:val="es-CO"/>
        </w:rPr>
        <w:t xml:space="preserve">, no menos, decisivo, y se reporta aquí precisamente para hacer esto transparente en lugar de explicar el resultado en otros términos. Para instancias genuinamente grandes y difíciles que saturan el presupuesto de tiempo de CP-SAT, la política conserva una ventaja real de latencia de uno a dos órdenes de magnitud, un hallazgo </w:t>
      </w:r>
      <w:r w:rsidRPr="0069403C">
        <w:rPr>
          <w:rFonts w:ascii="Times New Roman" w:hAnsi="Times New Roman" w:cs="Times New Roman"/>
          <w:color w:val="000000" w:themeColor="text1"/>
          <w:sz w:val="22"/>
          <w:szCs w:val="22"/>
          <w:lang w:val="es-CO"/>
        </w:rPr>
        <w:lastRenderedPageBreak/>
        <w:t xml:space="preserve">cualitativo consistente con la intuición motivadora de </w:t>
      </w:r>
      <w:proofErr w:type="gramStart"/>
      <w:r w:rsidRPr="0069403C">
        <w:rPr>
          <w:rFonts w:ascii="Times New Roman" w:hAnsi="Times New Roman" w:cs="Times New Roman"/>
          <w:color w:val="000000" w:themeColor="text1"/>
          <w:sz w:val="22"/>
          <w:szCs w:val="22"/>
          <w:lang w:val="es-CO"/>
        </w:rPr>
        <w:t>H5</w:t>
      </w:r>
      <w:proofErr w:type="gramEnd"/>
      <w:r w:rsidRPr="0069403C">
        <w:rPr>
          <w:rFonts w:ascii="Times New Roman" w:hAnsi="Times New Roman" w:cs="Times New Roman"/>
          <w:color w:val="000000" w:themeColor="text1"/>
          <w:sz w:val="22"/>
          <w:szCs w:val="22"/>
          <w:lang w:val="es-CO"/>
        </w:rPr>
        <w:t xml:space="preserve"> aunque no se cumpla el umbral literal para todas las instancias.</w:t>
      </w:r>
    </w:p>
    <w:p w14:paraId="28E58460" w14:textId="77777777" w:rsidR="00E373E4" w:rsidRPr="0069403C" w:rsidRDefault="00000000" w:rsidP="0069403C">
      <w:pPr>
        <w:pStyle w:val="CaptionedFigure"/>
        <w:rPr>
          <w:rFonts w:ascii="Times New Roman" w:hAnsi="Times New Roman" w:cs="Times New Roman"/>
          <w:color w:val="000000" w:themeColor="text1"/>
          <w:sz w:val="22"/>
          <w:szCs w:val="22"/>
        </w:rPr>
      </w:pPr>
      <w:r w:rsidRPr="0069403C">
        <w:rPr>
          <w:rFonts w:ascii="Times New Roman" w:hAnsi="Times New Roman" w:cs="Times New Roman"/>
          <w:noProof/>
          <w:color w:val="000000" w:themeColor="text1"/>
          <w:sz w:val="22"/>
          <w:szCs w:val="22"/>
        </w:rPr>
        <w:drawing>
          <wp:inline distT="0" distB="0" distL="0" distR="0" wp14:anchorId="6168CDE1" wp14:editId="0CAF0FAD">
            <wp:extent cx="3061252" cy="2330343"/>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gures/png_hires/Fig_P4_h5_latency.png"/>
                    <pic:cNvPicPr>
                      <a:picLocks noChangeAspect="1" noChangeArrowheads="1"/>
                    </pic:cNvPicPr>
                  </pic:nvPicPr>
                  <pic:blipFill>
                    <a:blip r:embed="rId13"/>
                    <a:stretch>
                      <a:fillRect/>
                    </a:stretch>
                  </pic:blipFill>
                  <pic:spPr bwMode="auto">
                    <a:xfrm>
                      <a:off x="0" y="0"/>
                      <a:ext cx="3061252" cy="2330343"/>
                    </a:xfrm>
                    <a:prstGeom prst="rect">
                      <a:avLst/>
                    </a:prstGeom>
                    <a:noFill/>
                    <a:ln w="9525">
                      <a:noFill/>
                      <a:headEnd/>
                      <a:tailEnd/>
                    </a:ln>
                  </pic:spPr>
                </pic:pic>
              </a:graphicData>
            </a:graphic>
          </wp:inline>
        </w:drawing>
      </w:r>
    </w:p>
    <w:p w14:paraId="081429D3" w14:textId="77777777" w:rsidR="00E373E4" w:rsidRPr="0069403C" w:rsidRDefault="00000000" w:rsidP="0069403C">
      <w:pPr>
        <w:pStyle w:val="ImageCaption"/>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 xml:space="preserve">Figura 7: </w:t>
      </w:r>
      <w:r w:rsidRPr="0069403C">
        <w:rPr>
          <w:rFonts w:ascii="Times New Roman" w:hAnsi="Times New Roman" w:cs="Times New Roman"/>
          <w:color w:val="000000" w:themeColor="text1"/>
          <w:sz w:val="22"/>
          <w:szCs w:val="22"/>
          <w:lang w:val="es-CO"/>
        </w:rPr>
        <w:t>Estudio 2: latencia por decisión (ms, escala logarítmica) versus tamaño de instancia para la política (RL) y CP-SAT. La latencia de la política es esencialmente plana; la de CP-SAT crece de manera errática con el tamaño de la instancia y la dificultad estructural.</w:t>
      </w:r>
    </w:p>
    <w:p w14:paraId="08953A0E" w14:textId="77777777" w:rsidR="00E373E4" w:rsidRPr="0069403C" w:rsidRDefault="00000000" w:rsidP="0069403C">
      <w:pPr>
        <w:pStyle w:val="Ttulo1"/>
        <w:rPr>
          <w:rFonts w:ascii="Times New Roman" w:hAnsi="Times New Roman" w:cs="Times New Roman"/>
          <w:color w:val="000000" w:themeColor="text1"/>
          <w:sz w:val="22"/>
          <w:szCs w:val="22"/>
          <w:lang w:val="es-CO"/>
        </w:rPr>
      </w:pPr>
      <w:bookmarkStart w:id="33" w:name="sec:synthesis"/>
      <w:bookmarkEnd w:id="26"/>
      <w:bookmarkEnd w:id="32"/>
      <w:r w:rsidRPr="0069403C">
        <w:rPr>
          <w:rFonts w:ascii="Times New Roman" w:hAnsi="Times New Roman" w:cs="Times New Roman"/>
          <w:color w:val="000000" w:themeColor="text1"/>
          <w:sz w:val="22"/>
          <w:szCs w:val="22"/>
          <w:lang w:val="es-CO"/>
        </w:rPr>
        <w:t>Síntesis transversal a los paradigmas</w:t>
      </w:r>
    </w:p>
    <w:p w14:paraId="5FE0D99D"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Las Secciones </w:t>
      </w:r>
      <w:hyperlink w:anchor="sec:s1results">
        <w:r w:rsidRPr="0069403C">
          <w:rPr>
            <w:rStyle w:val="Hipervnculo"/>
            <w:rFonts w:ascii="Times New Roman" w:hAnsi="Times New Roman" w:cs="Times New Roman"/>
            <w:color w:val="000000" w:themeColor="text1"/>
            <w:sz w:val="22"/>
            <w:szCs w:val="22"/>
            <w:lang w:val="es-CO"/>
          </w:rPr>
          <w:t>4</w:t>
        </w:r>
      </w:hyperlink>
      <w:r w:rsidRPr="0069403C">
        <w:rPr>
          <w:rFonts w:ascii="Times New Roman" w:hAnsi="Times New Roman" w:cs="Times New Roman"/>
          <w:color w:val="000000" w:themeColor="text1"/>
          <w:sz w:val="22"/>
          <w:szCs w:val="22"/>
          <w:lang w:val="es-CO"/>
        </w:rPr>
        <w:t xml:space="preserve"> y </w:t>
      </w:r>
      <w:hyperlink w:anchor="sec:s2results">
        <w:r w:rsidRPr="0069403C">
          <w:rPr>
            <w:rStyle w:val="Hipervnculo"/>
            <w:rFonts w:ascii="Times New Roman" w:hAnsi="Times New Roman" w:cs="Times New Roman"/>
            <w:color w:val="000000" w:themeColor="text1"/>
            <w:sz w:val="22"/>
            <w:szCs w:val="22"/>
            <w:lang w:val="es-CO"/>
          </w:rPr>
          <w:t>6</w:t>
        </w:r>
      </w:hyperlink>
      <w:r w:rsidRPr="0069403C">
        <w:rPr>
          <w:rFonts w:ascii="Times New Roman" w:hAnsi="Times New Roman" w:cs="Times New Roman"/>
          <w:color w:val="000000" w:themeColor="text1"/>
          <w:sz w:val="22"/>
          <w:szCs w:val="22"/>
          <w:lang w:val="es-CO"/>
        </w:rPr>
        <w:t xml:space="preserve"> se diseñaron, de manera deliberada, para compartir cada elemento de la metodología que se pudiera compartir — los mismos modelos de disrupción, las mismas líneas base de PDR/GA/CP-SAT, el mismo protocolo estadístico no paramétrico — manteniendo intactos el conjunto de instancias y el diseño de evaluación propios de cada estudio, en lugar de forzar una agrupación artificial que el diseño de ninguno de los dos estudios soporta (Sección </w:t>
      </w:r>
      <w:hyperlink w:anchor="sec:s2baselines">
        <w:r w:rsidRPr="0069403C">
          <w:rPr>
            <w:rStyle w:val="Hipervnculo"/>
            <w:rFonts w:ascii="Times New Roman" w:hAnsi="Times New Roman" w:cs="Times New Roman"/>
            <w:color w:val="000000" w:themeColor="text1"/>
            <w:sz w:val="22"/>
            <w:szCs w:val="22"/>
            <w:lang w:val="es-CO"/>
          </w:rPr>
          <w:t>5.3</w:t>
        </w:r>
      </w:hyperlink>
      <w:r w:rsidRPr="0069403C">
        <w:rPr>
          <w:rFonts w:ascii="Times New Roman" w:hAnsi="Times New Roman" w:cs="Times New Roman"/>
          <w:color w:val="000000" w:themeColor="text1"/>
          <w:sz w:val="22"/>
          <w:szCs w:val="22"/>
          <w:lang w:val="es-CO"/>
        </w:rPr>
        <w:t>). Esta sección extrae, de manera explícita, el patrón que los conecta, utilizando únicamente cantidades que cada estudio ya reporta en su propio conjunto de instancias.</w:t>
      </w:r>
    </w:p>
    <w:p w14:paraId="50095485"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 Figura </w:t>
      </w:r>
      <w:hyperlink w:anchor="fig:synthesis">
        <w:r w:rsidRPr="0069403C">
          <w:rPr>
            <w:rStyle w:val="Hipervnculo"/>
            <w:rFonts w:ascii="Times New Roman" w:hAnsi="Times New Roman" w:cs="Times New Roman"/>
            <w:color w:val="000000" w:themeColor="text1"/>
            <w:sz w:val="22"/>
            <w:szCs w:val="22"/>
            <w:lang w:val="es-CO"/>
          </w:rPr>
          <w:t>8</w:t>
        </w:r>
      </w:hyperlink>
      <w:r w:rsidRPr="0069403C">
        <w:rPr>
          <w:rFonts w:ascii="Times New Roman" w:hAnsi="Times New Roman" w:cs="Times New Roman"/>
          <w:color w:val="000000" w:themeColor="text1"/>
          <w:sz w:val="22"/>
          <w:szCs w:val="22"/>
          <w:lang w:val="es-CO"/>
        </w:rPr>
        <w:t xml:space="preserve"> grafica los once métodos del Estudio 1 en dos ejes que son, por construcción, comparables dentro de ese estudio: brecha de calidad nominal (eje x) frente a índice de robustez agrupado (eje y). El patrón es visualmente inequívoco y estadísticamente confirmado en la Sección </w:t>
      </w:r>
      <w:hyperlink w:anchor="sec:s1robustness">
        <w:r w:rsidRPr="0069403C">
          <w:rPr>
            <w:rStyle w:val="Hipervnculo"/>
            <w:rFonts w:ascii="Times New Roman" w:hAnsi="Times New Roman" w:cs="Times New Roman"/>
            <w:color w:val="000000" w:themeColor="text1"/>
            <w:sz w:val="22"/>
            <w:szCs w:val="22"/>
            <w:lang w:val="es-CO"/>
          </w:rPr>
          <w:t>4.2</w:t>
        </w:r>
      </w:hyperlink>
      <w:r w:rsidRPr="0069403C">
        <w:rPr>
          <w:rFonts w:ascii="Times New Roman" w:hAnsi="Times New Roman" w:cs="Times New Roman"/>
          <w:color w:val="000000" w:themeColor="text1"/>
          <w:sz w:val="22"/>
          <w:szCs w:val="22"/>
          <w:lang w:val="es-CO"/>
        </w:rPr>
        <w:t>: los dos métodos que buscan o certifican un óptimo nominal (CP-SAT, GA) ocupan la esquina superior izquierda — mejor calidad nominal, peor robustez — mientras que las nueve reglas de despacho, que no gastan ningún cómputo optimizando para el caso no perturbado en absoluto, se agrupan en la banda inferior derecha del gráfico, intercambiando calidad nominal por robustez. La Tabla </w:t>
      </w:r>
      <w:hyperlink w:anchor="tab:crossparadigm">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xml:space="preserve"> extiende esta imagen cualitativamente al cuarto paradigma evaluado en el Estudio 2, utilizando los propios veredictos de hipótesis de ese estudio en lugar de cualquier cifra trasplantada entre conjuntos de instancias.</w:t>
      </w:r>
    </w:p>
    <w:p w14:paraId="10FC4F28" w14:textId="77777777" w:rsidR="00E373E4" w:rsidRPr="0069403C" w:rsidRDefault="00000000" w:rsidP="0069403C">
      <w:pPr>
        <w:pStyle w:val="CaptionedFigure"/>
        <w:rPr>
          <w:rFonts w:ascii="Times New Roman" w:hAnsi="Times New Roman" w:cs="Times New Roman"/>
          <w:color w:val="000000" w:themeColor="text1"/>
          <w:sz w:val="22"/>
          <w:szCs w:val="22"/>
        </w:rPr>
      </w:pPr>
      <w:r w:rsidRPr="0069403C">
        <w:rPr>
          <w:rFonts w:ascii="Times New Roman" w:hAnsi="Times New Roman" w:cs="Times New Roman"/>
          <w:noProof/>
          <w:color w:val="000000" w:themeColor="text1"/>
          <w:sz w:val="22"/>
          <w:szCs w:val="22"/>
        </w:rPr>
        <w:lastRenderedPageBreak/>
        <w:drawing>
          <wp:inline distT="0" distB="0" distL="0" distR="0" wp14:anchorId="32F918A5" wp14:editId="19333FA5">
            <wp:extent cx="3840480" cy="27255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png_hires/Fig_U1_synthesis.png"/>
                    <pic:cNvPicPr>
                      <a:picLocks noChangeAspect="1" noChangeArrowheads="1"/>
                    </pic:cNvPicPr>
                  </pic:nvPicPr>
                  <pic:blipFill>
                    <a:blip r:embed="rId14"/>
                    <a:stretch>
                      <a:fillRect/>
                    </a:stretch>
                  </pic:blipFill>
                  <pic:spPr bwMode="auto">
                    <a:xfrm>
                      <a:off x="0" y="0"/>
                      <a:ext cx="3840480" cy="2725501"/>
                    </a:xfrm>
                    <a:prstGeom prst="rect">
                      <a:avLst/>
                    </a:prstGeom>
                    <a:noFill/>
                    <a:ln w="9525">
                      <a:noFill/>
                      <a:headEnd/>
                      <a:tailEnd/>
                    </a:ln>
                  </pic:spPr>
                </pic:pic>
              </a:graphicData>
            </a:graphic>
          </wp:inline>
        </w:drawing>
      </w:r>
    </w:p>
    <w:p w14:paraId="3A756708" w14:textId="77777777" w:rsidR="00E373E4" w:rsidRPr="0069403C" w:rsidRDefault="00000000" w:rsidP="0069403C">
      <w:pPr>
        <w:pStyle w:val="ImageCaption"/>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 xml:space="preserve">Figura 8: </w:t>
      </w:r>
      <w:r w:rsidRPr="0069403C">
        <w:rPr>
          <w:rFonts w:ascii="Times New Roman" w:hAnsi="Times New Roman" w:cs="Times New Roman"/>
          <w:color w:val="000000" w:themeColor="text1"/>
          <w:sz w:val="22"/>
          <w:szCs w:val="22"/>
          <w:lang w:val="es-CO"/>
        </w:rPr>
        <w:t>Síntesis transversal a los paradigmas (datos del Estudio 1): brecha de calidad nominal versus índice de robustez agrupado (RI), los once métodos clásicos. El solucionador exacto y la metaheurística compran calidad nominal al costo de la robustez; las nueve reglas de despacho, que nunca se comprometen con un plan optimizado fuera de línea, la conservan.</w:t>
      </w:r>
    </w:p>
    <w:p w14:paraId="44FE6BE8" w14:textId="77777777" w:rsidR="00E373E4" w:rsidRPr="0069403C" w:rsidRDefault="00000000" w:rsidP="0069403C">
      <w:pPr>
        <w:pStyle w:val="TableCaption"/>
        <w:rPr>
          <w:rFonts w:ascii="Times New Roman" w:hAnsi="Times New Roman" w:cs="Times New Roman"/>
          <w:color w:val="000000" w:themeColor="text1"/>
          <w:sz w:val="22"/>
          <w:szCs w:val="22"/>
          <w:lang w:val="es-CO"/>
        </w:rPr>
      </w:pPr>
      <w:bookmarkStart w:id="34" w:name="tab:crossparadigm"/>
      <w:r w:rsidRPr="0069403C">
        <w:rPr>
          <w:rFonts w:ascii="Times New Roman" w:hAnsi="Times New Roman" w:cs="Times New Roman"/>
          <w:b/>
          <w:bCs/>
          <w:color w:val="000000" w:themeColor="text1"/>
          <w:sz w:val="22"/>
          <w:szCs w:val="22"/>
          <w:lang w:val="es-CO"/>
        </w:rPr>
        <w:t xml:space="preserve">Tabla 7: </w:t>
      </w:r>
      <w:r w:rsidRPr="0069403C">
        <w:rPr>
          <w:rFonts w:ascii="Times New Roman" w:hAnsi="Times New Roman" w:cs="Times New Roman"/>
          <w:color w:val="000000" w:themeColor="text1"/>
          <w:sz w:val="22"/>
          <w:szCs w:val="22"/>
          <w:lang w:val="es-CO"/>
        </w:rPr>
        <w:t>¿Predice la calidad nominal, fuera de línea, la robustez ante la disrupción? Evidencia de cuatro paradigmas computacionales para el taller de trabajos dinámico, de ambos estudios.</w:t>
      </w:r>
    </w:p>
    <w:tbl>
      <w:tblPr>
        <w:tblStyle w:val="Table"/>
        <w:tblW w:w="0" w:type="auto"/>
        <w:tblLook w:val="0020" w:firstRow="1" w:lastRow="0" w:firstColumn="0" w:lastColumn="0" w:noHBand="0" w:noVBand="0"/>
      </w:tblPr>
      <w:tblGrid>
        <w:gridCol w:w="1320"/>
        <w:gridCol w:w="2213"/>
        <w:gridCol w:w="1691"/>
        <w:gridCol w:w="2009"/>
        <w:gridCol w:w="1821"/>
      </w:tblGrid>
      <w:tr w:rsidR="00E373E4" w:rsidRPr="0069403C" w14:paraId="20B0A1C6" w14:textId="77777777" w:rsidTr="00E373E4">
        <w:trPr>
          <w:cnfStyle w:val="100000000000" w:firstRow="1" w:lastRow="0" w:firstColumn="0" w:lastColumn="0" w:oddVBand="0" w:evenVBand="0" w:oddHBand="0" w:evenHBand="0" w:firstRowFirstColumn="0" w:firstRowLastColumn="0" w:lastRowFirstColumn="0" w:lastRowLastColumn="0"/>
          <w:tblHeader/>
        </w:trPr>
        <w:tc>
          <w:tcPr>
            <w:tcW w:w="0" w:type="auto"/>
          </w:tcPr>
          <w:p w14:paraId="6F7E807D" w14:textId="77777777" w:rsidR="00E373E4" w:rsidRPr="0069403C" w:rsidRDefault="00000000" w:rsidP="0069403C">
            <w:pPr>
              <w:pStyle w:val="Compact"/>
              <w:rPr>
                <w:rFonts w:ascii="Times New Roman" w:hAnsi="Times New Roman" w:cs="Times New Roman"/>
                <w:color w:val="000000" w:themeColor="text1"/>
                <w:sz w:val="22"/>
                <w:szCs w:val="22"/>
              </w:rPr>
            </w:pPr>
            <w:proofErr w:type="spellStart"/>
            <w:r w:rsidRPr="0069403C">
              <w:rPr>
                <w:rFonts w:ascii="Times New Roman" w:hAnsi="Times New Roman" w:cs="Times New Roman"/>
                <w:b/>
                <w:bCs/>
                <w:color w:val="000000" w:themeColor="text1"/>
                <w:sz w:val="22"/>
                <w:szCs w:val="22"/>
              </w:rPr>
              <w:t>Paradigma</w:t>
            </w:r>
            <w:proofErr w:type="spellEnd"/>
          </w:p>
        </w:tc>
        <w:tc>
          <w:tcPr>
            <w:tcW w:w="0" w:type="auto"/>
          </w:tcPr>
          <w:p w14:paraId="63143A1D"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Método representativo</w:t>
            </w:r>
          </w:p>
        </w:tc>
        <w:tc>
          <w:tcPr>
            <w:tcW w:w="0" w:type="auto"/>
          </w:tcPr>
          <w:p w14:paraId="1A064A5F"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Calidad nominal (rango)</w:t>
            </w:r>
          </w:p>
        </w:tc>
        <w:tc>
          <w:tcPr>
            <w:tcW w:w="0" w:type="auto"/>
          </w:tcPr>
          <w:p w14:paraId="7E5FDE33"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Robustez ante la disrupción</w:t>
            </w:r>
          </w:p>
        </w:tc>
        <w:tc>
          <w:tcPr>
            <w:tcW w:w="0" w:type="auto"/>
          </w:tcPr>
          <w:p w14:paraId="3EDC3381"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b/>
                <w:bCs/>
                <w:color w:val="000000" w:themeColor="text1"/>
                <w:sz w:val="22"/>
                <w:szCs w:val="22"/>
              </w:rPr>
              <w:t>Mecanismo, dónde es frágil</w:t>
            </w:r>
          </w:p>
        </w:tc>
      </w:tr>
      <w:tr w:rsidR="00E373E4" w:rsidRPr="0069403C" w14:paraId="403831AB" w14:textId="77777777">
        <w:tc>
          <w:tcPr>
            <w:tcW w:w="0" w:type="auto"/>
          </w:tcPr>
          <w:p w14:paraId="333AEE77"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Búsqueda exacta</w:t>
            </w:r>
          </w:p>
        </w:tc>
        <w:tc>
          <w:tcPr>
            <w:tcW w:w="0" w:type="auto"/>
          </w:tcPr>
          <w:p w14:paraId="76DB1448"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CP-SAT</w:t>
            </w:r>
          </w:p>
        </w:tc>
        <w:tc>
          <w:tcPr>
            <w:tcW w:w="0" w:type="auto"/>
          </w:tcPr>
          <w:p w14:paraId="4DA6122E"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Mejor (Estudio 1: 3.1% RPD; Estudio 2: 0.02% RPD)</w:t>
            </w:r>
          </w:p>
        </w:tc>
        <w:tc>
          <w:tcPr>
            <w:tcW w:w="0" w:type="auto"/>
          </w:tcPr>
          <w:p w14:paraId="77144AA5"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Peor de 11 métodos (Estudio 1: rango de RI 10.14/11)</w:t>
            </w:r>
          </w:p>
        </w:tc>
        <w:tc>
          <w:tcPr>
            <w:tcW w:w="0" w:type="auto"/>
          </w:tcPr>
          <w:p w14:paraId="60809746"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Sin holgura: un programa óptimamente compacto no puede absorber ningún retraso</w:t>
            </w:r>
          </w:p>
        </w:tc>
      </w:tr>
      <w:tr w:rsidR="00E373E4" w:rsidRPr="0069403C" w14:paraId="5B5AFFBF" w14:textId="77777777">
        <w:tc>
          <w:tcPr>
            <w:tcW w:w="0" w:type="auto"/>
          </w:tcPr>
          <w:p w14:paraId="46D653C6" w14:textId="77777777" w:rsidR="00E373E4" w:rsidRPr="0069403C" w:rsidRDefault="00000000" w:rsidP="0069403C">
            <w:pPr>
              <w:pStyle w:val="Compact"/>
              <w:rPr>
                <w:rFonts w:ascii="Times New Roman" w:hAnsi="Times New Roman" w:cs="Times New Roman"/>
                <w:color w:val="000000" w:themeColor="text1"/>
                <w:sz w:val="22"/>
                <w:szCs w:val="22"/>
              </w:rPr>
            </w:pPr>
            <w:proofErr w:type="spellStart"/>
            <w:r w:rsidRPr="0069403C">
              <w:rPr>
                <w:rFonts w:ascii="Times New Roman" w:hAnsi="Times New Roman" w:cs="Times New Roman"/>
                <w:color w:val="000000" w:themeColor="text1"/>
                <w:sz w:val="22"/>
                <w:szCs w:val="22"/>
              </w:rPr>
              <w:t>Búsqueda</w:t>
            </w:r>
            <w:proofErr w:type="spellEnd"/>
            <w:r w:rsidRPr="0069403C">
              <w:rPr>
                <w:rFonts w:ascii="Times New Roman" w:hAnsi="Times New Roman" w:cs="Times New Roman"/>
                <w:color w:val="000000" w:themeColor="text1"/>
                <w:sz w:val="22"/>
                <w:szCs w:val="22"/>
              </w:rPr>
              <w:t xml:space="preserve"> </w:t>
            </w:r>
            <w:proofErr w:type="spellStart"/>
            <w:r w:rsidRPr="0069403C">
              <w:rPr>
                <w:rFonts w:ascii="Times New Roman" w:hAnsi="Times New Roman" w:cs="Times New Roman"/>
                <w:color w:val="000000" w:themeColor="text1"/>
                <w:sz w:val="22"/>
                <w:szCs w:val="22"/>
              </w:rPr>
              <w:t>evolutiva</w:t>
            </w:r>
            <w:proofErr w:type="spellEnd"/>
          </w:p>
        </w:tc>
        <w:tc>
          <w:tcPr>
            <w:tcW w:w="0" w:type="auto"/>
          </w:tcPr>
          <w:p w14:paraId="2758A6ED"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GA (presupuesto de tiempo equiparado)</w:t>
            </w:r>
          </w:p>
        </w:tc>
        <w:tc>
          <w:tcPr>
            <w:tcW w:w="0" w:type="auto"/>
          </w:tcPr>
          <w:p w14:paraId="0F089D54"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2.º mejor en ambos estudios</w:t>
            </w:r>
          </w:p>
        </w:tc>
        <w:tc>
          <w:tcPr>
            <w:tcW w:w="0" w:type="auto"/>
          </w:tcPr>
          <w:p w14:paraId="58886114"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2.º peor de 11 (Estudio 1); dominante entre las líneas base del Estudio 2 incluso bajo el propio presupuesto de tiempo de CP-SAT</w:t>
            </w:r>
          </w:p>
        </w:tc>
        <w:tc>
          <w:tcPr>
            <w:tcW w:w="0" w:type="auto"/>
          </w:tcPr>
          <w:p w14:paraId="030113A3"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El mismo mecanismo de compacidad que la búsqueda exacta; una población convergida es en sí misma un plan compacto y de baja holgura</w:t>
            </w:r>
          </w:p>
        </w:tc>
      </w:tr>
      <w:tr w:rsidR="00E373E4" w:rsidRPr="0069403C" w14:paraId="15364E71" w14:textId="77777777">
        <w:tc>
          <w:tcPr>
            <w:tcW w:w="0" w:type="auto"/>
          </w:tcPr>
          <w:p w14:paraId="4D1230AF" w14:textId="77777777" w:rsidR="00E373E4" w:rsidRPr="0069403C" w:rsidRDefault="00000000" w:rsidP="0069403C">
            <w:pPr>
              <w:pStyle w:val="Compact"/>
              <w:rPr>
                <w:rFonts w:ascii="Times New Roman" w:hAnsi="Times New Roman" w:cs="Times New Roman"/>
                <w:color w:val="000000" w:themeColor="text1"/>
                <w:sz w:val="22"/>
                <w:szCs w:val="22"/>
              </w:rPr>
            </w:pPr>
            <w:r w:rsidRPr="0069403C">
              <w:rPr>
                <w:rFonts w:ascii="Times New Roman" w:hAnsi="Times New Roman" w:cs="Times New Roman"/>
                <w:color w:val="000000" w:themeColor="text1"/>
                <w:sz w:val="22"/>
                <w:szCs w:val="22"/>
              </w:rPr>
              <w:t xml:space="preserve">Reglas </w:t>
            </w:r>
            <w:proofErr w:type="spellStart"/>
            <w:r w:rsidRPr="0069403C">
              <w:rPr>
                <w:rFonts w:ascii="Times New Roman" w:hAnsi="Times New Roman" w:cs="Times New Roman"/>
                <w:color w:val="000000" w:themeColor="text1"/>
                <w:sz w:val="22"/>
                <w:szCs w:val="22"/>
              </w:rPr>
              <w:t>reactivas</w:t>
            </w:r>
            <w:proofErr w:type="spellEnd"/>
          </w:p>
        </w:tc>
        <w:tc>
          <w:tcPr>
            <w:tcW w:w="0" w:type="auto"/>
          </w:tcPr>
          <w:p w14:paraId="4DE28270"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Mejor PDR (MWKR/MOR/FIFO, según la instancia)</w:t>
            </w:r>
          </w:p>
        </w:tc>
        <w:tc>
          <w:tcPr>
            <w:tcW w:w="0" w:type="auto"/>
          </w:tcPr>
          <w:p w14:paraId="05B2ECDD"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De peor a mediocre nominalmente en ambos estudios</w:t>
            </w:r>
          </w:p>
        </w:tc>
        <w:tc>
          <w:tcPr>
            <w:tcW w:w="0" w:type="auto"/>
          </w:tcPr>
          <w:p w14:paraId="3C359C86"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Familia más robusta en el Estudio 1; el único grupo par estadísticamente indistinguible de la política en el </w:t>
            </w:r>
            <w:r w:rsidRPr="0069403C">
              <w:rPr>
                <w:rFonts w:ascii="Times New Roman" w:hAnsi="Times New Roman" w:cs="Times New Roman"/>
                <w:color w:val="000000" w:themeColor="text1"/>
                <w:sz w:val="22"/>
                <w:szCs w:val="22"/>
                <w:lang w:val="es-CO"/>
              </w:rPr>
              <w:lastRenderedPageBreak/>
              <w:t>Estudio 2 (H2)</w:t>
            </w:r>
          </w:p>
        </w:tc>
        <w:tc>
          <w:tcPr>
            <w:tcW w:w="0" w:type="auto"/>
          </w:tcPr>
          <w:p w14:paraId="6FC28A08"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lastRenderedPageBreak/>
              <w:t xml:space="preserve">Nunca se compromete: vuelve a decidir en cada evento, de modo que ningún plan </w:t>
            </w:r>
            <w:proofErr w:type="spellStart"/>
            <w:r w:rsidRPr="0069403C">
              <w:rPr>
                <w:rFonts w:ascii="Times New Roman" w:hAnsi="Times New Roman" w:cs="Times New Roman"/>
                <w:color w:val="000000" w:themeColor="text1"/>
                <w:sz w:val="22"/>
                <w:szCs w:val="22"/>
                <w:lang w:val="es-CO"/>
              </w:rPr>
              <w:lastRenderedPageBreak/>
              <w:t>precalculado</w:t>
            </w:r>
            <w:proofErr w:type="spellEnd"/>
            <w:r w:rsidRPr="0069403C">
              <w:rPr>
                <w:rFonts w:ascii="Times New Roman" w:hAnsi="Times New Roman" w:cs="Times New Roman"/>
                <w:color w:val="000000" w:themeColor="text1"/>
                <w:sz w:val="22"/>
                <w:szCs w:val="22"/>
                <w:lang w:val="es-CO"/>
              </w:rPr>
              <w:t xml:space="preserve"> es invalidado nunca por una disrupción</w:t>
            </w:r>
          </w:p>
        </w:tc>
      </w:tr>
      <w:tr w:rsidR="00E373E4" w:rsidRPr="0069403C" w14:paraId="3169D00C" w14:textId="77777777">
        <w:tc>
          <w:tcPr>
            <w:tcW w:w="0" w:type="auto"/>
          </w:tcPr>
          <w:p w14:paraId="5F6C1081"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lastRenderedPageBreak/>
              <w:t xml:space="preserve">Política aprendida (GNN–PPO, </w:t>
            </w:r>
            <w:proofErr w:type="spellStart"/>
            <w:r w:rsidRPr="0069403C">
              <w:rPr>
                <w:rFonts w:ascii="Times New Roman" w:hAnsi="Times New Roman" w:cs="Times New Roman"/>
                <w:color w:val="000000" w:themeColor="text1"/>
                <w:sz w:val="22"/>
                <w:szCs w:val="22"/>
                <w:lang w:val="es-CO"/>
              </w:rPr>
              <w:t>pre-registrada</w:t>
            </w:r>
            <w:proofErr w:type="spellEnd"/>
            <w:r w:rsidRPr="0069403C">
              <w:rPr>
                <w:rFonts w:ascii="Times New Roman" w:hAnsi="Times New Roman" w:cs="Times New Roman"/>
                <w:color w:val="000000" w:themeColor="text1"/>
                <w:sz w:val="22"/>
                <w:szCs w:val="22"/>
                <w:lang w:val="es-CO"/>
              </w:rPr>
              <w:t>)</w:t>
            </w:r>
          </w:p>
        </w:tc>
        <w:tc>
          <w:tcPr>
            <w:tcW w:w="0" w:type="auto"/>
          </w:tcPr>
          <w:p w14:paraId="4FC1FB54"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La política relacional-GIN + PPO de este estudio</w:t>
            </w:r>
          </w:p>
        </w:tc>
        <w:tc>
          <w:tcPr>
            <w:tcW w:w="0" w:type="auto"/>
          </w:tcPr>
          <w:p w14:paraId="5FD3B6E1"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i/>
                <w:iCs/>
                <w:color w:val="000000" w:themeColor="text1"/>
                <w:sz w:val="22"/>
                <w:szCs w:val="22"/>
                <w:lang w:val="es-CO"/>
              </w:rPr>
              <w:t>No</w:t>
            </w:r>
            <w:r w:rsidRPr="0069403C">
              <w:rPr>
                <w:rFonts w:ascii="Times New Roman" w:hAnsi="Times New Roman" w:cs="Times New Roman"/>
                <w:color w:val="000000" w:themeColor="text1"/>
                <w:sz w:val="22"/>
                <w:szCs w:val="22"/>
                <w:lang w:val="es-CO"/>
              </w:rPr>
              <w:t xml:space="preserve"> competitiva ni siquiera nominalmente (H1 rechazada) — a diferencia de CP-SAT/GA, no compra calidad nominal en absoluto</w:t>
            </w:r>
          </w:p>
        </w:tc>
        <w:tc>
          <w:tcPr>
            <w:tcW w:w="0" w:type="auto"/>
          </w:tcPr>
          <w:p w14:paraId="581BCF1F"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No robusta en ninguno de los 9 regímenes (H3 rechazada); el diseño de recompensa orientado a la robustez, explícito, resulta contraproducente (H4 rechazada)</w:t>
            </w:r>
          </w:p>
        </w:tc>
        <w:tc>
          <w:tcPr>
            <w:tcW w:w="0" w:type="auto"/>
          </w:tcPr>
          <w:p w14:paraId="3DE5BBFE" w14:textId="77777777" w:rsidR="00E373E4" w:rsidRPr="0069403C" w:rsidRDefault="00000000" w:rsidP="0069403C">
            <w:pPr>
              <w:pStyle w:val="Compact"/>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Generaliza en </w:t>
            </w:r>
            <w:r w:rsidRPr="0069403C">
              <w:rPr>
                <w:rFonts w:ascii="Times New Roman" w:hAnsi="Times New Roman" w:cs="Times New Roman"/>
                <w:i/>
                <w:iCs/>
                <w:color w:val="000000" w:themeColor="text1"/>
                <w:sz w:val="22"/>
                <w:szCs w:val="22"/>
                <w:lang w:val="es-CO"/>
              </w:rPr>
              <w:t>rango</w:t>
            </w:r>
            <w:r w:rsidRPr="0069403C">
              <w:rPr>
                <w:rFonts w:ascii="Times New Roman" w:hAnsi="Times New Roman" w:cs="Times New Roman"/>
                <w:color w:val="000000" w:themeColor="text1"/>
                <w:sz w:val="22"/>
                <w:szCs w:val="22"/>
                <w:lang w:val="es-CO"/>
              </w:rPr>
              <w:t xml:space="preserve"> entre tamaños (H2 aceptada) pero esta propiedad arquitectónica no lleva consigo robustez; el entrenamiento consciente de la disrupción colapsa el desempeño nominal en su lugar</w:t>
            </w:r>
          </w:p>
        </w:tc>
      </w:tr>
    </w:tbl>
    <w:bookmarkEnd w:id="34"/>
    <w:p w14:paraId="435F2EDB"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La síntesis que esta tabla hace explícita es más fuerte, y más general, que el hallazgo principal de cualquiera de los dos estudios por sí solo. El hallazgo del Estudio 1 podría, en aislamiento, leerse de manera estrecha como “los programas optimizados de forma ajustada son frágiles porque carecen de holgura” — un mecanismo específico de los métodos que producen un único plan compacto, fuera de línea. La política del Estudio 2 no es un método de este tipo: no es ajustada nominalmente (H1 se rechaza precisamente porque </w:t>
      </w:r>
      <w:r w:rsidRPr="0069403C">
        <w:rPr>
          <w:rFonts w:ascii="Times New Roman" w:hAnsi="Times New Roman" w:cs="Times New Roman"/>
          <w:i/>
          <w:iCs/>
          <w:color w:val="000000" w:themeColor="text1"/>
          <w:sz w:val="22"/>
          <w:szCs w:val="22"/>
          <w:lang w:val="es-CO"/>
        </w:rPr>
        <w:t>no</w:t>
      </w:r>
      <w:r w:rsidRPr="0069403C">
        <w:rPr>
          <w:rFonts w:ascii="Times New Roman" w:hAnsi="Times New Roman" w:cs="Times New Roman"/>
          <w:color w:val="000000" w:themeColor="text1"/>
          <w:sz w:val="22"/>
          <w:szCs w:val="22"/>
          <w:lang w:val="es-CO"/>
        </w:rPr>
        <w:t xml:space="preserve"> es competitiva con la mejor regla), y vuelve a decidir en línea en cada época, arquitectónicamente más cercana a una regla de despacho que a CP-SAT o al GA. Si el mecanismo de “sin holgura” fuera toda la historia, una política en línea, no óptima, que vuelve a decidir, debería por defecto acercarse a la robustez de las reglas de despacho, no alejarse de ella. No lo hace: H3 se rechaza en los nueve regímenes, con tamaños de efecto tan grandes como los que separan a CP-SAT de las reglas en el Estudio 1. Esto indica que la fragilidad ante la disrupción en el taller de trabajos dinámico tiene (al menos) dos mecanismos distintos, específicos de cada paradigma, en lugar de una sola causa universal — fragilidad impulsada por la compacidad para los métodos que se comprometen con un único plan optimizado (CP-SAT, GA), y fragilidad impulsada por el desplazamiento de distribución para un método que, a pesar de decidir en línea, nunca fue expuesto durante el entrenamiento al régimen de disrupción que se le pide manejar en el momento de la evaluación (la política GNN–PPO, de manera más aguda en el eje de llegadas, el más alejado de su distribución de entrenamiento, Sección </w:t>
      </w:r>
      <w:hyperlink w:anchor="sec:h3h4">
        <w:r w:rsidRPr="0069403C">
          <w:rPr>
            <w:rStyle w:val="Hipervnculo"/>
            <w:rFonts w:ascii="Times New Roman" w:hAnsi="Times New Roman" w:cs="Times New Roman"/>
            <w:color w:val="000000" w:themeColor="text1"/>
            <w:sz w:val="22"/>
            <w:szCs w:val="22"/>
            <w:lang w:val="es-CO"/>
          </w:rPr>
          <w:t>6.3</w:t>
        </w:r>
      </w:hyperlink>
      <w:r w:rsidRPr="0069403C">
        <w:rPr>
          <w:rFonts w:ascii="Times New Roman" w:hAnsi="Times New Roman" w:cs="Times New Roman"/>
          <w:color w:val="000000" w:themeColor="text1"/>
          <w:sz w:val="22"/>
          <w:szCs w:val="22"/>
          <w:lang w:val="es-CO"/>
        </w:rPr>
        <w:t>). Ambos mecanismos, a pesar de ser distintos, producen el mismo resultado práctico en los cuatro paradigmas evaluados: una regla de despacho simple, reactiva y sin costo computacional es la familia de políticas que preserva de manera más confiable su desempeño una vez que el taller de producción se aparta del plan para el cual fue diseñado, evolucionado o entrenado.</w:t>
      </w:r>
    </w:p>
    <w:p w14:paraId="359560E0" w14:textId="77777777" w:rsidR="00E373E4" w:rsidRPr="0069403C" w:rsidRDefault="00000000" w:rsidP="0069403C">
      <w:pPr>
        <w:pStyle w:val="Ttulo1"/>
        <w:rPr>
          <w:rFonts w:ascii="Times New Roman" w:hAnsi="Times New Roman" w:cs="Times New Roman"/>
          <w:color w:val="000000" w:themeColor="text1"/>
          <w:sz w:val="22"/>
          <w:szCs w:val="22"/>
          <w:lang w:val="es-CO"/>
        </w:rPr>
      </w:pPr>
      <w:bookmarkStart w:id="35" w:name="sec:discussion"/>
      <w:bookmarkEnd w:id="33"/>
      <w:r w:rsidRPr="0069403C">
        <w:rPr>
          <w:rFonts w:ascii="Times New Roman" w:hAnsi="Times New Roman" w:cs="Times New Roman"/>
          <w:color w:val="000000" w:themeColor="text1"/>
          <w:sz w:val="22"/>
          <w:szCs w:val="22"/>
          <w:lang w:val="es-CO"/>
        </w:rPr>
        <w:lastRenderedPageBreak/>
        <w:t>Discusión</w:t>
      </w:r>
    </w:p>
    <w:p w14:paraId="3EB238A2"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36" w:name="Xf2ab31e5c14af008385b61d40bd5b57a05ec380"/>
      <w:r w:rsidRPr="0069403C">
        <w:rPr>
          <w:rFonts w:ascii="Times New Roman" w:hAnsi="Times New Roman" w:cs="Times New Roman"/>
          <w:color w:val="000000" w:themeColor="text1"/>
          <w:sz w:val="22"/>
          <w:szCs w:val="22"/>
          <w:lang w:val="es-CO"/>
        </w:rPr>
        <w:t>El precio de la optimalidad bajo incertidumbre, a través de cuatro paradigmas</w:t>
      </w:r>
    </w:p>
    <w:p w14:paraId="56336EB9"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Los resultados dan forma cuantitativa, y ahora transversal a los paradigmas, a una tensión que la literatura de programación robusta ha descrito cualitativamente desde hace tiempo (</w:t>
      </w:r>
      <w:proofErr w:type="spellStart"/>
      <w:r w:rsidRPr="0069403C">
        <w:rPr>
          <w:rFonts w:ascii="Times New Roman" w:hAnsi="Times New Roman" w:cs="Times New Roman"/>
          <w:color w:val="000000" w:themeColor="text1"/>
          <w:sz w:val="22"/>
          <w:szCs w:val="22"/>
          <w:lang w:val="es-CO"/>
        </w:rPr>
        <w:t>Leon</w:t>
      </w:r>
      <w:proofErr w:type="spellEnd"/>
      <w:r w:rsidRPr="0069403C">
        <w:rPr>
          <w:rFonts w:ascii="Times New Roman" w:hAnsi="Times New Roman" w:cs="Times New Roman"/>
          <w:color w:val="000000" w:themeColor="text1"/>
          <w:sz w:val="22"/>
          <w:szCs w:val="22"/>
          <w:lang w:val="es-CO"/>
        </w:rPr>
        <w:t xml:space="preserve">, Wu, and Storer 1994; Mehta and </w:t>
      </w:r>
      <w:proofErr w:type="spellStart"/>
      <w:r w:rsidRPr="0069403C">
        <w:rPr>
          <w:rFonts w:ascii="Times New Roman" w:hAnsi="Times New Roman" w:cs="Times New Roman"/>
          <w:color w:val="000000" w:themeColor="text1"/>
          <w:sz w:val="22"/>
          <w:szCs w:val="22"/>
          <w:lang w:val="es-CO"/>
        </w:rPr>
        <w:t>Uzsoy</w:t>
      </w:r>
      <w:proofErr w:type="spellEnd"/>
      <w:r w:rsidRPr="0069403C">
        <w:rPr>
          <w:rFonts w:ascii="Times New Roman" w:hAnsi="Times New Roman" w:cs="Times New Roman"/>
          <w:color w:val="000000" w:themeColor="text1"/>
          <w:sz w:val="22"/>
          <w:szCs w:val="22"/>
          <w:lang w:val="es-CO"/>
        </w:rPr>
        <w:t xml:space="preserve"> 1998; </w:t>
      </w:r>
      <w:proofErr w:type="spellStart"/>
      <w:r w:rsidRPr="0069403C">
        <w:rPr>
          <w:rFonts w:ascii="Times New Roman" w:hAnsi="Times New Roman" w:cs="Times New Roman"/>
          <w:color w:val="000000" w:themeColor="text1"/>
          <w:sz w:val="22"/>
          <w:szCs w:val="22"/>
          <w:lang w:val="es-CO"/>
        </w:rPr>
        <w:t>Herroelen</w:t>
      </w:r>
      <w:proofErr w:type="spellEnd"/>
      <w:r w:rsidRPr="0069403C">
        <w:rPr>
          <w:rFonts w:ascii="Times New Roman" w:hAnsi="Times New Roman" w:cs="Times New Roman"/>
          <w:color w:val="000000" w:themeColor="text1"/>
          <w:sz w:val="22"/>
          <w:szCs w:val="22"/>
          <w:lang w:val="es-CO"/>
        </w:rPr>
        <w:t xml:space="preserve"> and Leus 2005): la optimalidad nominal y la robustez ante la disrupción son objetivos en conflicto en el taller de trabajos dinámico, y este conflicto no es un artefacto de ningún paradigma de solución en particular. El Estudio 1 lo muestra para los dos paradigmas — búsqueda exacta, búsqueda evolutiva — que la literatura determinista ya clasifica en primer y segundo lugar; el Estudio 2 muestra que un tercer paradigma, arquitectónicamente distinto, promocionado específicamente por su adaptabilidad y generalización, no escapa a una versión del mismo conflicto, aunque el mecanismo que lo genera (Sección </w:t>
      </w:r>
      <w:hyperlink w:anchor="sec:synthesis">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xml:space="preserve">) sea demostrablemente diferente. El elemento novedoso aquí es el </w:t>
      </w:r>
      <w:r w:rsidRPr="0069403C">
        <w:rPr>
          <w:rFonts w:ascii="Times New Roman" w:hAnsi="Times New Roman" w:cs="Times New Roman"/>
          <w:i/>
          <w:iCs/>
          <w:color w:val="000000" w:themeColor="text1"/>
          <w:sz w:val="22"/>
          <w:szCs w:val="22"/>
          <w:lang w:val="es-CO"/>
        </w:rPr>
        <w:t>alcance</w:t>
      </w:r>
      <w:r w:rsidRPr="0069403C">
        <w:rPr>
          <w:rFonts w:ascii="Times New Roman" w:hAnsi="Times New Roman" w:cs="Times New Roman"/>
          <w:color w:val="000000" w:themeColor="text1"/>
          <w:sz w:val="22"/>
          <w:szCs w:val="22"/>
          <w:lang w:val="es-CO"/>
        </w:rPr>
        <w:t xml:space="preserve"> del efecto: medido a través de cuatro paradigmas de solución, bajo un único protocolo estadístico compartido, ni un certificado de optimalidad, ni la aptitud de una población evolucionada, ni la invariancia arquitectónica de tamaño de una política aprendida se traslada automáticamente a la propiedad que más importa una vez que un programa deja el tablero.</w:t>
      </w:r>
    </w:p>
    <w:p w14:paraId="0E2BA12D"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37" w:name="Xab8af42dfbc1d257db8c754ede51d1671263dd9"/>
      <w:bookmarkEnd w:id="36"/>
      <w:r w:rsidRPr="0069403C">
        <w:rPr>
          <w:rFonts w:ascii="Times New Roman" w:hAnsi="Times New Roman" w:cs="Times New Roman"/>
          <w:color w:val="000000" w:themeColor="text1"/>
          <w:sz w:val="22"/>
          <w:szCs w:val="22"/>
          <w:lang w:val="es-CO"/>
        </w:rPr>
        <w:t>La degradación relativa no es calidad realizada: una advertencia metodológica para ambos estudios</w:t>
      </w:r>
    </w:p>
    <w:p w14:paraId="3AD2F964"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Una advertencia metodológica se deriva de la Tabla </w:t>
      </w:r>
      <w:hyperlink w:anchor="tab:s1_full">
        <w:r w:rsidRPr="0069403C">
          <w:rPr>
            <w:rStyle w:val="Hipervnculo"/>
            <w:rFonts w:ascii="Times New Roman" w:hAnsi="Times New Roman" w:cs="Times New Roman"/>
            <w:color w:val="000000" w:themeColor="text1"/>
            <w:sz w:val="22"/>
            <w:szCs w:val="22"/>
            <w:lang w:val="es-CO"/>
          </w:rPr>
          <w:t>3</w:t>
        </w:r>
      </w:hyperlink>
      <w:r w:rsidRPr="0069403C">
        <w:rPr>
          <w:rFonts w:ascii="Times New Roman" w:hAnsi="Times New Roman" w:cs="Times New Roman"/>
          <w:color w:val="000000" w:themeColor="text1"/>
          <w:sz w:val="22"/>
          <w:szCs w:val="22"/>
          <w:lang w:val="es-CO"/>
        </w:rPr>
        <w:t xml:space="preserve"> y es, según argumenta este artículo, una lección transferible más allá de este artículo. El índice de robustez, al estar normalizado por el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nominal propio de cada método, favorece sistemáticamente a los métodos con un programa nominal pobre: EDD es el método “más robusto” por RI y por rango de Friedman en el Estudio 1, y sin embargo entrega algunos de los peores programas </w:t>
      </w:r>
      <w:r w:rsidRPr="0069403C">
        <w:rPr>
          <w:rFonts w:ascii="Times New Roman" w:hAnsi="Times New Roman" w:cs="Times New Roman"/>
          <w:i/>
          <w:iCs/>
          <w:color w:val="000000" w:themeColor="text1"/>
          <w:sz w:val="22"/>
          <w:szCs w:val="22"/>
          <w:lang w:val="es-CO"/>
        </w:rPr>
        <w:t>realizados</w:t>
      </w:r>
      <w:r w:rsidRPr="0069403C">
        <w:rPr>
          <w:rFonts w:ascii="Times New Roman" w:hAnsi="Times New Roman" w:cs="Times New Roman"/>
          <w:color w:val="000000" w:themeColor="text1"/>
          <w:sz w:val="22"/>
          <w:szCs w:val="22"/>
          <w:lang w:val="es-CO"/>
        </w:rPr>
        <w:t xml:space="preserve"> bajo averías de máquina y tiempos de proceso estocásticos (Tabla </w:t>
      </w:r>
      <w:hyperlink w:anchor="tab:s1_full">
        <w:r w:rsidRPr="0069403C">
          <w:rPr>
            <w:rStyle w:val="Hipervnculo"/>
            <w:rFonts w:ascii="Times New Roman" w:hAnsi="Times New Roman" w:cs="Times New Roman"/>
            <w:color w:val="000000" w:themeColor="text1"/>
            <w:sz w:val="22"/>
            <w:szCs w:val="22"/>
            <w:lang w:val="es-CO"/>
          </w:rPr>
          <w:t>3</w:t>
        </w:r>
      </w:hyperlink>
      <w:r w:rsidRPr="0069403C">
        <w:rPr>
          <w:rFonts w:ascii="Times New Roman" w:hAnsi="Times New Roman" w:cs="Times New Roman"/>
          <w:color w:val="000000" w:themeColor="text1"/>
          <w:sz w:val="22"/>
          <w:szCs w:val="22"/>
          <w:lang w:val="es-CO"/>
        </w:rPr>
        <w:t>), porque un programa que ya está lejos del óptimo tiene poco margen adicional para degradarse en términos relativos. Reportar la robustez únicamente como degradación relativa — como es común — recomendaría, por lo tanto, exactamente la regla equivocada. Solo la métrica de calidad realizada, comparable entre métodos, identifica las reglas que realmente vale la pena desplegar (MWKR, MOR), las cuales combinan un programa nominal competitivo con una degradación elegante. Este artículo recomienda que las comparaciones de robustez a nivel de paradigma reporten siempre una métrica de calidad realizada frente a una referencia común, y no solo la degradación relativa — una recomendación que el propio Estudio 2 de este artículo sigue al reportar la RPD junto con el RI en todo momento.</w:t>
      </w:r>
    </w:p>
    <w:p w14:paraId="4AB63417"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38" w:name="X78b622b5589fb428a9e559dbf48369b8f4d87cc"/>
      <w:bookmarkEnd w:id="37"/>
      <w:r w:rsidRPr="0069403C">
        <w:rPr>
          <w:rFonts w:ascii="Times New Roman" w:hAnsi="Times New Roman" w:cs="Times New Roman"/>
          <w:color w:val="000000" w:themeColor="text1"/>
          <w:sz w:val="22"/>
          <w:szCs w:val="22"/>
          <w:lang w:val="es-CO"/>
        </w:rPr>
        <w:t>Por qué las reglas de balanceo de carga ganan bajo disrupción, en ambos estudios</w:t>
      </w:r>
    </w:p>
    <w:p w14:paraId="4AF92A20"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Que MWKR y MOR emerjan como las políticas desplegadas más fuertes bajo disrupción en el Estudio 1, y que la misma familia de reglas (junto con FIFO) sea el único grupo par que la política del Estudio 2 iguala estadísticamente bajo la generalización de tamaño (H2), es interpretable y no incidental. Ambas son reglas de </w:t>
      </w:r>
      <w:r w:rsidRPr="0069403C">
        <w:rPr>
          <w:rFonts w:ascii="Times New Roman" w:hAnsi="Times New Roman" w:cs="Times New Roman"/>
          <w:i/>
          <w:iCs/>
          <w:color w:val="000000" w:themeColor="text1"/>
          <w:sz w:val="22"/>
          <w:szCs w:val="22"/>
          <w:lang w:val="es-CO"/>
        </w:rPr>
        <w:t>balanceo de carga</w:t>
      </w:r>
      <w:r w:rsidRPr="0069403C">
        <w:rPr>
          <w:rFonts w:ascii="Times New Roman" w:hAnsi="Times New Roman" w:cs="Times New Roman"/>
          <w:color w:val="000000" w:themeColor="text1"/>
          <w:sz w:val="22"/>
          <w:szCs w:val="22"/>
          <w:lang w:val="es-CO"/>
        </w:rPr>
        <w:t xml:space="preserve">: al avanzar siempre el trabajo con más trabajo (u operaciones) restante, mantienen en movimiento a los trabajos largos y evitan la congestión de final de horizonte que infla el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cuando una disrupción ha desplazado trabajo. Debido a que reevalúan esta prioridad en cada evento, redirigen naturalmente el esfuerzo alrededor de una máquina averiada o de un trabajo recién llegado sin ninguna maquinaria de replanificación — la adaptabilidad que un programa comprometido, por óptimo que sea, carece estructuralmente, y que una política aprendida, a pesar de decidir en línea, aparentemente no reproduce con la misma eficacia una vez evaluada fuera de su distribución de entrenamiento (Sección </w:t>
      </w:r>
      <w:hyperlink w:anchor="sec:h3h4">
        <w:r w:rsidRPr="0069403C">
          <w:rPr>
            <w:rStyle w:val="Hipervnculo"/>
            <w:rFonts w:ascii="Times New Roman" w:hAnsi="Times New Roman" w:cs="Times New Roman"/>
            <w:color w:val="000000" w:themeColor="text1"/>
            <w:sz w:val="22"/>
            <w:szCs w:val="22"/>
            <w:lang w:val="es-CO"/>
          </w:rPr>
          <w:t>6.3</w:t>
        </w:r>
      </w:hyperlink>
      <w:r w:rsidRPr="0069403C">
        <w:rPr>
          <w:rFonts w:ascii="Times New Roman" w:hAnsi="Times New Roman" w:cs="Times New Roman"/>
          <w:color w:val="000000" w:themeColor="text1"/>
          <w:sz w:val="22"/>
          <w:szCs w:val="22"/>
          <w:lang w:val="es-CO"/>
        </w:rPr>
        <w:t xml:space="preserve">). Esto es consistente con el hallazgo, ya establecido desde hace tiempo, de que las reglas de contenido de trabajo se encuentran entre las heurísticas de una sola pasada más fuertes para el </w:t>
      </w:r>
      <w:proofErr w:type="spellStart"/>
      <w:r w:rsidRPr="0069403C">
        <w:rPr>
          <w:rFonts w:ascii="Times New Roman" w:hAnsi="Times New Roman" w:cs="Times New Roman"/>
          <w:color w:val="000000" w:themeColor="text1"/>
          <w:sz w:val="22"/>
          <w:szCs w:val="22"/>
          <w:lang w:val="es-CO"/>
        </w:rPr>
        <w:t>makespan</w:t>
      </w:r>
      <w:proofErr w:type="spellEnd"/>
      <w:r w:rsidRPr="0069403C">
        <w:rPr>
          <w:rFonts w:ascii="Times New Roman" w:hAnsi="Times New Roman" w:cs="Times New Roman"/>
          <w:color w:val="000000" w:themeColor="text1"/>
          <w:sz w:val="22"/>
          <w:szCs w:val="22"/>
          <w:lang w:val="es-CO"/>
        </w:rPr>
        <w:t xml:space="preserve"> en las </w:t>
      </w:r>
      <w:r w:rsidRPr="0069403C">
        <w:rPr>
          <w:rFonts w:ascii="Times New Roman" w:hAnsi="Times New Roman" w:cs="Times New Roman"/>
          <w:color w:val="000000" w:themeColor="text1"/>
          <w:sz w:val="22"/>
          <w:szCs w:val="22"/>
          <w:lang w:val="es-CO"/>
        </w:rPr>
        <w:lastRenderedPageBreak/>
        <w:t xml:space="preserve">familias </w:t>
      </w:r>
      <w:r w:rsidRPr="0069403C">
        <w:rPr>
          <w:rFonts w:ascii="Times New Roman" w:hAnsi="Times New Roman" w:cs="Times New Roman"/>
          <w:i/>
          <w:iCs/>
          <w:color w:val="000000" w:themeColor="text1"/>
          <w:sz w:val="22"/>
          <w:szCs w:val="22"/>
          <w:lang w:val="es-CO"/>
        </w:rPr>
        <w:t>ft</w:t>
      </w:r>
      <w:r w:rsidRPr="0069403C">
        <w:rPr>
          <w:rFonts w:ascii="Times New Roman" w:hAnsi="Times New Roman" w:cs="Times New Roman"/>
          <w:color w:val="000000" w:themeColor="text1"/>
          <w:sz w:val="22"/>
          <w:szCs w:val="22"/>
          <w:lang w:val="es-CO"/>
        </w:rPr>
        <w:t>/</w:t>
      </w:r>
      <w:r w:rsidRPr="0069403C">
        <w:rPr>
          <w:rFonts w:ascii="Times New Roman" w:hAnsi="Times New Roman" w:cs="Times New Roman"/>
          <w:i/>
          <w:iCs/>
          <w:color w:val="000000" w:themeColor="text1"/>
          <w:sz w:val="22"/>
          <w:szCs w:val="22"/>
          <w:lang w:val="es-CO"/>
        </w:rPr>
        <w:t>la</w:t>
      </w:r>
      <w:r w:rsidRPr="0069403C">
        <w:rPr>
          <w:rFonts w:ascii="Times New Roman" w:hAnsi="Times New Roman" w:cs="Times New Roman"/>
          <w:color w:val="000000" w:themeColor="text1"/>
          <w:sz w:val="22"/>
          <w:szCs w:val="22"/>
          <w:lang w:val="es-CO"/>
        </w:rPr>
        <w:t xml:space="preserve"> (</w:t>
      </w:r>
      <w:proofErr w:type="spellStart"/>
      <w:r w:rsidRPr="0069403C">
        <w:rPr>
          <w:rFonts w:ascii="Times New Roman" w:hAnsi="Times New Roman" w:cs="Times New Roman"/>
          <w:color w:val="000000" w:themeColor="text1"/>
          <w:sz w:val="22"/>
          <w:szCs w:val="22"/>
          <w:lang w:val="es-CO"/>
        </w:rPr>
        <w:t>Sels</w:t>
      </w:r>
      <w:proofErr w:type="spellEnd"/>
      <w:r w:rsidRPr="0069403C">
        <w:rPr>
          <w:rFonts w:ascii="Times New Roman" w:hAnsi="Times New Roman" w:cs="Times New Roman"/>
          <w:color w:val="000000" w:themeColor="text1"/>
          <w:sz w:val="22"/>
          <w:szCs w:val="22"/>
          <w:lang w:val="es-CO"/>
        </w:rPr>
        <w:t xml:space="preserve">, </w:t>
      </w:r>
      <w:proofErr w:type="spellStart"/>
      <w:r w:rsidRPr="0069403C">
        <w:rPr>
          <w:rFonts w:ascii="Times New Roman" w:hAnsi="Times New Roman" w:cs="Times New Roman"/>
          <w:color w:val="000000" w:themeColor="text1"/>
          <w:sz w:val="22"/>
          <w:szCs w:val="22"/>
          <w:lang w:val="es-CO"/>
        </w:rPr>
        <w:t>Gheysen</w:t>
      </w:r>
      <w:proofErr w:type="spellEnd"/>
      <w:r w:rsidRPr="0069403C">
        <w:rPr>
          <w:rFonts w:ascii="Times New Roman" w:hAnsi="Times New Roman" w:cs="Times New Roman"/>
          <w:color w:val="000000" w:themeColor="text1"/>
          <w:sz w:val="22"/>
          <w:szCs w:val="22"/>
          <w:lang w:val="es-CO"/>
        </w:rPr>
        <w:t xml:space="preserve">, and </w:t>
      </w:r>
      <w:proofErr w:type="spellStart"/>
      <w:r w:rsidRPr="0069403C">
        <w:rPr>
          <w:rFonts w:ascii="Times New Roman" w:hAnsi="Times New Roman" w:cs="Times New Roman"/>
          <w:color w:val="000000" w:themeColor="text1"/>
          <w:sz w:val="22"/>
          <w:szCs w:val="22"/>
          <w:lang w:val="es-CO"/>
        </w:rPr>
        <w:t>Vanhoucke</w:t>
      </w:r>
      <w:proofErr w:type="spellEnd"/>
      <w:r w:rsidRPr="0069403C">
        <w:rPr>
          <w:rFonts w:ascii="Times New Roman" w:hAnsi="Times New Roman" w:cs="Times New Roman"/>
          <w:color w:val="000000" w:themeColor="text1"/>
          <w:sz w:val="22"/>
          <w:szCs w:val="22"/>
          <w:lang w:val="es-CO"/>
        </w:rPr>
        <w:t xml:space="preserve"> 2012), y lo extiende, a través de ambos estudios de este artículo, tanto al entorno disrumpido como al de la política aprendida.</w:t>
      </w:r>
    </w:p>
    <w:p w14:paraId="53D1EA4F"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39" w:name="X4bd7aab84d8b397a1ba50574f9839121624d490"/>
      <w:bookmarkEnd w:id="38"/>
      <w:r w:rsidRPr="0069403C">
        <w:rPr>
          <w:rFonts w:ascii="Times New Roman" w:hAnsi="Times New Roman" w:cs="Times New Roman"/>
          <w:color w:val="000000" w:themeColor="text1"/>
          <w:sz w:val="22"/>
          <w:szCs w:val="22"/>
          <w:lang w:val="es-CO"/>
        </w:rPr>
        <w:t>Posicionamiento del Estudio 2 frente a trabajos previos de programación con DRL</w:t>
      </w:r>
    </w:p>
    <w:p w14:paraId="3716CCFD"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Respecto a L2D.</w:t>
      </w:r>
      <w:r w:rsidRPr="0069403C">
        <w:rPr>
          <w:rFonts w:ascii="Times New Roman" w:hAnsi="Times New Roman" w:cs="Times New Roman"/>
          <w:color w:val="000000" w:themeColor="text1"/>
          <w:sz w:val="22"/>
          <w:szCs w:val="22"/>
          <w:lang w:val="es-CO"/>
        </w:rPr>
        <w:t xml:space="preserve"> El comparador utilizado para H1 (el mínimo de RPD entre nueve PDR, evaluado por instancia) es intrínsecamente más difícil de superar que las tres reglas fijas de L2D (SPT, MWKR, MOPNR) — FIFO, la regla dominante para la gran mayoría de las instancias evaluadas aquí, no se encuentra entre los comparadores de L2D — por lo que las cifras brutas de tasa de victorias (18.6% aquí frente al 87.5–92% de L2D) no son directamente comparables entre estudios. El rechazo de H1 se lee mejor como “esta instanciación, bajo este presupuesto de entrenamiento, no es competitiva”, no como una afirmación categórica sobre la arquitectura relacional-GIN.</w:t>
      </w:r>
    </w:p>
    <w:p w14:paraId="00C2DC28"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Respecto a L2D y SPM-DAN en generalización.</w:t>
      </w:r>
      <w:r w:rsidRPr="0069403C">
        <w:rPr>
          <w:rFonts w:ascii="Times New Roman" w:hAnsi="Times New Roman" w:cs="Times New Roman"/>
          <w:color w:val="000000" w:themeColor="text1"/>
          <w:sz w:val="22"/>
          <w:szCs w:val="22"/>
          <w:lang w:val="es-CO"/>
        </w:rPr>
        <w:t xml:space="preserve"> La propia brecha de generalización de L2D (9.4% a </w:t>
      </w:r>
      <m:oMath>
        <m:r>
          <w:rPr>
            <w:rFonts w:ascii="Cambria Math" w:hAnsi="Cambria Math" w:cs="Times New Roman"/>
            <w:color w:val="000000" w:themeColor="text1"/>
            <w:sz w:val="22"/>
            <w:szCs w:val="22"/>
            <w:lang w:val="es-CO"/>
          </w:rPr>
          <m:t>3.3</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5</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el tamaño de entrenamiento) se mantiene muy por debajo de la brecha de la mejor PDR en ese tamaño (33.7–54.9%) — el mismo patrón cualitativo observado en la Sección </w:t>
      </w:r>
      <w:hyperlink w:anchor="sec:h2">
        <w:r w:rsidRPr="0069403C">
          <w:rPr>
            <w:rStyle w:val="Hipervnculo"/>
            <w:rFonts w:ascii="Times New Roman" w:hAnsi="Times New Roman" w:cs="Times New Roman"/>
            <w:color w:val="000000" w:themeColor="text1"/>
            <w:sz w:val="22"/>
            <w:szCs w:val="22"/>
            <w:lang w:val="es-CO"/>
          </w:rPr>
          <w:t>6.2</w:t>
        </w:r>
      </w:hyperlink>
      <w:r w:rsidRPr="0069403C">
        <w:rPr>
          <w:rFonts w:ascii="Times New Roman" w:hAnsi="Times New Roman" w:cs="Times New Roman"/>
          <w:color w:val="000000" w:themeColor="text1"/>
          <w:sz w:val="22"/>
          <w:szCs w:val="22"/>
          <w:lang w:val="es-CO"/>
        </w:rPr>
        <w:t xml:space="preserve"> — pero partiendo de una política base mucho más competitiva, por lo que la generalización de L2D preserva la competitividad absoluta, mientras que el resultado del Estudio 2 preserva solo el rango. Esto es consistente con una lectura de la teoría de generalización de GNN (</w:t>
      </w:r>
      <w:proofErr w:type="spellStart"/>
      <w:r w:rsidRPr="0069403C">
        <w:rPr>
          <w:rFonts w:ascii="Times New Roman" w:hAnsi="Times New Roman" w:cs="Times New Roman"/>
          <w:color w:val="000000" w:themeColor="text1"/>
          <w:sz w:val="22"/>
          <w:szCs w:val="22"/>
          <w:lang w:val="es-CO"/>
        </w:rPr>
        <w:t>Xu</w:t>
      </w:r>
      <w:proofErr w:type="spellEnd"/>
      <w:r w:rsidRPr="0069403C">
        <w:rPr>
          <w:rFonts w:ascii="Times New Roman" w:hAnsi="Times New Roman" w:cs="Times New Roman"/>
          <w:color w:val="000000" w:themeColor="text1"/>
          <w:sz w:val="22"/>
          <w:szCs w:val="22"/>
          <w:lang w:val="es-CO"/>
        </w:rPr>
        <w:t xml:space="preserve"> et al. 2019) en la que la invariancia de tamaño es una propiedad </w:t>
      </w:r>
      <w:r w:rsidRPr="0069403C">
        <w:rPr>
          <w:rFonts w:ascii="Times New Roman" w:hAnsi="Times New Roman" w:cs="Times New Roman"/>
          <w:i/>
          <w:iCs/>
          <w:color w:val="000000" w:themeColor="text1"/>
          <w:sz w:val="22"/>
          <w:szCs w:val="22"/>
          <w:lang w:val="es-CO"/>
        </w:rPr>
        <w:t>multiplicativa</w:t>
      </w:r>
      <w:r w:rsidRPr="0069403C">
        <w:rPr>
          <w:rFonts w:ascii="Times New Roman" w:hAnsi="Times New Roman" w:cs="Times New Roman"/>
          <w:color w:val="000000" w:themeColor="text1"/>
          <w:sz w:val="22"/>
          <w:szCs w:val="22"/>
          <w:lang w:val="es-CO"/>
        </w:rPr>
        <w:t xml:space="preserve"> que actúa sobre cualquier competitividad que ya posea la política base, en lugar de un mecanismo que la mejore de manera directa. El SPM-DAN (Smit et al. 2025) generaliza mucho más fuertemente en términos absolutos (</w:t>
      </w:r>
      <m:oMath>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7.10</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frente a </w:t>
      </w:r>
      <m:oMath>
        <m:r>
          <w:rPr>
            <w:rFonts w:ascii="Cambria Math" w:hAnsi="Cambria Math" w:cs="Times New Roman"/>
            <w:color w:val="000000" w:themeColor="text1"/>
            <w:sz w:val="22"/>
            <w:szCs w:val="22"/>
            <w:lang w:val="es-CO"/>
          </w:rPr>
          <m:t>23.9</m:t>
        </m:r>
      </m:oMath>
      <w:r w:rsidRPr="0069403C">
        <w:rPr>
          <w:rFonts w:ascii="Times New Roman" w:hAnsi="Times New Roman" w:cs="Times New Roman"/>
          <w:color w:val="000000" w:themeColor="text1"/>
          <w:sz w:val="22"/>
          <w:szCs w:val="22"/>
          <w:lang w:val="es-CO"/>
        </w:rPr>
        <w:t>–</w:t>
      </w:r>
      <m:oMath>
        <m:r>
          <w:rPr>
            <w:rFonts w:ascii="Cambria Math" w:hAnsi="Cambria Math" w:cs="Times New Roman"/>
            <w:color w:val="000000" w:themeColor="text1"/>
            <w:sz w:val="22"/>
            <w:szCs w:val="22"/>
            <w:lang w:val="es-CO"/>
          </w:rPr>
          <m:t>32.9</m:t>
        </m:r>
        <m:r>
          <m:rPr>
            <m:sty m:val="p"/>
          </m:rPr>
          <w:rPr>
            <w:rFonts w:ascii="Cambria Math" w:hAnsi="Cambria Math" w:cs="Times New Roman"/>
            <w:color w:val="000000" w:themeColor="text1"/>
            <w:sz w:val="22"/>
            <w:szCs w:val="22"/>
            <w:lang w:val="es-CO"/>
          </w:rPr>
          <m:t>%</m:t>
        </m:r>
      </m:oMath>
      <w:r w:rsidRPr="0069403C">
        <w:rPr>
          <w:rFonts w:ascii="Times New Roman" w:hAnsi="Times New Roman" w:cs="Times New Roman"/>
          <w:color w:val="000000" w:themeColor="text1"/>
          <w:sz w:val="22"/>
          <w:szCs w:val="22"/>
          <w:lang w:val="es-CO"/>
        </w:rPr>
        <w:t xml:space="preserve"> aquí) pero bajo una sola fuente de incertidumbre y con un módulo de procesamiento de escenarios construido específicamente para ese eje.</w:t>
      </w:r>
    </w:p>
    <w:p w14:paraId="4E84A0A1"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b/>
          <w:bCs/>
          <w:color w:val="000000" w:themeColor="text1"/>
          <w:sz w:val="22"/>
          <w:szCs w:val="22"/>
          <w:lang w:val="es-CO"/>
        </w:rPr>
        <w:t>H3/H4 como la primera prueba conjunta de la combinación generalización–robustez.</w:t>
      </w:r>
      <w:r w:rsidRPr="0069403C">
        <w:rPr>
          <w:rFonts w:ascii="Times New Roman" w:hAnsi="Times New Roman" w:cs="Times New Roman"/>
          <w:color w:val="000000" w:themeColor="text1"/>
          <w:sz w:val="22"/>
          <w:szCs w:val="22"/>
          <w:lang w:val="es-CO"/>
        </w:rPr>
        <w:t xml:space="preserve"> Lassoued, Lier, and </w:t>
      </w:r>
      <w:proofErr w:type="spellStart"/>
      <w:r w:rsidRPr="0069403C">
        <w:rPr>
          <w:rFonts w:ascii="Times New Roman" w:hAnsi="Times New Roman" w:cs="Times New Roman"/>
          <w:color w:val="000000" w:themeColor="text1"/>
          <w:sz w:val="22"/>
          <w:szCs w:val="22"/>
          <w:lang w:val="es-CO"/>
        </w:rPr>
        <w:t>Schwung</w:t>
      </w:r>
      <w:proofErr w:type="spellEnd"/>
      <w:r w:rsidRPr="0069403C">
        <w:rPr>
          <w:rFonts w:ascii="Times New Roman" w:hAnsi="Times New Roman" w:cs="Times New Roman"/>
          <w:color w:val="000000" w:themeColor="text1"/>
          <w:sz w:val="22"/>
          <w:szCs w:val="22"/>
          <w:lang w:val="es-CO"/>
        </w:rPr>
        <w:t xml:space="preserve"> (2026) muestran que una política PPO enmascarable, sencilla, puede superar a las reglas de despacho bajo disrupción combinada de averías y llegadas cuando la robustez es el único objetivo de entrenamiento, sin ningún requisito de generalización de tamaño que comparta la misma arquitectura y el mismo presupuesto de entrenamiento. La política del Estudio 2, persiguiendo ambos objetivos simultáneamente, pierde de manera decisiva frente a la misma clase de reglas de despacho bajo disrupción. Leídos en conjunto, esto es, hasta donde tiene conocimiento este artículo, la primera evidencia cuantitativa de que el objetivo conjunto no es gratuito: una política cuya capacidad y régimen de entrenamiento se gastan enteramente en un eje puede superar a las reglas de despacho en ese eje; una política que divide el mismo presupuesto entre dos ejes pierde de manera decisiva en el eje de robustez. Esto no demuestra que el objetivo conjunto sea inalcanzable en principio — no se realizó en este estudio ninguna ablación arquitectónica que aísle la contribución específica del codificador relacional a cada eje — pero es, hasta donde tiene conocimiento este artículo, la primera demostración controlada de que la tensión entre los dos objetivos es real y medible, y no meramente asumida.</w:t>
      </w:r>
    </w:p>
    <w:p w14:paraId="51131FDF"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40" w:name="implicaciones-teóricas-y-prácticas"/>
      <w:bookmarkEnd w:id="39"/>
      <w:r w:rsidRPr="0069403C">
        <w:rPr>
          <w:rFonts w:ascii="Times New Roman" w:hAnsi="Times New Roman" w:cs="Times New Roman"/>
          <w:color w:val="000000" w:themeColor="text1"/>
          <w:sz w:val="22"/>
          <w:szCs w:val="22"/>
          <w:lang w:val="es-CO"/>
        </w:rPr>
        <w:t>Implicaciones teóricas y prácticas</w:t>
      </w:r>
    </w:p>
    <w:p w14:paraId="65BA9C14"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Teóricamente, el contraste H1/H2 en el Estudio 2 ofrece una ilustración empírica clara de que la arquitectura invariante al tamaño y la competitividad de la política base son ejes de diseño separables, extendiendo la inversión de paradigmas clásicos del Estudio 1 a un mecanismo específico de las políticas aprendidas: una arquitectura puede ser lo suficientemente invariante a la permutación como para preservar el rango relativo al escalar, mientras permanece, en términos absolutos, una política no competitiva. La evidencia combinada de ambos estudios aboga por tratar la calidad nominal, la generalización y la robustez como tres ejes separables que deben evaluarse </w:t>
      </w:r>
      <w:proofErr w:type="gramStart"/>
      <w:r w:rsidRPr="0069403C">
        <w:rPr>
          <w:rFonts w:ascii="Times New Roman" w:hAnsi="Times New Roman" w:cs="Times New Roman"/>
          <w:color w:val="000000" w:themeColor="text1"/>
          <w:sz w:val="22"/>
          <w:szCs w:val="22"/>
          <w:lang w:val="es-CO"/>
        </w:rPr>
        <w:t>e</w:t>
      </w:r>
      <w:proofErr w:type="gramEnd"/>
      <w:r w:rsidRPr="0069403C">
        <w:rPr>
          <w:rFonts w:ascii="Times New Roman" w:hAnsi="Times New Roman" w:cs="Times New Roman"/>
          <w:color w:val="000000" w:themeColor="text1"/>
          <w:sz w:val="22"/>
          <w:szCs w:val="22"/>
          <w:lang w:val="es-CO"/>
        </w:rPr>
        <w:t xml:space="preserve"> diseñarse de manera independiente, en lugar de suponer que resolver uno implica avances en los </w:t>
      </w:r>
      <w:r w:rsidRPr="0069403C">
        <w:rPr>
          <w:rFonts w:ascii="Times New Roman" w:hAnsi="Times New Roman" w:cs="Times New Roman"/>
          <w:color w:val="000000" w:themeColor="text1"/>
          <w:sz w:val="22"/>
          <w:szCs w:val="22"/>
          <w:lang w:val="es-CO"/>
        </w:rPr>
        <w:lastRenderedPageBreak/>
        <w:t>otros — ya sea que el método en cuestión sea un solucionador exacto, una metaheurística o una política de grafo neuronal.</w:t>
      </w:r>
    </w:p>
    <w:p w14:paraId="4302A4F3"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En términos prácticos, los dos estudios respaldan conjuntamente una </w:t>
      </w:r>
      <w:r w:rsidRPr="0069403C">
        <w:rPr>
          <w:rFonts w:ascii="Times New Roman" w:hAnsi="Times New Roman" w:cs="Times New Roman"/>
          <w:b/>
          <w:bCs/>
          <w:color w:val="000000" w:themeColor="text1"/>
          <w:sz w:val="22"/>
          <w:szCs w:val="22"/>
          <w:lang w:val="es-CO"/>
        </w:rPr>
        <w:t>política de despliegue contingente a la disrupción</w:t>
      </w:r>
      <w:r w:rsidRPr="0069403C">
        <w:rPr>
          <w:rFonts w:ascii="Times New Roman" w:hAnsi="Times New Roman" w:cs="Times New Roman"/>
          <w:color w:val="000000" w:themeColor="text1"/>
          <w:sz w:val="22"/>
          <w:szCs w:val="22"/>
          <w:lang w:val="es-CO"/>
        </w:rPr>
        <w:t xml:space="preserve"> en lugar de un único mejor método, a través de los cuatro paradigmas. En un entorno casi determinista y de alta confiabilidad — averías leves, baja variabilidad en el tiempo de proceso, pocas llegadas no planificadas — una solución exacta sigue valiendo la pena y entrega programas materialmente mejores (Sección </w:t>
      </w:r>
      <w:hyperlink w:anchor="sec:s1nominal">
        <w:r w:rsidRPr="0069403C">
          <w:rPr>
            <w:rStyle w:val="Hipervnculo"/>
            <w:rFonts w:ascii="Times New Roman" w:hAnsi="Times New Roman" w:cs="Times New Roman"/>
            <w:color w:val="000000" w:themeColor="text1"/>
            <w:sz w:val="22"/>
            <w:szCs w:val="22"/>
            <w:lang w:val="es-CO"/>
          </w:rPr>
          <w:t>4.1</w:t>
        </w:r>
      </w:hyperlink>
      <w:r w:rsidRPr="0069403C">
        <w:rPr>
          <w:rFonts w:ascii="Times New Roman" w:hAnsi="Times New Roman" w:cs="Times New Roman"/>
          <w:color w:val="000000" w:themeColor="text1"/>
          <w:sz w:val="22"/>
          <w:szCs w:val="22"/>
          <w:lang w:val="es-CO"/>
        </w:rPr>
        <w:t xml:space="preserve">). A medida que la disrupción se intensifica, el argumento a favor del solucionador exacto se debilita rápidamente, y más allá de un umbral moderado una regla de despacho sin costo computacional (MWKR o MOR) no es un respaldo sino la política desplegada superior, entregando mejores programas realizados a un costo computacional despreciable. Cuando debe conservarse un programa comprometido — por coordinación con proveedores o etapas posteriores —, el conjunto de herramientas de programación robusta de inserción deliberada de holgura (Davenport, </w:t>
      </w:r>
      <w:proofErr w:type="spellStart"/>
      <w:r w:rsidRPr="0069403C">
        <w:rPr>
          <w:rFonts w:ascii="Times New Roman" w:hAnsi="Times New Roman" w:cs="Times New Roman"/>
          <w:color w:val="000000" w:themeColor="text1"/>
          <w:sz w:val="22"/>
          <w:szCs w:val="22"/>
          <w:lang w:val="es-CO"/>
        </w:rPr>
        <w:t>Gefflot</w:t>
      </w:r>
      <w:proofErr w:type="spellEnd"/>
      <w:r w:rsidRPr="0069403C">
        <w:rPr>
          <w:rFonts w:ascii="Times New Roman" w:hAnsi="Times New Roman" w:cs="Times New Roman"/>
          <w:color w:val="000000" w:themeColor="text1"/>
          <w:sz w:val="22"/>
          <w:szCs w:val="22"/>
          <w:lang w:val="es-CO"/>
        </w:rPr>
        <w:t xml:space="preserve">, and Beck 2000; Artigues, </w:t>
      </w:r>
      <w:proofErr w:type="spellStart"/>
      <w:r w:rsidRPr="0069403C">
        <w:rPr>
          <w:rFonts w:ascii="Times New Roman" w:hAnsi="Times New Roman" w:cs="Times New Roman"/>
          <w:color w:val="000000" w:themeColor="text1"/>
          <w:sz w:val="22"/>
          <w:szCs w:val="22"/>
          <w:lang w:val="es-CO"/>
        </w:rPr>
        <w:t>Billaut</w:t>
      </w:r>
      <w:proofErr w:type="spellEnd"/>
      <w:r w:rsidRPr="0069403C">
        <w:rPr>
          <w:rFonts w:ascii="Times New Roman" w:hAnsi="Times New Roman" w:cs="Times New Roman"/>
          <w:color w:val="000000" w:themeColor="text1"/>
          <w:sz w:val="22"/>
          <w:szCs w:val="22"/>
          <w:lang w:val="es-CO"/>
        </w:rPr>
        <w:t xml:space="preserve">, and Esswein 2005; </w:t>
      </w:r>
      <w:proofErr w:type="spellStart"/>
      <w:r w:rsidRPr="0069403C">
        <w:rPr>
          <w:rFonts w:ascii="Times New Roman" w:hAnsi="Times New Roman" w:cs="Times New Roman"/>
          <w:color w:val="000000" w:themeColor="text1"/>
          <w:sz w:val="22"/>
          <w:szCs w:val="22"/>
          <w:lang w:val="es-CO"/>
        </w:rPr>
        <w:t>Herroelen</w:t>
      </w:r>
      <w:proofErr w:type="spellEnd"/>
      <w:r w:rsidRPr="0069403C">
        <w:rPr>
          <w:rFonts w:ascii="Times New Roman" w:hAnsi="Times New Roman" w:cs="Times New Roman"/>
          <w:color w:val="000000" w:themeColor="text1"/>
          <w:sz w:val="22"/>
          <w:szCs w:val="22"/>
          <w:lang w:val="es-CO"/>
        </w:rPr>
        <w:t xml:space="preserve"> and Leus 2005) es el remedio apropiado, a un costo de calidad nominal que este artículo ayuda a cuantificar. Para el caso específico de las políticas GNN–DRL, el contraste del Estudio 2 entre la debilidad de calidad de H1/H3 y la fortaleza cualitativa de velocidad de H5 motiva, sin evaluarlo por completo, un patrón de despliegue híbrido: una política reactiva rápida podría servir como puente de decisión inmediato en los segundos posteriores a un evento de disrupción, mientras que un </w:t>
      </w:r>
      <w:proofErr w:type="spellStart"/>
      <w:r w:rsidRPr="0069403C">
        <w:rPr>
          <w:rFonts w:ascii="Times New Roman" w:hAnsi="Times New Roman" w:cs="Times New Roman"/>
          <w:color w:val="000000" w:themeColor="text1"/>
          <w:sz w:val="22"/>
          <w:szCs w:val="22"/>
          <w:lang w:val="es-CO"/>
        </w:rPr>
        <w:t>reoptimizador</w:t>
      </w:r>
      <w:proofErr w:type="spellEnd"/>
      <w:r w:rsidRPr="0069403C">
        <w:rPr>
          <w:rFonts w:ascii="Times New Roman" w:hAnsi="Times New Roman" w:cs="Times New Roman"/>
          <w:color w:val="000000" w:themeColor="text1"/>
          <w:sz w:val="22"/>
          <w:szCs w:val="22"/>
          <w:lang w:val="es-CO"/>
        </w:rPr>
        <w:t xml:space="preserve"> exacto o metaheurístico calcula en paralelo un programa de reemplazo de mayor calidad. Para los profesionales que evalúan herramientas de programación GNN–DRL específicamente, los resultados advierten contra inferir robustez ante la disrupción a partir únicamente de una afirmación de generalización de tamaño: la evidencia propia de este artículo, a través de dos estudios independientes y cuatro paradigmas, es que la calidad bajo condiciones nominales — sin importar cómo se logre esa calidad — no predice la robustez ante la disrupción, y cada una debe solicitarse y verificarse como una capacidad separada, explícitamente probada.</w:t>
      </w:r>
    </w:p>
    <w:p w14:paraId="577ED784" w14:textId="77777777" w:rsidR="00E373E4" w:rsidRPr="0069403C" w:rsidRDefault="00000000" w:rsidP="0069403C">
      <w:pPr>
        <w:pStyle w:val="Ttulo2"/>
        <w:rPr>
          <w:rFonts w:ascii="Times New Roman" w:hAnsi="Times New Roman" w:cs="Times New Roman"/>
          <w:color w:val="000000" w:themeColor="text1"/>
          <w:sz w:val="22"/>
          <w:szCs w:val="22"/>
          <w:lang w:val="es-CO"/>
        </w:rPr>
      </w:pPr>
      <w:bookmarkStart w:id="41" w:name="sec:limitations"/>
      <w:bookmarkEnd w:id="40"/>
      <w:r w:rsidRPr="0069403C">
        <w:rPr>
          <w:rFonts w:ascii="Times New Roman" w:hAnsi="Times New Roman" w:cs="Times New Roman"/>
          <w:color w:val="000000" w:themeColor="text1"/>
          <w:sz w:val="22"/>
          <w:szCs w:val="22"/>
          <w:lang w:val="es-CO"/>
        </w:rPr>
        <w:t>Amenazas a la validez y limitaciones</w:t>
      </w:r>
    </w:p>
    <w:p w14:paraId="381EC99B"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Varias limitaciones matizan estas conclusiones, tanto para cada estudio como para la síntesis entre estudios del artículo. Todos los resultados de ambos estudios están basados en simulación: los tres generadores de disrupción, aunque calibrados y verificados estadísticamente frente a sus propios parámetros objetivo (Sección </w:t>
      </w:r>
      <w:hyperlink w:anchor="sec:disruptionmodels">
        <w:r w:rsidRPr="0069403C">
          <w:rPr>
            <w:rStyle w:val="Hipervnculo"/>
            <w:rFonts w:ascii="Times New Roman" w:hAnsi="Times New Roman" w:cs="Times New Roman"/>
            <w:color w:val="000000" w:themeColor="text1"/>
            <w:sz w:val="22"/>
            <w:szCs w:val="22"/>
            <w:lang w:val="es-CO"/>
          </w:rPr>
          <w:t>3.1</w:t>
        </w:r>
      </w:hyperlink>
      <w:r w:rsidRPr="0069403C">
        <w:rPr>
          <w:rFonts w:ascii="Times New Roman" w:hAnsi="Times New Roman" w:cs="Times New Roman"/>
          <w:color w:val="000000" w:themeColor="text1"/>
          <w:sz w:val="22"/>
          <w:szCs w:val="22"/>
          <w:lang w:val="es-CO"/>
        </w:rPr>
        <w:t xml:space="preserve">), son modelos estilizados cuya fidelidad a un taller de producción particular no está establecida, y no se hace ninguna afirmación sobre ninguna instalación específica (Sargent 2011). Los programas predictivos exacto-óptimos del Estudio 1 se obtuvieron mediante un optimizador de presupuesto amplio y se verificaron frente a los óptimos certificados de la literatura, los cuales alcanzan en 7 de 16 instancias (brecha media de 3.08%); en las instancias más difíciles de </w:t>
      </w:r>
      <m:oMath>
        <m:r>
          <w:rPr>
            <w:rFonts w:ascii="Cambria Math" w:hAnsi="Cambria Math" w:cs="Times New Roman"/>
            <w:color w:val="000000" w:themeColor="text1"/>
            <w:sz w:val="22"/>
            <w:szCs w:val="22"/>
            <w:lang w:val="es-CO"/>
          </w:rPr>
          <m:t>10</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oMath>
      <w:r w:rsidRPr="0069403C">
        <w:rPr>
          <w:rFonts w:ascii="Times New Roman" w:hAnsi="Times New Roman" w:cs="Times New Roman"/>
          <w:color w:val="000000" w:themeColor="text1"/>
          <w:sz w:val="22"/>
          <w:szCs w:val="22"/>
          <w:lang w:val="es-CO"/>
        </w:rPr>
        <w:t xml:space="preserve"> y </w:t>
      </w:r>
      <m:oMath>
        <m:r>
          <w:rPr>
            <w:rFonts w:ascii="Cambria Math" w:hAnsi="Cambria Math" w:cs="Times New Roman"/>
            <w:color w:val="000000" w:themeColor="text1"/>
            <w:sz w:val="22"/>
            <w:szCs w:val="22"/>
            <w:lang w:val="es-CO"/>
          </w:rPr>
          <m:t>15</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10</m:t>
        </m:r>
      </m:oMath>
      <w:r w:rsidRPr="0069403C">
        <w:rPr>
          <w:rFonts w:ascii="Times New Roman" w:hAnsi="Times New Roman" w:cs="Times New Roman"/>
          <w:color w:val="000000" w:themeColor="text1"/>
          <w:sz w:val="22"/>
          <w:szCs w:val="22"/>
          <w:lang w:val="es-CO"/>
        </w:rPr>
        <w:t xml:space="preserve">, la referencia exacta es casi óptima en lugar de demostrablemente óptima, una brecha que, en todo caso, </w:t>
      </w:r>
      <w:r w:rsidRPr="0069403C">
        <w:rPr>
          <w:rFonts w:ascii="Times New Roman" w:hAnsi="Times New Roman" w:cs="Times New Roman"/>
          <w:i/>
          <w:iCs/>
          <w:color w:val="000000" w:themeColor="text1"/>
          <w:sz w:val="22"/>
          <w:szCs w:val="22"/>
          <w:lang w:val="es-CO"/>
        </w:rPr>
        <w:t>subestima</w:t>
      </w:r>
      <w:r w:rsidRPr="0069403C">
        <w:rPr>
          <w:rFonts w:ascii="Times New Roman" w:hAnsi="Times New Roman" w:cs="Times New Roman"/>
          <w:color w:val="000000" w:themeColor="text1"/>
          <w:sz w:val="22"/>
          <w:szCs w:val="22"/>
          <w:lang w:val="es-CO"/>
        </w:rPr>
        <w:t xml:space="preserve"> la fragilidad reportada, ya que un programa óptimo aún más ajustado habría tenido aún menos holgura. La política de reparación por desplazamiento a la derecha utilizada en el Estudio 1 es la más simple de la familia predictivo–reactiva; una política de reprogramación parcial más agresiva recuperaría parte de la calidad realizada de los métodos comprometidos, a costa de la estabilidad que preserva el desplazamiento a la derecha.</w:t>
      </w:r>
    </w:p>
    <w:p w14:paraId="1029134E"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Para el Estudio 2 específicamente: una sola semilla de entrenamiento por condición de </w:t>
      </w:r>
      <m:oMath>
        <m:r>
          <w:rPr>
            <w:rFonts w:ascii="Cambria Math" w:hAnsi="Cambria Math" w:cs="Times New Roman"/>
            <w:color w:val="000000" w:themeColor="text1"/>
            <w:sz w:val="22"/>
            <w:szCs w:val="22"/>
          </w:rPr>
          <m:t>κ</m:t>
        </m:r>
      </m:oMath>
      <w:r w:rsidRPr="0069403C">
        <w:rPr>
          <w:rFonts w:ascii="Times New Roman" w:hAnsi="Times New Roman" w:cs="Times New Roman"/>
          <w:color w:val="000000" w:themeColor="text1"/>
          <w:sz w:val="22"/>
          <w:szCs w:val="22"/>
          <w:lang w:val="es-CO"/>
        </w:rPr>
        <w:t xml:space="preserve"> limita la precisión, aunque no necesariamente la dirección, de las magnitudes de H4; una asimetría estructural entre la condición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m:t>
        </m:r>
        <m:r>
          <w:rPr>
            <w:rFonts w:ascii="Cambria Math" w:hAnsi="Cambria Math" w:cs="Times New Roman"/>
            <w:color w:val="000000" w:themeColor="text1"/>
            <w:sz w:val="22"/>
            <w:szCs w:val="22"/>
            <w:lang w:val="es-CO"/>
          </w:rPr>
          <m:t>0</m:t>
        </m:r>
      </m:oMath>
      <w:r w:rsidRPr="0069403C">
        <w:rPr>
          <w:rFonts w:ascii="Times New Roman" w:hAnsi="Times New Roman" w:cs="Times New Roman"/>
          <w:color w:val="000000" w:themeColor="text1"/>
          <w:sz w:val="22"/>
          <w:szCs w:val="22"/>
          <w:lang w:val="es-CO"/>
        </w:rPr>
        <w:t xml:space="preserve"> (una política entrenada estáticamente y evaluada mediante un adaptador frente al entorno dinámico) y las condiciones </w:t>
      </w:r>
      <m:oMath>
        <m:r>
          <w:rPr>
            <w:rFonts w:ascii="Cambria Math" w:hAnsi="Cambria Math" w:cs="Times New Roman"/>
            <w:color w:val="000000" w:themeColor="text1"/>
            <w:sz w:val="22"/>
            <w:szCs w:val="22"/>
          </w:rPr>
          <m:t>κ</m:t>
        </m:r>
        <m:r>
          <m:rPr>
            <m:sty m:val="p"/>
          </m:rPr>
          <w:rPr>
            <w:rFonts w:ascii="Cambria Math" w:hAnsi="Cambria Math" w:cs="Times New Roman"/>
            <w:color w:val="000000" w:themeColor="text1"/>
            <w:sz w:val="22"/>
            <w:szCs w:val="22"/>
            <w:lang w:val="es-CO"/>
          </w:rPr>
          <m:t>&gt;</m:t>
        </m:r>
        <m:r>
          <w:rPr>
            <w:rFonts w:ascii="Cambria Math" w:hAnsi="Cambria Math" w:cs="Times New Roman"/>
            <w:color w:val="000000" w:themeColor="text1"/>
            <w:sz w:val="22"/>
            <w:szCs w:val="22"/>
            <w:lang w:val="es-CO"/>
          </w:rPr>
          <m:t>0</m:t>
        </m:r>
      </m:oMath>
      <w:r w:rsidRPr="0069403C">
        <w:rPr>
          <w:rFonts w:ascii="Times New Roman" w:hAnsi="Times New Roman" w:cs="Times New Roman"/>
          <w:color w:val="000000" w:themeColor="text1"/>
          <w:sz w:val="22"/>
          <w:szCs w:val="22"/>
          <w:lang w:val="es-CO"/>
        </w:rPr>
        <w:t xml:space="preserve"> (entrenadas nativamente frente al contrato dinámico) implica que </w:t>
      </w:r>
      <m:oMath>
        <m:r>
          <w:rPr>
            <w:rFonts w:ascii="Cambria Math" w:hAnsi="Cambria Math" w:cs="Times New Roman"/>
            <w:color w:val="000000" w:themeColor="text1"/>
            <w:sz w:val="22"/>
            <w:szCs w:val="22"/>
          </w:rPr>
          <m:t>Δ</m:t>
        </m:r>
        <m:r>
          <m:rPr>
            <m:sty m:val="p"/>
          </m:rPr>
          <w:rPr>
            <w:rFonts w:ascii="Cambria Math" w:hAnsi="Cambria Math" w:cs="Times New Roman"/>
            <w:color w:val="000000" w:themeColor="text1"/>
            <w:sz w:val="22"/>
            <w:szCs w:val="22"/>
            <w:lang w:val="es-CO"/>
          </w:rPr>
          <m:t>RI</m:t>
        </m:r>
      </m:oMath>
      <w:r w:rsidRPr="0069403C">
        <w:rPr>
          <w:rFonts w:ascii="Times New Roman" w:hAnsi="Times New Roman" w:cs="Times New Roman"/>
          <w:color w:val="000000" w:themeColor="text1"/>
          <w:sz w:val="22"/>
          <w:szCs w:val="22"/>
          <w:lang w:val="es-CO"/>
        </w:rPr>
        <w:t xml:space="preserve"> no es un aislamiento completamente limpio del efecto del término de recompensa respecto a esta diferencia de régimen de entrenamiento; y el rechazo de H3 se diagnostica principalmente a través del hecho de que el eje de llegadas es el más alejado de la </w:t>
      </w:r>
      <w:r w:rsidRPr="0069403C">
        <w:rPr>
          <w:rFonts w:ascii="Times New Roman" w:hAnsi="Times New Roman" w:cs="Times New Roman"/>
          <w:color w:val="000000" w:themeColor="text1"/>
          <w:sz w:val="22"/>
          <w:szCs w:val="22"/>
          <w:lang w:val="es-CO"/>
        </w:rPr>
        <w:lastRenderedPageBreak/>
        <w:t>distribución de entrenamiento, pero ninguna ablación arquitectónica aísla la contribución específica del codificador relacional a la robustez respecto de la contribución del régimen de entrenamiento.</w:t>
      </w:r>
    </w:p>
    <w:p w14:paraId="12D66291"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Para la síntesis entre estudios del artículo específicamente (Sección </w:t>
      </w:r>
      <w:hyperlink w:anchor="sec:synthesis">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el Estudio 1 y el Estudio 2 utilizan conjuntos de instancias solapados pero no idénticos (Sección </w:t>
      </w:r>
      <w:hyperlink w:anchor="sec:s2baselines">
        <w:r w:rsidRPr="0069403C">
          <w:rPr>
            <w:rStyle w:val="Hipervnculo"/>
            <w:rFonts w:ascii="Times New Roman" w:hAnsi="Times New Roman" w:cs="Times New Roman"/>
            <w:color w:val="000000" w:themeColor="text1"/>
            <w:sz w:val="22"/>
            <w:szCs w:val="22"/>
            <w:lang w:val="es-CO"/>
          </w:rPr>
          <w:t>5.3</w:t>
        </w:r>
      </w:hyperlink>
      <w:r w:rsidRPr="0069403C">
        <w:rPr>
          <w:rFonts w:ascii="Times New Roman" w:hAnsi="Times New Roman" w:cs="Times New Roman"/>
          <w:color w:val="000000" w:themeColor="text1"/>
          <w:sz w:val="22"/>
          <w:szCs w:val="22"/>
          <w:lang w:val="es-CO"/>
        </w:rPr>
        <w:t>), por lo que el patrón transversal a los paradigmas de la Tabla </w:t>
      </w:r>
      <w:hyperlink w:anchor="tab:crossparadigm">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xml:space="preserve"> es cualitativo y basado en rangos por diseño, no una comparación cuantitativa agrupada; un estudio de seguimiento que evalúe los cuatro paradigmas en un único conjunto de instancias común y congelado — idealmente, a su vez, </w:t>
      </w:r>
      <w:proofErr w:type="spellStart"/>
      <w:r w:rsidRPr="0069403C">
        <w:rPr>
          <w:rFonts w:ascii="Times New Roman" w:hAnsi="Times New Roman" w:cs="Times New Roman"/>
          <w:color w:val="000000" w:themeColor="text1"/>
          <w:sz w:val="22"/>
          <w:szCs w:val="22"/>
          <w:lang w:val="es-CO"/>
        </w:rPr>
        <w:t>pre-registrado</w:t>
      </w:r>
      <w:proofErr w:type="spellEnd"/>
      <w:r w:rsidRPr="0069403C">
        <w:rPr>
          <w:rFonts w:ascii="Times New Roman" w:hAnsi="Times New Roman" w:cs="Times New Roman"/>
          <w:color w:val="000000" w:themeColor="text1"/>
          <w:sz w:val="22"/>
          <w:szCs w:val="22"/>
          <w:lang w:val="es-CO"/>
        </w:rPr>
        <w:t>, extendiendo la disciplina del Estudio 2 también a los paradigmas clásicos — es un siguiente paso natural y de alto valor, nombrado explícitamente en la Sección </w:t>
      </w:r>
      <w:hyperlink w:anchor="sec:conclusion">
        <w:r w:rsidRPr="0069403C">
          <w:rPr>
            <w:rStyle w:val="Hipervnculo"/>
            <w:rFonts w:ascii="Times New Roman" w:hAnsi="Times New Roman" w:cs="Times New Roman"/>
            <w:color w:val="000000" w:themeColor="text1"/>
            <w:sz w:val="22"/>
            <w:szCs w:val="22"/>
            <w:lang w:val="es-CO"/>
          </w:rPr>
          <w:t>9</w:t>
        </w:r>
      </w:hyperlink>
      <w:r w:rsidRPr="0069403C">
        <w:rPr>
          <w:rFonts w:ascii="Times New Roman" w:hAnsi="Times New Roman" w:cs="Times New Roman"/>
          <w:color w:val="000000" w:themeColor="text1"/>
          <w:sz w:val="22"/>
          <w:szCs w:val="22"/>
          <w:lang w:val="es-CO"/>
        </w:rPr>
        <w:t xml:space="preserve">. Finalmente, las familias de instancias utilizadas en ambos estudios se limitan a Fisher–Thompson, Lawrence y (para la rama FJSP del Estudio 2) Brandimarte; las instancias más grandes de </w:t>
      </w:r>
      <w:proofErr w:type="spellStart"/>
      <w:r w:rsidRPr="0069403C">
        <w:rPr>
          <w:rFonts w:ascii="Times New Roman" w:hAnsi="Times New Roman" w:cs="Times New Roman"/>
          <w:color w:val="000000" w:themeColor="text1"/>
          <w:sz w:val="22"/>
          <w:szCs w:val="22"/>
          <w:lang w:val="es-CO"/>
        </w:rPr>
        <w:t>Taillard</w:t>
      </w:r>
      <w:proofErr w:type="spellEnd"/>
      <w:r w:rsidRPr="0069403C">
        <w:rPr>
          <w:rFonts w:ascii="Times New Roman" w:hAnsi="Times New Roman" w:cs="Times New Roman"/>
          <w:color w:val="000000" w:themeColor="text1"/>
          <w:sz w:val="22"/>
          <w:szCs w:val="22"/>
          <w:lang w:val="es-CO"/>
        </w:rPr>
        <w:t xml:space="preserve"> y los objetivos basados en tardanza quedan para trabajo futuro en ambos estudios.</w:t>
      </w:r>
    </w:p>
    <w:p w14:paraId="4590163D" w14:textId="77777777" w:rsidR="00E373E4" w:rsidRPr="0069403C" w:rsidRDefault="00000000" w:rsidP="0069403C">
      <w:pPr>
        <w:pStyle w:val="Ttulo1"/>
        <w:rPr>
          <w:rFonts w:ascii="Times New Roman" w:hAnsi="Times New Roman" w:cs="Times New Roman"/>
          <w:color w:val="000000" w:themeColor="text1"/>
          <w:sz w:val="22"/>
          <w:szCs w:val="22"/>
          <w:lang w:val="es-CO"/>
        </w:rPr>
      </w:pPr>
      <w:bookmarkStart w:id="42" w:name="sec:conclusion"/>
      <w:bookmarkEnd w:id="35"/>
      <w:bookmarkEnd w:id="41"/>
      <w:r w:rsidRPr="0069403C">
        <w:rPr>
          <w:rFonts w:ascii="Times New Roman" w:hAnsi="Times New Roman" w:cs="Times New Roman"/>
          <w:color w:val="000000" w:themeColor="text1"/>
          <w:sz w:val="22"/>
          <w:szCs w:val="22"/>
          <w:lang w:val="es-CO"/>
        </w:rPr>
        <w:t>Conclusión</w:t>
      </w:r>
    </w:p>
    <w:p w14:paraId="43B1F987"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 xml:space="preserve">Este artículo preguntó si la calidad de un método bajo condiciones nominales, no perturbadas, predice su desempeño una vez que un taller de trabajos está sujeto a averías, tiempos de proceso estocásticos y llegadas dinámicas, y lo respondió a través de cuatro paradigmas computacionales en dos estudios vinculados y estadísticamente rigurosos. El Estudio 1 documenta una clara inversión dentro de los paradigmas clásicos: el programa exacto-óptimo, el mejor en datos nominales por un margen de tres a uno sobre la regla de despacho más fuerte, es el método menos robusto evaluado y el más frágil incluso en relación con un programa de metaheurística más holgado, porque la compacidad óptima no deja holgura para absorber la disrupción; su ventaja nominal no sobrevive a la ejecución, y bajo averías de máquina y llegadas dinámicas las reglas de despacho en línea lo superan o lo dominan en calidad realizada. El Estudio 2 </w:t>
      </w:r>
      <w:proofErr w:type="spellStart"/>
      <w:r w:rsidRPr="0069403C">
        <w:rPr>
          <w:rFonts w:ascii="Times New Roman" w:hAnsi="Times New Roman" w:cs="Times New Roman"/>
          <w:color w:val="000000" w:themeColor="text1"/>
          <w:sz w:val="22"/>
          <w:szCs w:val="22"/>
          <w:lang w:val="es-CO"/>
        </w:rPr>
        <w:t>pre-registra</w:t>
      </w:r>
      <w:proofErr w:type="spellEnd"/>
      <w:r w:rsidRPr="0069403C">
        <w:rPr>
          <w:rFonts w:ascii="Times New Roman" w:hAnsi="Times New Roman" w:cs="Times New Roman"/>
          <w:color w:val="000000" w:themeColor="text1"/>
          <w:sz w:val="22"/>
          <w:szCs w:val="22"/>
          <w:lang w:val="es-CO"/>
        </w:rPr>
        <w:t xml:space="preserve"> y luego prueba si un cuarto paradigma — una política relacional-GIN, basada en PPO, explícitamente diseñada y promocionada por su generalización de tamaño — escapa a este patrón, y encuentra que no lo hace: cuatro de sus cinco hipótesis </w:t>
      </w:r>
      <w:proofErr w:type="spellStart"/>
      <w:r w:rsidRPr="0069403C">
        <w:rPr>
          <w:rFonts w:ascii="Times New Roman" w:hAnsi="Times New Roman" w:cs="Times New Roman"/>
          <w:color w:val="000000" w:themeColor="text1"/>
          <w:sz w:val="22"/>
          <w:szCs w:val="22"/>
          <w:lang w:val="es-CO"/>
        </w:rPr>
        <w:t>pre-registradas</w:t>
      </w:r>
      <w:proofErr w:type="spellEnd"/>
      <w:r w:rsidRPr="0069403C">
        <w:rPr>
          <w:rFonts w:ascii="Times New Roman" w:hAnsi="Times New Roman" w:cs="Times New Roman"/>
          <w:color w:val="000000" w:themeColor="text1"/>
          <w:sz w:val="22"/>
          <w:szCs w:val="22"/>
          <w:lang w:val="es-CO"/>
        </w:rPr>
        <w:t xml:space="preserve"> se rechazan, con un mecanismo diagnosticado y accionable para cada rechazo en lugar de un resultado negativo sin explicación, y la única hipótesis aceptada (generalización de tamaño, H2) traslada solo la competitividad relativa de rango, no la calidad absoluta ni la robustez que un profesional realmente necesitaría.</w:t>
      </w:r>
    </w:p>
    <w:p w14:paraId="1DBE81F1" w14:textId="77777777" w:rsidR="00E373E4" w:rsidRPr="0069403C" w:rsidRDefault="00000000" w:rsidP="0069403C">
      <w:pPr>
        <w:pStyle w:val="Textoindependiente"/>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Leídos en conjunto, y sintetizados explícitamente en la Sección </w:t>
      </w:r>
      <w:hyperlink w:anchor="sec:synthesis">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xml:space="preserve">, los dos estudios respaldan una conclusión que ninguno podría establecer por sí solo: la optimalidad exacta, la búsqueda evolutiva y el aprendizaje por refuerzo profundo arquitectónico e invariante al tamaño son cada uno, a su manera, objetivos en conflicto con la robustez ante la disrupción en el taller de trabajos dinámico, y para cualquier entorno donde la disrupción sea más que leve, una regla de despacho simple de balanceo de carga no es meramente un respaldo computacionalmente económico, sino frecuentemente la mejor política desplegada, entre todos los paradigmas evaluados aquí, exactos o aprendidos. El trabajo futuro incluye un único conjunto de instancias común y </w:t>
      </w:r>
      <w:proofErr w:type="spellStart"/>
      <w:r w:rsidRPr="0069403C">
        <w:rPr>
          <w:rFonts w:ascii="Times New Roman" w:hAnsi="Times New Roman" w:cs="Times New Roman"/>
          <w:color w:val="000000" w:themeColor="text1"/>
          <w:sz w:val="22"/>
          <w:szCs w:val="22"/>
          <w:lang w:val="es-CO"/>
        </w:rPr>
        <w:t>pre-registrado</w:t>
      </w:r>
      <w:proofErr w:type="spellEnd"/>
      <w:r w:rsidRPr="0069403C">
        <w:rPr>
          <w:rFonts w:ascii="Times New Roman" w:hAnsi="Times New Roman" w:cs="Times New Roman"/>
          <w:color w:val="000000" w:themeColor="text1"/>
          <w:sz w:val="22"/>
          <w:szCs w:val="22"/>
          <w:lang w:val="es-CO"/>
        </w:rPr>
        <w:t xml:space="preserve"> que abarque los cuatro paradigmas, para hacer que la comparación transversal a los paradigmas de la Sección </w:t>
      </w:r>
      <w:hyperlink w:anchor="sec:synthesis">
        <w:r w:rsidRPr="0069403C">
          <w:rPr>
            <w:rStyle w:val="Hipervnculo"/>
            <w:rFonts w:ascii="Times New Roman" w:hAnsi="Times New Roman" w:cs="Times New Roman"/>
            <w:color w:val="000000" w:themeColor="text1"/>
            <w:sz w:val="22"/>
            <w:szCs w:val="22"/>
            <w:lang w:val="es-CO"/>
          </w:rPr>
          <w:t>7</w:t>
        </w:r>
      </w:hyperlink>
      <w:r w:rsidRPr="0069403C">
        <w:rPr>
          <w:rFonts w:ascii="Times New Roman" w:hAnsi="Times New Roman" w:cs="Times New Roman"/>
          <w:color w:val="000000" w:themeColor="text1"/>
          <w:sz w:val="22"/>
          <w:szCs w:val="22"/>
          <w:lang w:val="es-CO"/>
        </w:rPr>
        <w:t xml:space="preserve"> sea completamente cuantitativa en lugar de basada en rangos; una ablación arquitectónica que aísle la contribución específica del codificador relacional a la robustez respecto de su régimen de entrenamiento; un procedimiento de entrenamiento con aleatorización de dominio corregido que preserve la exposición a episodios nominales; una réplica </w:t>
      </w:r>
      <w:proofErr w:type="spellStart"/>
      <w:r w:rsidRPr="0069403C">
        <w:rPr>
          <w:rFonts w:ascii="Times New Roman" w:hAnsi="Times New Roman" w:cs="Times New Roman"/>
          <w:color w:val="000000" w:themeColor="text1"/>
          <w:sz w:val="22"/>
          <w:szCs w:val="22"/>
          <w:lang w:val="es-CO"/>
        </w:rPr>
        <w:t>multi-semilla</w:t>
      </w:r>
      <w:proofErr w:type="spellEnd"/>
      <w:r w:rsidRPr="0069403C">
        <w:rPr>
          <w:rFonts w:ascii="Times New Roman" w:hAnsi="Times New Roman" w:cs="Times New Roman"/>
          <w:color w:val="000000" w:themeColor="text1"/>
          <w:sz w:val="22"/>
          <w:szCs w:val="22"/>
          <w:lang w:val="es-CO"/>
        </w:rPr>
        <w:t xml:space="preserve"> de la ablación de </w:t>
      </w:r>
      <m:oMath>
        <m:r>
          <w:rPr>
            <w:rFonts w:ascii="Cambria Math" w:hAnsi="Cambria Math" w:cs="Times New Roman"/>
            <w:color w:val="000000" w:themeColor="text1"/>
            <w:sz w:val="22"/>
            <w:szCs w:val="22"/>
          </w:rPr>
          <m:t>κ</m:t>
        </m:r>
      </m:oMath>
      <w:r w:rsidRPr="0069403C">
        <w:rPr>
          <w:rFonts w:ascii="Times New Roman" w:hAnsi="Times New Roman" w:cs="Times New Roman"/>
          <w:color w:val="000000" w:themeColor="text1"/>
          <w:sz w:val="22"/>
          <w:szCs w:val="22"/>
          <w:lang w:val="es-CO"/>
        </w:rPr>
        <w:t>; la extensión al taller de trabajos flexible a la escala de Taillard y a objetivos basados en tardanza; y, en última instancia, la validación frente a datos de disrupción de un entorno de producción real, dado que todo resultado reportado en ambos estudios se obtiene bajo simulación.</w:t>
      </w:r>
    </w:p>
    <w:p w14:paraId="308BC27C" w14:textId="77777777" w:rsidR="00E373E4" w:rsidRPr="0069403C" w:rsidRDefault="00000000" w:rsidP="0069403C">
      <w:pPr>
        <w:pStyle w:val="Ttulo4"/>
        <w:rPr>
          <w:rFonts w:ascii="Times New Roman" w:hAnsi="Times New Roman" w:cs="Times New Roman"/>
          <w:color w:val="000000" w:themeColor="text1"/>
          <w:sz w:val="22"/>
          <w:szCs w:val="22"/>
          <w:lang w:val="es-CO"/>
        </w:rPr>
      </w:pPr>
      <w:bookmarkStart w:id="43" w:name="declaración-de-disponibilidad-de-datos."/>
      <w:r w:rsidRPr="0069403C">
        <w:rPr>
          <w:rFonts w:ascii="Times New Roman" w:hAnsi="Times New Roman" w:cs="Times New Roman"/>
          <w:color w:val="000000" w:themeColor="text1"/>
          <w:sz w:val="22"/>
          <w:szCs w:val="22"/>
          <w:lang w:val="es-CO"/>
        </w:rPr>
        <w:lastRenderedPageBreak/>
        <w:t>Declaración de disponibilidad de datos.</w:t>
      </w:r>
    </w:p>
    <w:p w14:paraId="7CB0D0E8"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El entorno de simulación, los generadores de disrupción, las implementaciones del solucionador y de las reglas de despacho, la implementación de la política GNN–PPO y los puntos de control (</w:t>
      </w:r>
      <w:proofErr w:type="spellStart"/>
      <w:r w:rsidRPr="0069403C">
        <w:rPr>
          <w:rFonts w:ascii="Times New Roman" w:hAnsi="Times New Roman" w:cs="Times New Roman"/>
          <w:color w:val="000000" w:themeColor="text1"/>
          <w:sz w:val="22"/>
          <w:szCs w:val="22"/>
          <w:lang w:val="es-CO"/>
        </w:rPr>
        <w:t>checkpoints</w:t>
      </w:r>
      <w:proofErr w:type="spellEnd"/>
      <w:r w:rsidRPr="0069403C">
        <w:rPr>
          <w:rFonts w:ascii="Times New Roman" w:hAnsi="Times New Roman" w:cs="Times New Roman"/>
          <w:color w:val="000000" w:themeColor="text1"/>
          <w:sz w:val="22"/>
          <w:szCs w:val="22"/>
          <w:lang w:val="es-CO"/>
        </w:rPr>
        <w:t>) entrenados, y el código completo de resultados experimentales y de análisis que respaldan los hallazgos de ambos estudios se mantienen en un repositorio con control de versiones, con un depósito de archivo permanente en preparación al momento de escribir este artículo. Los identificadores del repositorio y del depósito se proporcionarán tras la aceptación; los lectores interesados pueden contactar al autor de correspondencia mientras tanto.</w:t>
      </w:r>
    </w:p>
    <w:p w14:paraId="264B4786" w14:textId="77777777" w:rsidR="00E373E4" w:rsidRPr="0069403C" w:rsidRDefault="00000000" w:rsidP="0069403C">
      <w:pPr>
        <w:pStyle w:val="Ttulo4"/>
        <w:rPr>
          <w:rFonts w:ascii="Times New Roman" w:hAnsi="Times New Roman" w:cs="Times New Roman"/>
          <w:color w:val="000000" w:themeColor="text1"/>
          <w:sz w:val="22"/>
          <w:szCs w:val="22"/>
          <w:lang w:val="es-CO"/>
        </w:rPr>
      </w:pPr>
      <w:bookmarkStart w:id="44" w:name="financiamiento."/>
      <w:bookmarkEnd w:id="43"/>
      <w:r w:rsidRPr="0069403C">
        <w:rPr>
          <w:rFonts w:ascii="Times New Roman" w:hAnsi="Times New Roman" w:cs="Times New Roman"/>
          <w:color w:val="000000" w:themeColor="text1"/>
          <w:sz w:val="22"/>
          <w:szCs w:val="22"/>
          <w:lang w:val="es-CO"/>
        </w:rPr>
        <w:t>Financiamiento.</w:t>
      </w:r>
    </w:p>
    <w:p w14:paraId="3103A13E"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Esta investigación no recibió ninguna subvención específica de agencias de financiamiento de los sectores público, comercial o sin fines de lucro.</w:t>
      </w:r>
    </w:p>
    <w:p w14:paraId="734D9EE3" w14:textId="77777777" w:rsidR="00E373E4" w:rsidRPr="0069403C" w:rsidRDefault="00000000" w:rsidP="0069403C">
      <w:pPr>
        <w:pStyle w:val="Ttulo4"/>
        <w:rPr>
          <w:rFonts w:ascii="Times New Roman" w:hAnsi="Times New Roman" w:cs="Times New Roman"/>
          <w:color w:val="000000" w:themeColor="text1"/>
          <w:sz w:val="22"/>
          <w:szCs w:val="22"/>
          <w:lang w:val="es-CO"/>
        </w:rPr>
      </w:pPr>
      <w:bookmarkStart w:id="45" w:name="declaración-de-conflicto-de-intereses."/>
      <w:bookmarkEnd w:id="44"/>
      <w:r w:rsidRPr="0069403C">
        <w:rPr>
          <w:rFonts w:ascii="Times New Roman" w:hAnsi="Times New Roman" w:cs="Times New Roman"/>
          <w:color w:val="000000" w:themeColor="text1"/>
          <w:sz w:val="22"/>
          <w:szCs w:val="22"/>
          <w:lang w:val="es-CO"/>
        </w:rPr>
        <w:t>Declaración de conflicto de intereses.</w:t>
      </w:r>
    </w:p>
    <w:p w14:paraId="03D562BB" w14:textId="77777777" w:rsidR="00E373E4" w:rsidRPr="0069403C" w:rsidRDefault="00000000" w:rsidP="0069403C">
      <w:pPr>
        <w:pStyle w:val="FirstParagraph"/>
        <w:rPr>
          <w:rFonts w:ascii="Times New Roman" w:hAnsi="Times New Roman" w:cs="Times New Roman"/>
          <w:color w:val="000000" w:themeColor="text1"/>
          <w:sz w:val="22"/>
          <w:szCs w:val="22"/>
          <w:lang w:val="es-CO"/>
        </w:rPr>
      </w:pPr>
      <w:r w:rsidRPr="0069403C">
        <w:rPr>
          <w:rFonts w:ascii="Times New Roman" w:hAnsi="Times New Roman" w:cs="Times New Roman"/>
          <w:color w:val="000000" w:themeColor="text1"/>
          <w:sz w:val="22"/>
          <w:szCs w:val="22"/>
          <w:lang w:val="es-CO"/>
        </w:rPr>
        <w:t>El autor declara no tener conflictos de intereses financieros o relaciones personales conocidos que pudieran haber influido en el trabajo reportado en este artículo.</w:t>
      </w:r>
    </w:p>
    <w:p w14:paraId="2C394194"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46" w:name="ref-abgaryan2025starjob"/>
      <w:bookmarkStart w:id="47" w:name="refs"/>
      <w:r w:rsidRPr="0069403C">
        <w:rPr>
          <w:rFonts w:ascii="Times New Roman" w:hAnsi="Times New Roman" w:cs="Times New Roman"/>
          <w:color w:val="000000" w:themeColor="text1"/>
          <w:sz w:val="22"/>
          <w:szCs w:val="22"/>
        </w:rPr>
        <w:t>Abgaryan, Henry, Tristan Cazenave, and Ararat Harutyunyan. 2025. “Starjob: Dataset for LLM-Driven Job Shop Scheduling.”</w:t>
      </w:r>
    </w:p>
    <w:p w14:paraId="2B959399"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48" w:name="ref-artigues2005"/>
      <w:bookmarkEnd w:id="46"/>
      <w:r w:rsidRPr="0069403C">
        <w:rPr>
          <w:rFonts w:ascii="Times New Roman" w:hAnsi="Times New Roman" w:cs="Times New Roman"/>
          <w:color w:val="000000" w:themeColor="text1"/>
          <w:sz w:val="22"/>
          <w:szCs w:val="22"/>
        </w:rPr>
        <w:t xml:space="preserve">Artigues, Christian, Jean-Charles Billaut, and Cyril Esswein. 2005. “Maximization of Solution Flexibility for Robust Shop Scheduling.” </w:t>
      </w:r>
      <w:r w:rsidRPr="0069403C">
        <w:rPr>
          <w:rFonts w:ascii="Times New Roman" w:hAnsi="Times New Roman" w:cs="Times New Roman"/>
          <w:i/>
          <w:iCs/>
          <w:color w:val="000000" w:themeColor="text1"/>
          <w:sz w:val="22"/>
          <w:szCs w:val="22"/>
        </w:rPr>
        <w:t>European Journal of Operational Research</w:t>
      </w:r>
      <w:r w:rsidRPr="0069403C">
        <w:rPr>
          <w:rFonts w:ascii="Times New Roman" w:hAnsi="Times New Roman" w:cs="Times New Roman"/>
          <w:color w:val="000000" w:themeColor="text1"/>
          <w:sz w:val="22"/>
          <w:szCs w:val="22"/>
        </w:rPr>
        <w:t xml:space="preserve"> 165 (2): 314–28.</w:t>
      </w:r>
    </w:p>
    <w:p w14:paraId="244C1D57"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49" w:name="ref-aytug2005"/>
      <w:bookmarkEnd w:id="48"/>
      <w:r w:rsidRPr="0069403C">
        <w:rPr>
          <w:rFonts w:ascii="Times New Roman" w:hAnsi="Times New Roman" w:cs="Times New Roman"/>
          <w:color w:val="000000" w:themeColor="text1"/>
          <w:sz w:val="22"/>
          <w:szCs w:val="22"/>
        </w:rPr>
        <w:t xml:space="preserve">Aytug, Haldun, Mark A. Lawley, Kenneth McKay, Shantha Mohan, and Reha Uzsoy. 2005. “Executing Production Schedules in the Face of Uncertainties: A Review and Some Future Directions.” </w:t>
      </w:r>
      <w:r w:rsidRPr="0069403C">
        <w:rPr>
          <w:rFonts w:ascii="Times New Roman" w:hAnsi="Times New Roman" w:cs="Times New Roman"/>
          <w:i/>
          <w:iCs/>
          <w:color w:val="000000" w:themeColor="text1"/>
          <w:sz w:val="22"/>
          <w:szCs w:val="22"/>
        </w:rPr>
        <w:t>European Journal of Operational Research</w:t>
      </w:r>
      <w:r w:rsidRPr="0069403C">
        <w:rPr>
          <w:rFonts w:ascii="Times New Roman" w:hAnsi="Times New Roman" w:cs="Times New Roman"/>
          <w:color w:val="000000" w:themeColor="text1"/>
          <w:sz w:val="22"/>
          <w:szCs w:val="22"/>
        </w:rPr>
        <w:t xml:space="preserve"> 161 (1): 86–110.</w:t>
      </w:r>
    </w:p>
    <w:p w14:paraId="170E5465"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50" w:name="ref-brandimarte1993"/>
      <w:bookmarkEnd w:id="49"/>
      <w:r w:rsidRPr="0069403C">
        <w:rPr>
          <w:rFonts w:ascii="Times New Roman" w:hAnsi="Times New Roman" w:cs="Times New Roman"/>
          <w:color w:val="000000" w:themeColor="text1"/>
          <w:sz w:val="22"/>
          <w:szCs w:val="22"/>
        </w:rPr>
        <w:t xml:space="preserve">Brandimarte, Paolo. 1993. “Routing and Scheduling in a Flexible Job Shop by Tabu Search.” </w:t>
      </w:r>
      <w:r w:rsidRPr="0069403C">
        <w:rPr>
          <w:rFonts w:ascii="Times New Roman" w:hAnsi="Times New Roman" w:cs="Times New Roman"/>
          <w:i/>
          <w:iCs/>
          <w:color w:val="000000" w:themeColor="text1"/>
          <w:sz w:val="22"/>
          <w:szCs w:val="22"/>
        </w:rPr>
        <w:t>Annals of Operations Research</w:t>
      </w:r>
      <w:r w:rsidRPr="0069403C">
        <w:rPr>
          <w:rFonts w:ascii="Times New Roman" w:hAnsi="Times New Roman" w:cs="Times New Roman"/>
          <w:color w:val="000000" w:themeColor="text1"/>
          <w:sz w:val="22"/>
          <w:szCs w:val="22"/>
        </w:rPr>
        <w:t xml:space="preserve"> 41 (3): 157–83.</w:t>
      </w:r>
    </w:p>
    <w:p w14:paraId="1BC86C9A"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51" w:name="ref-cao2025reflecsched"/>
      <w:bookmarkEnd w:id="50"/>
      <w:r w:rsidRPr="0069403C">
        <w:rPr>
          <w:rFonts w:ascii="Times New Roman" w:hAnsi="Times New Roman" w:cs="Times New Roman"/>
          <w:color w:val="000000" w:themeColor="text1"/>
          <w:sz w:val="22"/>
          <w:szCs w:val="22"/>
        </w:rPr>
        <w:t>Cao, Shi, and Yi Yuan. 2025. “ReflecSched: Solving Dynamic Flexible Job-Shop Scheduling via LLM-Powered Hierarchical Reflection.”</w:t>
      </w:r>
    </w:p>
    <w:p w14:paraId="72FB157A"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52" w:name="ref-chaudhry2016"/>
      <w:bookmarkEnd w:id="51"/>
      <w:r w:rsidRPr="0069403C">
        <w:rPr>
          <w:rFonts w:ascii="Times New Roman" w:hAnsi="Times New Roman" w:cs="Times New Roman"/>
          <w:color w:val="000000" w:themeColor="text1"/>
          <w:sz w:val="22"/>
          <w:szCs w:val="22"/>
        </w:rPr>
        <w:t xml:space="preserve">Chaudhry, Imran Ali, and Abid Ali Khan. 2016. “A Research Survey: Review of Flexible Job Shop Scheduling Techniques.” </w:t>
      </w:r>
      <w:r w:rsidRPr="0069403C">
        <w:rPr>
          <w:rFonts w:ascii="Times New Roman" w:hAnsi="Times New Roman" w:cs="Times New Roman"/>
          <w:i/>
          <w:iCs/>
          <w:color w:val="000000" w:themeColor="text1"/>
          <w:sz w:val="22"/>
          <w:szCs w:val="22"/>
        </w:rPr>
        <w:t>International Transactions in Operational Research</w:t>
      </w:r>
      <w:r w:rsidRPr="0069403C">
        <w:rPr>
          <w:rFonts w:ascii="Times New Roman" w:hAnsi="Times New Roman" w:cs="Times New Roman"/>
          <w:color w:val="000000" w:themeColor="text1"/>
          <w:sz w:val="22"/>
          <w:szCs w:val="22"/>
        </w:rPr>
        <w:t xml:space="preserve"> 23 (3): 551–91.</w:t>
      </w:r>
    </w:p>
    <w:p w14:paraId="2573D8BE"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53" w:name="ref-davenport2000"/>
      <w:bookmarkEnd w:id="52"/>
      <w:r w:rsidRPr="0069403C">
        <w:rPr>
          <w:rFonts w:ascii="Times New Roman" w:hAnsi="Times New Roman" w:cs="Times New Roman"/>
          <w:color w:val="000000" w:themeColor="text1"/>
          <w:sz w:val="22"/>
          <w:szCs w:val="22"/>
        </w:rPr>
        <w:t xml:space="preserve">Davenport, Andrew J., Christophe Gefflot, and J. Christopher Beck. 2000. “Slack-Based Techniques for Robust Schedules.” In </w:t>
      </w:r>
      <w:r w:rsidRPr="0069403C">
        <w:rPr>
          <w:rFonts w:ascii="Times New Roman" w:hAnsi="Times New Roman" w:cs="Times New Roman"/>
          <w:i/>
          <w:iCs/>
          <w:color w:val="000000" w:themeColor="text1"/>
          <w:sz w:val="22"/>
          <w:szCs w:val="22"/>
        </w:rPr>
        <w:t>Proceedings of the 6th European Conference on Planning (ECP)</w:t>
      </w:r>
      <w:r w:rsidRPr="0069403C">
        <w:rPr>
          <w:rFonts w:ascii="Times New Roman" w:hAnsi="Times New Roman" w:cs="Times New Roman"/>
          <w:color w:val="000000" w:themeColor="text1"/>
          <w:sz w:val="22"/>
          <w:szCs w:val="22"/>
        </w:rPr>
        <w:t>, 7–18.</w:t>
      </w:r>
    </w:p>
    <w:p w14:paraId="684EA865"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54" w:name="ref-demsar2006"/>
      <w:bookmarkEnd w:id="53"/>
      <w:r w:rsidRPr="0069403C">
        <w:rPr>
          <w:rFonts w:ascii="Times New Roman" w:hAnsi="Times New Roman" w:cs="Times New Roman"/>
          <w:color w:val="000000" w:themeColor="text1"/>
          <w:sz w:val="22"/>
          <w:szCs w:val="22"/>
        </w:rPr>
        <w:t xml:space="preserve">Demšar, Janez. 2006. “Statistical Comparisons of Classifiers over Multiple Data Sets.” </w:t>
      </w:r>
      <w:r w:rsidRPr="0069403C">
        <w:rPr>
          <w:rFonts w:ascii="Times New Roman" w:hAnsi="Times New Roman" w:cs="Times New Roman"/>
          <w:i/>
          <w:iCs/>
          <w:color w:val="000000" w:themeColor="text1"/>
          <w:sz w:val="22"/>
          <w:szCs w:val="22"/>
        </w:rPr>
        <w:t>Journal of Machine Learning Research</w:t>
      </w:r>
      <w:r w:rsidRPr="0069403C">
        <w:rPr>
          <w:rFonts w:ascii="Times New Roman" w:hAnsi="Times New Roman" w:cs="Times New Roman"/>
          <w:color w:val="000000" w:themeColor="text1"/>
          <w:sz w:val="22"/>
          <w:szCs w:val="22"/>
        </w:rPr>
        <w:t xml:space="preserve"> 7: 1–30.</w:t>
      </w:r>
    </w:p>
    <w:p w14:paraId="2C9F0D73"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55" w:name="ref-fisher1963"/>
      <w:bookmarkEnd w:id="54"/>
      <w:r w:rsidRPr="0069403C">
        <w:rPr>
          <w:rFonts w:ascii="Times New Roman" w:hAnsi="Times New Roman" w:cs="Times New Roman"/>
          <w:color w:val="000000" w:themeColor="text1"/>
          <w:sz w:val="22"/>
          <w:szCs w:val="22"/>
        </w:rPr>
        <w:t xml:space="preserve">Fisher, Henry, and Gerald L. Thompson. 1963. “Probabilistic Learning Combinations of Local Job-Shop Scheduling Rules.” In </w:t>
      </w:r>
      <w:r w:rsidRPr="0069403C">
        <w:rPr>
          <w:rFonts w:ascii="Times New Roman" w:hAnsi="Times New Roman" w:cs="Times New Roman"/>
          <w:i/>
          <w:iCs/>
          <w:color w:val="000000" w:themeColor="text1"/>
          <w:sz w:val="22"/>
          <w:szCs w:val="22"/>
        </w:rPr>
        <w:t>Industrial Scheduling</w:t>
      </w:r>
      <w:r w:rsidRPr="0069403C">
        <w:rPr>
          <w:rFonts w:ascii="Times New Roman" w:hAnsi="Times New Roman" w:cs="Times New Roman"/>
          <w:color w:val="000000" w:themeColor="text1"/>
          <w:sz w:val="22"/>
          <w:szCs w:val="22"/>
        </w:rPr>
        <w:t>, edited by J. F. Muth and G. L. Thompson, 225–51. Englewood Cliffs, NJ: Prentice-Hall.</w:t>
      </w:r>
    </w:p>
    <w:p w14:paraId="6CD3B7B0"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56" w:name="ref-friedman1937"/>
      <w:bookmarkEnd w:id="55"/>
      <w:r w:rsidRPr="0069403C">
        <w:rPr>
          <w:rFonts w:ascii="Times New Roman" w:hAnsi="Times New Roman" w:cs="Times New Roman"/>
          <w:color w:val="000000" w:themeColor="text1"/>
          <w:sz w:val="22"/>
          <w:szCs w:val="22"/>
        </w:rPr>
        <w:t xml:space="preserve">Friedman, Milton. 1937. “The Use of Ranks to Avoid the Assumption of Normality Implicit in the Analysis of Variance.” </w:t>
      </w:r>
      <w:r w:rsidRPr="0069403C">
        <w:rPr>
          <w:rFonts w:ascii="Times New Roman" w:hAnsi="Times New Roman" w:cs="Times New Roman"/>
          <w:i/>
          <w:iCs/>
          <w:color w:val="000000" w:themeColor="text1"/>
          <w:sz w:val="22"/>
          <w:szCs w:val="22"/>
        </w:rPr>
        <w:t>Journal of the American Statistical Association</w:t>
      </w:r>
      <w:r w:rsidRPr="0069403C">
        <w:rPr>
          <w:rFonts w:ascii="Times New Roman" w:hAnsi="Times New Roman" w:cs="Times New Roman"/>
          <w:color w:val="000000" w:themeColor="text1"/>
          <w:sz w:val="22"/>
          <w:szCs w:val="22"/>
        </w:rPr>
        <w:t xml:space="preserve"> 32 (200): 675–701.</w:t>
      </w:r>
    </w:p>
    <w:p w14:paraId="113ABCA6"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57" w:name="ref-garey1976"/>
      <w:bookmarkEnd w:id="56"/>
      <w:r w:rsidRPr="0069403C">
        <w:rPr>
          <w:rFonts w:ascii="Times New Roman" w:hAnsi="Times New Roman" w:cs="Times New Roman"/>
          <w:color w:val="000000" w:themeColor="text1"/>
          <w:sz w:val="22"/>
          <w:szCs w:val="22"/>
        </w:rPr>
        <w:lastRenderedPageBreak/>
        <w:t xml:space="preserve">Garey, Michael R., David S. Johnson, and Ravi Sethi. 1976. “The Complexity of Flowshop and Jobshop Scheduling.” </w:t>
      </w:r>
      <w:r w:rsidRPr="0069403C">
        <w:rPr>
          <w:rFonts w:ascii="Times New Roman" w:hAnsi="Times New Roman" w:cs="Times New Roman"/>
          <w:i/>
          <w:iCs/>
          <w:color w:val="000000" w:themeColor="text1"/>
          <w:sz w:val="22"/>
          <w:szCs w:val="22"/>
        </w:rPr>
        <w:t>Mathematics of Operations Research</w:t>
      </w:r>
      <w:r w:rsidRPr="0069403C">
        <w:rPr>
          <w:rFonts w:ascii="Times New Roman" w:hAnsi="Times New Roman" w:cs="Times New Roman"/>
          <w:color w:val="000000" w:themeColor="text1"/>
          <w:sz w:val="22"/>
          <w:szCs w:val="22"/>
        </w:rPr>
        <w:t xml:space="preserve"> 1 (2): 117–29.</w:t>
      </w:r>
    </w:p>
    <w:p w14:paraId="1563DA63"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58" w:name="ref-goren2008"/>
      <w:bookmarkEnd w:id="57"/>
      <w:r w:rsidRPr="0069403C">
        <w:rPr>
          <w:rFonts w:ascii="Times New Roman" w:hAnsi="Times New Roman" w:cs="Times New Roman"/>
          <w:color w:val="000000" w:themeColor="text1"/>
          <w:sz w:val="22"/>
          <w:szCs w:val="22"/>
        </w:rPr>
        <w:t xml:space="preserve">Goren, Selin, and Ihsan Sabuncuoglu. 2008. “Robustness and Stability Measures for Scheduling: Single-Machine Environment.” </w:t>
      </w:r>
      <w:r w:rsidRPr="0069403C">
        <w:rPr>
          <w:rFonts w:ascii="Times New Roman" w:hAnsi="Times New Roman" w:cs="Times New Roman"/>
          <w:i/>
          <w:iCs/>
          <w:color w:val="000000" w:themeColor="text1"/>
          <w:sz w:val="22"/>
          <w:szCs w:val="22"/>
        </w:rPr>
        <w:t>IIE Transactions</w:t>
      </w:r>
      <w:r w:rsidRPr="0069403C">
        <w:rPr>
          <w:rFonts w:ascii="Times New Roman" w:hAnsi="Times New Roman" w:cs="Times New Roman"/>
          <w:color w:val="000000" w:themeColor="text1"/>
          <w:sz w:val="22"/>
          <w:szCs w:val="22"/>
        </w:rPr>
        <w:t xml:space="preserve"> 40 (1): 66–83.</w:t>
      </w:r>
    </w:p>
    <w:p w14:paraId="32BDD6A4"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59" w:name="ref-graham1979"/>
      <w:bookmarkEnd w:id="58"/>
      <w:r w:rsidRPr="0069403C">
        <w:rPr>
          <w:rFonts w:ascii="Times New Roman" w:hAnsi="Times New Roman" w:cs="Times New Roman"/>
          <w:color w:val="000000" w:themeColor="text1"/>
          <w:sz w:val="22"/>
          <w:szCs w:val="22"/>
        </w:rPr>
        <w:t xml:space="preserve">Graham, R. L., E. L. Lawler, J. K. Lenstra, and A. H. G. Rinnooy Kan. 1979. “Optimization and Approximation in Deterministic Sequencing and Scheduling: A Survey.” </w:t>
      </w:r>
      <w:r w:rsidRPr="0069403C">
        <w:rPr>
          <w:rFonts w:ascii="Times New Roman" w:hAnsi="Times New Roman" w:cs="Times New Roman"/>
          <w:i/>
          <w:iCs/>
          <w:color w:val="000000" w:themeColor="text1"/>
          <w:sz w:val="22"/>
          <w:szCs w:val="22"/>
        </w:rPr>
        <w:t>Annals of Discrete Mathematics</w:t>
      </w:r>
      <w:r w:rsidRPr="0069403C">
        <w:rPr>
          <w:rFonts w:ascii="Times New Roman" w:hAnsi="Times New Roman" w:cs="Times New Roman"/>
          <w:color w:val="000000" w:themeColor="text1"/>
          <w:sz w:val="22"/>
          <w:szCs w:val="22"/>
        </w:rPr>
        <w:t xml:space="preserve"> 5: 287–326.</w:t>
      </w:r>
    </w:p>
    <w:p w14:paraId="37E020C7"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60" w:name="ref-hamilton2017graphsage"/>
      <w:bookmarkEnd w:id="59"/>
      <w:r w:rsidRPr="0069403C">
        <w:rPr>
          <w:rFonts w:ascii="Times New Roman" w:hAnsi="Times New Roman" w:cs="Times New Roman"/>
          <w:color w:val="000000" w:themeColor="text1"/>
          <w:sz w:val="22"/>
          <w:szCs w:val="22"/>
        </w:rPr>
        <w:t xml:space="preserve">Hamilton, William L., Rex Ying, and Jure Leskovec. 2017. “Inductive Representation Learning on Large Graphs.” In </w:t>
      </w:r>
      <w:r w:rsidRPr="0069403C">
        <w:rPr>
          <w:rFonts w:ascii="Times New Roman" w:hAnsi="Times New Roman" w:cs="Times New Roman"/>
          <w:i/>
          <w:iCs/>
          <w:color w:val="000000" w:themeColor="text1"/>
          <w:sz w:val="22"/>
          <w:szCs w:val="22"/>
        </w:rPr>
        <w:t>Proceedings of the 31st Conference on Neural Information Processing Systems (NeurIPS)</w:t>
      </w:r>
      <w:r w:rsidRPr="0069403C">
        <w:rPr>
          <w:rFonts w:ascii="Times New Roman" w:hAnsi="Times New Roman" w:cs="Times New Roman"/>
          <w:color w:val="000000" w:themeColor="text1"/>
          <w:sz w:val="22"/>
          <w:szCs w:val="22"/>
        </w:rPr>
        <w:t>, 1024–34.</w:t>
      </w:r>
    </w:p>
    <w:p w14:paraId="2C564BE9"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61" w:name="ref-haupt1989"/>
      <w:bookmarkEnd w:id="60"/>
      <w:r w:rsidRPr="0069403C">
        <w:rPr>
          <w:rFonts w:ascii="Times New Roman" w:hAnsi="Times New Roman" w:cs="Times New Roman"/>
          <w:color w:val="000000" w:themeColor="text1"/>
          <w:sz w:val="22"/>
          <w:szCs w:val="22"/>
        </w:rPr>
        <w:t xml:space="preserve">Haupt, Reinhard. 1989. “A Survey of Priority Rule-Based Scheduling.” </w:t>
      </w:r>
      <w:r w:rsidRPr="0069403C">
        <w:rPr>
          <w:rFonts w:ascii="Times New Roman" w:hAnsi="Times New Roman" w:cs="Times New Roman"/>
          <w:i/>
          <w:iCs/>
          <w:color w:val="000000" w:themeColor="text1"/>
          <w:sz w:val="22"/>
          <w:szCs w:val="22"/>
        </w:rPr>
        <w:t>OR Spektrum</w:t>
      </w:r>
      <w:r w:rsidRPr="0069403C">
        <w:rPr>
          <w:rFonts w:ascii="Times New Roman" w:hAnsi="Times New Roman" w:cs="Times New Roman"/>
          <w:color w:val="000000" w:themeColor="text1"/>
          <w:sz w:val="22"/>
          <w:szCs w:val="22"/>
        </w:rPr>
        <w:t xml:space="preserve"> 11 (1): 3–16.</w:t>
      </w:r>
    </w:p>
    <w:p w14:paraId="05AAE66A"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62" w:name="ref-herroelen2005"/>
      <w:bookmarkEnd w:id="61"/>
      <w:r w:rsidRPr="0069403C">
        <w:rPr>
          <w:rFonts w:ascii="Times New Roman" w:hAnsi="Times New Roman" w:cs="Times New Roman"/>
          <w:color w:val="000000" w:themeColor="text1"/>
          <w:sz w:val="22"/>
          <w:szCs w:val="22"/>
        </w:rPr>
        <w:t xml:space="preserve">Herroelen, Willy, and Roel Leus. 2005. “Project Scheduling Under Uncertainty: Survey and Research Potentials.” </w:t>
      </w:r>
      <w:r w:rsidRPr="0069403C">
        <w:rPr>
          <w:rFonts w:ascii="Times New Roman" w:hAnsi="Times New Roman" w:cs="Times New Roman"/>
          <w:i/>
          <w:iCs/>
          <w:color w:val="000000" w:themeColor="text1"/>
          <w:sz w:val="22"/>
          <w:szCs w:val="22"/>
        </w:rPr>
        <w:t>European Journal of Operational Research</w:t>
      </w:r>
      <w:r w:rsidRPr="0069403C">
        <w:rPr>
          <w:rFonts w:ascii="Times New Roman" w:hAnsi="Times New Roman" w:cs="Times New Roman"/>
          <w:color w:val="000000" w:themeColor="text1"/>
          <w:sz w:val="22"/>
          <w:szCs w:val="22"/>
        </w:rPr>
        <w:t xml:space="preserve"> 165 (2): 289–306.</w:t>
      </w:r>
    </w:p>
    <w:p w14:paraId="08562FE7"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63" w:name="ref-hoss2026"/>
      <w:bookmarkEnd w:id="62"/>
      <w:r w:rsidRPr="0069403C">
        <w:rPr>
          <w:rFonts w:ascii="Times New Roman" w:hAnsi="Times New Roman" w:cs="Times New Roman"/>
          <w:color w:val="000000" w:themeColor="text1"/>
          <w:sz w:val="22"/>
          <w:szCs w:val="22"/>
        </w:rPr>
        <w:t>Hoss, Jonathan, Michael Link, and Nadine Klarmann. 2026. “Scalable Production Scheduling: Linear Complexity via Unified Homogeneous Graphs.”</w:t>
      </w:r>
    </w:p>
    <w:p w14:paraId="6D7857A7"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64" w:name="ref-huang2022masking"/>
      <w:bookmarkEnd w:id="63"/>
      <w:r w:rsidRPr="0069403C">
        <w:rPr>
          <w:rFonts w:ascii="Times New Roman" w:hAnsi="Times New Roman" w:cs="Times New Roman"/>
          <w:color w:val="000000" w:themeColor="text1"/>
          <w:sz w:val="22"/>
          <w:szCs w:val="22"/>
        </w:rPr>
        <w:t xml:space="preserve">Huang, Shengyi, and Santiago Ontañón. 2022. “A Closer Look at Invalid Action Masking in Policy Gradient Algorithms.” In </w:t>
      </w:r>
      <w:r w:rsidRPr="0069403C">
        <w:rPr>
          <w:rFonts w:ascii="Times New Roman" w:hAnsi="Times New Roman" w:cs="Times New Roman"/>
          <w:i/>
          <w:iCs/>
          <w:color w:val="000000" w:themeColor="text1"/>
          <w:sz w:val="22"/>
          <w:szCs w:val="22"/>
        </w:rPr>
        <w:t>Proceedings of the 35th International FLAIRS Conference</w:t>
      </w:r>
      <w:r w:rsidRPr="0069403C">
        <w:rPr>
          <w:rFonts w:ascii="Times New Roman" w:hAnsi="Times New Roman" w:cs="Times New Roman"/>
          <w:color w:val="000000" w:themeColor="text1"/>
          <w:sz w:val="22"/>
          <w:szCs w:val="22"/>
        </w:rPr>
        <w:t>.</w:t>
      </w:r>
    </w:p>
    <w:p w14:paraId="3CC79E59"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65" w:name="ref-infantes2024wheatley"/>
      <w:bookmarkEnd w:id="64"/>
      <w:r w:rsidRPr="0069403C">
        <w:rPr>
          <w:rFonts w:ascii="Times New Roman" w:hAnsi="Times New Roman" w:cs="Times New Roman"/>
          <w:color w:val="000000" w:themeColor="text1"/>
          <w:sz w:val="22"/>
          <w:szCs w:val="22"/>
        </w:rPr>
        <w:t xml:space="preserve">Infantes, Guillaume, Stephanie Roussel, Pierrick Pereira, Alexandre Jacquet, and Emmanuel Benazera. 2024. “Learning to Solve Job Shop Scheduling Under Uncertainty.” In </w:t>
      </w:r>
      <w:r w:rsidRPr="0069403C">
        <w:rPr>
          <w:rFonts w:ascii="Times New Roman" w:hAnsi="Times New Roman" w:cs="Times New Roman"/>
          <w:i/>
          <w:iCs/>
          <w:color w:val="000000" w:themeColor="text1"/>
          <w:sz w:val="22"/>
          <w:szCs w:val="22"/>
        </w:rPr>
        <w:t>Proceedings of the 21st International Conference on the Integration of Constraint Programming, Artificial Intelligence, and Operations Research (CPAIOR)</w:t>
      </w:r>
      <w:r w:rsidRPr="0069403C">
        <w:rPr>
          <w:rFonts w:ascii="Times New Roman" w:hAnsi="Times New Roman" w:cs="Times New Roman"/>
          <w:color w:val="000000" w:themeColor="text1"/>
          <w:sz w:val="22"/>
          <w:szCs w:val="22"/>
        </w:rPr>
        <w:t>.</w:t>
      </w:r>
    </w:p>
    <w:p w14:paraId="51129FC3"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66" w:name="ref-kacem2002"/>
      <w:bookmarkEnd w:id="65"/>
      <w:r w:rsidRPr="0069403C">
        <w:rPr>
          <w:rFonts w:ascii="Times New Roman" w:hAnsi="Times New Roman" w:cs="Times New Roman"/>
          <w:color w:val="000000" w:themeColor="text1"/>
          <w:sz w:val="22"/>
          <w:szCs w:val="22"/>
        </w:rPr>
        <w:t xml:space="preserve">Kacem, Imed, Slim Hammadi, and Pierre Borne. 2002. “Approach by Localization and Multiobjective Evolutionary Optimization for Flexible Job-Shop Scheduling Problems.” </w:t>
      </w:r>
      <w:r w:rsidRPr="0069403C">
        <w:rPr>
          <w:rFonts w:ascii="Times New Roman" w:hAnsi="Times New Roman" w:cs="Times New Roman"/>
          <w:i/>
          <w:iCs/>
          <w:color w:val="000000" w:themeColor="text1"/>
          <w:sz w:val="22"/>
          <w:szCs w:val="22"/>
        </w:rPr>
        <w:t>IEEE Transactions on Systems, Man, and Cybernetics, Part C</w:t>
      </w:r>
      <w:r w:rsidRPr="0069403C">
        <w:rPr>
          <w:rFonts w:ascii="Times New Roman" w:hAnsi="Times New Roman" w:cs="Times New Roman"/>
          <w:color w:val="000000" w:themeColor="text1"/>
          <w:sz w:val="22"/>
          <w:szCs w:val="22"/>
        </w:rPr>
        <w:t xml:space="preserve"> 32 (1): 1–13.</w:t>
      </w:r>
    </w:p>
    <w:p w14:paraId="5287D71A"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67" w:name="ref-kipf2017gcn"/>
      <w:bookmarkEnd w:id="66"/>
      <w:r w:rsidRPr="0069403C">
        <w:rPr>
          <w:rFonts w:ascii="Times New Roman" w:hAnsi="Times New Roman" w:cs="Times New Roman"/>
          <w:color w:val="000000" w:themeColor="text1"/>
          <w:sz w:val="22"/>
          <w:szCs w:val="22"/>
        </w:rPr>
        <w:t xml:space="preserve">Kipf, Thomas N., and Max Welling. 2017. “Semi-Supervised Classification with Graph Convolutional Networks.” In </w:t>
      </w:r>
      <w:r w:rsidRPr="0069403C">
        <w:rPr>
          <w:rFonts w:ascii="Times New Roman" w:hAnsi="Times New Roman" w:cs="Times New Roman"/>
          <w:i/>
          <w:iCs/>
          <w:color w:val="000000" w:themeColor="text1"/>
          <w:sz w:val="22"/>
          <w:szCs w:val="22"/>
        </w:rPr>
        <w:t>Proceedings of the International Conference on Learning Representations (ICLR)</w:t>
      </w:r>
      <w:r w:rsidRPr="0069403C">
        <w:rPr>
          <w:rFonts w:ascii="Times New Roman" w:hAnsi="Times New Roman" w:cs="Times New Roman"/>
          <w:color w:val="000000" w:themeColor="text1"/>
          <w:sz w:val="22"/>
          <w:szCs w:val="22"/>
        </w:rPr>
        <w:t>.</w:t>
      </w:r>
    </w:p>
    <w:p w14:paraId="4053E36D"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68" w:name="ref-kool2019attention"/>
      <w:bookmarkEnd w:id="67"/>
      <w:r w:rsidRPr="0069403C">
        <w:rPr>
          <w:rFonts w:ascii="Times New Roman" w:hAnsi="Times New Roman" w:cs="Times New Roman"/>
          <w:color w:val="000000" w:themeColor="text1"/>
          <w:sz w:val="22"/>
          <w:szCs w:val="22"/>
        </w:rPr>
        <w:t xml:space="preserve">Kool, Wouter, Herke van Hoof, and Max Welling. 2019. “Attention, Learn to Solve Routing Problems!” In </w:t>
      </w:r>
      <w:r w:rsidRPr="0069403C">
        <w:rPr>
          <w:rFonts w:ascii="Times New Roman" w:hAnsi="Times New Roman" w:cs="Times New Roman"/>
          <w:i/>
          <w:iCs/>
          <w:color w:val="000000" w:themeColor="text1"/>
          <w:sz w:val="22"/>
          <w:szCs w:val="22"/>
        </w:rPr>
        <w:t>Proceedings of the International Conference on Learning Representations (ICLR)</w:t>
      </w:r>
      <w:r w:rsidRPr="0069403C">
        <w:rPr>
          <w:rFonts w:ascii="Times New Roman" w:hAnsi="Times New Roman" w:cs="Times New Roman"/>
          <w:color w:val="000000" w:themeColor="text1"/>
          <w:sz w:val="22"/>
          <w:szCs w:val="22"/>
        </w:rPr>
        <w:t>.</w:t>
      </w:r>
    </w:p>
    <w:p w14:paraId="6D48A469"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69" w:name="ref-kwon2020pomo"/>
      <w:bookmarkEnd w:id="68"/>
      <w:r w:rsidRPr="0069403C">
        <w:rPr>
          <w:rFonts w:ascii="Times New Roman" w:hAnsi="Times New Roman" w:cs="Times New Roman"/>
          <w:color w:val="000000" w:themeColor="text1"/>
          <w:sz w:val="22"/>
          <w:szCs w:val="22"/>
        </w:rPr>
        <w:t xml:space="preserve">Kwon, Yeong-Dae, Jinho Choo, Byoungjip Kim, Iljoo Yoon, Youngjune Gwon, and Seungjai Min. 2020. “POMO: Policy Optimization with Multiple Optima for Reinforcement Learning.” In </w:t>
      </w:r>
      <w:r w:rsidRPr="0069403C">
        <w:rPr>
          <w:rFonts w:ascii="Times New Roman" w:hAnsi="Times New Roman" w:cs="Times New Roman"/>
          <w:i/>
          <w:iCs/>
          <w:color w:val="000000" w:themeColor="text1"/>
          <w:sz w:val="22"/>
          <w:szCs w:val="22"/>
        </w:rPr>
        <w:t>Proceedings of the 34th Conference on Neural Information Processing Systems (NeurIPS)</w:t>
      </w:r>
      <w:r w:rsidRPr="0069403C">
        <w:rPr>
          <w:rFonts w:ascii="Times New Roman" w:hAnsi="Times New Roman" w:cs="Times New Roman"/>
          <w:color w:val="000000" w:themeColor="text1"/>
          <w:sz w:val="22"/>
          <w:szCs w:val="22"/>
        </w:rPr>
        <w:t>.</w:t>
      </w:r>
    </w:p>
    <w:p w14:paraId="16D84BDB"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70" w:name="ref-lassoued2026"/>
      <w:bookmarkEnd w:id="69"/>
      <w:r w:rsidRPr="0069403C">
        <w:rPr>
          <w:rFonts w:ascii="Times New Roman" w:hAnsi="Times New Roman" w:cs="Times New Roman"/>
          <w:color w:val="000000" w:themeColor="text1"/>
          <w:sz w:val="22"/>
          <w:szCs w:val="22"/>
        </w:rPr>
        <w:t>Lassoued, Sofiene, Stefan Lier, and Andreas Schwung. 2026. “Policy-Based Reinforcement Learning with Action Masking for Dynamic Job Shop Scheduling Under Uncertainty: Handling Random Arrivals and Machine Failures.”</w:t>
      </w:r>
    </w:p>
    <w:p w14:paraId="02E2BFD8"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71" w:name="ref-law2024"/>
      <w:bookmarkEnd w:id="70"/>
      <w:r w:rsidRPr="0069403C">
        <w:rPr>
          <w:rFonts w:ascii="Times New Roman" w:hAnsi="Times New Roman" w:cs="Times New Roman"/>
          <w:color w:val="000000" w:themeColor="text1"/>
          <w:sz w:val="22"/>
          <w:szCs w:val="22"/>
        </w:rPr>
        <w:t xml:space="preserve">Law, Averill M. 2024. </w:t>
      </w:r>
      <w:r w:rsidRPr="0069403C">
        <w:rPr>
          <w:rFonts w:ascii="Times New Roman" w:hAnsi="Times New Roman" w:cs="Times New Roman"/>
          <w:i/>
          <w:iCs/>
          <w:color w:val="000000" w:themeColor="text1"/>
          <w:sz w:val="22"/>
          <w:szCs w:val="22"/>
        </w:rPr>
        <w:t>Simulation Modeling and Analysis</w:t>
      </w:r>
      <w:r w:rsidRPr="0069403C">
        <w:rPr>
          <w:rFonts w:ascii="Times New Roman" w:hAnsi="Times New Roman" w:cs="Times New Roman"/>
          <w:color w:val="000000" w:themeColor="text1"/>
          <w:sz w:val="22"/>
          <w:szCs w:val="22"/>
        </w:rPr>
        <w:t>. 6th ed. McGraw Hill.</w:t>
      </w:r>
    </w:p>
    <w:p w14:paraId="4FE6662F"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72" w:name="ref-lawrence1984"/>
      <w:bookmarkEnd w:id="71"/>
      <w:r w:rsidRPr="0069403C">
        <w:rPr>
          <w:rFonts w:ascii="Times New Roman" w:hAnsi="Times New Roman" w:cs="Times New Roman"/>
          <w:color w:val="000000" w:themeColor="text1"/>
          <w:sz w:val="22"/>
          <w:szCs w:val="22"/>
        </w:rPr>
        <w:t>Lawrence, Stephen. 1984. “Resource Constrained Project Scheduling: An Experimental Investigation of Heuristic Scheduling Techniques.” Graduate School of Industrial Administration, Carnegie-Mellon University.</w:t>
      </w:r>
    </w:p>
    <w:p w14:paraId="54EAF311"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73" w:name="ref-lei2022"/>
      <w:bookmarkEnd w:id="72"/>
      <w:r w:rsidRPr="0069403C">
        <w:rPr>
          <w:rFonts w:ascii="Times New Roman" w:hAnsi="Times New Roman" w:cs="Times New Roman"/>
          <w:color w:val="000000" w:themeColor="text1"/>
          <w:sz w:val="22"/>
          <w:szCs w:val="22"/>
        </w:rPr>
        <w:lastRenderedPageBreak/>
        <w:t xml:space="preserve">Lei, Kun, Peng Guo, Wenchao Zhao, Yi Wang, Linmao Qian, Xiangyin Meng, and Liansheng Tang. 2022. “A Multi-Action Deep Reinforcement Learning Framework for Flexible Job-Shop Scheduling Problem.” </w:t>
      </w:r>
      <w:r w:rsidRPr="0069403C">
        <w:rPr>
          <w:rFonts w:ascii="Times New Roman" w:hAnsi="Times New Roman" w:cs="Times New Roman"/>
          <w:i/>
          <w:iCs/>
          <w:color w:val="000000" w:themeColor="text1"/>
          <w:sz w:val="22"/>
          <w:szCs w:val="22"/>
        </w:rPr>
        <w:t>Expert Systems with Applications</w:t>
      </w:r>
      <w:r w:rsidRPr="0069403C">
        <w:rPr>
          <w:rFonts w:ascii="Times New Roman" w:hAnsi="Times New Roman" w:cs="Times New Roman"/>
          <w:color w:val="000000" w:themeColor="text1"/>
          <w:sz w:val="22"/>
          <w:szCs w:val="22"/>
        </w:rPr>
        <w:t xml:space="preserve"> 205: 117796.</w:t>
      </w:r>
    </w:p>
    <w:p w14:paraId="547BA36C"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74" w:name="ref-leon1994"/>
      <w:bookmarkEnd w:id="73"/>
      <w:r w:rsidRPr="0069403C">
        <w:rPr>
          <w:rFonts w:ascii="Times New Roman" w:hAnsi="Times New Roman" w:cs="Times New Roman"/>
          <w:color w:val="000000" w:themeColor="text1"/>
          <w:sz w:val="22"/>
          <w:szCs w:val="22"/>
        </w:rPr>
        <w:t xml:space="preserve">Leon, Victor J., S. David Wu, and Robert H. Storer. 1994. “Robustness Measures and Robust Scheduling for Job Shops.” </w:t>
      </w:r>
      <w:r w:rsidRPr="0069403C">
        <w:rPr>
          <w:rFonts w:ascii="Times New Roman" w:hAnsi="Times New Roman" w:cs="Times New Roman"/>
          <w:i/>
          <w:iCs/>
          <w:color w:val="000000" w:themeColor="text1"/>
          <w:sz w:val="22"/>
          <w:szCs w:val="22"/>
        </w:rPr>
        <w:t>IIE Transactions</w:t>
      </w:r>
      <w:r w:rsidRPr="0069403C">
        <w:rPr>
          <w:rFonts w:ascii="Times New Roman" w:hAnsi="Times New Roman" w:cs="Times New Roman"/>
          <w:color w:val="000000" w:themeColor="text1"/>
          <w:sz w:val="22"/>
          <w:szCs w:val="22"/>
        </w:rPr>
        <w:t xml:space="preserve"> 26 (5): 32–43.</w:t>
      </w:r>
    </w:p>
    <w:p w14:paraId="263954AE"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75" w:name="ref-mehta1998"/>
      <w:bookmarkEnd w:id="74"/>
      <w:r w:rsidRPr="0069403C">
        <w:rPr>
          <w:rFonts w:ascii="Times New Roman" w:hAnsi="Times New Roman" w:cs="Times New Roman"/>
          <w:color w:val="000000" w:themeColor="text1"/>
          <w:sz w:val="22"/>
          <w:szCs w:val="22"/>
        </w:rPr>
        <w:t xml:space="preserve">Mehta, Shanti V., and Reha Uzsoy. 1998. “Predictable Scheduling of a Job Shop Subject to Breakdowns.” </w:t>
      </w:r>
      <w:r w:rsidRPr="0069403C">
        <w:rPr>
          <w:rFonts w:ascii="Times New Roman" w:hAnsi="Times New Roman" w:cs="Times New Roman"/>
          <w:i/>
          <w:iCs/>
          <w:color w:val="000000" w:themeColor="text1"/>
          <w:sz w:val="22"/>
          <w:szCs w:val="22"/>
        </w:rPr>
        <w:t>IEEE Transactions on Robotics and Automation</w:t>
      </w:r>
      <w:r w:rsidRPr="0069403C">
        <w:rPr>
          <w:rFonts w:ascii="Times New Roman" w:hAnsi="Times New Roman" w:cs="Times New Roman"/>
          <w:color w:val="000000" w:themeColor="text1"/>
          <w:sz w:val="22"/>
          <w:szCs w:val="22"/>
        </w:rPr>
        <w:t xml:space="preserve"> 14 (3): 365–78.</w:t>
      </w:r>
    </w:p>
    <w:p w14:paraId="00726704"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76" w:name="ref-ng1999shaping"/>
      <w:bookmarkEnd w:id="75"/>
      <w:r w:rsidRPr="0069403C">
        <w:rPr>
          <w:rFonts w:ascii="Times New Roman" w:hAnsi="Times New Roman" w:cs="Times New Roman"/>
          <w:color w:val="000000" w:themeColor="text1"/>
          <w:sz w:val="22"/>
          <w:szCs w:val="22"/>
        </w:rPr>
        <w:t xml:space="preserve">Ng, Andrew Y., Daishi Harada, and Stuart Russell. 1999. “Policy Invariance Under Reward Transformations: Theory and Application to Reward Shaping.” In </w:t>
      </w:r>
      <w:r w:rsidRPr="0069403C">
        <w:rPr>
          <w:rFonts w:ascii="Times New Roman" w:hAnsi="Times New Roman" w:cs="Times New Roman"/>
          <w:i/>
          <w:iCs/>
          <w:color w:val="000000" w:themeColor="text1"/>
          <w:sz w:val="22"/>
          <w:szCs w:val="22"/>
        </w:rPr>
        <w:t>Proceedings of the 16th International Conference on Machine Learning (ICML)</w:t>
      </w:r>
      <w:r w:rsidRPr="0069403C">
        <w:rPr>
          <w:rFonts w:ascii="Times New Roman" w:hAnsi="Times New Roman" w:cs="Times New Roman"/>
          <w:color w:val="000000" w:themeColor="text1"/>
          <w:sz w:val="22"/>
          <w:szCs w:val="22"/>
        </w:rPr>
        <w:t>, 278–87.</w:t>
      </w:r>
    </w:p>
    <w:p w14:paraId="3FE6A2B9"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77" w:name="ref-nowicki1996"/>
      <w:bookmarkEnd w:id="76"/>
      <w:r w:rsidRPr="0069403C">
        <w:rPr>
          <w:rFonts w:ascii="Times New Roman" w:hAnsi="Times New Roman" w:cs="Times New Roman"/>
          <w:color w:val="000000" w:themeColor="text1"/>
          <w:sz w:val="22"/>
          <w:szCs w:val="22"/>
        </w:rPr>
        <w:t xml:space="preserve">Nowicki, Eugeniusz, and Czeslaw Smutnicki. 1996. “A Fast Taboo Search Algorithm for the Job Shop Problem.” </w:t>
      </w:r>
      <w:r w:rsidRPr="0069403C">
        <w:rPr>
          <w:rFonts w:ascii="Times New Roman" w:hAnsi="Times New Roman" w:cs="Times New Roman"/>
          <w:i/>
          <w:iCs/>
          <w:color w:val="000000" w:themeColor="text1"/>
          <w:sz w:val="22"/>
          <w:szCs w:val="22"/>
        </w:rPr>
        <w:t>Management Science</w:t>
      </w:r>
      <w:r w:rsidRPr="0069403C">
        <w:rPr>
          <w:rFonts w:ascii="Times New Roman" w:hAnsi="Times New Roman" w:cs="Times New Roman"/>
          <w:color w:val="000000" w:themeColor="text1"/>
          <w:sz w:val="22"/>
          <w:szCs w:val="22"/>
        </w:rPr>
        <w:t xml:space="preserve"> 42 (6): 797–813.</w:t>
      </w:r>
    </w:p>
    <w:p w14:paraId="0DFD7BBD"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78" w:name="ref-ouelhadj2009"/>
      <w:bookmarkEnd w:id="77"/>
      <w:r w:rsidRPr="0069403C">
        <w:rPr>
          <w:rFonts w:ascii="Times New Roman" w:hAnsi="Times New Roman" w:cs="Times New Roman"/>
          <w:color w:val="000000" w:themeColor="text1"/>
          <w:sz w:val="22"/>
          <w:szCs w:val="22"/>
        </w:rPr>
        <w:t xml:space="preserve">Ouelhadj, Djamila, and Sanja Petrovic. 2009. “A Survey of Dynamic Scheduling in Manufacturing Systems.” </w:t>
      </w:r>
      <w:r w:rsidRPr="0069403C">
        <w:rPr>
          <w:rFonts w:ascii="Times New Roman" w:hAnsi="Times New Roman" w:cs="Times New Roman"/>
          <w:i/>
          <w:iCs/>
          <w:color w:val="000000" w:themeColor="text1"/>
          <w:sz w:val="22"/>
          <w:szCs w:val="22"/>
        </w:rPr>
        <w:t>Journal of Scheduling</w:t>
      </w:r>
      <w:r w:rsidRPr="0069403C">
        <w:rPr>
          <w:rFonts w:ascii="Times New Roman" w:hAnsi="Times New Roman" w:cs="Times New Roman"/>
          <w:color w:val="000000" w:themeColor="text1"/>
          <w:sz w:val="22"/>
          <w:szCs w:val="22"/>
        </w:rPr>
        <w:t xml:space="preserve"> 12 (4): 417–31.</w:t>
      </w:r>
    </w:p>
    <w:p w14:paraId="5080A926"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79" w:name="ref-panwalkar1977"/>
      <w:bookmarkEnd w:id="78"/>
      <w:r w:rsidRPr="0069403C">
        <w:rPr>
          <w:rFonts w:ascii="Times New Roman" w:hAnsi="Times New Roman" w:cs="Times New Roman"/>
          <w:color w:val="000000" w:themeColor="text1"/>
          <w:sz w:val="22"/>
          <w:szCs w:val="22"/>
        </w:rPr>
        <w:t xml:space="preserve">Panwalkar, S. S., and Wafik Iskander. 1977. “A Survey of Scheduling Rules.” </w:t>
      </w:r>
      <w:r w:rsidRPr="0069403C">
        <w:rPr>
          <w:rFonts w:ascii="Times New Roman" w:hAnsi="Times New Roman" w:cs="Times New Roman"/>
          <w:i/>
          <w:iCs/>
          <w:color w:val="000000" w:themeColor="text1"/>
          <w:sz w:val="22"/>
          <w:szCs w:val="22"/>
        </w:rPr>
        <w:t>Operations Research</w:t>
      </w:r>
      <w:r w:rsidRPr="0069403C">
        <w:rPr>
          <w:rFonts w:ascii="Times New Roman" w:hAnsi="Times New Roman" w:cs="Times New Roman"/>
          <w:color w:val="000000" w:themeColor="text1"/>
          <w:sz w:val="22"/>
          <w:szCs w:val="22"/>
        </w:rPr>
        <w:t xml:space="preserve"> 25 (1): 45–61.</w:t>
      </w:r>
    </w:p>
    <w:p w14:paraId="72E5E613"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80" w:name="ref-park2021"/>
      <w:bookmarkEnd w:id="79"/>
      <w:r w:rsidRPr="0069403C">
        <w:rPr>
          <w:rFonts w:ascii="Times New Roman" w:hAnsi="Times New Roman" w:cs="Times New Roman"/>
          <w:color w:val="000000" w:themeColor="text1"/>
          <w:sz w:val="22"/>
          <w:szCs w:val="22"/>
        </w:rPr>
        <w:t xml:space="preserve">Park, Junyoung, Jaehyeong Chun, Sang Hun Kim, Youngkook Kim, and Jinkyoo Park. 2021. “Learning to Schedule Job-Shop Problems: Representation and Policy Learning Using Graph Neural Network and Reinforcement Learning.” </w:t>
      </w:r>
      <w:r w:rsidRPr="0069403C">
        <w:rPr>
          <w:rFonts w:ascii="Times New Roman" w:hAnsi="Times New Roman" w:cs="Times New Roman"/>
          <w:i/>
          <w:iCs/>
          <w:color w:val="000000" w:themeColor="text1"/>
          <w:sz w:val="22"/>
          <w:szCs w:val="22"/>
        </w:rPr>
        <w:t>International Journal of Production Research</w:t>
      </w:r>
      <w:r w:rsidRPr="0069403C">
        <w:rPr>
          <w:rFonts w:ascii="Times New Roman" w:hAnsi="Times New Roman" w:cs="Times New Roman"/>
          <w:color w:val="000000" w:themeColor="text1"/>
          <w:sz w:val="22"/>
          <w:szCs w:val="22"/>
        </w:rPr>
        <w:t xml:space="preserve"> 59 (11): 3360–77.</w:t>
      </w:r>
    </w:p>
    <w:p w14:paraId="78B86DD8"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81" w:name="ref-perron2023cpsat"/>
      <w:bookmarkEnd w:id="80"/>
      <w:r w:rsidRPr="0069403C">
        <w:rPr>
          <w:rFonts w:ascii="Times New Roman" w:hAnsi="Times New Roman" w:cs="Times New Roman"/>
          <w:color w:val="000000" w:themeColor="text1"/>
          <w:sz w:val="22"/>
          <w:szCs w:val="22"/>
        </w:rPr>
        <w:t xml:space="preserve">Perron, Laurent, Frédéric Didier, and Steven Gay. 2023. “The CP-SAT-LP Solver.” In </w:t>
      </w:r>
      <w:r w:rsidRPr="0069403C">
        <w:rPr>
          <w:rFonts w:ascii="Times New Roman" w:hAnsi="Times New Roman" w:cs="Times New Roman"/>
          <w:i/>
          <w:iCs/>
          <w:color w:val="000000" w:themeColor="text1"/>
          <w:sz w:val="22"/>
          <w:szCs w:val="22"/>
        </w:rPr>
        <w:t>Proceedings of the 29th International Conference on Principles and Practice of Constraint Programming (CP 2023)</w:t>
      </w:r>
      <w:r w:rsidRPr="0069403C">
        <w:rPr>
          <w:rFonts w:ascii="Times New Roman" w:hAnsi="Times New Roman" w:cs="Times New Roman"/>
          <w:color w:val="000000" w:themeColor="text1"/>
          <w:sz w:val="22"/>
          <w:szCs w:val="22"/>
        </w:rPr>
        <w:t>. Vol. 280. LIPIcs.</w:t>
      </w:r>
    </w:p>
    <w:p w14:paraId="565AFCEA"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82" w:name="ref-pezzella2008"/>
      <w:bookmarkEnd w:id="81"/>
      <w:r w:rsidRPr="0069403C">
        <w:rPr>
          <w:rFonts w:ascii="Times New Roman" w:hAnsi="Times New Roman" w:cs="Times New Roman"/>
          <w:color w:val="000000" w:themeColor="text1"/>
          <w:sz w:val="22"/>
          <w:szCs w:val="22"/>
        </w:rPr>
        <w:t xml:space="preserve">Pezzella, Ferdinando, Gianluca Morganti, and Giampiero Ciaschetti. 2008. “A Genetic Algorithm for the Flexible Job-Shop Scheduling Problem.” </w:t>
      </w:r>
      <w:r w:rsidRPr="0069403C">
        <w:rPr>
          <w:rFonts w:ascii="Times New Roman" w:hAnsi="Times New Roman" w:cs="Times New Roman"/>
          <w:i/>
          <w:iCs/>
          <w:color w:val="000000" w:themeColor="text1"/>
          <w:sz w:val="22"/>
          <w:szCs w:val="22"/>
        </w:rPr>
        <w:t>Computers &amp; Operations Research</w:t>
      </w:r>
      <w:r w:rsidRPr="0069403C">
        <w:rPr>
          <w:rFonts w:ascii="Times New Roman" w:hAnsi="Times New Roman" w:cs="Times New Roman"/>
          <w:color w:val="000000" w:themeColor="text1"/>
          <w:sz w:val="22"/>
          <w:szCs w:val="22"/>
        </w:rPr>
        <w:t xml:space="preserve"> 35 (10): 3202–12.</w:t>
      </w:r>
    </w:p>
    <w:p w14:paraId="7BA58A2D"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83" w:name="ref-pinedo2022"/>
      <w:bookmarkEnd w:id="82"/>
      <w:r w:rsidRPr="0069403C">
        <w:rPr>
          <w:rFonts w:ascii="Times New Roman" w:hAnsi="Times New Roman" w:cs="Times New Roman"/>
          <w:color w:val="000000" w:themeColor="text1"/>
          <w:sz w:val="22"/>
          <w:szCs w:val="22"/>
        </w:rPr>
        <w:t xml:space="preserve">Pinedo, Michael L. 2022. </w:t>
      </w:r>
      <w:r w:rsidRPr="0069403C">
        <w:rPr>
          <w:rFonts w:ascii="Times New Roman" w:hAnsi="Times New Roman" w:cs="Times New Roman"/>
          <w:i/>
          <w:iCs/>
          <w:color w:val="000000" w:themeColor="text1"/>
          <w:sz w:val="22"/>
          <w:szCs w:val="22"/>
        </w:rPr>
        <w:t>Scheduling: Theory, Algorithms, and Systems</w:t>
      </w:r>
      <w:r w:rsidRPr="0069403C">
        <w:rPr>
          <w:rFonts w:ascii="Times New Roman" w:hAnsi="Times New Roman" w:cs="Times New Roman"/>
          <w:color w:val="000000" w:themeColor="text1"/>
          <w:sz w:val="22"/>
          <w:szCs w:val="22"/>
        </w:rPr>
        <w:t>. 6th ed. Springer.</w:t>
      </w:r>
    </w:p>
    <w:p w14:paraId="18B2D324"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84" w:name="ref-raffin2021sb3"/>
      <w:bookmarkEnd w:id="83"/>
      <w:r w:rsidRPr="0069403C">
        <w:rPr>
          <w:rFonts w:ascii="Times New Roman" w:hAnsi="Times New Roman" w:cs="Times New Roman"/>
          <w:color w:val="000000" w:themeColor="text1"/>
          <w:sz w:val="22"/>
          <w:szCs w:val="22"/>
        </w:rPr>
        <w:t xml:space="preserve">Raffin, Antonin, Ashley Hill, Adam Gleave, Anssi Kanervisto, Maximilian Ernestus, and Noah Dormann. 2021. “Stable-Baselines3: Reliable Reinforcement Learning Implementations.” </w:t>
      </w:r>
      <w:r w:rsidRPr="0069403C">
        <w:rPr>
          <w:rFonts w:ascii="Times New Roman" w:hAnsi="Times New Roman" w:cs="Times New Roman"/>
          <w:i/>
          <w:iCs/>
          <w:color w:val="000000" w:themeColor="text1"/>
          <w:sz w:val="22"/>
          <w:szCs w:val="22"/>
        </w:rPr>
        <w:t>Journal of Machine Learning Research</w:t>
      </w:r>
      <w:r w:rsidRPr="0069403C">
        <w:rPr>
          <w:rFonts w:ascii="Times New Roman" w:hAnsi="Times New Roman" w:cs="Times New Roman"/>
          <w:color w:val="000000" w:themeColor="text1"/>
          <w:sz w:val="22"/>
          <w:szCs w:val="22"/>
        </w:rPr>
        <w:t xml:space="preserve"> 22 (268): 1–8.</w:t>
      </w:r>
    </w:p>
    <w:p w14:paraId="1F5ACA0C"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85" w:name="ref-reijnen2023benchmark"/>
      <w:bookmarkEnd w:id="84"/>
      <w:r w:rsidRPr="0069403C">
        <w:rPr>
          <w:rFonts w:ascii="Times New Roman" w:hAnsi="Times New Roman" w:cs="Times New Roman"/>
          <w:color w:val="000000" w:themeColor="text1"/>
          <w:sz w:val="22"/>
          <w:szCs w:val="22"/>
        </w:rPr>
        <w:t>Reijnen, Robbert, Iris G. Smit, Hongyi Zhang, Yingqian Wu, Zaharah Bukhsh, and Yingqian Zhang. 2023. “Job Shop Scheduling Benchmark: Environments and Instances for Learning and Non-Learning Methods.”</w:t>
      </w:r>
    </w:p>
    <w:p w14:paraId="7905EA26"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86" w:name="ref-sabuncuoglu2009"/>
      <w:bookmarkEnd w:id="85"/>
      <w:r w:rsidRPr="0069403C">
        <w:rPr>
          <w:rFonts w:ascii="Times New Roman" w:hAnsi="Times New Roman" w:cs="Times New Roman"/>
          <w:color w:val="000000" w:themeColor="text1"/>
          <w:sz w:val="22"/>
          <w:szCs w:val="22"/>
        </w:rPr>
        <w:t xml:space="preserve">Sabuncuoglu, Ihsan, and Selin Goren. 2009. “Hedging Production Schedules Against Uncertainty in Manufacturing Environments with a Review of Robustness and Stability Research.” </w:t>
      </w:r>
      <w:r w:rsidRPr="0069403C">
        <w:rPr>
          <w:rFonts w:ascii="Times New Roman" w:hAnsi="Times New Roman" w:cs="Times New Roman"/>
          <w:i/>
          <w:iCs/>
          <w:color w:val="000000" w:themeColor="text1"/>
          <w:sz w:val="22"/>
          <w:szCs w:val="22"/>
        </w:rPr>
        <w:t>International Journal of Computer Integrated Manufacturing</w:t>
      </w:r>
      <w:r w:rsidRPr="0069403C">
        <w:rPr>
          <w:rFonts w:ascii="Times New Roman" w:hAnsi="Times New Roman" w:cs="Times New Roman"/>
          <w:color w:val="000000" w:themeColor="text1"/>
          <w:sz w:val="22"/>
          <w:szCs w:val="22"/>
        </w:rPr>
        <w:t xml:space="preserve"> 22 (2): 138–57.</w:t>
      </w:r>
    </w:p>
    <w:p w14:paraId="72F4B20E"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87" w:name="ref-sargent2011"/>
      <w:bookmarkEnd w:id="86"/>
      <w:r w:rsidRPr="0069403C">
        <w:rPr>
          <w:rFonts w:ascii="Times New Roman" w:hAnsi="Times New Roman" w:cs="Times New Roman"/>
          <w:color w:val="000000" w:themeColor="text1"/>
          <w:sz w:val="22"/>
          <w:szCs w:val="22"/>
        </w:rPr>
        <w:t xml:space="preserve">Sargent, Robert G. 2011. “Verification and Validation of Simulation Models.” In </w:t>
      </w:r>
      <w:r w:rsidRPr="0069403C">
        <w:rPr>
          <w:rFonts w:ascii="Times New Roman" w:hAnsi="Times New Roman" w:cs="Times New Roman"/>
          <w:i/>
          <w:iCs/>
          <w:color w:val="000000" w:themeColor="text1"/>
          <w:sz w:val="22"/>
          <w:szCs w:val="22"/>
        </w:rPr>
        <w:t>Proceedings of the 2011 Winter Simulation Conference</w:t>
      </w:r>
      <w:r w:rsidRPr="0069403C">
        <w:rPr>
          <w:rFonts w:ascii="Times New Roman" w:hAnsi="Times New Roman" w:cs="Times New Roman"/>
          <w:color w:val="000000" w:themeColor="text1"/>
          <w:sz w:val="22"/>
          <w:szCs w:val="22"/>
        </w:rPr>
        <w:t>, 183–98. IEEE.</w:t>
      </w:r>
    </w:p>
    <w:p w14:paraId="305FC5D6"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88" w:name="ref-schulman2016gae"/>
      <w:bookmarkEnd w:id="87"/>
      <w:r w:rsidRPr="0069403C">
        <w:rPr>
          <w:rFonts w:ascii="Times New Roman" w:hAnsi="Times New Roman" w:cs="Times New Roman"/>
          <w:color w:val="000000" w:themeColor="text1"/>
          <w:sz w:val="22"/>
          <w:szCs w:val="22"/>
        </w:rPr>
        <w:lastRenderedPageBreak/>
        <w:t>Schulman, John, Philipp Moritz, Sergey Levine, Michael Jordan, and Pieter Abbeel. 2016. “High-Dimensional Continuous Control Using Generalized Advantage Estimation.”</w:t>
      </w:r>
    </w:p>
    <w:p w14:paraId="65357B3B"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89" w:name="ref-schulman2017ppo"/>
      <w:bookmarkEnd w:id="88"/>
      <w:r w:rsidRPr="0069403C">
        <w:rPr>
          <w:rFonts w:ascii="Times New Roman" w:hAnsi="Times New Roman" w:cs="Times New Roman"/>
          <w:color w:val="000000" w:themeColor="text1"/>
          <w:sz w:val="22"/>
          <w:szCs w:val="22"/>
        </w:rPr>
        <w:t>Schulman, John, Filip Wolski, Prafulla Dhariwal, Alec Radford, and Oleg Klimov. 2017. “Proximal Policy Optimization Algorithms.”</w:t>
      </w:r>
    </w:p>
    <w:p w14:paraId="4FC57421"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90" w:name="ref-sels2012"/>
      <w:bookmarkEnd w:id="89"/>
      <w:r w:rsidRPr="0069403C">
        <w:rPr>
          <w:rFonts w:ascii="Times New Roman" w:hAnsi="Times New Roman" w:cs="Times New Roman"/>
          <w:color w:val="000000" w:themeColor="text1"/>
          <w:sz w:val="22"/>
          <w:szCs w:val="22"/>
        </w:rPr>
        <w:t xml:space="preserve">Sels, Veronique, Nele Gheysen, and Mario Vanhoucke. 2012. “A Comparison of Priority Rules for the Job Shop Scheduling Problem Under Different Flow Time- and Tardiness-Related Objective Functions.” </w:t>
      </w:r>
      <w:r w:rsidRPr="0069403C">
        <w:rPr>
          <w:rFonts w:ascii="Times New Roman" w:hAnsi="Times New Roman" w:cs="Times New Roman"/>
          <w:i/>
          <w:iCs/>
          <w:color w:val="000000" w:themeColor="text1"/>
          <w:sz w:val="22"/>
          <w:szCs w:val="22"/>
        </w:rPr>
        <w:t>International Journal of Production Research</w:t>
      </w:r>
      <w:r w:rsidRPr="0069403C">
        <w:rPr>
          <w:rFonts w:ascii="Times New Roman" w:hAnsi="Times New Roman" w:cs="Times New Roman"/>
          <w:color w:val="000000" w:themeColor="text1"/>
          <w:sz w:val="22"/>
          <w:szCs w:val="22"/>
        </w:rPr>
        <w:t xml:space="preserve"> 50 (15): 4255–70.</w:t>
      </w:r>
    </w:p>
    <w:p w14:paraId="6504ECD4"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91" w:name="ref-smit2025spmdan"/>
      <w:bookmarkEnd w:id="90"/>
      <w:r w:rsidRPr="0069403C">
        <w:rPr>
          <w:rFonts w:ascii="Times New Roman" w:hAnsi="Times New Roman" w:cs="Times New Roman"/>
          <w:color w:val="000000" w:themeColor="text1"/>
          <w:sz w:val="22"/>
          <w:szCs w:val="22"/>
        </w:rPr>
        <w:t xml:space="preserve">Smit, Iris G., Yingqian Wu, Peter Troubil, Yingqian Zhang, and Wim P. M. Nuijten. 2025. “Neural Combinatorial Optimization for Stochastic Flexible Job Shop Scheduling Problems.” </w:t>
      </w:r>
      <w:r w:rsidRPr="0069403C">
        <w:rPr>
          <w:rFonts w:ascii="Times New Roman" w:hAnsi="Times New Roman" w:cs="Times New Roman"/>
          <w:i/>
          <w:iCs/>
          <w:color w:val="000000" w:themeColor="text1"/>
          <w:sz w:val="22"/>
          <w:szCs w:val="22"/>
        </w:rPr>
        <w:t>Proceedings of the AAAI Conference on Artificial Intelligence</w:t>
      </w:r>
      <w:r w:rsidRPr="0069403C">
        <w:rPr>
          <w:rFonts w:ascii="Times New Roman" w:hAnsi="Times New Roman" w:cs="Times New Roman"/>
          <w:color w:val="000000" w:themeColor="text1"/>
          <w:sz w:val="22"/>
          <w:szCs w:val="22"/>
        </w:rPr>
        <w:t xml:space="preserve"> 39 (25): 26678–87.</w:t>
      </w:r>
    </w:p>
    <w:p w14:paraId="08FE6EDD"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92" w:name="ref-smit2024survey"/>
      <w:bookmarkEnd w:id="91"/>
      <w:r w:rsidRPr="0069403C">
        <w:rPr>
          <w:rFonts w:ascii="Times New Roman" w:hAnsi="Times New Roman" w:cs="Times New Roman"/>
          <w:color w:val="000000" w:themeColor="text1"/>
          <w:sz w:val="22"/>
          <w:szCs w:val="22"/>
        </w:rPr>
        <w:t>Smit, Iris G., Jianhui Zhou, Robbert Reijnen, Yingqian Wu, Junyi Chen, Cong Zhang, Zaharah Bukhsh, Yingqian Zhang, and Wim Nuijten. 2024. “Graph Neural Networks for Job Shop Scheduling Problems: A Survey.”</w:t>
      </w:r>
    </w:p>
    <w:p w14:paraId="23EFD2B4"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93" w:name="ref-song2023"/>
      <w:bookmarkEnd w:id="92"/>
      <w:r w:rsidRPr="0069403C">
        <w:rPr>
          <w:rFonts w:ascii="Times New Roman" w:hAnsi="Times New Roman" w:cs="Times New Roman"/>
          <w:color w:val="000000" w:themeColor="text1"/>
          <w:sz w:val="22"/>
          <w:szCs w:val="22"/>
        </w:rPr>
        <w:t xml:space="preserve">Song, Wen, Xinyang Chen, Qiqiang Li, and Zhiguang Cao. 2023. “Flexible Job-Shop Scheduling via Graph Neural Network and Deep Reinforcement Learning.” </w:t>
      </w:r>
      <w:r w:rsidRPr="0069403C">
        <w:rPr>
          <w:rFonts w:ascii="Times New Roman" w:hAnsi="Times New Roman" w:cs="Times New Roman"/>
          <w:i/>
          <w:iCs/>
          <w:color w:val="000000" w:themeColor="text1"/>
          <w:sz w:val="22"/>
          <w:szCs w:val="22"/>
        </w:rPr>
        <w:t>IEEE Transactions on Industrial Informatics</w:t>
      </w:r>
      <w:r w:rsidRPr="0069403C">
        <w:rPr>
          <w:rFonts w:ascii="Times New Roman" w:hAnsi="Times New Roman" w:cs="Times New Roman"/>
          <w:color w:val="000000" w:themeColor="text1"/>
          <w:sz w:val="22"/>
          <w:szCs w:val="22"/>
        </w:rPr>
        <w:t xml:space="preserve"> 19 (2): 1600–1610.</w:t>
      </w:r>
    </w:p>
    <w:p w14:paraId="427302A1"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94" w:name="ref-taillard1993"/>
      <w:bookmarkEnd w:id="93"/>
      <w:r w:rsidRPr="0069403C">
        <w:rPr>
          <w:rFonts w:ascii="Times New Roman" w:hAnsi="Times New Roman" w:cs="Times New Roman"/>
          <w:color w:val="000000" w:themeColor="text1"/>
          <w:sz w:val="22"/>
          <w:szCs w:val="22"/>
        </w:rPr>
        <w:t xml:space="preserve">Taillard, Eric. 1993. “Benchmarks for Basic Scheduling Problems.” </w:t>
      </w:r>
      <w:r w:rsidRPr="0069403C">
        <w:rPr>
          <w:rFonts w:ascii="Times New Roman" w:hAnsi="Times New Roman" w:cs="Times New Roman"/>
          <w:i/>
          <w:iCs/>
          <w:color w:val="000000" w:themeColor="text1"/>
          <w:sz w:val="22"/>
          <w:szCs w:val="22"/>
        </w:rPr>
        <w:t>European Journal of Operational Research</w:t>
      </w:r>
      <w:r w:rsidRPr="0069403C">
        <w:rPr>
          <w:rFonts w:ascii="Times New Roman" w:hAnsi="Times New Roman" w:cs="Times New Roman"/>
          <w:color w:val="000000" w:themeColor="text1"/>
          <w:sz w:val="22"/>
          <w:szCs w:val="22"/>
        </w:rPr>
        <w:t xml:space="preserve"> 64 (2): 278–85.</w:t>
      </w:r>
    </w:p>
    <w:p w14:paraId="5138C004"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95" w:name="ref-tassel2021"/>
      <w:bookmarkEnd w:id="94"/>
      <w:r w:rsidRPr="0069403C">
        <w:rPr>
          <w:rFonts w:ascii="Times New Roman" w:hAnsi="Times New Roman" w:cs="Times New Roman"/>
          <w:color w:val="000000" w:themeColor="text1"/>
          <w:sz w:val="22"/>
          <w:szCs w:val="22"/>
        </w:rPr>
        <w:t>Tassel, Pierre, Martin Gebser, and Konstantin Schekotihin. 2021. “A Reinforcement Learning Environment for Job-Shop Scheduling.”</w:t>
      </w:r>
    </w:p>
    <w:p w14:paraId="092B3804"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96" w:name="ref-vanlaarhoven1992"/>
      <w:bookmarkEnd w:id="95"/>
      <w:r w:rsidRPr="0069403C">
        <w:rPr>
          <w:rFonts w:ascii="Times New Roman" w:hAnsi="Times New Roman" w:cs="Times New Roman"/>
          <w:color w:val="000000" w:themeColor="text1"/>
          <w:sz w:val="22"/>
          <w:szCs w:val="22"/>
        </w:rPr>
        <w:t xml:space="preserve">Van Laarhoven, Peter J. M., Emile H. L. Aarts, and Jan Karel Lenstra. 1992. “Job Shop Scheduling by Simulated Annealing.” </w:t>
      </w:r>
      <w:r w:rsidRPr="0069403C">
        <w:rPr>
          <w:rFonts w:ascii="Times New Roman" w:hAnsi="Times New Roman" w:cs="Times New Roman"/>
          <w:i/>
          <w:iCs/>
          <w:color w:val="000000" w:themeColor="text1"/>
          <w:sz w:val="22"/>
          <w:szCs w:val="22"/>
        </w:rPr>
        <w:t>Operations Research</w:t>
      </w:r>
      <w:r w:rsidRPr="0069403C">
        <w:rPr>
          <w:rFonts w:ascii="Times New Roman" w:hAnsi="Times New Roman" w:cs="Times New Roman"/>
          <w:color w:val="000000" w:themeColor="text1"/>
          <w:sz w:val="22"/>
          <w:szCs w:val="22"/>
        </w:rPr>
        <w:t xml:space="preserve"> 40 (1): 113–25.</w:t>
      </w:r>
    </w:p>
    <w:p w14:paraId="5A10ADC5"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97" w:name="ref-velickovic2018gat"/>
      <w:bookmarkEnd w:id="96"/>
      <w:r w:rsidRPr="0069403C">
        <w:rPr>
          <w:rFonts w:ascii="Times New Roman" w:hAnsi="Times New Roman" w:cs="Times New Roman"/>
          <w:color w:val="000000" w:themeColor="text1"/>
          <w:sz w:val="22"/>
          <w:szCs w:val="22"/>
        </w:rPr>
        <w:t xml:space="preserve">Veličković, Petar, Guillem Cucurull, Arantxa Casanova, Adriana Romero, Pietro Liò, and Yoshua Bengio. 2018. “Graph Attention Networks.” In </w:t>
      </w:r>
      <w:r w:rsidRPr="0069403C">
        <w:rPr>
          <w:rFonts w:ascii="Times New Roman" w:hAnsi="Times New Roman" w:cs="Times New Roman"/>
          <w:i/>
          <w:iCs/>
          <w:color w:val="000000" w:themeColor="text1"/>
          <w:sz w:val="22"/>
          <w:szCs w:val="22"/>
        </w:rPr>
        <w:t>Proceedings of the International Conference on Learning Representations (ICLR)</w:t>
      </w:r>
      <w:r w:rsidRPr="0069403C">
        <w:rPr>
          <w:rFonts w:ascii="Times New Roman" w:hAnsi="Times New Roman" w:cs="Times New Roman"/>
          <w:color w:val="000000" w:themeColor="text1"/>
          <w:sz w:val="22"/>
          <w:szCs w:val="22"/>
        </w:rPr>
        <w:t>.</w:t>
      </w:r>
    </w:p>
    <w:p w14:paraId="4CE740DF"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98" w:name="ref-vieira2003"/>
      <w:bookmarkEnd w:id="97"/>
      <w:r w:rsidRPr="0069403C">
        <w:rPr>
          <w:rFonts w:ascii="Times New Roman" w:hAnsi="Times New Roman" w:cs="Times New Roman"/>
          <w:color w:val="000000" w:themeColor="text1"/>
          <w:sz w:val="22"/>
          <w:szCs w:val="22"/>
        </w:rPr>
        <w:t xml:space="preserve">Vieira, Guilherme E., Jeffrey W. Herrmann, and Edward Lin. 2003. “Rescheduling Manufacturing Systems: A Framework of Strategies, Policies, and Methods.” </w:t>
      </w:r>
      <w:r w:rsidRPr="0069403C">
        <w:rPr>
          <w:rFonts w:ascii="Times New Roman" w:hAnsi="Times New Roman" w:cs="Times New Roman"/>
          <w:i/>
          <w:iCs/>
          <w:color w:val="000000" w:themeColor="text1"/>
          <w:sz w:val="22"/>
          <w:szCs w:val="22"/>
        </w:rPr>
        <w:t>Journal of Scheduling</w:t>
      </w:r>
      <w:r w:rsidRPr="0069403C">
        <w:rPr>
          <w:rFonts w:ascii="Times New Roman" w:hAnsi="Times New Roman" w:cs="Times New Roman"/>
          <w:color w:val="000000" w:themeColor="text1"/>
          <w:sz w:val="22"/>
          <w:szCs w:val="22"/>
        </w:rPr>
        <w:t xml:space="preserve"> 6 (1): 39–62.</w:t>
      </w:r>
    </w:p>
    <w:p w14:paraId="5EB090D6"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99" w:name="ref-vinyals2015pointer"/>
      <w:bookmarkEnd w:id="98"/>
      <w:r w:rsidRPr="0069403C">
        <w:rPr>
          <w:rFonts w:ascii="Times New Roman" w:hAnsi="Times New Roman" w:cs="Times New Roman"/>
          <w:color w:val="000000" w:themeColor="text1"/>
          <w:sz w:val="22"/>
          <w:szCs w:val="22"/>
        </w:rPr>
        <w:t xml:space="preserve">Vinyals, Oriol, Meire Fortunato, and Navdeep Jaitly. 2015. “Pointer Networks.” In </w:t>
      </w:r>
      <w:r w:rsidRPr="0069403C">
        <w:rPr>
          <w:rFonts w:ascii="Times New Roman" w:hAnsi="Times New Roman" w:cs="Times New Roman"/>
          <w:i/>
          <w:iCs/>
          <w:color w:val="000000" w:themeColor="text1"/>
          <w:sz w:val="22"/>
          <w:szCs w:val="22"/>
        </w:rPr>
        <w:t>Proceedings of the 29th Conference on Neural Information Processing Systems (NeurIPS)</w:t>
      </w:r>
      <w:r w:rsidRPr="0069403C">
        <w:rPr>
          <w:rFonts w:ascii="Times New Roman" w:hAnsi="Times New Roman" w:cs="Times New Roman"/>
          <w:color w:val="000000" w:themeColor="text1"/>
          <w:sz w:val="22"/>
          <w:szCs w:val="22"/>
        </w:rPr>
        <w:t>, 2692–2700.</w:t>
      </w:r>
    </w:p>
    <w:p w14:paraId="36B15C2D"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100" w:name="ref-waubert2023schlably"/>
      <w:bookmarkEnd w:id="99"/>
      <w:r w:rsidRPr="0069403C">
        <w:rPr>
          <w:rFonts w:ascii="Times New Roman" w:hAnsi="Times New Roman" w:cs="Times New Roman"/>
          <w:color w:val="000000" w:themeColor="text1"/>
          <w:sz w:val="22"/>
          <w:szCs w:val="22"/>
        </w:rPr>
        <w:t xml:space="preserve">Waubert de Puiseau, Constantin, Jan Peters, Christian Dörpelkus, Hasan Tercan, and Tobias Meisen. 2023. “Schlably: A Python Framework for Deep Reinforcement Learning Based Scheduling Experiments.” </w:t>
      </w:r>
      <w:r w:rsidRPr="0069403C">
        <w:rPr>
          <w:rFonts w:ascii="Times New Roman" w:hAnsi="Times New Roman" w:cs="Times New Roman"/>
          <w:i/>
          <w:iCs/>
          <w:color w:val="000000" w:themeColor="text1"/>
          <w:sz w:val="22"/>
          <w:szCs w:val="22"/>
        </w:rPr>
        <w:t>SoftwareX</w:t>
      </w:r>
      <w:r w:rsidRPr="0069403C">
        <w:rPr>
          <w:rFonts w:ascii="Times New Roman" w:hAnsi="Times New Roman" w:cs="Times New Roman"/>
          <w:color w:val="000000" w:themeColor="text1"/>
          <w:sz w:val="22"/>
          <w:szCs w:val="22"/>
        </w:rPr>
        <w:t xml:space="preserve"> 22: 101383.</w:t>
      </w:r>
    </w:p>
    <w:p w14:paraId="4D29FC8B"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101" w:name="ref-wilcoxon1945"/>
      <w:bookmarkEnd w:id="100"/>
      <w:r w:rsidRPr="0069403C">
        <w:rPr>
          <w:rFonts w:ascii="Times New Roman" w:hAnsi="Times New Roman" w:cs="Times New Roman"/>
          <w:color w:val="000000" w:themeColor="text1"/>
          <w:sz w:val="22"/>
          <w:szCs w:val="22"/>
        </w:rPr>
        <w:t xml:space="preserve">Wilcoxon, Frank. 1945. “Individual Comparisons by Ranking Methods.” </w:t>
      </w:r>
      <w:r w:rsidRPr="0069403C">
        <w:rPr>
          <w:rFonts w:ascii="Times New Roman" w:hAnsi="Times New Roman" w:cs="Times New Roman"/>
          <w:i/>
          <w:iCs/>
          <w:color w:val="000000" w:themeColor="text1"/>
          <w:sz w:val="22"/>
          <w:szCs w:val="22"/>
        </w:rPr>
        <w:t>Biometrics Bulletin</w:t>
      </w:r>
      <w:r w:rsidRPr="0069403C">
        <w:rPr>
          <w:rFonts w:ascii="Times New Roman" w:hAnsi="Times New Roman" w:cs="Times New Roman"/>
          <w:color w:val="000000" w:themeColor="text1"/>
          <w:sz w:val="22"/>
          <w:szCs w:val="22"/>
        </w:rPr>
        <w:t xml:space="preserve"> 1 (6): 80–83.</w:t>
      </w:r>
    </w:p>
    <w:p w14:paraId="5ECA444D"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102" w:name="ref-xu2019gin"/>
      <w:bookmarkEnd w:id="101"/>
      <w:r w:rsidRPr="0069403C">
        <w:rPr>
          <w:rFonts w:ascii="Times New Roman" w:hAnsi="Times New Roman" w:cs="Times New Roman"/>
          <w:color w:val="000000" w:themeColor="text1"/>
          <w:sz w:val="22"/>
          <w:szCs w:val="22"/>
        </w:rPr>
        <w:t xml:space="preserve">Xu, Keyulu, Weihua Hu, Jure Leskovec, and Stefanie Jegelka. 2019. “How Powerful Are Graph Neural Networks?” In </w:t>
      </w:r>
      <w:r w:rsidRPr="0069403C">
        <w:rPr>
          <w:rFonts w:ascii="Times New Roman" w:hAnsi="Times New Roman" w:cs="Times New Roman"/>
          <w:i/>
          <w:iCs/>
          <w:color w:val="000000" w:themeColor="text1"/>
          <w:sz w:val="22"/>
          <w:szCs w:val="22"/>
        </w:rPr>
        <w:t>Proceedings of the International Conference on Learning Representations (ICLR)</w:t>
      </w:r>
      <w:r w:rsidRPr="0069403C">
        <w:rPr>
          <w:rFonts w:ascii="Times New Roman" w:hAnsi="Times New Roman" w:cs="Times New Roman"/>
          <w:color w:val="000000" w:themeColor="text1"/>
          <w:sz w:val="22"/>
          <w:szCs w:val="22"/>
        </w:rPr>
        <w:t>.</w:t>
      </w:r>
    </w:p>
    <w:p w14:paraId="10AB15B8"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103" w:name="ref-zhang2020l2d"/>
      <w:bookmarkEnd w:id="102"/>
      <w:r w:rsidRPr="0069403C">
        <w:rPr>
          <w:rFonts w:ascii="Times New Roman" w:hAnsi="Times New Roman" w:cs="Times New Roman"/>
          <w:color w:val="000000" w:themeColor="text1"/>
          <w:sz w:val="22"/>
          <w:szCs w:val="22"/>
        </w:rPr>
        <w:lastRenderedPageBreak/>
        <w:t xml:space="preserve">Zhang, Cong, Wen Song, Zhiguang Cao, Jie Zhang, Puay Siew Tan, and Chi Xu. 2020. “Learning to Dispatch for Job Shop Scheduling via Deep Reinforcement Learning.” In </w:t>
      </w:r>
      <w:r w:rsidRPr="0069403C">
        <w:rPr>
          <w:rFonts w:ascii="Times New Roman" w:hAnsi="Times New Roman" w:cs="Times New Roman"/>
          <w:i/>
          <w:iCs/>
          <w:color w:val="000000" w:themeColor="text1"/>
          <w:sz w:val="22"/>
          <w:szCs w:val="22"/>
        </w:rPr>
        <w:t>Proceedings of the 34th Conference on Neural Information Processing Systems (NeurIPS)</w:t>
      </w:r>
      <w:r w:rsidRPr="0069403C">
        <w:rPr>
          <w:rFonts w:ascii="Times New Roman" w:hAnsi="Times New Roman" w:cs="Times New Roman"/>
          <w:color w:val="000000" w:themeColor="text1"/>
          <w:sz w:val="22"/>
          <w:szCs w:val="22"/>
        </w:rPr>
        <w:t>.</w:t>
      </w:r>
    </w:p>
    <w:p w14:paraId="0E6CDBDC" w14:textId="77777777" w:rsidR="00E373E4" w:rsidRPr="0069403C" w:rsidRDefault="00000000" w:rsidP="0069403C">
      <w:pPr>
        <w:pStyle w:val="Bibliografa"/>
        <w:rPr>
          <w:rFonts w:ascii="Times New Roman" w:hAnsi="Times New Roman" w:cs="Times New Roman"/>
          <w:color w:val="000000" w:themeColor="text1"/>
          <w:sz w:val="22"/>
          <w:szCs w:val="22"/>
        </w:rPr>
      </w:pPr>
      <w:bookmarkStart w:id="104" w:name="ref-zhang2024rewardshaping"/>
      <w:bookmarkEnd w:id="103"/>
      <w:r w:rsidRPr="0069403C">
        <w:rPr>
          <w:rFonts w:ascii="Times New Roman" w:hAnsi="Times New Roman" w:cs="Times New Roman"/>
          <w:color w:val="000000" w:themeColor="text1"/>
          <w:sz w:val="22"/>
          <w:szCs w:val="22"/>
        </w:rPr>
        <w:t xml:space="preserve">Zhang, Lin, Yuqi Yan, Chen Yang, and Yang Hu. 2024. “Dynamic Flexible Job-Shop Scheduling by Multi-Agent Reinforcement Learning with Reward-Shaping.” </w:t>
      </w:r>
      <w:r w:rsidRPr="0069403C">
        <w:rPr>
          <w:rFonts w:ascii="Times New Roman" w:hAnsi="Times New Roman" w:cs="Times New Roman"/>
          <w:i/>
          <w:iCs/>
          <w:color w:val="000000" w:themeColor="text1"/>
          <w:sz w:val="22"/>
          <w:szCs w:val="22"/>
        </w:rPr>
        <w:t>Advanced Engineering Informatics</w:t>
      </w:r>
      <w:r w:rsidRPr="0069403C">
        <w:rPr>
          <w:rFonts w:ascii="Times New Roman" w:hAnsi="Times New Roman" w:cs="Times New Roman"/>
          <w:color w:val="000000" w:themeColor="text1"/>
          <w:sz w:val="22"/>
          <w:szCs w:val="22"/>
        </w:rPr>
        <w:t xml:space="preserve"> 62: 102872.</w:t>
      </w:r>
      <w:bookmarkEnd w:id="42"/>
      <w:bookmarkEnd w:id="45"/>
      <w:bookmarkEnd w:id="47"/>
      <w:bookmarkEnd w:id="104"/>
    </w:p>
    <w:sectPr w:rsidR="00E373E4" w:rsidRPr="0069403C">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7A47E" w14:textId="77777777" w:rsidR="00102700" w:rsidRDefault="00102700">
      <w:pPr>
        <w:spacing w:after="0"/>
      </w:pPr>
      <w:r>
        <w:separator/>
      </w:r>
    </w:p>
  </w:endnote>
  <w:endnote w:type="continuationSeparator" w:id="0">
    <w:p w14:paraId="17F13738" w14:textId="77777777" w:rsidR="00102700" w:rsidRDefault="001027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A4614" w14:textId="77777777" w:rsidR="00102700" w:rsidRDefault="00102700">
      <w:r>
        <w:separator/>
      </w:r>
    </w:p>
  </w:footnote>
  <w:footnote w:type="continuationSeparator" w:id="0">
    <w:p w14:paraId="4A124A29" w14:textId="77777777" w:rsidR="00102700" w:rsidRDefault="001027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AC44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375C4C0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025905815">
    <w:abstractNumId w:val="0"/>
  </w:num>
  <w:num w:numId="2" w16cid:durableId="5732468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373E4"/>
    <w:rsid w:val="00102700"/>
    <w:rsid w:val="0069403C"/>
    <w:rsid w:val="00823B17"/>
    <w:rsid w:val="00E373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B783"/>
  <w15:docId w15:val="{F0BC8914-DA3E-4154-8866-55DE9323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33</Pages>
  <Words>15884</Words>
  <Characters>87366</Characters>
  <Application>Microsoft Office Word</Application>
  <DocSecurity>0</DocSecurity>
  <Lines>728</Lines>
  <Paragraphs>206</Paragraphs>
  <ScaleCrop>false</ScaleCrop>
  <Company/>
  <LinksUpToDate>false</LinksUpToDate>
  <CharactersWithSpaces>103044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Óptimo pero frágil: el precio de la optimalidad bajo incertidumbre en la programación dinámica de taller de trabajos (job-shop) Una comparación entre paradigmas, pre-registrada, de políticas exactas, metaheurísticas, basadas en reglas y de aprendizaje por refuerzo con redes neuronales de grafos</dc:title>
  <dc:creator>Joseph Javier Sánchez Acuña^{1,2,\ast} ^{1}Departamento de Ingeniería Industrial, Universidad de los Andes, Bogotá, Colombia ^{2}Corporación Universitaria Minuto de Dios (UNIMINUTO), Bogotá, Colombia ^{\ast}Autor de correspondencia. Correo electrónico: jj.sancheza1@uniandes.edu.co ORCID: 0009-0007-2008-823X</dc:creator>
  <cp:keywords/>
  <cp:lastModifiedBy>Joseph Javier Sanchez Acuna</cp:lastModifiedBy>
  <cp:revision>2</cp:revision>
  <dcterms:created xsi:type="dcterms:W3CDTF">2026-08-14T20:59:00Z</dcterms:created>
  <dcterms:modified xsi:type="dcterms:W3CDTF">2026-08-14T21:13:00Z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Los solucionadores exactos, las metaheurísticas y las reglas de despacho por prioridad (PDR) se comparan de manera rutinaria en el problema determinista de taller de trabajos (job-shop), donde un solucionador exacto es, por definición, el techo de calidad; más recientemente, se han propuesto las políticas de redes neuronales de grafos (GNN) entrenadas mediante aprendizaje por refuerzo profundo (DRL) como un cuarto paradigma, que promete decisiones de programación casi instantáneas y generalizables en tamaño. Sin embargo, los talleres de producción reales no son ni estáticos ni deterministas, y si la calidad nominal, no perturbada, de un método predice su desempeño una vez que la disrupción golpea la producción no se había probado previamente, en un único protocolo estadísticamente controlado, a través de los cuatro paradigmas a la vez. Este artículo reporta dos estudios vinculados que hacen precisamente eso. El Estudio 1 ejecuta los programas comprometidos de un solucionador exacto de programación por restricciones (CP-SAT) y de un algoritmo genético (GA), junto con nueve reglas de despacho en línea, a través de un entorno de simulación de eventos discretos predictivo–reactivo, bajo nueve regímenes de disrupción (tres severidades cada una de averías de máquina, tiempos de proceso estocásticos y llegadas dinámicas) sobre dieciséis instancias de referencia de Fisher–Thompson y Lawrence, con treinta escenarios réplica por celda. El hallazgo central es una inversión: el programa exacto-óptimo es el mejor bajo datos nominales (3.1% de desviación media respecto al óptimo certificado, frente a 12.1% para la mejor regla de despacho), pero es el método menos robusto de los evaluados (rango de Friedman 10.14 de 11 en un índice de robustez, frente a 3.95–5.77 para las reglas; todos los pares Wilcoxon p&lt;10^{-4}). El mecanismo es sencillo: un programa óptimamente compacto no tiene holgura para absorber la disrupción. El Estudio 2 pregunta si esta fragilidad se extiende al cuarto paradigma, ostensiblemente más adaptativo: un codificador relacional de red de isomorfismo de grafos (GIN) entrenado con optimización de política proximal (PPO) para el mismo problema dinámico y estocástico de taller de trabajos flexible, evaluado frente a las mismas familias de referencia bajo un protocolo pre-registrado — cinco hipótesis falsables (H1–H5) con reglas de decisión congeladas antes de que existiera cualquier resultado de evaluación. Cuatro de cinco hipótesis se rechazan: la política aprendida no es competitiva con la mejor regla de despacho incluso en instancias estáticas (H1, p=4.0\times10^{-5}); no es robusta bajo ninguno de los nueve regímenes de disrupción (H3, p&lt;1.7\times10^{-11} en las nueve); y un término de recompensa consciente de la disrupción no logra mejorar la robustez sin colapsar el desempeño nominal en 46.6–106.0 puntos porcentuales (H4). La generalización de tamaño se acepta (H2): a través de cuatro niveles de tamaño, el rango de la política entre diez métodos nunca es significativamente peor que el de la mejor regla de despacho, aunque su competitividad absoluta nunca se aproxima a la de dicha regla. Leídos en conjunto, los dos estudios convergen en una sola conclusión, ahora demostrada a través de la búsqueda exacta, la búsqueda evolutiva y el aprendizaje por refuerzo profundo basado en gradientes por igual: la robustez ante la disrupción no es un subproducto gratuito de cualquier noción de calidad que un método optimice fuera de línea, y para entornos propensos a la disrupción una regla de despacho simple y sin costo computacional sigue siendo, de entre todas las familias de políticas aquí evaluadas, la que de manera más confiable conserva su desempeño una vez que el taller de producción deja de comportarse como se planeó.Palabras clave: Programación de taller de trabajos; programación robusta; programación predictivo–reactiva; programación por restricciones; algoritmo genético; reglas de despacho por prioridad; redes neuronales de grafos; aprendizaje por refuerzo profundo; pre-registro; simulación de eventos discretos</vt:lpwstr>
  </property>
  <property fmtid="{D5CDD505-2E9C-101B-9397-08002B2CF9AE}" pid="3" name="bibliography">
    <vt:lpwstr>references.bib</vt:lpwstr>
  </property>
  <property fmtid="{D5CDD505-2E9C-101B-9397-08002B2CF9AE}" pid="4" name="date">
    <vt:lpwstr/>
  </property>
</Properties>
</file>