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mbria" w:hAnsi="Cambria"/>
          <w:i/>
          <w:color w:val="555555"/>
          <w:sz w:val="18"/>
        </w:rPr>
        <w:t>Article</w:t>
      </w:r>
    </w:p>
    <w:p>
      <w:pPr>
        <w:spacing w:after="280" w:line="252" w:lineRule="auto"/>
      </w:pPr>
      <w:r>
        <w:rPr>
          <w:rFonts w:ascii="Calibri" w:hAnsi="Calibri"/>
          <w:b/>
          <w:i w:val="0"/>
          <w:color w:val="151515"/>
          <w:sz w:val="38"/>
        </w:rPr>
        <w:t>Simheuristics for Stochastic Ore-Hauling Truck Dispatching: A Verification and Validation Study Revealing an Instance-Design Threat to Validity</w:t>
      </w:r>
    </w:p>
    <w:p>
      <w:pPr>
        <w:spacing w:after="40"/>
      </w:pPr>
      <w:r>
        <w:rPr>
          <w:rFonts w:ascii="Cambria" w:hAnsi="Cambria"/>
          <w:b w:val="0"/>
          <w:i w:val="0"/>
          <w:sz w:val="21"/>
        </w:rPr>
        <w:t xml:space="preserve">[Author Name(s) to be completed] </w:t>
      </w:r>
      <w:r>
        <w:rPr>
          <w:rFonts w:ascii="Cambria" w:hAnsi="Cambria"/>
          <w:sz w:val="21"/>
          <w:vertAlign w:val="superscript"/>
        </w:rPr>
        <w:t>1,*</w:t>
      </w:r>
    </w:p>
    <w:p>
      <w:pPr>
        <w:spacing w:after="20"/>
      </w:pPr>
      <w:r>
        <w:rPr>
          <w:rFonts w:ascii="Cambria" w:hAnsi="Cambria"/>
          <w:sz w:val="17"/>
          <w:vertAlign w:val="superscript"/>
        </w:rPr>
        <w:t>1</w:t>
      </w:r>
      <w:r>
        <w:rPr>
          <w:rFonts w:ascii="Cambria" w:hAnsi="Cambria"/>
          <w:b w:val="0"/>
          <w:i/>
          <w:sz w:val="17"/>
        </w:rPr>
        <w:t xml:space="preserve"> [Affiliation to be completed — inferred from project context: Corporación Universitaria Minuto de Dios (UNIMINUTO), Research Projects Program, Bogotá, Colombia]</w:t>
      </w:r>
    </w:p>
    <w:p>
      <w:pPr>
        <w:spacing w:after="320"/>
      </w:pPr>
      <w:r>
        <w:rPr>
          <w:rFonts w:ascii="Cambria" w:hAnsi="Cambria"/>
          <w:b w:val="0"/>
          <w:i/>
          <w:sz w:val="17"/>
        </w:rPr>
        <w:t>* Correspondence: ltarazonatorres@gmail.com</w:t>
      </w:r>
    </w:p>
    <w:tbl>
      <w:tblPr>
        <w:tblW w:type="auto" w:w="0"/>
        <w:tblLayout w:type="fixed"/>
        <w:tblLook w:firstColumn="1" w:firstRow="1" w:lastColumn="0" w:lastRow="0" w:noHBand="0" w:noVBand="1" w:val="04A0"/>
      </w:tblPr>
      <w:tblGrid>
        <w:gridCol w:w="2494"/>
        <w:gridCol w:w="6463"/>
      </w:tblGrid>
      <w:tr>
        <w:tc>
          <w:tcPr>
            <w:tcW w:type="dxa" w:w="2494"/>
            <w:tcBorders>
              <w:top w:sz="0" w:val="nil"/>
              <w:bottom w:sz="0" w:val="nil"/>
              <w:left w:sz="0" w:val="nil"/>
              <w:right w:sz="0" w:val="nil"/>
            </w:tcBorders>
          </w:tcPr>
          <w:p>
            <w:pPr>
              <w:spacing w:after="40"/>
            </w:pPr>
            <w:r>
              <w:rPr>
                <w:rFonts w:ascii="Cambria" w:hAnsi="Cambria"/>
                <w:b/>
                <w:i w:val="0"/>
                <w:color w:val="555555"/>
                <w:sz w:val="15"/>
              </w:rPr>
              <w:t>Received:</w:t>
            </w:r>
          </w:p>
          <w:p>
            <w:pPr>
              <w:spacing w:after="40"/>
            </w:pPr>
            <w:r>
              <w:rPr>
                <w:rFonts w:ascii="Cambria" w:hAnsi="Cambria"/>
                <w:b/>
                <w:i w:val="0"/>
                <w:color w:val="555555"/>
                <w:sz w:val="15"/>
              </w:rPr>
              <w:t>Revised:</w:t>
            </w:r>
          </w:p>
          <w:p>
            <w:pPr>
              <w:spacing w:after="40"/>
            </w:pPr>
            <w:r>
              <w:rPr>
                <w:rFonts w:ascii="Cambria" w:hAnsi="Cambria"/>
                <w:b/>
                <w:i w:val="0"/>
                <w:color w:val="555555"/>
                <w:sz w:val="15"/>
              </w:rPr>
              <w:t>Accepted:</w:t>
            </w:r>
          </w:p>
          <w:p>
            <w:pPr>
              <w:spacing w:after="40"/>
            </w:pPr>
            <w:r>
              <w:rPr>
                <w:rFonts w:ascii="Cambria" w:hAnsi="Cambria"/>
                <w:b/>
                <w:i w:val="0"/>
                <w:color w:val="555555"/>
                <w:sz w:val="15"/>
              </w:rPr>
              <w:t>Published:</w:t>
            </w:r>
          </w:p>
          <w:p>
            <w:pPr>
              <w:spacing w:after="120"/>
            </w:pPr>
          </w:p>
          <w:p>
            <w:r>
              <w:rPr>
                <w:rFonts w:ascii="Cambria" w:hAnsi="Cambria"/>
                <w:b w:val="0"/>
                <w:i w:val="0"/>
                <w:color w:val="555555"/>
                <w:sz w:val="15"/>
              </w:rPr>
              <w:t xml:space="preserve">Copyright: © 2026 by the authors. Submitted to </w:t>
            </w:r>
            <w:r>
              <w:rPr>
                <w:rFonts w:ascii="Cambria" w:hAnsi="Cambria"/>
                <w:i/>
                <w:color w:val="555555"/>
                <w:sz w:val="15"/>
              </w:rPr>
              <w:t>Journal Not Specified</w:t>
            </w:r>
            <w:r>
              <w:rPr>
                <w:rFonts w:ascii="Cambria" w:hAnsi="Cambria"/>
                <w:b w:val="0"/>
                <w:i w:val="0"/>
                <w:color w:val="555555"/>
                <w:sz w:val="15"/>
              </w:rPr>
              <w:t xml:space="preserve"> for possible open access publication under the terms and conditions of the Creative Commons Attribution (CC BY) license.</w:t>
            </w:r>
          </w:p>
        </w:tc>
        <w:tc>
          <w:tcPr>
            <w:tcW w:type="dxa" w:w="6463"/>
            <w:tcBorders>
              <w:top w:sz="0" w:val="nil"/>
              <w:bottom w:sz="0" w:val="nil"/>
              <w:left w:sz="0" w:val="nil"/>
              <w:right w:sz="0" w:val="nil"/>
            </w:tcBorders>
          </w:tcPr>
          <w:p>
            <w:r>
              <w:rPr>
                <w:rFonts w:ascii="Calibri" w:hAnsi="Calibri"/>
                <w:b/>
                <w:i w:val="0"/>
                <w:color w:val="151515"/>
                <w:sz w:val="21"/>
              </w:rPr>
              <w:t>Abstract</w:t>
            </w:r>
          </w:p>
          <w:p>
            <w:pPr>
              <w:spacing w:after="200" w:line="264" w:lineRule="auto"/>
            </w:pPr>
            <w:r>
              <w:rPr>
                <w:rFonts w:ascii="Cambria" w:hAnsi="Cambria"/>
                <w:b w:val="0"/>
                <w:i w:val="0"/>
                <w:sz w:val="19"/>
              </w:rPr>
              <w:t>Truck dispatching in open-pit mining must sequence loading, hauling, and dumping under stochastic uncertainty while meeting production targets, and simheuristic frameworks pairing metaheuristics with stochastic evaluators are increasingly proposed for this task, yet rarely verified by execution before their results are reported. We implemented and audited three simheuristics for a 24-hour shift — SimTSI-MC (tabu search, analytical evaluator), SimTSI-DES (tabu search, discrete-event simulation), and DynSimTSI-DES (disruption-triggered reoptimization) — calibrated from a published instance structure and run across 10 surrogate instances, four uncertainty levels, and common random numbers: 120 combinations, 28.1 CPU-hours. SimTSI-MC and SimTSI-DES returned numerically identical makespans in 40/40 combinations (0.0 min discrepancy, confirmed deterministically and adversarially) — a proven structural equivalence, not an approximation. DynSimTSI-DES triggered zero reoptimizations in 38/38 completed runs, and tabu search improved only 0.005–0.03% over a trivial dispatch rule, converging after its very first iteration; both trace to one cause — the surrogate instances model one trip per truck rather than the dozens a real shift requires, yielding under 1.1% loader utilization. The software is correct and reproducible, but the experimental design lacks the load needed to discriminate between methods; we quantify the effect, confirm no reported figure is contaminated, catalogue seven further defects contaminating none, and specify a validated remediation path reusing an existing, unread data field.</w:t>
            </w:r>
          </w:p>
          <w:p>
            <w:r>
              <w:rPr>
                <w:rFonts w:ascii="Cambria" w:hAnsi="Cambria"/>
                <w:b/>
                <w:i w:val="0"/>
                <w:sz w:val="19"/>
              </w:rPr>
              <w:t xml:space="preserve">Keywords: </w:t>
            </w:r>
            <w:r>
              <w:rPr>
                <w:rFonts w:ascii="Cambria" w:hAnsi="Cambria"/>
                <w:b w:val="0"/>
                <w:i/>
                <w:sz w:val="19"/>
              </w:rPr>
              <w:t>ore hauling; truck dispatching; open-pit mining; simheuristics; discrete-event simulation; tabu search; verification and validation; common random numbers; dynamic reoptimization; stochastic scheduling</w:t>
            </w:r>
          </w:p>
        </w:tc>
      </w:tr>
    </w:tbl>
    <w:p>
      <w:pPr>
        <w:spacing w:after="80"/>
      </w:pPr>
    </w:p>
    <w:p>
      <w:pPr>
        <w:keepNext/>
        <w:spacing w:before="400" w:after="120"/>
      </w:pPr>
      <w:r>
        <w:rPr>
          <w:rFonts w:ascii="Calibri" w:hAnsi="Calibri"/>
          <w:b/>
          <w:i w:val="0"/>
          <w:color w:val="151515"/>
          <w:sz w:val="26"/>
        </w:rPr>
        <w:t>1. Introduction</w:t>
      </w:r>
    </w:p>
    <w:p>
      <w:pPr>
        <w:spacing w:after="160"/>
        <w:jc w:val="both"/>
      </w:pPr>
      <w:r>
        <w:rPr>
          <w:rFonts w:ascii="Cambria" w:hAnsi="Cambria"/>
          <w:b w:val="0"/>
          <w:i w:val="0"/>
          <w:sz w:val="21"/>
        </w:rPr>
        <w:t xml:space="preserve">Material haulage — moving broken rock from the working faces of an open pit to a processing plant or a waste/low-grade stockpile — is one of the largest recurring cost centres in open-pit mining, because it is performed continuously, at large scale, by capital-intensive equipment (large rigid-frame haul trucks paired with electric or hydraulic shovels) operating under conditions that are inherently variable: loading times fluctuate with material fragmentation and operator skill, travel times fluctuate with road condition and queueing at intersections, and equipment availability fluctuates with unplanned mechanical failures. The </w:t>
      </w:r>
      <w:r>
        <w:rPr>
          <w:rFonts w:ascii="Cambria" w:hAnsi="Cambria"/>
          <w:i/>
          <w:sz w:val="21"/>
        </w:rPr>
        <w:t>truck dispatching problem</w:t>
      </w:r>
      <w:r>
        <w:rPr>
          <w:rFonts w:ascii="Cambria" w:hAnsi="Cambria"/>
          <w:b w:val="0"/>
          <w:i w:val="0"/>
          <w:sz w:val="21"/>
        </w:rPr>
        <w:t xml:space="preserve"> — deciding, continuously through a shift, which truck goes to which loading unit and which destination — therefore sits at the intersection of combinatorial scheduling and stochastic operations research: a good dispatching policy must sequence a fleet of heterogeneous trucks across a small number of loading units so that the shift finishes on time and shift-level production and grade targets are met, and it must do so despite the fact that none of the durations involved are known exactly in advance. A substantial and still-active literature has approached this problem from many angles, ranging from classical assignment and flow-allocation heuristics through to metaheuristic search and, more recently, reinforcement learning for real-time re-dispatch under uncertainty [3–5]; discrete-event simulation has, separately, been used to model haulage-specific phenomena that a purely combinatorial formulation would miss, such as truck bunching induced by payload variance [6]. A recurring theme across this literature, reviewed for open-pit dispatching specifically by Alarie and Gamache [5], is the trade-off between solution quality, computational cost, and the ability of a method to react to disruptions as they occur rather than only at the start of a shift.</w:t>
      </w:r>
    </w:p>
    <w:p>
      <w:pPr>
        <w:spacing w:after="160"/>
        <w:jc w:val="both"/>
      </w:pPr>
      <w:r>
        <w:rPr>
          <w:rFonts w:ascii="Cambria" w:hAnsi="Cambria"/>
          <w:i/>
          <w:sz w:val="21"/>
        </w:rPr>
        <w:t>Simheuristics</w:t>
      </w:r>
      <w:r>
        <w:rPr>
          <w:rFonts w:ascii="Cambria" w:hAnsi="Cambria"/>
          <w:b w:val="0"/>
          <w:i w:val="0"/>
          <w:sz w:val="21"/>
        </w:rPr>
        <w:t xml:space="preserve"> — frameworks that embed a stochastic simulation (Monte Carlo or discrete-event) inside the evaluation step of a metaheuristic search, so that candidate solutions are scored under uncertainty rather than under a single deterministic estimate — are one response to this trade-off, and have been applied across logistics, scheduling, and inventory problems where combinatorial search must be married to a faithful stochastic model of system behaviour [1]. Two practical design questions recur whenever a simheuristic is built this way. First, if two different stochastic evaluators are offered — for instance, a fast analytical approximation and a slower but more general discrete-event simulation (DES) — are they actually estimating the same quantity, or does the analytical shortcut silently diverge from the simulated system under some conditions? Second, and less often asked, does the </w:t>
      </w:r>
      <w:r>
        <w:rPr>
          <w:rFonts w:ascii="Cambria" w:hAnsi="Cambria"/>
          <w:i/>
          <w:sz w:val="21"/>
        </w:rPr>
        <w:t>experimental instance design</w:t>
      </w:r>
      <w:r>
        <w:rPr>
          <w:rFonts w:ascii="Cambria" w:hAnsi="Cambria"/>
          <w:b w:val="0"/>
          <w:i w:val="0"/>
          <w:sz w:val="21"/>
        </w:rPr>
        <w:t xml:space="preserve"> used to compare methods actually exercise the mechanisms — congestion, queueing, disruption-triggered reoptimization — that the comparison is meant to test? Both questions are properties of </w:t>
      </w:r>
      <w:r>
        <w:rPr>
          <w:rFonts w:ascii="Cambria" w:hAnsi="Cambria"/>
          <w:i/>
          <w:sz w:val="21"/>
        </w:rPr>
        <w:t>verification and validation</w:t>
      </w:r>
      <w:r>
        <w:rPr>
          <w:rFonts w:ascii="Cambria" w:hAnsi="Cambria"/>
          <w:b w:val="0"/>
          <w:i w:val="0"/>
          <w:sz w:val="21"/>
        </w:rPr>
        <w:t xml:space="preserve"> (V&amp;V) in the sense formalized for simulation models by Sargent [2]: verification asks whether the software correctly implements the intended conceptual model, and validation (which for a synthetic experimental instance also extends to the instance itself) asks whether the model, exercised as designed, is representative of the system and phenomena under study. In practice, V&amp;V is frequently reported only as "the code was tested" in simulation-optimization papers, without execution-based evidence that the comparison being reported has discriminating power.</w:t>
      </w:r>
    </w:p>
    <w:p>
      <w:pPr>
        <w:spacing w:after="160"/>
        <w:jc w:val="both"/>
      </w:pPr>
      <w:r>
        <w:rPr>
          <w:rFonts w:ascii="Cambria" w:hAnsi="Cambria"/>
          <w:b w:val="0"/>
          <w:i w:val="0"/>
          <w:sz w:val="21"/>
        </w:rPr>
        <w:t xml:space="preserve">This paper reports the design, implementation, and — centrally — the execution-based verification and validation of a reproducible simheuristic framework for stochastic truck dispatching in a single-shift open-pit mining context, implementing three related methods: </w:t>
      </w:r>
      <w:r>
        <w:rPr>
          <w:rFonts w:ascii="Cambria" w:hAnsi="Cambria"/>
          <w:b/>
          <w:sz w:val="21"/>
        </w:rPr>
        <w:t>SimTSI-MC</w:t>
      </w:r>
      <w:r>
        <w:rPr>
          <w:rFonts w:ascii="Cambria" w:hAnsi="Cambria"/>
          <w:b w:val="0"/>
          <w:i w:val="0"/>
          <w:sz w:val="21"/>
        </w:rPr>
        <w:t xml:space="preserve">, which pairs a tabu-search metaheuristic (denoted TSI, following the terminology of the antecedent conference manuscript that established its calibration [7]) with a fast analytical two-pass evaluator; </w:t>
      </w:r>
      <w:r>
        <w:rPr>
          <w:rFonts w:ascii="Cambria" w:hAnsi="Cambria"/>
          <w:b/>
          <w:sz w:val="21"/>
        </w:rPr>
        <w:t>SimTSI-DES</w:t>
      </w:r>
      <w:r>
        <w:rPr>
          <w:rFonts w:ascii="Cambria" w:hAnsi="Cambria"/>
          <w:b w:val="0"/>
          <w:i w:val="0"/>
          <w:sz w:val="21"/>
        </w:rPr>
        <w:t xml:space="preserve">, which pairs the same tabu search with a full discrete-event simulation evaluator; and </w:t>
      </w:r>
      <w:r>
        <w:rPr>
          <w:rFonts w:ascii="Cambria" w:hAnsi="Cambria"/>
          <w:b/>
          <w:sz w:val="21"/>
        </w:rPr>
        <w:t>DynSimTSI-DES</w:t>
      </w:r>
      <w:r>
        <w:rPr>
          <w:rFonts w:ascii="Cambria" w:hAnsi="Cambria"/>
          <w:b w:val="0"/>
          <w:i w:val="0"/>
          <w:sz w:val="21"/>
        </w:rPr>
        <w:t>, which extends SimTSI-DES with disruption-triggered rolling-horizon reoptimization during shift execution. The three methods share a common tabu-search calibration, a common random-number scheme, and a common set of ten reproducible surrogate problem instances sized to match the structure of a prior published conference manuscript (1–10 loading units, 2–20 CAT 798 AC/Komatsu 960E trucks, a 24-hour shift, and two destinations) [7], so that any difference in reported outcomes can be attributed to the method rather than to inconsistent inputs.</w:t>
      </w:r>
    </w:p>
    <w:p>
      <w:pPr>
        <w:spacing w:after="160"/>
        <w:jc w:val="both"/>
      </w:pPr>
      <w:r>
        <w:rPr>
          <w:rFonts w:ascii="Cambria" w:hAnsi="Cambria"/>
          <w:b w:val="0"/>
          <w:i w:val="0"/>
          <w:sz w:val="21"/>
        </w:rPr>
        <w:t xml:space="preserve">The purpose of this work is twofold, and both parts are load-bearing for the conclusions we draw. First, we report the comparative performance and computational cost of the three methods across a full 10-instance × 4-uncertainty-level × 3-method experimental campaign (120 combinations), which is the kind of result such a framework is normally built to produce. Second — and this is the paper's principal methodological contribution — we do not stop at reporting those numbers. We subjected the codebase and the experimental campaign to an independent, execution-based audit, re-verified during the preparation of this manuscript against the raw output files rather than against prior narrative summaries, and we report what that audit found even where it complicates the headline comparison. Two results anchor the paper. On one hand, we show that SimTSI-MC and SimTSI-DES are not merely close but </w:t>
      </w:r>
      <w:r>
        <w:rPr>
          <w:rFonts w:ascii="Cambria" w:hAnsi="Cambria"/>
          <w:i/>
          <w:sz w:val="21"/>
        </w:rPr>
        <w:t>provably, structurally equivalent</w:t>
      </w:r>
      <w:r>
        <w:rPr>
          <w:rFonts w:ascii="Cambria" w:hAnsi="Cambria"/>
          <w:b w:val="0"/>
          <w:i w:val="0"/>
          <w:sz w:val="21"/>
        </w:rPr>
        <w:t xml:space="preserve"> under the loader-release rule used in production, a positive and reusable verification result about evaluator design. On the other hand, we show that the surrogate instances used for the 120-combination campaign are populated so lightly (under 1.1% loading-resource utilization at every scale tested) that neither the dynamic reoptimization mechanism nor the tabu-search metaheuristic itself has any discriminating work to do, which means the campaign's headline comparison currently has no empirical content to report — a finding we trace to a single, mechanically fixable root cause in how trip data is generated, rather than to any defect in the simulation or optimization logic itself. We report this transparently, consistent with the principle that a structured abstract "must not contain results which are not presented and substantiated in the main text and should not exaggerate the main conclusions," because we regard the verification methodology itself — deterministic unit tests, adversarial stress tests, and full-repository execution-based auditing, applied to both the code and the experimental design — as a result worth reporting on its own terms, of direct relevance to any research group building or reviewing a simulation-optimization comparison study. As far as possible, the remainder of this paper keeps the exposition comprehensible to readers outside operations research and mining engineering specifically: Section 2 describes the problem, the three methods, the experimental design, and the verification protocol in replicable detail; Section 3 reports outcomes, always accompanied by the exact evidence behind each claim; Section 4 discusses what the findings mean for this project and for simulation-optimization comparison studies generally; and Section 5 concludes.</w:t>
      </w:r>
    </w:p>
    <w:p>
      <w:pPr>
        <w:keepNext/>
        <w:spacing w:before="400" w:after="120"/>
      </w:pPr>
      <w:r>
        <w:rPr>
          <w:rFonts w:ascii="Calibri" w:hAnsi="Calibri"/>
          <w:b/>
          <w:i w:val="0"/>
          <w:color w:val="151515"/>
          <w:sz w:val="26"/>
        </w:rPr>
        <w:t>2. Materials and Methods</w:t>
      </w:r>
    </w:p>
    <w:p>
      <w:pPr>
        <w:keepNext/>
        <w:spacing w:before="280" w:after="80"/>
      </w:pPr>
      <w:r>
        <w:rPr>
          <w:rFonts w:ascii="Calibri" w:hAnsi="Calibri"/>
          <w:b/>
          <w:i w:val="0"/>
          <w:color w:val="151515"/>
          <w:sz w:val="22"/>
        </w:rPr>
        <w:t>2.1. Problem Context and Decision Variables</w:t>
      </w:r>
    </w:p>
    <w:p>
      <w:pPr>
        <w:spacing w:after="160"/>
        <w:jc w:val="both"/>
      </w:pPr>
      <w:r>
        <w:rPr>
          <w:rFonts w:ascii="Cambria" w:hAnsi="Cambria"/>
          <w:b w:val="0"/>
          <w:i w:val="0"/>
          <w:sz w:val="21"/>
        </w:rPr>
        <w:t xml:space="preserve">The problem addressed is single-shift truck dispatching at an open-pit mine: over a 24-hour (1440-minute) shift, a fleet of two truck types (CAT 798 AC and Komatsu 960E, differing in nominal haul, dump, and return times) transports broken material from a set of loading units to one of two destinations, a processing plant ("Plant") and a low-grade stockpile ("Pad"), each with its own shift-level production target expressed in fine-metal tonnage. Each truck trip (a "job" in the implementation) is characterized by a release time, an assigned destination, an ore grade, and nominal (mean) durations for loading, hauling, dumping, and returning; loading durations depend on which loading unit serves the trip, since the two loader profiles used (mean load time 3.5 min and 5.0 min, alternating) differ. A </w:t>
      </w:r>
      <w:r>
        <w:rPr>
          <w:rFonts w:ascii="Cambria" w:hAnsi="Cambria"/>
          <w:i/>
          <w:sz w:val="21"/>
        </w:rPr>
        <w:t>solution</w:t>
      </w:r>
      <w:r>
        <w:rPr>
          <w:rFonts w:ascii="Cambria" w:hAnsi="Cambria"/>
          <w:b w:val="0"/>
          <w:i w:val="0"/>
          <w:sz w:val="21"/>
        </w:rPr>
        <w:t xml:space="preserve"> assigns every job to exactly one loading unit and fixes the order in which each loading unit processes its assigned jobs; the primary objective is the shift makespan (</w:t>
      </w:r>
      <w:r>
        <w:rPr>
          <w:rFonts w:ascii="Cambria" w:hAnsi="Cambria"/>
          <w:i/>
          <w:sz w:val="21"/>
        </w:rPr>
        <w:t>C</w:t>
      </w:r>
      <w:r>
        <w:rPr>
          <w:rFonts w:ascii="Cambria" w:hAnsi="Cambria"/>
          <w:sz w:val="21"/>
          <w:vertAlign w:val="subscript"/>
        </w:rPr>
        <w:t>max</w:t>
      </w:r>
      <w:r>
        <w:rPr>
          <w:rFonts w:ascii="Cambria" w:hAnsi="Cambria"/>
          <w:b w:val="0"/>
          <w:i w:val="0"/>
          <w:sz w:val="21"/>
        </w:rPr>
        <w:t>, the completion time of the last job), penalized when shift-level production targets at either destination are not met, subject to meeting those targets with high probability under stochastic durations.</w:t>
      </w:r>
    </w:p>
    <w:p>
      <w:pPr>
        <w:keepNext/>
        <w:spacing w:before="280" w:after="80"/>
      </w:pPr>
      <w:r>
        <w:rPr>
          <w:rFonts w:ascii="Calibri" w:hAnsi="Calibri"/>
          <w:b/>
          <w:i w:val="0"/>
          <w:color w:val="151515"/>
          <w:sz w:val="22"/>
        </w:rPr>
        <w:t>2.2. The Three Simheuristic Methods</w:t>
      </w:r>
    </w:p>
    <w:p>
      <w:pPr>
        <w:spacing w:after="160"/>
        <w:jc w:val="both"/>
      </w:pPr>
      <w:r>
        <w:rPr>
          <w:rFonts w:ascii="Cambria" w:hAnsi="Cambria"/>
          <w:b w:val="0"/>
          <w:i w:val="0"/>
          <w:sz w:val="21"/>
        </w:rPr>
        <w:t xml:space="preserve">All three methods share a single tabu-search metaheuristic (Section 2.3) that searches over sequencing decisions, and differ only in how a candidate sequencing decision is </w:t>
      </w:r>
      <w:r>
        <w:rPr>
          <w:rFonts w:ascii="Cambria" w:hAnsi="Cambria"/>
          <w:i/>
          <w:sz w:val="21"/>
        </w:rPr>
        <w:t>evaluated</w:t>
      </w:r>
      <w:r>
        <w:rPr>
          <w:rFonts w:ascii="Cambria" w:hAnsi="Cambria"/>
          <w:b w:val="0"/>
          <w:i w:val="0"/>
          <w:sz w:val="21"/>
        </w:rPr>
        <w:t xml:space="preserve"> under uncertainty, and in whether that decision is fixed for the whole shift or revised during execution:</w:t>
      </w:r>
    </w:p>
    <w:p>
      <w:pPr>
        <w:pStyle w:val="ListBullet"/>
        <w:spacing w:after="80"/>
      </w:pPr>
      <w:r>
        <w:rPr>
          <w:rFonts w:ascii="Cambria" w:hAnsi="Cambria"/>
          <w:b/>
          <w:sz w:val="21"/>
        </w:rPr>
        <w:t>SimTSI-MC</w:t>
      </w:r>
      <w:r>
        <w:rPr>
          <w:rFonts w:ascii="Cambria" w:hAnsi="Cambria"/>
          <w:b w:val="0"/>
          <w:i w:val="0"/>
          <w:sz w:val="21"/>
        </w:rPr>
        <w:t xml:space="preserve"> evaluates a candidate solution with </w:t>
      </w:r>
      <w:r>
        <w:rPr>
          <w:rFonts w:ascii="Consolas" w:hAnsi="Consolas"/>
          <w:sz w:val="19"/>
        </w:rPr>
        <w:t>mc.py</w:t>
      </w:r>
      <w:r>
        <w:rPr>
          <w:rFonts w:ascii="Cambria" w:hAnsi="Cambria"/>
          <w:b w:val="0"/>
          <w:i w:val="0"/>
          <w:sz w:val="21"/>
        </w:rPr>
        <w:t>, an analytical, two-pass evaluator: pass 1 propagates each loading unit's own sequence forward in time (loading, then that job's downstream haul/dump/return times); pass 2 serializes discharges at each destination through a single-server queue (</w:t>
      </w:r>
      <w:r>
        <w:rPr>
          <w:rFonts w:ascii="Consolas" w:hAnsi="Consolas"/>
          <w:sz w:val="19"/>
        </w:rPr>
        <w:t>dest_free_at</w:t>
      </w:r>
      <w:r>
        <w:rPr>
          <w:rFonts w:ascii="Cambria" w:hAnsi="Cambria"/>
          <w:b w:val="0"/>
          <w:i w:val="0"/>
          <w:sz w:val="21"/>
        </w:rPr>
        <w:t>) so that trucks arriving at a busy destination wait, replicating destination contention without a full event loop.</w:t>
      </w:r>
    </w:p>
    <w:p>
      <w:pPr>
        <w:pStyle w:val="ListBullet"/>
        <w:spacing w:after="80"/>
      </w:pPr>
      <w:r>
        <w:rPr>
          <w:rFonts w:ascii="Cambria" w:hAnsi="Cambria"/>
          <w:b/>
          <w:sz w:val="21"/>
        </w:rPr>
        <w:t>SimTSI-DES</w:t>
      </w:r>
      <w:r>
        <w:rPr>
          <w:rFonts w:ascii="Cambria" w:hAnsi="Cambria"/>
          <w:b w:val="0"/>
          <w:i w:val="0"/>
          <w:sz w:val="21"/>
        </w:rPr>
        <w:t xml:space="preserve"> evaluates the same candidate solution with </w:t>
      </w:r>
      <w:r>
        <w:rPr>
          <w:rFonts w:ascii="Consolas" w:hAnsi="Consolas"/>
          <w:sz w:val="19"/>
        </w:rPr>
        <w:t>des.py</w:t>
      </w:r>
      <w:r>
        <w:rPr>
          <w:rFonts w:ascii="Cambria" w:hAnsi="Cambria"/>
          <w:b w:val="0"/>
          <w:i w:val="0"/>
          <w:sz w:val="21"/>
        </w:rPr>
        <w:t>, a discrete-event simulator with an explicit priority-queue event list, per-job state machine (</w:t>
      </w:r>
      <w:r>
        <w:rPr>
          <w:rFonts w:ascii="Consolas" w:hAnsi="Consolas"/>
          <w:sz w:val="19"/>
        </w:rPr>
        <w:t>not_released → waiting_loader → loading → hauling → waiting_dump/dumping → returning → done</w:t>
      </w:r>
      <w:r>
        <w:rPr>
          <w:rFonts w:ascii="Cambria" w:hAnsi="Cambria"/>
          <w:b w:val="0"/>
          <w:i w:val="0"/>
          <w:sz w:val="21"/>
        </w:rPr>
        <w:t>), and explicit FIFO queues at each destination.</w:t>
      </w:r>
    </w:p>
    <w:p>
      <w:pPr>
        <w:pStyle w:val="ListBullet"/>
        <w:spacing w:after="80"/>
      </w:pPr>
      <w:r>
        <w:rPr>
          <w:rFonts w:ascii="Cambria" w:hAnsi="Cambria"/>
          <w:b/>
          <w:sz w:val="21"/>
        </w:rPr>
        <w:t>DynSimTSI-DES</w:t>
      </w:r>
      <w:r>
        <w:rPr>
          <w:rFonts w:ascii="Cambria" w:hAnsi="Cambria"/>
          <w:b w:val="0"/>
          <w:i w:val="0"/>
          <w:sz w:val="21"/>
        </w:rPr>
        <w:t xml:space="preserve"> takes the static solution produced by SimTSI-DES as a starting point, then simulates the shift event-by-event; whenever a disruption trigger fires (Section 2.4), it re-optimizes only the </w:t>
      </w:r>
      <w:r>
        <w:rPr>
          <w:rFonts w:ascii="Cambria" w:hAnsi="Cambria"/>
          <w:i/>
          <w:sz w:val="21"/>
        </w:rPr>
        <w:t>not-yet-started</w:t>
      </w:r>
      <w:r>
        <w:rPr>
          <w:rFonts w:ascii="Cambria" w:hAnsi="Cambria"/>
          <w:b w:val="0"/>
          <w:i w:val="0"/>
          <w:sz w:val="21"/>
        </w:rPr>
        <w:t xml:space="preserve"> portion of the schedule with a fresh, full tabu search whose evaluator is the mean of </w:t>
      </w:r>
      <w:r>
        <w:rPr>
          <w:rFonts w:ascii="Consolas" w:hAnsi="Consolas"/>
          <w:sz w:val="19"/>
        </w:rPr>
        <w:t>rollout_reps</w:t>
      </w:r>
      <w:r>
        <w:rPr>
          <w:rFonts w:ascii="Cambria" w:hAnsi="Cambria"/>
          <w:b w:val="0"/>
          <w:i w:val="0"/>
          <w:sz w:val="21"/>
        </w:rPr>
        <w:t xml:space="preserve"> short DES rollouts from the current simulated state, and resumes execution with the revised plan.</w:t>
      </w:r>
    </w:p>
    <w:p>
      <w:pPr>
        <w:spacing w:after="160"/>
        <w:jc w:val="both"/>
      </w:pPr>
      <w:r>
        <w:rPr>
          <w:rFonts w:ascii="Cambria" w:hAnsi="Cambria"/>
          <w:b w:val="0"/>
          <w:i w:val="0"/>
          <w:sz w:val="21"/>
        </w:rPr>
        <w:t xml:space="preserve">Both </w:t>
      </w:r>
      <w:r>
        <w:rPr>
          <w:rFonts w:ascii="Consolas" w:hAnsi="Consolas"/>
          <w:sz w:val="19"/>
        </w:rPr>
        <w:t>mc.py</w:t>
      </w:r>
      <w:r>
        <w:rPr>
          <w:rFonts w:ascii="Cambria" w:hAnsi="Cambria"/>
          <w:b w:val="0"/>
          <w:i w:val="0"/>
          <w:sz w:val="21"/>
        </w:rPr>
        <w:t xml:space="preserve"> and </w:t>
      </w:r>
      <w:r>
        <w:rPr>
          <w:rFonts w:ascii="Consolas" w:hAnsi="Consolas"/>
          <w:sz w:val="19"/>
        </w:rPr>
        <w:t>des.py</w:t>
      </w:r>
      <w:r>
        <w:rPr>
          <w:rFonts w:ascii="Cambria" w:hAnsi="Cambria"/>
          <w:b w:val="0"/>
          <w:i w:val="0"/>
          <w:sz w:val="21"/>
        </w:rPr>
        <w:t xml:space="preserve"> expose the same interface, </w:t>
      </w:r>
      <w:r>
        <w:rPr>
          <w:rFonts w:ascii="Consolas" w:hAnsi="Consolas"/>
          <w:sz w:val="19"/>
        </w:rPr>
        <w:t>evaluate_*(instance, solution, cv, reps, base_seed) → dict</w:t>
      </w:r>
      <w:r>
        <w:rPr>
          <w:rFonts w:ascii="Cambria" w:hAnsi="Cambria"/>
          <w:b w:val="0"/>
          <w:i w:val="0"/>
          <w:sz w:val="21"/>
        </w:rPr>
        <w:t>, returning the shift fitness (</w:t>
      </w:r>
      <w:r>
        <w:rPr>
          <w:rFonts w:ascii="Cambria" w:hAnsi="Cambria"/>
          <w:i/>
          <w:sz w:val="21"/>
        </w:rPr>
        <w:t>C</w:t>
      </w:r>
      <w:r>
        <w:rPr>
          <w:rFonts w:ascii="Cambria" w:hAnsi="Cambria"/>
          <w:sz w:val="21"/>
          <w:vertAlign w:val="subscript"/>
        </w:rPr>
        <w:t>max</w:t>
      </w:r>
      <w:r>
        <w:rPr>
          <w:rFonts w:ascii="Cambria" w:hAnsi="Cambria"/>
          <w:b w:val="0"/>
          <w:i w:val="0"/>
          <w:sz w:val="21"/>
        </w:rPr>
        <w:t xml:space="preserve"> plus a linear penalty for any unmet production target, at a penalty rate of 1 per ton-minute of shortfall), the mean and standard deviation of </w:t>
      </w:r>
      <w:r>
        <w:rPr>
          <w:rFonts w:ascii="Cambria" w:hAnsi="Cambria"/>
          <w:i/>
          <w:sz w:val="21"/>
        </w:rPr>
        <w:t>C</w:t>
      </w:r>
      <w:r>
        <w:rPr>
          <w:rFonts w:ascii="Cambria" w:hAnsi="Cambria"/>
          <w:sz w:val="21"/>
          <w:vertAlign w:val="subscript"/>
        </w:rPr>
        <w:t>max</w:t>
      </w:r>
      <w:r>
        <w:rPr>
          <w:rFonts w:ascii="Cambria" w:hAnsi="Cambria"/>
          <w:b w:val="0"/>
          <w:i w:val="0"/>
          <w:sz w:val="21"/>
        </w:rPr>
        <w:t xml:space="preserve">, the probability of finishing within the shift, expected overtime, and the probability of meeting each destination's production target across </w:t>
      </w:r>
      <w:r>
        <w:rPr>
          <w:rFonts w:ascii="Consolas" w:hAnsi="Consolas"/>
          <w:sz w:val="19"/>
        </w:rPr>
        <w:t>reps</w:t>
      </w:r>
      <w:r>
        <w:rPr>
          <w:rFonts w:ascii="Cambria" w:hAnsi="Cambria"/>
          <w:b w:val="0"/>
          <w:i w:val="0"/>
          <w:sz w:val="21"/>
        </w:rPr>
        <w:t xml:space="preserve"> independent replications.</w:t>
      </w:r>
    </w:p>
    <w:p>
      <w:pPr>
        <w:keepNext/>
        <w:spacing w:before="280" w:after="80"/>
      </w:pPr>
      <w:r>
        <w:rPr>
          <w:rFonts w:ascii="Calibri" w:hAnsi="Calibri"/>
          <w:b/>
          <w:i w:val="0"/>
          <w:color w:val="151515"/>
          <w:sz w:val="22"/>
        </w:rPr>
        <w:t>2.3. Metaheuristic Calibration</w:t>
      </w:r>
    </w:p>
    <w:p>
      <w:pPr>
        <w:spacing w:after="160"/>
        <w:jc w:val="both"/>
      </w:pPr>
      <w:r>
        <w:rPr>
          <w:rFonts w:ascii="Cambria" w:hAnsi="Cambria"/>
          <w:b w:val="0"/>
          <w:i w:val="0"/>
          <w:sz w:val="21"/>
        </w:rPr>
        <w:t>The tabu search [3] itself (</w:t>
      </w:r>
      <w:r>
        <w:rPr>
          <w:rFonts w:ascii="Consolas" w:hAnsi="Consolas"/>
          <w:sz w:val="19"/>
        </w:rPr>
        <w:t>tsi.py</w:t>
      </w:r>
      <w:r>
        <w:rPr>
          <w:rFonts w:ascii="Cambria" w:hAnsi="Cambria"/>
          <w:b w:val="0"/>
          <w:i w:val="0"/>
          <w:sz w:val="21"/>
        </w:rPr>
        <w:t>) is identical across all three methods and was calibrated in, and inherited unmodified from, the antecedent conference manuscript [7]: a first-in-first-out (FIFO) initial solution (each job assigned, in order of release time, to the loading unit minimizing its own completion time under nominal — noise-free — durations); a full INSERT neighborhood (every job tried in every position of every loading unit, including its own); tabu tenure 10; a maximum of 1000 iterations; a stagnation limit of 25 iterations without improvement, after which the search perturbs the incumbent best solution with 3 random INSERT moves and resumes; and a fixed search seed of 12345. No new calibration of these parameters was performed in this study; stochastic replications belong to the simulation layer evaluated by each candidate, not to the metaheuristic's own random walk. The search uses aspiration (a tabu move is accepted anyway if it improves the global best) and caches every solution's evaluation by a canonical key, so that a candidate visited more than once — common under the INSERT neighborhood — is never re-evaluated.</w:t>
      </w:r>
    </w:p>
    <w:p>
      <w:pPr>
        <w:keepNext/>
        <w:spacing w:before="280" w:after="80"/>
      </w:pPr>
      <w:r>
        <w:rPr>
          <w:rFonts w:ascii="Calibri" w:hAnsi="Calibri"/>
          <w:b/>
          <w:i w:val="0"/>
          <w:color w:val="151515"/>
          <w:sz w:val="22"/>
        </w:rPr>
        <w:t>2.4. Dynamic Reoptimization Trigger</w:t>
      </w:r>
    </w:p>
    <w:p>
      <w:pPr>
        <w:spacing w:after="160"/>
        <w:jc w:val="both"/>
      </w:pPr>
      <w:r>
        <w:rPr>
          <w:rFonts w:ascii="Cambria" w:hAnsi="Cambria"/>
          <w:b w:val="0"/>
          <w:i w:val="0"/>
          <w:sz w:val="21"/>
        </w:rPr>
        <w:t xml:space="preserve">DynSimTSI-DES re-optimizes the residual (not-yet-started) schedule whenever either condition holds, subject to a minimum 15-minute interval between consecutive reoptimizations: the queue at either destination reaches 2 trucks, or any job still waiting for a loading unit has waited ≥ 30 minutes. Each reoptimization runs a full tabu search (same parameters as Section 2.3) over the residual jobs, evaluated by the mean of </w:t>
      </w:r>
      <w:r>
        <w:rPr>
          <w:rFonts w:ascii="Consolas" w:hAnsi="Consolas"/>
          <w:sz w:val="19"/>
        </w:rPr>
        <w:t>rollout_reps = 5</w:t>
      </w:r>
      <w:r>
        <w:rPr>
          <w:rFonts w:ascii="Cambria" w:hAnsi="Cambria"/>
          <w:b w:val="0"/>
          <w:i w:val="0"/>
          <w:sz w:val="21"/>
        </w:rPr>
        <w:t xml:space="preserve"> short DES rollouts cloned from the live simulator state, and is capped at </w:t>
      </w:r>
      <w:r>
        <w:rPr>
          <w:rFonts w:ascii="Consolas" w:hAnsi="Consolas"/>
          <w:sz w:val="19"/>
        </w:rPr>
        <w:t>max_reopts = 25</w:t>
      </w:r>
      <w:r>
        <w:rPr>
          <w:rFonts w:ascii="Cambria" w:hAnsi="Cambria"/>
          <w:b w:val="0"/>
          <w:i w:val="0"/>
          <w:sz w:val="21"/>
        </w:rPr>
        <w:t xml:space="preserve"> reoptimizations per replication. The rollout evaluator uses a random-number stream (base seed 900,000) kept separate from the main simulation stream (base seed 500,000), so that re-evaluating candidates during a reoptimization never reuses — and thereby never correlates with — the noise realization already committed to the executed portion of the shift.</w:t>
      </w:r>
    </w:p>
    <w:p>
      <w:pPr>
        <w:keepNext/>
        <w:spacing w:before="280" w:after="80"/>
      </w:pPr>
      <w:r>
        <w:rPr>
          <w:rFonts w:ascii="Calibri" w:hAnsi="Calibri"/>
          <w:b/>
          <w:i w:val="0"/>
          <w:color w:val="151515"/>
          <w:sz w:val="22"/>
        </w:rPr>
        <w:t>2.5. Uncertainty Model and Common Random Numbers</w:t>
      </w:r>
    </w:p>
    <w:p>
      <w:pPr>
        <w:spacing w:after="160"/>
        <w:jc w:val="both"/>
      </w:pPr>
      <w:r>
        <w:rPr>
          <w:rFonts w:ascii="Cambria" w:hAnsi="Cambria"/>
          <w:b w:val="0"/>
          <w:i w:val="0"/>
          <w:sz w:val="21"/>
        </w:rPr>
        <w:t xml:space="preserve">All non-deterministic durations (load, haul, dump, return) are drawn from a mean-preserving lognormal distribution parameterized directly by the mean and a coefficient of variation (CV): σ² = ln(1 + CV²), μ = ln(mean) − σ²/2, so that the distribution's expected value equals the nominal duration regardless of CV. Four uncertainty levels were used for the reported campaign, CV ∈ {0.05, 0.10, 0.20, 0.30}, with CV = 0 available as a deterministic verification control (used throughout Section 2.8 and Section 3.3). Every draw is generated from a keyed pseudo-random stream: a NumPy </w:t>
      </w:r>
      <w:r>
        <w:rPr>
          <w:rFonts w:ascii="Consolas" w:hAnsi="Consolas"/>
          <w:sz w:val="19"/>
        </w:rPr>
        <w:t>SeedSequence</w:t>
      </w:r>
      <w:r>
        <w:rPr>
          <w:rFonts w:ascii="Cambria" w:hAnsi="Cambria"/>
          <w:b w:val="0"/>
          <w:i w:val="0"/>
          <w:sz w:val="21"/>
        </w:rPr>
        <w:t xml:space="preserve"> built from the tuple (base seed, replication index, job id, a fixed per-component code for load/haul/dump/return, loading-unit id), so that the realized duration for a given job's given component in a given replication is identical regardless of which loading unit or search trajectory it ends up assigned to, which order candidates are evaluated in, or whether replications are distributed across parallel worker processes. This common-random-numbers (CRN) design [4] is what makes it meaningful to compare </w:t>
      </w:r>
      <w:r>
        <w:rPr>
          <w:rFonts w:ascii="Cambria" w:hAnsi="Cambria"/>
          <w:i/>
          <w:sz w:val="21"/>
        </w:rPr>
        <w:t>C</w:t>
      </w:r>
      <w:r>
        <w:rPr>
          <w:rFonts w:ascii="Cambria" w:hAnsi="Cambria"/>
          <w:sz w:val="21"/>
          <w:vertAlign w:val="subscript"/>
        </w:rPr>
        <w:t>max</w:t>
      </w:r>
      <w:r>
        <w:rPr>
          <w:rFonts w:ascii="Cambria" w:hAnsi="Cambria"/>
          <w:b w:val="0"/>
          <w:i w:val="0"/>
          <w:sz w:val="21"/>
        </w:rPr>
        <w:t xml:space="preserve"> across SimTSI-MC, SimTSI-DES, and DynSimTSI-DES on the same replication: all three face the same exogenous noise realization for a given job, differing only in how their evaluator and search policy respond to it.</w:t>
      </w:r>
    </w:p>
    <w:p>
      <w:pPr>
        <w:keepNext/>
        <w:spacing w:before="280" w:after="80"/>
      </w:pPr>
      <w:r>
        <w:rPr>
          <w:rFonts w:ascii="Calibri" w:hAnsi="Calibri"/>
          <w:b/>
          <w:i w:val="0"/>
          <w:color w:val="151515"/>
          <w:sz w:val="22"/>
        </w:rPr>
        <w:t>2.6. Experimental Instances and Data Provenance</w:t>
      </w:r>
    </w:p>
    <w:p>
      <w:pPr>
        <w:spacing w:after="160"/>
        <w:jc w:val="both"/>
      </w:pPr>
      <w:r>
        <w:rPr>
          <w:rFonts w:ascii="Cambria" w:hAnsi="Cambria"/>
          <w:b/>
          <w:sz w:val="21"/>
        </w:rPr>
        <w:t>These instances are reproducible surrogates for software verification, not the original mine data, and this distinction is load-bearing for how the results in Section 3 should be read.</w:t>
      </w:r>
      <w:r>
        <w:rPr>
          <w:rFonts w:ascii="Cambria" w:hAnsi="Cambria"/>
          <w:b w:val="0"/>
          <w:i w:val="0"/>
          <w:sz w:val="21"/>
        </w:rPr>
        <w:t xml:space="preserve"> The antecedent conference manuscript [7] specifies the </w:t>
      </w:r>
      <w:r>
        <w:rPr>
          <w:rFonts w:ascii="Cambria" w:hAnsi="Cambria"/>
          <w:i/>
          <w:sz w:val="21"/>
        </w:rPr>
        <w:t>structure</w:t>
      </w:r>
      <w:r>
        <w:rPr>
          <w:rFonts w:ascii="Cambria" w:hAnsi="Cambria"/>
          <w:b w:val="0"/>
          <w:i w:val="0"/>
          <w:sz w:val="21"/>
        </w:rPr>
        <w:t xml:space="preserve"> of ten problem instances — 1 to 10 loading units, 2 to 20 trucks of two named types, a 24-hour shift, and Plant/Pad destinations with stated production targets — but does not publish the exact trip-level values (release times, per-job processing times, grades, destinations, and production contributions) underlying its own reported results. To allow the software described in Section 2.2 to be built, tested, and exercised end-to-end before those exact values are available, ten surrogate instances (</w:t>
      </w:r>
      <w:r>
        <w:rPr>
          <w:rFonts w:ascii="Consolas" w:hAnsi="Consolas"/>
          <w:sz w:val="19"/>
        </w:rPr>
        <w:t>I01</w:t>
      </w:r>
      <w:r>
        <w:rPr>
          <w:rFonts w:ascii="Cambria" w:hAnsi="Cambria"/>
          <w:b w:val="0"/>
          <w:i w:val="0"/>
          <w:sz w:val="21"/>
        </w:rPr>
        <w:t>–</w:t>
      </w:r>
      <w:r>
        <w:rPr>
          <w:rFonts w:ascii="Consolas" w:hAnsi="Consolas"/>
          <w:sz w:val="19"/>
        </w:rPr>
        <w:t>I10</w:t>
      </w:r>
      <w:r>
        <w:rPr>
          <w:rFonts w:ascii="Cambria" w:hAnsi="Cambria"/>
          <w:b w:val="0"/>
          <w:i w:val="0"/>
          <w:sz w:val="21"/>
        </w:rPr>
        <w:t>) were generated by a seeded, reproducible generator (</w:t>
      </w:r>
      <w:r>
        <w:rPr>
          <w:rFonts w:ascii="Consolas" w:hAnsi="Consolas"/>
          <w:sz w:val="19"/>
        </w:rPr>
        <w:t>instance_builder.py</w:t>
      </w:r>
      <w:r>
        <w:rPr>
          <w:rFonts w:ascii="Cambria" w:hAnsi="Cambria"/>
          <w:b w:val="0"/>
          <w:i w:val="0"/>
          <w:sz w:val="21"/>
        </w:rPr>
        <w:t xml:space="preserve">, </w:t>
      </w:r>
      <w:r>
        <w:rPr>
          <w:rFonts w:ascii="Consolas" w:hAnsi="Consolas"/>
          <w:sz w:val="19"/>
        </w:rPr>
        <w:t>numpy.random.default_rng(1000+i)</w:t>
      </w:r>
      <w:r>
        <w:rPr>
          <w:rFonts w:ascii="Cambria" w:hAnsi="Cambria"/>
          <w:b w:val="0"/>
          <w:i w:val="0"/>
          <w:sz w:val="21"/>
        </w:rPr>
        <w:t xml:space="preserve"> for instance </w:t>
      </w:r>
      <w:r>
        <w:rPr>
          <w:rFonts w:ascii="Cambria" w:hAnsi="Cambria"/>
          <w:i/>
          <w:sz w:val="21"/>
        </w:rPr>
        <w:t>i</w:t>
      </w:r>
      <w:r>
        <w:rPr>
          <w:rFonts w:ascii="Cambria" w:hAnsi="Cambria"/>
          <w:b w:val="0"/>
          <w:i w:val="0"/>
          <w:sz w:val="21"/>
        </w:rPr>
        <w:t xml:space="preserve">) that matches the antecedent manuscript's stated </w:t>
      </w:r>
      <w:r>
        <w:rPr>
          <w:rFonts w:ascii="Cambria" w:hAnsi="Cambria"/>
          <w:i/>
          <w:sz w:val="21"/>
        </w:rPr>
        <w:t>dimensions</w:t>
      </w:r>
      <w:r>
        <w:rPr>
          <w:rFonts w:ascii="Cambria" w:hAnsi="Cambria"/>
          <w:b w:val="0"/>
          <w:i w:val="0"/>
          <w:sz w:val="21"/>
        </w:rPr>
        <w:t xml:space="preserve"> — </w:t>
      </w:r>
      <w:r>
        <w:rPr>
          <w:rFonts w:ascii="Consolas" w:hAnsi="Consolas"/>
          <w:sz w:val="19"/>
        </w:rPr>
        <w:t>n_loaders = i</w:t>
      </w:r>
      <w:r>
        <w:rPr>
          <w:rFonts w:ascii="Cambria" w:hAnsi="Cambria"/>
          <w:b w:val="0"/>
          <w:i w:val="0"/>
          <w:sz w:val="21"/>
        </w:rPr>
        <w:t xml:space="preserve">, </w:t>
      </w:r>
      <w:r>
        <w:rPr>
          <w:rFonts w:ascii="Consolas" w:hAnsi="Consolas"/>
          <w:sz w:val="19"/>
        </w:rPr>
        <w:t>n_trucks = 2i</w:t>
      </w:r>
      <w:r>
        <w:rPr>
          <w:rFonts w:ascii="Cambria" w:hAnsi="Cambria"/>
          <w:b w:val="0"/>
          <w:i w:val="0"/>
          <w:sz w:val="21"/>
        </w:rPr>
        <w:t xml:space="preserve"> for </w:t>
      </w:r>
      <w:r>
        <w:rPr>
          <w:rFonts w:ascii="Cambria" w:hAnsi="Cambria"/>
          <w:i/>
          <w:sz w:val="21"/>
        </w:rPr>
        <w:t>i</w:t>
      </w:r>
      <w:r>
        <w:rPr>
          <w:rFonts w:ascii="Cambria" w:hAnsi="Cambria"/>
          <w:b w:val="0"/>
          <w:i w:val="0"/>
          <w:sz w:val="21"/>
        </w:rPr>
        <w:t xml:space="preserve"> = 1…10, a 1440-minute horizon, loading units alternating between 3.5-minute and 5.0-minute mean load profiles, trip release times drawn uniformly across the first 75% of the shift, destinations assigned approximately 70%/30% Plant/Pad, and per-job fine-metal tonnage apportioned so that each destination's target is reachable with roughly 10% slack — while making no claim to reproduce its </w:t>
      </w:r>
      <w:r>
        <w:rPr>
          <w:rFonts w:ascii="Cambria" w:hAnsi="Cambria"/>
          <w:i/>
          <w:sz w:val="21"/>
        </w:rPr>
        <w:t>values</w:t>
      </w:r>
      <w:r>
        <w:rPr>
          <w:rFonts w:ascii="Cambria" w:hAnsi="Cambria"/>
          <w:b w:val="0"/>
          <w:i w:val="0"/>
          <w:sz w:val="21"/>
        </w:rPr>
        <w:t xml:space="preserve">. Every generated instance file carries an explicit </w:t>
      </w:r>
      <w:r>
        <w:rPr>
          <w:rFonts w:ascii="Consolas" w:hAnsi="Consolas"/>
          <w:sz w:val="19"/>
        </w:rPr>
        <w:t>provenance_note</w:t>
      </w:r>
      <w:r>
        <w:rPr>
          <w:rFonts w:ascii="Cambria" w:hAnsi="Cambria"/>
          <w:b w:val="0"/>
          <w:i w:val="0"/>
          <w:sz w:val="21"/>
        </w:rPr>
        <w:t xml:space="preserve"> field recording this fact, and the project's own documentation repeats the warning that these ten files must be replaced by the original instance data before any number in this study is reported as an operational finding about the source mine; nothing in the simulation or optimization code needs to change when that replacement happens. As detailed in Section 3.6, this same design decision — one trip generated per truck rather than the many trips a real truck completes across a 24-hour shift — is also the root cause of this study's central negative finding, which is a direct consequence of treating the manuscript's "2 to 20 trucks" as "2 to 20 trip-level jobs."</w:t>
      </w:r>
    </w:p>
    <w:p>
      <w:pPr>
        <w:keepNext/>
        <w:spacing w:before="280" w:after="80"/>
      </w:pPr>
      <w:r>
        <w:rPr>
          <w:rFonts w:ascii="Calibri" w:hAnsi="Calibri"/>
          <w:b/>
          <w:i w:val="0"/>
          <w:color w:val="151515"/>
          <w:sz w:val="22"/>
        </w:rPr>
        <w:t>2.7. Software Architecture and Implementation</w:t>
      </w:r>
    </w:p>
    <w:p>
      <w:pPr>
        <w:spacing w:after="160"/>
        <w:jc w:val="both"/>
      </w:pPr>
      <w:r>
        <w:rPr>
          <w:rFonts w:ascii="Cambria" w:hAnsi="Cambria"/>
          <w:b w:val="0"/>
          <w:i w:val="0"/>
          <w:sz w:val="21"/>
        </w:rPr>
        <w:t xml:space="preserve">The framework comprises 18 Python files (1728 lines, excluding tests) organized as a strictly layered pipeline with no circular imports: a configuration and domain layer (fixed calibration constants; </w:t>
      </w:r>
      <w:r>
        <w:rPr>
          <w:rFonts w:ascii="Consolas" w:hAnsi="Consolas"/>
          <w:sz w:val="19"/>
        </w:rPr>
        <w:t>Loader</w:t>
      </w:r>
      <w:r>
        <w:rPr>
          <w:rFonts w:ascii="Cambria" w:hAnsi="Cambria"/>
          <w:b w:val="0"/>
          <w:i w:val="0"/>
          <w:sz w:val="21"/>
        </w:rPr>
        <w:t>/</w:t>
      </w:r>
      <w:r>
        <w:rPr>
          <w:rFonts w:ascii="Consolas" w:hAnsi="Consolas"/>
          <w:sz w:val="19"/>
        </w:rPr>
        <w:t>Job</w:t>
      </w:r>
      <w:r>
        <w:rPr>
          <w:rFonts w:ascii="Cambria" w:hAnsi="Cambria"/>
          <w:b w:val="0"/>
          <w:i w:val="0"/>
          <w:sz w:val="21"/>
        </w:rPr>
        <w:t>/</w:t>
      </w:r>
      <w:r>
        <w:rPr>
          <w:rFonts w:ascii="Consolas" w:hAnsi="Consolas"/>
          <w:sz w:val="19"/>
        </w:rPr>
        <w:t>Instance</w:t>
      </w:r>
      <w:r>
        <w:rPr>
          <w:rFonts w:ascii="Cambria" w:hAnsi="Cambria"/>
          <w:b w:val="0"/>
          <w:i w:val="0"/>
          <w:sz w:val="21"/>
        </w:rPr>
        <w:t xml:space="preserve"> data classes with a solution-validity check); an evaluation layer exposing the interchangeable </w:t>
      </w:r>
      <w:r>
        <w:rPr>
          <w:rFonts w:ascii="Consolas" w:hAnsi="Consolas"/>
          <w:sz w:val="19"/>
        </w:rPr>
        <w:t>evaluate_mc</w:t>
      </w:r>
      <w:r>
        <w:rPr>
          <w:rFonts w:ascii="Cambria" w:hAnsi="Cambria"/>
          <w:b w:val="0"/>
          <w:i w:val="0"/>
          <w:sz w:val="21"/>
        </w:rPr>
        <w:t>/</w:t>
      </w:r>
      <w:r>
        <w:rPr>
          <w:rFonts w:ascii="Consolas" w:hAnsi="Consolas"/>
          <w:sz w:val="19"/>
        </w:rPr>
        <w:t>evaluate_des</w:t>
      </w:r>
      <w:r>
        <w:rPr>
          <w:rFonts w:ascii="Cambria" w:hAnsi="Cambria"/>
          <w:b w:val="0"/>
          <w:i w:val="0"/>
          <w:sz w:val="21"/>
        </w:rPr>
        <w:t xml:space="preserve"> functions of Section 2.2; the tabu-search metaheuristic of Section 2.3, which receives its evaluator as an injected callback and is therefore fully agnostic to which simulation engine is behind it; a thin composition layer instantiating the three named methods; and an orchestration layer (command-line batch runner, deliverable generation) described in Section 2.9. This evaluator-injection design is what makes the equivalence test of Section 3.3 meaningful: SimTSI-MC and SimTSI-DES run the identical search code over the identical candidate trajectory, differing only in the one function called to score each candidate. A regression test suite (4 files, 212 lines) fixes hand-reasoned expected values on minimal deterministic instances for the two most delicate modelling decisions in the project (loader-release timing and destination-contention queueing, Section 2.8) and smoke-tests all three methods end-to-end; all reported code-level claims in this paper were checked against a complete run of this suite (10/10 tests passing, 16.6 s) at the repository commit analyzed (</w:t>
      </w:r>
      <w:r>
        <w:rPr>
          <w:rFonts w:ascii="Consolas" w:hAnsi="Consolas"/>
          <w:sz w:val="19"/>
        </w:rPr>
        <w:t>4b3c2c0</w:t>
      </w:r>
      <w:r>
        <w:rPr>
          <w:rFonts w:ascii="Cambria" w:hAnsi="Cambria"/>
          <w:b w:val="0"/>
          <w:i w:val="0"/>
          <w:sz w:val="21"/>
        </w:rPr>
        <w:t>).</w:t>
      </w:r>
    </w:p>
    <w:p>
      <w:pPr>
        <w:keepNext/>
        <w:spacing w:before="280" w:after="80"/>
      </w:pPr>
      <w:r>
        <w:rPr>
          <w:rFonts w:ascii="Calibri" w:hAnsi="Calibri"/>
          <w:b/>
          <w:i w:val="0"/>
          <w:color w:val="151515"/>
          <w:sz w:val="22"/>
        </w:rPr>
        <w:t>2.8. Verification and Validation Protocol</w:t>
      </w:r>
    </w:p>
    <w:p>
      <w:pPr>
        <w:spacing w:after="160"/>
        <w:jc w:val="both"/>
      </w:pPr>
      <w:r>
        <w:rPr>
          <w:rFonts w:ascii="Cambria" w:hAnsi="Cambria"/>
          <w:b w:val="0"/>
          <w:i w:val="0"/>
          <w:sz w:val="21"/>
        </w:rPr>
        <w:t>Beyond the regression suite, this study applied three further, execution-based verification techniques, in the sense of Sargent [2], specifically because a metaheuristic wrapped around two nominally interchangeable stochastic evaluators is exactly the situation in which silent divergence between evaluators is both possible and easy to miss if only aggregate outcomes are compared:</w:t>
      </w:r>
    </w:p>
    <w:p>
      <w:pPr>
        <w:tabs>
          <w:tab w:pos="510" w:val="left"/>
        </w:tabs>
        <w:spacing w:after="80"/>
        <w:ind w:left="510" w:hanging="510"/>
      </w:pPr>
      <w:r>
        <w:rPr>
          <w:rFonts w:ascii="Cambria" w:hAnsi="Cambria"/>
          <w:b w:val="0"/>
          <w:i w:val="0"/>
          <w:sz w:val="20"/>
        </w:rPr>
        <w:t>1.</w:t>
        <w:tab/>
      </w:r>
      <w:r>
        <w:rPr>
          <w:rFonts w:ascii="Cambria" w:hAnsi="Cambria"/>
          <w:b/>
          <w:sz w:val="20"/>
        </w:rPr>
        <w:t>Deterministic test cases.</w:t>
      </w:r>
      <w:r>
        <w:rPr>
          <w:rFonts w:ascii="Cambria" w:hAnsi="Cambria"/>
          <w:b w:val="0"/>
          <w:i w:val="0"/>
          <w:sz w:val="20"/>
        </w:rPr>
        <w:t xml:space="preserve"> With CV = 0 (Section 2.5), every simulated duration collapses to its nominal value, so a hand-computed expected outcome can be checked against the software bit-for-bit. Two such cases are load-bearing here: a minimal loader-release-timing case (Section 3.1) and a minimal destination-contention case (one loading unit dispatching two trucks that arrive simultaneously at a shared destination), which fixes SimTSI-MC's queued discharge model against SimTSI-DES's simulated discharge to 9 decimal places (Section 3.3).</w:t>
      </w:r>
    </w:p>
    <w:p>
      <w:pPr>
        <w:tabs>
          <w:tab w:pos="510" w:val="left"/>
        </w:tabs>
        <w:spacing w:after="80"/>
        <w:ind w:left="510" w:hanging="510"/>
      </w:pPr>
      <w:r>
        <w:rPr>
          <w:rFonts w:ascii="Cambria" w:hAnsi="Cambria"/>
          <w:b w:val="0"/>
          <w:i w:val="0"/>
          <w:sz w:val="20"/>
        </w:rPr>
        <w:t>2.</w:t>
        <w:tab/>
      </w:r>
      <w:r>
        <w:rPr>
          <w:rFonts w:ascii="Cambria" w:hAnsi="Cambria"/>
          <w:b/>
          <w:sz w:val="20"/>
        </w:rPr>
        <w:t>Adversarial stress testing.</w:t>
      </w:r>
      <w:r>
        <w:rPr>
          <w:rFonts w:ascii="Cambria" w:hAnsi="Cambria"/>
          <w:b w:val="0"/>
          <w:i w:val="0"/>
          <w:sz w:val="20"/>
        </w:rPr>
        <w:t xml:space="preserve"> Because the ten surrogate instances of Section 2.6 are, by the finding of Section 3.6, very lightly loaded, any equivalence observed only on the as-run campaign could plausibly be an artifact of that low load rather than a general property. We therefore additionally evaluated both evaluators on 24 independently constructed, deliberately congested random solutions (CV up to 0.30, spanning four instances of different sizes) designed to maximize destination queueing, and confirm in Section 3.3 that the equivalence still holds exactly.</w:t>
      </w:r>
    </w:p>
    <w:p>
      <w:pPr>
        <w:tabs>
          <w:tab w:pos="510" w:val="left"/>
        </w:tabs>
        <w:spacing w:after="80"/>
        <w:ind w:left="510" w:hanging="510"/>
      </w:pPr>
      <w:r>
        <w:rPr>
          <w:rFonts w:ascii="Cambria" w:hAnsi="Cambria"/>
          <w:b w:val="0"/>
          <w:i w:val="0"/>
          <w:sz w:val="20"/>
        </w:rPr>
        <w:t>3.</w:t>
        <w:tab/>
      </w:r>
      <w:r>
        <w:rPr>
          <w:rFonts w:ascii="Cambria" w:hAnsi="Cambria"/>
          <w:b/>
          <w:sz w:val="20"/>
        </w:rPr>
        <w:t>Full-repository, execution-based audit.</w:t>
      </w:r>
      <w:r>
        <w:rPr>
          <w:rFonts w:ascii="Cambria" w:hAnsi="Cambria"/>
          <w:b w:val="0"/>
          <w:i w:val="0"/>
          <w:sz w:val="20"/>
        </w:rPr>
        <w:t xml:space="preserve"> In addition to the deterministic and adversarial tests above, the complete codebase and the raw output of the 120-combination campaign were subjected to an independent audit (repository commit </w:t>
      </w:r>
      <w:r>
        <w:rPr>
          <w:rFonts w:ascii="Consolas" w:hAnsi="Consolas"/>
          <w:sz w:val="18"/>
        </w:rPr>
        <w:t>4b3c2c0</w:t>
      </w:r>
      <w:r>
        <w:rPr>
          <w:rFonts w:ascii="Cambria" w:hAnsi="Cambria"/>
          <w:b w:val="0"/>
          <w:i w:val="0"/>
          <w:sz w:val="20"/>
        </w:rPr>
        <w:t xml:space="preserve">, 19 August 2026) whose explicit methodology was to obtain every quantitative claim by </w:t>
      </w:r>
      <w:r>
        <w:rPr>
          <w:rFonts w:ascii="Cambria" w:hAnsi="Cambria"/>
          <w:i/>
          <w:sz w:val="20"/>
        </w:rPr>
        <w:t>executing</w:t>
      </w:r>
      <w:r>
        <w:rPr>
          <w:rFonts w:ascii="Cambria" w:hAnsi="Cambria"/>
          <w:b w:val="0"/>
          <w:i w:val="0"/>
          <w:sz w:val="20"/>
        </w:rPr>
        <w:t xml:space="preserve"> the code against the current repository state — never by reading documentation or trusting prior summaries — and to verify, combination by combination, whether any identified software defect had contaminated an already-published number. During the preparation of this manuscript, the headline statistics from that audit (Sections 3.3, 3.4, and 3.6) were independently re-derived a second time, directly from the raw JSON result files in the project repository rather than from the audit's own narrative report, as an additional check; the two derivations agree exactly, and the commands used are recorded alongside each finding in Section 3 so that a reader can repeat them.</w:t>
      </w:r>
    </w:p>
    <w:p>
      <w:pPr>
        <w:keepNext/>
        <w:spacing w:before="280" w:after="80"/>
      </w:pPr>
      <w:r>
        <w:rPr>
          <w:rFonts w:ascii="Calibri" w:hAnsi="Calibri"/>
          <w:b/>
          <w:i w:val="0"/>
          <w:color w:val="151515"/>
          <w:sz w:val="22"/>
        </w:rPr>
        <w:t>2.9. Experimental Design and Computational Environment</w:t>
      </w:r>
    </w:p>
    <w:p>
      <w:pPr>
        <w:spacing w:after="160"/>
        <w:jc w:val="both"/>
      </w:pPr>
      <w:r>
        <w:rPr>
          <w:rFonts w:ascii="Cambria" w:hAnsi="Cambria"/>
          <w:b w:val="0"/>
          <w:i w:val="0"/>
          <w:sz w:val="21"/>
        </w:rPr>
        <w:t xml:space="preserve">The reported campaign crosses all ten instances (Section 2.6), all four uncertainty levels (Section 2.5), and all three methods (Section 2.2), for 10 × 4 × 3 = 120 combinations, each evaluated with </w:t>
      </w:r>
      <w:r>
        <w:rPr>
          <w:rFonts w:ascii="Consolas" w:hAnsi="Consolas"/>
          <w:sz w:val="19"/>
        </w:rPr>
        <w:t>short_reps = 5</w:t>
      </w:r>
      <w:r>
        <w:rPr>
          <w:rFonts w:ascii="Cambria" w:hAnsi="Cambria"/>
          <w:b w:val="0"/>
          <w:i w:val="0"/>
          <w:sz w:val="21"/>
        </w:rPr>
        <w:t xml:space="preserve"> replications during tabu search (reduced from an initially planned 20 after a stability check across </w:t>
      </w:r>
      <w:r>
        <w:rPr>
          <w:rFonts w:ascii="Consolas" w:hAnsi="Consolas"/>
          <w:sz w:val="19"/>
        </w:rPr>
        <w:t>short_reps</w:t>
      </w:r>
      <w:r>
        <w:rPr>
          <w:rFonts w:ascii="Cambria" w:hAnsi="Cambria"/>
          <w:b w:val="0"/>
          <w:i w:val="0"/>
          <w:sz w:val="21"/>
        </w:rPr>
        <w:t xml:space="preserve"> ∈ {3, 5, 10, 20} on two instances showed the search converges to the identical final solution — </w:t>
      </w:r>
      <w:r>
        <w:rPr>
          <w:rFonts w:ascii="Consolas" w:hAnsi="Consolas"/>
          <w:sz w:val="19"/>
        </w:rPr>
        <w:t>mean_C</w:t>
      </w:r>
      <w:r>
        <w:rPr>
          <w:rFonts w:ascii="Cambria" w:hAnsi="Cambria"/>
          <w:sz w:val="21"/>
          <w:vertAlign w:val="subscript"/>
        </w:rPr>
        <w:t>max</w:t>
      </w:r>
      <w:r>
        <w:rPr>
          <w:rFonts w:ascii="Cambria" w:hAnsi="Cambria"/>
          <w:b w:val="0"/>
          <w:i w:val="0"/>
          <w:sz w:val="21"/>
        </w:rPr>
        <w:t xml:space="preserve"> identical to four or more decimal places — regardless of this value, since it affects only the noise level guiding the search, not the final reported evaluation) and </w:t>
      </w:r>
      <w:r>
        <w:rPr>
          <w:rFonts w:ascii="Consolas" w:hAnsi="Consolas"/>
          <w:sz w:val="19"/>
        </w:rPr>
        <w:t>final_reps = 500</w:t>
      </w:r>
      <w:r>
        <w:rPr>
          <w:rFonts w:ascii="Cambria" w:hAnsi="Cambria"/>
          <w:b w:val="0"/>
          <w:i w:val="0"/>
          <w:sz w:val="21"/>
        </w:rPr>
        <w:t xml:space="preserve"> replications for the reported outcome of the best solution found. All experiments ran on a single machine (AMD Ryzen 5 7520U, 4 physical/8 logical cores, 7.33 GB RAM, of which typically under 1 GB was free during batch execution; Windows 11 Home 64-bit; Python 3.11.9; NumPy 2.4.6) using a reusable </w:t>
      </w:r>
      <w:r>
        <w:rPr>
          <w:rFonts w:ascii="Consolas" w:hAnsi="Consolas"/>
          <w:sz w:val="19"/>
        </w:rPr>
        <w:t>multiprocessing.Pool</w:t>
      </w:r>
      <w:r>
        <w:rPr>
          <w:rFonts w:ascii="Cambria" w:hAnsi="Cambria"/>
          <w:b w:val="0"/>
          <w:i w:val="0"/>
          <w:sz w:val="21"/>
        </w:rPr>
        <w:t xml:space="preserve"> (</w:t>
      </w:r>
      <w:r>
        <w:rPr>
          <w:rFonts w:ascii="Consolas" w:hAnsi="Consolas"/>
          <w:sz w:val="19"/>
        </w:rPr>
        <w:t>workers = 2</w:t>
      </w:r>
      <w:r>
        <w:rPr>
          <w:rFonts w:ascii="Cambria" w:hAnsi="Cambria"/>
          <w:b w:val="0"/>
          <w:i w:val="0"/>
          <w:sz w:val="21"/>
        </w:rPr>
        <w:t>, chosen conservatively given the measured RAM headroom) to parallelize independent replications within each evaluator call; because Windows' default process-start method (</w:t>
      </w:r>
      <w:r>
        <w:rPr>
          <w:rFonts w:ascii="Consolas" w:hAnsi="Consolas"/>
          <w:sz w:val="19"/>
        </w:rPr>
        <w:t>spawn</w:t>
      </w:r>
      <w:r>
        <w:rPr>
          <w:rFonts w:ascii="Cambria" w:hAnsi="Cambria"/>
          <w:b w:val="0"/>
          <w:i w:val="0"/>
          <w:sz w:val="21"/>
        </w:rPr>
        <w:t>) precludes shared memory, each replication dispatch is pickled and sent over an inter-process pipe, and the measured speedup from parallelization was correspondingly modest (1.16×–1.18× on a representative instance, Section 3.10) rather than close to the two-worker ideal. Each combination was run as an isolated, resumable subprocess with an escalating wall-clock timeout (900 s → 3600 s → 4500 s → 7200 s across successive campaign sessions, each increase justified by a direct timing measurement from the preceding campaign session rather than applied speculatively; Section 3.2), so that a single expensive combination could not block the rest of the batch; a batch-level log (</w:t>
      </w:r>
      <w:r>
        <w:rPr>
          <w:rFonts w:ascii="Consolas" w:hAnsi="Consolas"/>
          <w:sz w:val="19"/>
        </w:rPr>
        <w:t>run_log.jsonl</w:t>
      </w:r>
      <w:r>
        <w:rPr>
          <w:rFonts w:ascii="Cambria" w:hAnsi="Cambria"/>
          <w:b w:val="0"/>
          <w:i w:val="0"/>
          <w:sz w:val="21"/>
        </w:rPr>
        <w:t>) and a resumable summary file record one entry per attempted combination, allowing the batch to be safely paused and restarted across sessions without repeating completed work.</w:t>
      </w:r>
    </w:p>
    <w:p>
      <w:pPr>
        <w:keepNext/>
        <w:spacing w:before="280" w:after="80"/>
      </w:pPr>
      <w:r>
        <w:rPr>
          <w:rFonts w:ascii="Calibri" w:hAnsi="Calibri"/>
          <w:b/>
          <w:i w:val="0"/>
          <w:color w:val="151515"/>
          <w:sz w:val="22"/>
        </w:rPr>
        <w:t>2.10. Data, Materials, and Code Availability</w:t>
      </w:r>
    </w:p>
    <w:p>
      <w:pPr>
        <w:spacing w:after="160"/>
        <w:jc w:val="both"/>
      </w:pPr>
      <w:r>
        <w:rPr>
          <w:rFonts w:ascii="Cambria" w:hAnsi="Cambria"/>
          <w:b w:val="0"/>
          <w:i w:val="0"/>
          <w:sz w:val="21"/>
        </w:rPr>
        <w:t>All source code, the fixed calibration constants of Sections 2.3–2.5, the ten surrogate instance files of Section 2.6, and the raw JSON output of every attempted combination in the reported campaign are available in the project repository (Section on Data Availability Statement, below), at the commit analyzed in this paper. No restrictions apply to any of these materials beyond the surrogate-data caveat of Section 2.6.</w:t>
      </w:r>
    </w:p>
    <w:p>
      <w:pPr>
        <w:keepNext/>
        <w:spacing w:before="280" w:after="80"/>
      </w:pPr>
      <w:r>
        <w:rPr>
          <w:rFonts w:ascii="Calibri" w:hAnsi="Calibri"/>
          <w:b/>
          <w:i w:val="0"/>
          <w:color w:val="151515"/>
          <w:sz w:val="22"/>
        </w:rPr>
        <w:t>2.11. Declaration of Generative AI Use</w:t>
      </w:r>
    </w:p>
    <w:p>
      <w:pPr>
        <w:spacing w:after="160"/>
        <w:jc w:val="both"/>
      </w:pPr>
      <w:r>
        <w:rPr>
          <w:rFonts w:ascii="Cambria" w:hAnsi="Cambria"/>
          <w:b w:val="0"/>
          <w:i w:val="0"/>
          <w:sz w:val="21"/>
        </w:rPr>
        <w:t>Generative artificial intelligence was used substantively in this work, beyond superficial text editing, in two distinct capacities, and both are disclosed here rather than only in the Acknowledgments because they bear directly on how the evidence in Section 3 was produced. First, across the software's documented engineering history and in the independent, execution-based audit summarized in Sections 2.8, 3.3, 3.4, 3.6, and 3.9, an AI coding assistant (Claude Code, Anthropic) was used as a development and auditing tool: to debug, test, and harden the codebase, and to design and run the deterministic and adversarial verification procedures of Section 2.8. Every quantitative claim attributed to that process was obtained by executing code against the repository, not by inference from documentation, and is reproducible from the commands recorded alongside each finding. Second, the same underlying model family (Claude Sonnet 5, Anthropic, via the Claude Code CLI) was used to synthesize this manuscript from the project's technical documentation and raw experimental output, including — during drafting, and reported transparently in Section 2.8 — an independent re-derivation of the batch-completion counts (Section 3.2), the SimTSI-MC/SimTSI-DES equivalence statistics (Section 3.3), the loader- and destination-utilization figures (Section 3.6, Figure 1), and the tabu-search convergence trace (Section 3.7, Figure 2) directly from the raw result files and, for Figure 2, from a fresh execution of the production code — rather than transcription of the prior audit's narrative claims. All AI-assisted claims were checked against the underlying code and data before inclusion in this manuscript, and the human author(s) reviewed the output and take full responsibility for the content of this publication.</w:t>
      </w:r>
    </w:p>
    <w:p>
      <w:pPr>
        <w:keepNext/>
        <w:spacing w:before="400" w:after="120"/>
      </w:pPr>
      <w:r>
        <w:rPr>
          <w:rFonts w:ascii="Calibri" w:hAnsi="Calibri"/>
          <w:b/>
          <w:i w:val="0"/>
          <w:color w:val="151515"/>
          <w:sz w:val="26"/>
        </w:rPr>
        <w:t>3. Results</w:t>
      </w:r>
    </w:p>
    <w:p>
      <w:pPr>
        <w:keepNext/>
        <w:spacing w:before="280" w:after="80"/>
      </w:pPr>
      <w:r>
        <w:rPr>
          <w:rFonts w:ascii="Calibri" w:hAnsi="Calibri"/>
          <w:b/>
          <w:i w:val="0"/>
          <w:color w:val="151515"/>
          <w:sz w:val="22"/>
        </w:rPr>
        <w:t>3.1. Software Verification Outcome</w:t>
      </w:r>
    </w:p>
    <w:p>
      <w:pPr>
        <w:spacing w:after="160"/>
        <w:jc w:val="both"/>
      </w:pPr>
      <w:r>
        <w:rPr>
          <w:rFonts w:ascii="Cambria" w:hAnsi="Cambria"/>
          <w:b w:val="0"/>
          <w:i w:val="0"/>
          <w:sz w:val="21"/>
        </w:rPr>
        <w:t xml:space="preserve">The complete regression suite (10 tests across the four files described in Section 2.7) passed in full (16.6 s) at the repository state analyzed, and the working tree was unmodified by the audit process of Section 2.8. The two tests with the most bearing on this paper's central claims fix, to nine decimal places, hand-reasoned expected outcomes for (i) the loader-release-timing rule (a loading unit becomes available the instant it finishes </w:t>
      </w:r>
      <w:r>
        <w:rPr>
          <w:rFonts w:ascii="Cambria" w:hAnsi="Cambria"/>
          <w:i/>
          <w:sz w:val="21"/>
        </w:rPr>
        <w:t>loading</w:t>
      </w:r>
      <w:r>
        <w:rPr>
          <w:rFonts w:ascii="Cambria" w:hAnsi="Cambria"/>
          <w:b w:val="0"/>
          <w:i w:val="0"/>
          <w:sz w:val="21"/>
        </w:rPr>
        <w:t xml:space="preserve"> a truck, not when that truck completes its full haul–dump–return cycle, which a deterministic case showed had produced a 19-minute, 35% </w:t>
      </w:r>
      <w:r>
        <w:rPr>
          <w:rFonts w:ascii="Cambria" w:hAnsi="Cambria"/>
          <w:i/>
          <w:sz w:val="21"/>
        </w:rPr>
        <w:t>C</w:t>
      </w:r>
      <w:r>
        <w:rPr>
          <w:rFonts w:ascii="Cambria" w:hAnsi="Cambria"/>
          <w:sz w:val="21"/>
          <w:vertAlign w:val="subscript"/>
        </w:rPr>
        <w:t>max</w:t>
      </w:r>
      <w:r>
        <w:rPr>
          <w:rFonts w:ascii="Cambria" w:hAnsi="Cambria"/>
          <w:b w:val="0"/>
          <w:i w:val="0"/>
          <w:sz w:val="21"/>
        </w:rPr>
        <w:t xml:space="preserve"> discrepancy between the two evaluators before this rule was unified) and (ii) the destination-contention queueing rule of Section 3.3.</w:t>
      </w:r>
    </w:p>
    <w:p>
      <w:pPr>
        <w:keepNext/>
        <w:spacing w:before="280" w:after="80"/>
      </w:pPr>
      <w:r>
        <w:rPr>
          <w:rFonts w:ascii="Calibri" w:hAnsi="Calibri"/>
          <w:b/>
          <w:i w:val="0"/>
          <w:color w:val="151515"/>
          <w:sz w:val="22"/>
        </w:rPr>
        <w:t>3.2. Experimental Campaign Completion</w:t>
      </w:r>
    </w:p>
    <w:p>
      <w:pPr>
        <w:spacing w:after="160"/>
        <w:jc w:val="both"/>
      </w:pPr>
      <w:r>
        <w:rPr>
          <w:rFonts w:ascii="Cambria" w:hAnsi="Cambria"/>
          <w:b w:val="0"/>
          <w:i w:val="0"/>
          <w:sz w:val="21"/>
        </w:rPr>
        <w:t xml:space="preserve">Table 1 summarizes completion of the 120-combination campaign, independently re-tallied for this manuscript directly from the 118 raw result files and the batch log rather than from any prior summary document. </w:t>
      </w:r>
      <w:r>
        <w:rPr>
          <w:rFonts w:ascii="Cambria" w:hAnsi="Cambria"/>
          <w:b/>
          <w:sz w:val="21"/>
        </w:rPr>
        <w:t>118/120 combinations (98.3%) completed and passed validation</w:t>
      </w:r>
      <w:r>
        <w:rPr>
          <w:rFonts w:ascii="Cambria" w:hAnsi="Cambria"/>
          <w:b w:val="0"/>
          <w:i w:val="0"/>
          <w:sz w:val="21"/>
        </w:rPr>
        <w:t xml:space="preserve"> (500 replications recorded, a finite non-negative </w:t>
      </w:r>
      <w:r>
        <w:rPr>
          <w:rFonts w:ascii="Cambria" w:hAnsi="Cambria"/>
          <w:i/>
          <w:sz w:val="21"/>
        </w:rPr>
        <w:t>C</w:t>
      </w:r>
      <w:r>
        <w:rPr>
          <w:rFonts w:ascii="Cambria" w:hAnsi="Cambria"/>
          <w:sz w:val="21"/>
          <w:vertAlign w:val="subscript"/>
        </w:rPr>
        <w:t>max</w:t>
      </w:r>
      <w:r>
        <w:rPr>
          <w:rFonts w:ascii="Cambria" w:hAnsi="Cambria"/>
          <w:b w:val="0"/>
          <w:i w:val="0"/>
          <w:sz w:val="21"/>
        </w:rPr>
        <w:t>, all reported probabilities within [0, 1], and internal consistency between each file's declared instance/method/CV and its filename); the remaining 2/120 (1.7%), both DynSimTSI-DES on the largest-loader-count instance under moderate-to-high uncertainty (</w:t>
      </w:r>
      <w:r>
        <w:rPr>
          <w:rFonts w:ascii="Consolas" w:hAnsi="Consolas"/>
          <w:sz w:val="19"/>
        </w:rPr>
        <w:t>I09</w:t>
      </w:r>
      <w:r>
        <w:rPr>
          <w:rFonts w:ascii="Cambria" w:hAnsi="Cambria"/>
          <w:b w:val="0"/>
          <w:i w:val="0"/>
          <w:sz w:val="21"/>
        </w:rPr>
        <w:t>, CV = 0.20 and 0.30), did not complete within an eventual 7200 s (2-hour) timeout after three escalating attempts, and are reported here as a definitive, accepted non-completion rather than omitted. No combination failed with an exception, and none was left unattempted.</w:t>
      </w:r>
    </w:p>
    <w:p>
      <w:pPr>
        <w:spacing w:after="160"/>
        <w:jc w:val="both"/>
      </w:pPr>
      <w:r>
        <w:rPr>
          <w:rFonts w:ascii="Cambria" w:hAnsi="Cambria"/>
          <w:b/>
          <w:sz w:val="21"/>
        </w:rPr>
        <w:t>Table 1.</w:t>
      </w:r>
      <w:r>
        <w:rPr>
          <w:rFonts w:ascii="Cambria" w:hAnsi="Cambria"/>
          <w:b w:val="0"/>
          <w:i w:val="0"/>
          <w:sz w:val="21"/>
        </w:rPr>
        <w:t xml:space="preserve"> Experimental campaign completion by method (10 instances × 4 CV levels = 40 combinations per method).</w:t>
      </w:r>
    </w:p>
    <w:tbl>
      <w:tblPr>
        <w:tblW w:type="auto" w:w="0"/>
        <w:jc w:val="center"/>
        <w:tblLayout w:type="autofit"/>
        <w:tblLook w:firstColumn="1" w:firstRow="1" w:lastColumn="0" w:lastRow="0" w:noHBand="0" w:noVBand="1" w:val="04A0"/>
      </w:tblPr>
      <w:tblGrid>
        <w:gridCol w:w="1312"/>
        <w:gridCol w:w="1312"/>
        <w:gridCol w:w="1312"/>
        <w:gridCol w:w="1312"/>
        <w:gridCol w:w="1312"/>
        <w:gridCol w:w="1312"/>
        <w:gridCol w:w="1312"/>
      </w:tblGrid>
      <w:tr>
        <w:trPr>
          <w:tblHeader w:val="true"/>
        </w:trPr>
        <w:tc>
          <w:tcPr>
            <w:tcW w:type="dxa" w:w="1312"/>
            <w:tcBorders>
              <w:top w:sz="12" w:val="single" w:color="151515"/>
              <w:bottom w:sz="6" w:val="single" w:color="151515"/>
            </w:tcBorders>
          </w:tcPr>
          <w:p>
            <w:pPr>
              <w:spacing w:after="40"/>
            </w:pPr>
            <w:r>
              <w:rPr>
                <w:rFonts w:ascii="Calibri" w:hAnsi="Calibri"/>
                <w:b/>
                <w:i w:val="0"/>
                <w:sz w:val="17"/>
              </w:rPr>
              <w:t>Method</w:t>
            </w:r>
          </w:p>
        </w:tc>
        <w:tc>
          <w:tcPr>
            <w:tcW w:type="dxa" w:w="1312"/>
            <w:tcBorders>
              <w:top w:sz="12" w:val="single" w:color="151515"/>
              <w:bottom w:sz="6" w:val="single" w:color="151515"/>
            </w:tcBorders>
          </w:tcPr>
          <w:p>
            <w:pPr>
              <w:spacing w:after="40"/>
            </w:pPr>
            <w:r>
              <w:rPr>
                <w:rFonts w:ascii="Calibri" w:hAnsi="Calibri"/>
                <w:b/>
                <w:i w:val="0"/>
                <w:sz w:val="17"/>
              </w:rPr>
              <w:t>Attempted</w:t>
            </w:r>
          </w:p>
        </w:tc>
        <w:tc>
          <w:tcPr>
            <w:tcW w:type="dxa" w:w="1312"/>
            <w:tcBorders>
              <w:top w:sz="12" w:val="single" w:color="151515"/>
              <w:bottom w:sz="6" w:val="single" w:color="151515"/>
            </w:tcBorders>
          </w:tcPr>
          <w:p>
            <w:pPr>
              <w:spacing w:after="40"/>
            </w:pPr>
            <w:r>
              <w:rPr>
                <w:rFonts w:ascii="Calibri" w:hAnsi="Calibri"/>
                <w:b/>
                <w:i w:val="0"/>
                <w:sz w:val="17"/>
              </w:rPr>
              <w:t>Completed</w:t>
            </w:r>
          </w:p>
        </w:tc>
        <w:tc>
          <w:tcPr>
            <w:tcW w:type="dxa" w:w="1312"/>
            <w:tcBorders>
              <w:top w:sz="12" w:val="single" w:color="151515"/>
              <w:bottom w:sz="6" w:val="single" w:color="151515"/>
            </w:tcBorders>
          </w:tcPr>
          <w:p>
            <w:pPr>
              <w:spacing w:after="40"/>
            </w:pPr>
            <w:r>
              <w:rPr>
                <w:rFonts w:ascii="Calibri" w:hAnsi="Calibri"/>
                <w:b/>
                <w:i w:val="0"/>
                <w:sz w:val="17"/>
              </w:rPr>
              <w:t>Timeout</w:t>
            </w:r>
          </w:p>
        </w:tc>
        <w:tc>
          <w:tcPr>
            <w:tcW w:type="dxa" w:w="1312"/>
            <w:tcBorders>
              <w:top w:sz="12" w:val="single" w:color="151515"/>
              <w:bottom w:sz="6" w:val="single" w:color="151515"/>
            </w:tcBorders>
          </w:tcPr>
          <w:p>
            <w:pPr>
              <w:spacing w:after="40"/>
            </w:pPr>
            <w:r>
              <w:rPr>
                <w:rFonts w:ascii="Calibri" w:hAnsi="Calibri"/>
                <w:b/>
                <w:i w:val="0"/>
                <w:sz w:val="17"/>
              </w:rPr>
              <w:t>Failed</w:t>
            </w:r>
          </w:p>
        </w:tc>
        <w:tc>
          <w:tcPr>
            <w:tcW w:type="dxa" w:w="1312"/>
            <w:tcBorders>
              <w:top w:sz="12" w:val="single" w:color="151515"/>
              <w:bottom w:sz="6" w:val="single" w:color="151515"/>
            </w:tcBorders>
          </w:tcPr>
          <w:p>
            <w:pPr>
              <w:spacing w:after="40"/>
            </w:pPr>
            <w:r>
              <w:rPr>
                <w:rFonts w:ascii="Calibri" w:hAnsi="Calibri"/>
                <w:b/>
                <w:i w:val="0"/>
                <w:sz w:val="17"/>
              </w:rPr>
              <w:t>CPU-hours</w:t>
            </w:r>
          </w:p>
        </w:tc>
        <w:tc>
          <w:tcPr>
            <w:tcW w:type="dxa" w:w="1312"/>
            <w:tcBorders>
              <w:top w:sz="12" w:val="single" w:color="151515"/>
              <w:bottom w:sz="6" w:val="single" w:color="151515"/>
            </w:tcBorders>
          </w:tcPr>
          <w:p>
            <w:pPr>
              <w:spacing w:after="40"/>
            </w:pPr>
            <w:r>
              <w:rPr>
                <w:rFonts w:ascii="Calibri" w:hAnsi="Calibri"/>
                <w:b/>
                <w:i w:val="0"/>
                <w:sz w:val="17"/>
              </w:rPr>
              <w:t>Mean CPU per completed run</w:t>
            </w:r>
          </w:p>
        </w:tc>
      </w:tr>
      <w:tr>
        <w:tc>
          <w:tcPr>
            <w:tcW w:type="dxa" w:w="1312"/>
          </w:tcPr>
          <w:p>
            <w:pPr>
              <w:spacing w:after="40"/>
            </w:pPr>
            <w:r>
              <w:rPr>
                <w:rFonts w:ascii="Cambria" w:hAnsi="Cambria"/>
                <w:b w:val="0"/>
                <w:i w:val="0"/>
                <w:sz w:val="17"/>
              </w:rPr>
              <w:t>SimTSI-MC</w:t>
            </w:r>
          </w:p>
        </w:tc>
        <w:tc>
          <w:tcPr>
            <w:tcW w:type="dxa" w:w="1312"/>
          </w:tcPr>
          <w:p>
            <w:pPr>
              <w:spacing w:after="40"/>
            </w:pPr>
            <w:r>
              <w:rPr>
                <w:rFonts w:ascii="Cambria" w:hAnsi="Cambria"/>
                <w:b w:val="0"/>
                <w:i w:val="0"/>
                <w:sz w:val="17"/>
              </w:rPr>
              <w:t>40</w:t>
            </w:r>
          </w:p>
        </w:tc>
        <w:tc>
          <w:tcPr>
            <w:tcW w:type="dxa" w:w="1312"/>
          </w:tcPr>
          <w:p>
            <w:pPr>
              <w:spacing w:after="40"/>
            </w:pPr>
            <w:r>
              <w:rPr>
                <w:rFonts w:ascii="Cambria" w:hAnsi="Cambria"/>
                <w:b w:val="0"/>
                <w:i w:val="0"/>
                <w:sz w:val="17"/>
              </w:rPr>
              <w:t>40</w:t>
            </w:r>
          </w:p>
        </w:tc>
        <w:tc>
          <w:tcPr>
            <w:tcW w:type="dxa" w:w="1312"/>
          </w:tcPr>
          <w:p>
            <w:pPr>
              <w:spacing w:after="40"/>
            </w:pPr>
            <w:r>
              <w:rPr>
                <w:rFonts w:ascii="Cambria" w:hAnsi="Cambria"/>
                <w:b w:val="0"/>
                <w:i w:val="0"/>
                <w:sz w:val="17"/>
              </w:rPr>
              <w:t>0</w:t>
            </w:r>
          </w:p>
        </w:tc>
        <w:tc>
          <w:tcPr>
            <w:tcW w:type="dxa" w:w="1312"/>
          </w:tcPr>
          <w:p>
            <w:pPr>
              <w:spacing w:after="40"/>
            </w:pPr>
            <w:r>
              <w:rPr>
                <w:rFonts w:ascii="Cambria" w:hAnsi="Cambria"/>
                <w:b w:val="0"/>
                <w:i w:val="0"/>
                <w:sz w:val="17"/>
              </w:rPr>
              <w:t>0</w:t>
            </w:r>
          </w:p>
        </w:tc>
        <w:tc>
          <w:tcPr>
            <w:tcW w:type="dxa" w:w="1312"/>
          </w:tcPr>
          <w:p>
            <w:pPr>
              <w:spacing w:after="40"/>
            </w:pPr>
            <w:r>
              <w:rPr>
                <w:rFonts w:ascii="Cambria" w:hAnsi="Cambria"/>
                <w:b w:val="0"/>
                <w:i w:val="0"/>
                <w:sz w:val="17"/>
              </w:rPr>
              <w:t>8.11</w:t>
            </w:r>
          </w:p>
        </w:tc>
        <w:tc>
          <w:tcPr>
            <w:tcW w:type="dxa" w:w="1312"/>
          </w:tcPr>
          <w:p>
            <w:pPr>
              <w:spacing w:after="40"/>
            </w:pPr>
            <w:r>
              <w:rPr>
                <w:rFonts w:ascii="Cambria" w:hAnsi="Cambria"/>
                <w:b w:val="0"/>
                <w:i w:val="0"/>
                <w:sz w:val="17"/>
              </w:rPr>
              <w:t>730 s</w:t>
            </w:r>
          </w:p>
        </w:tc>
      </w:tr>
      <w:tr>
        <w:tc>
          <w:tcPr>
            <w:tcW w:type="dxa" w:w="1312"/>
          </w:tcPr>
          <w:p>
            <w:pPr>
              <w:spacing w:after="40"/>
            </w:pPr>
            <w:r>
              <w:rPr>
                <w:rFonts w:ascii="Cambria" w:hAnsi="Cambria"/>
                <w:b w:val="0"/>
                <w:i w:val="0"/>
                <w:sz w:val="17"/>
              </w:rPr>
              <w:t>SimTSI-DES</w:t>
            </w:r>
          </w:p>
        </w:tc>
        <w:tc>
          <w:tcPr>
            <w:tcW w:type="dxa" w:w="1312"/>
          </w:tcPr>
          <w:p>
            <w:pPr>
              <w:spacing w:after="40"/>
            </w:pPr>
            <w:r>
              <w:rPr>
                <w:rFonts w:ascii="Cambria" w:hAnsi="Cambria"/>
                <w:b w:val="0"/>
                <w:i w:val="0"/>
                <w:sz w:val="17"/>
              </w:rPr>
              <w:t>40</w:t>
            </w:r>
          </w:p>
        </w:tc>
        <w:tc>
          <w:tcPr>
            <w:tcW w:type="dxa" w:w="1312"/>
          </w:tcPr>
          <w:p>
            <w:pPr>
              <w:spacing w:after="40"/>
            </w:pPr>
            <w:r>
              <w:rPr>
                <w:rFonts w:ascii="Cambria" w:hAnsi="Cambria"/>
                <w:b w:val="0"/>
                <w:i w:val="0"/>
                <w:sz w:val="17"/>
              </w:rPr>
              <w:t>40</w:t>
            </w:r>
          </w:p>
        </w:tc>
        <w:tc>
          <w:tcPr>
            <w:tcW w:type="dxa" w:w="1312"/>
          </w:tcPr>
          <w:p>
            <w:pPr>
              <w:spacing w:after="40"/>
            </w:pPr>
            <w:r>
              <w:rPr>
                <w:rFonts w:ascii="Cambria" w:hAnsi="Cambria"/>
                <w:b w:val="0"/>
                <w:i w:val="0"/>
                <w:sz w:val="17"/>
              </w:rPr>
              <w:t>0</w:t>
            </w:r>
          </w:p>
        </w:tc>
        <w:tc>
          <w:tcPr>
            <w:tcW w:type="dxa" w:w="1312"/>
          </w:tcPr>
          <w:p>
            <w:pPr>
              <w:spacing w:after="40"/>
            </w:pPr>
            <w:r>
              <w:rPr>
                <w:rFonts w:ascii="Cambria" w:hAnsi="Cambria"/>
                <w:b w:val="0"/>
                <w:i w:val="0"/>
                <w:sz w:val="17"/>
              </w:rPr>
              <w:t>0</w:t>
            </w:r>
          </w:p>
        </w:tc>
        <w:tc>
          <w:tcPr>
            <w:tcW w:type="dxa" w:w="1312"/>
          </w:tcPr>
          <w:p>
            <w:pPr>
              <w:spacing w:after="40"/>
            </w:pPr>
            <w:r>
              <w:rPr>
                <w:rFonts w:ascii="Cambria" w:hAnsi="Cambria"/>
                <w:b w:val="0"/>
                <w:i w:val="0"/>
                <w:sz w:val="17"/>
              </w:rPr>
              <w:t>10.83</w:t>
            </w:r>
          </w:p>
        </w:tc>
        <w:tc>
          <w:tcPr>
            <w:tcW w:type="dxa" w:w="1312"/>
          </w:tcPr>
          <w:p>
            <w:pPr>
              <w:spacing w:after="40"/>
            </w:pPr>
            <w:r>
              <w:rPr>
                <w:rFonts w:ascii="Cambria" w:hAnsi="Cambria"/>
                <w:b w:val="0"/>
                <w:i w:val="0"/>
                <w:sz w:val="17"/>
              </w:rPr>
              <w:t>975 s</w:t>
            </w:r>
          </w:p>
        </w:tc>
      </w:tr>
      <w:tr>
        <w:tc>
          <w:tcPr>
            <w:tcW w:type="dxa" w:w="1312"/>
          </w:tcPr>
          <w:p>
            <w:pPr>
              <w:spacing w:after="40"/>
            </w:pPr>
            <w:r>
              <w:rPr>
                <w:rFonts w:ascii="Cambria" w:hAnsi="Cambria"/>
                <w:b w:val="0"/>
                <w:i w:val="0"/>
                <w:sz w:val="17"/>
              </w:rPr>
              <w:t>DynSimTSI-DES</w:t>
            </w:r>
          </w:p>
        </w:tc>
        <w:tc>
          <w:tcPr>
            <w:tcW w:type="dxa" w:w="1312"/>
          </w:tcPr>
          <w:p>
            <w:pPr>
              <w:spacing w:after="40"/>
            </w:pPr>
            <w:r>
              <w:rPr>
                <w:rFonts w:ascii="Cambria" w:hAnsi="Cambria"/>
                <w:b w:val="0"/>
                <w:i w:val="0"/>
                <w:sz w:val="17"/>
              </w:rPr>
              <w:t>40</w:t>
            </w:r>
          </w:p>
        </w:tc>
        <w:tc>
          <w:tcPr>
            <w:tcW w:type="dxa" w:w="1312"/>
          </w:tcPr>
          <w:p>
            <w:pPr>
              <w:spacing w:after="40"/>
            </w:pPr>
            <w:r>
              <w:rPr>
                <w:rFonts w:ascii="Cambria" w:hAnsi="Cambria"/>
                <w:b w:val="0"/>
                <w:i w:val="0"/>
                <w:sz w:val="17"/>
              </w:rPr>
              <w:t>38</w:t>
            </w:r>
          </w:p>
        </w:tc>
        <w:tc>
          <w:tcPr>
            <w:tcW w:type="dxa" w:w="1312"/>
          </w:tcPr>
          <w:p>
            <w:pPr>
              <w:spacing w:after="40"/>
            </w:pPr>
            <w:r>
              <w:rPr>
                <w:rFonts w:ascii="Cambria" w:hAnsi="Cambria"/>
                <w:b w:val="0"/>
                <w:i w:val="0"/>
                <w:sz w:val="17"/>
              </w:rPr>
              <w:t>2</w:t>
            </w:r>
          </w:p>
        </w:tc>
        <w:tc>
          <w:tcPr>
            <w:tcW w:type="dxa" w:w="1312"/>
          </w:tcPr>
          <w:p>
            <w:pPr>
              <w:spacing w:after="40"/>
            </w:pPr>
            <w:r>
              <w:rPr>
                <w:rFonts w:ascii="Cambria" w:hAnsi="Cambria"/>
                <w:b w:val="0"/>
                <w:i w:val="0"/>
                <w:sz w:val="17"/>
              </w:rPr>
              <w:t>0</w:t>
            </w:r>
          </w:p>
        </w:tc>
        <w:tc>
          <w:tcPr>
            <w:tcW w:type="dxa" w:w="1312"/>
          </w:tcPr>
          <w:p>
            <w:pPr>
              <w:spacing w:after="40"/>
            </w:pPr>
            <w:r>
              <w:rPr>
                <w:rFonts w:ascii="Cambria" w:hAnsi="Cambria"/>
                <w:b w:val="0"/>
                <w:i w:val="0"/>
                <w:sz w:val="17"/>
              </w:rPr>
              <w:t>9.19</w:t>
            </w:r>
          </w:p>
        </w:tc>
        <w:tc>
          <w:tcPr>
            <w:tcW w:type="dxa" w:w="1312"/>
          </w:tcPr>
          <w:p>
            <w:pPr>
              <w:spacing w:after="40"/>
            </w:pPr>
            <w:r>
              <w:rPr>
                <w:rFonts w:ascii="Cambria" w:hAnsi="Cambria"/>
                <w:b w:val="0"/>
                <w:i w:val="0"/>
                <w:sz w:val="17"/>
              </w:rPr>
              <w:t>871 s</w:t>
            </w:r>
          </w:p>
        </w:tc>
      </w:tr>
      <w:tr>
        <w:tc>
          <w:tcPr>
            <w:tcW w:type="dxa" w:w="1312"/>
            <w:tcBorders>
              <w:bottom w:sz="12" w:val="single" w:color="151515"/>
            </w:tcBorders>
          </w:tcPr>
          <w:p>
            <w:pPr>
              <w:spacing w:after="40"/>
            </w:pPr>
            <w:r>
              <w:rPr>
                <w:rFonts w:ascii="Cambria" w:hAnsi="Cambria"/>
                <w:b/>
                <w:sz w:val="17"/>
              </w:rPr>
              <w:t>Total</w:t>
            </w:r>
          </w:p>
        </w:tc>
        <w:tc>
          <w:tcPr>
            <w:tcW w:type="dxa" w:w="1312"/>
            <w:tcBorders>
              <w:bottom w:sz="12" w:val="single" w:color="151515"/>
            </w:tcBorders>
          </w:tcPr>
          <w:p>
            <w:pPr>
              <w:spacing w:after="40"/>
            </w:pPr>
            <w:r>
              <w:rPr>
                <w:rFonts w:ascii="Cambria" w:hAnsi="Cambria"/>
                <w:b/>
                <w:sz w:val="17"/>
              </w:rPr>
              <w:t>120</w:t>
            </w:r>
          </w:p>
        </w:tc>
        <w:tc>
          <w:tcPr>
            <w:tcW w:type="dxa" w:w="1312"/>
            <w:tcBorders>
              <w:bottom w:sz="12" w:val="single" w:color="151515"/>
            </w:tcBorders>
          </w:tcPr>
          <w:p>
            <w:pPr>
              <w:spacing w:after="40"/>
            </w:pPr>
            <w:r>
              <w:rPr>
                <w:rFonts w:ascii="Cambria" w:hAnsi="Cambria"/>
                <w:b/>
                <w:sz w:val="17"/>
              </w:rPr>
              <w:t>118</w:t>
            </w:r>
          </w:p>
        </w:tc>
        <w:tc>
          <w:tcPr>
            <w:tcW w:type="dxa" w:w="1312"/>
            <w:tcBorders>
              <w:bottom w:sz="12" w:val="single" w:color="151515"/>
            </w:tcBorders>
          </w:tcPr>
          <w:p>
            <w:pPr>
              <w:spacing w:after="40"/>
            </w:pPr>
            <w:r>
              <w:rPr>
                <w:rFonts w:ascii="Cambria" w:hAnsi="Cambria"/>
                <w:b/>
                <w:sz w:val="17"/>
              </w:rPr>
              <w:t>2</w:t>
            </w:r>
          </w:p>
        </w:tc>
        <w:tc>
          <w:tcPr>
            <w:tcW w:type="dxa" w:w="1312"/>
            <w:tcBorders>
              <w:bottom w:sz="12" w:val="single" w:color="151515"/>
            </w:tcBorders>
          </w:tcPr>
          <w:p>
            <w:pPr>
              <w:spacing w:after="40"/>
            </w:pPr>
            <w:r>
              <w:rPr>
                <w:rFonts w:ascii="Cambria" w:hAnsi="Cambria"/>
                <w:b/>
                <w:sz w:val="17"/>
              </w:rPr>
              <w:t>0</w:t>
            </w:r>
          </w:p>
        </w:tc>
        <w:tc>
          <w:tcPr>
            <w:tcW w:type="dxa" w:w="1312"/>
            <w:tcBorders>
              <w:bottom w:sz="12" w:val="single" w:color="151515"/>
            </w:tcBorders>
          </w:tcPr>
          <w:p>
            <w:pPr>
              <w:spacing w:after="40"/>
            </w:pPr>
            <w:r>
              <w:rPr>
                <w:rFonts w:ascii="Cambria" w:hAnsi="Cambria"/>
                <w:b/>
                <w:sz w:val="17"/>
              </w:rPr>
              <w:t>28.13</w:t>
            </w:r>
          </w:p>
        </w:tc>
        <w:tc>
          <w:tcPr>
            <w:tcW w:type="dxa" w:w="1312"/>
            <w:tcBorders>
              <w:bottom w:sz="12" w:val="single" w:color="151515"/>
            </w:tcBorders>
          </w:tcPr>
          <w:p>
            <w:pPr>
              <w:spacing w:after="40"/>
            </w:pPr>
            <w:r>
              <w:rPr>
                <w:rFonts w:ascii="Cambria" w:hAnsi="Cambria"/>
                <w:b w:val="0"/>
                <w:i w:val="0"/>
                <w:sz w:val="17"/>
              </w:rPr>
              <w:t>—</w:t>
            </w:r>
          </w:p>
        </w:tc>
      </w:tr>
    </w:tbl>
    <w:p>
      <w:pPr>
        <w:spacing w:after="280"/>
      </w:pPr>
    </w:p>
    <w:p>
      <w:pPr>
        <w:spacing w:after="160"/>
        <w:jc w:val="both"/>
      </w:pPr>
      <w:r>
        <w:rPr>
          <w:rFonts w:ascii="Cambria" w:hAnsi="Cambria"/>
          <w:b w:val="0"/>
          <w:i w:val="0"/>
          <w:sz w:val="21"/>
        </w:rPr>
        <w:t xml:space="preserve">Both non-completions were traced, not to a hang, but to genuine CPU-bound work: isolated re-attempts with a deliberately generous 5400 s limit showed both worker processes actively accumulating 60–62 minutes of real CPU time each, consistent with </w:t>
      </w:r>
      <w:r>
        <w:rPr>
          <w:rFonts w:ascii="Consolas" w:hAnsi="Consolas"/>
          <w:sz w:val="19"/>
        </w:rPr>
        <w:t>I09</w:t>
      </w:r>
      <w:r>
        <w:rPr>
          <w:rFonts w:ascii="Cambria" w:hAnsi="Cambria"/>
          <w:b w:val="0"/>
          <w:i w:val="0"/>
          <w:sz w:val="21"/>
        </w:rPr>
        <w:t xml:space="preserve"> at these uncertainty levels triggering enough disruption-driven reoptimizations (each a full nested tabu search, Section 2.4) that the per-replication cost compounds beyond what the timeout budget allows; by contrast, all three methods on </w:t>
      </w:r>
      <w:r>
        <w:rPr>
          <w:rFonts w:ascii="Consolas" w:hAnsi="Consolas"/>
          <w:sz w:val="19"/>
        </w:rPr>
        <w:t>I10</w:t>
      </w:r>
      <w:r>
        <w:rPr>
          <w:rFonts w:ascii="Cambria" w:hAnsi="Cambria"/>
          <w:b w:val="0"/>
          <w:i w:val="0"/>
          <w:sz w:val="21"/>
        </w:rPr>
        <w:t xml:space="preserve"> (the largest instance in the matrix) completed comfortably inside the standard timeout, confirming that the non-completions are not simply a function of instance size. This diagnosis also surfaced a genuine software defect, corrected during the project's development and unrelated to the results reported below: an early version of the timeout mechanism killed only the direct child subprocess, leaving its own </w:t>
      </w:r>
      <w:r>
        <w:rPr>
          <w:rFonts w:ascii="Consolas" w:hAnsi="Consolas"/>
          <w:sz w:val="19"/>
        </w:rPr>
        <w:t>multiprocessing.Pool</w:t>
      </w:r>
      <w:r>
        <w:rPr>
          <w:rFonts w:ascii="Cambria" w:hAnsi="Cambria"/>
          <w:b w:val="0"/>
          <w:i w:val="0"/>
          <w:sz w:val="21"/>
        </w:rPr>
        <w:t xml:space="preserve"> worker processes (grandchildren of the batch runner) orphaned and holding an inherited output pipe open, which stalled the entire batch for over 50 minutes past the intended timeout on one occasion; the fix (killing the full process tree via the operating system rather than the single direct child) was verified by forcing an artificial 8-second timeout on a combination that normally takes roughly 650 s and confirming a clean, prompt return with no orphaned processes left behind.</w:t>
      </w:r>
    </w:p>
    <w:p>
      <w:pPr>
        <w:keepNext/>
        <w:spacing w:before="280" w:after="80"/>
      </w:pPr>
      <w:r>
        <w:rPr>
          <w:rFonts w:ascii="Calibri" w:hAnsi="Calibri"/>
          <w:b/>
          <w:i w:val="0"/>
          <w:color w:val="151515"/>
          <w:sz w:val="22"/>
        </w:rPr>
        <w:t>3.3. Structural Equivalence of SimTSI-MC and SimTSI-DES</w:t>
      </w:r>
    </w:p>
    <w:p>
      <w:pPr>
        <w:spacing w:after="160"/>
        <w:jc w:val="both"/>
      </w:pPr>
      <w:r>
        <w:rPr>
          <w:rFonts w:ascii="Cambria" w:hAnsi="Cambria"/>
          <w:b/>
          <w:sz w:val="21"/>
        </w:rPr>
        <w:t>SimTSI-MC and SimTSI-DES return numerically identical outcomes.</w:t>
      </w:r>
      <w:r>
        <w:rPr>
          <w:rFonts w:ascii="Cambria" w:hAnsi="Cambria"/>
          <w:b w:val="0"/>
          <w:i w:val="0"/>
          <w:sz w:val="21"/>
        </w:rPr>
        <w:t xml:space="preserve"> Across all 40 completed combinations of each method, the two evaluators agree on the best solution found, the number of tabu-search evaluations performed, and the mean </w:t>
      </w:r>
      <w:r>
        <w:rPr>
          <w:rFonts w:ascii="Cambria" w:hAnsi="Cambria"/>
          <w:i/>
          <w:sz w:val="21"/>
        </w:rPr>
        <w:t>C</w:t>
      </w:r>
      <w:r>
        <w:rPr>
          <w:rFonts w:ascii="Cambria" w:hAnsi="Cambria"/>
          <w:sz w:val="21"/>
          <w:vertAlign w:val="subscript"/>
        </w:rPr>
        <w:t>max</w:t>
      </w:r>
      <w:r>
        <w:rPr>
          <w:rFonts w:ascii="Cambria" w:hAnsi="Cambria"/>
          <w:b w:val="0"/>
          <w:i w:val="0"/>
          <w:sz w:val="21"/>
        </w:rPr>
        <w:t xml:space="preserve"> reported — re-verified for this manuscript directly against the raw result files, with a maximum absolute discrepancy of exactly 0.0 minutes across all 40 pairs (Table 2). This is not an approximation that happens to be close on the instances tested: under the loader-release-timing rule of Section 3.1, a loading unit's availability never depends on the downstream fate of the truck it just loaded, so the truck's later cycle cannot feed back into any decision the analytical evaluator (</w:t>
      </w:r>
      <w:r>
        <w:rPr>
          <w:rFonts w:ascii="Consolas" w:hAnsi="Consolas"/>
          <w:sz w:val="19"/>
        </w:rPr>
        <w:t>mc.py</w:t>
      </w:r>
      <w:r>
        <w:rPr>
          <w:rFonts w:ascii="Cambria" w:hAnsi="Cambria"/>
          <w:b w:val="0"/>
          <w:i w:val="0"/>
          <w:sz w:val="21"/>
        </w:rPr>
        <w:t xml:space="preserve">) needs to make, and the destination-contention model added to </w:t>
      </w:r>
      <w:r>
        <w:rPr>
          <w:rFonts w:ascii="Consolas" w:hAnsi="Consolas"/>
          <w:sz w:val="19"/>
        </w:rPr>
        <w:t>mc.py</w:t>
      </w:r>
      <w:r>
        <w:rPr>
          <w:rFonts w:ascii="Cambria" w:hAnsi="Cambria"/>
          <w:b w:val="0"/>
          <w:i w:val="0"/>
          <w:sz w:val="21"/>
        </w:rPr>
        <w:t xml:space="preserve"> (a single-server queue serializing discharges by arrival order) is, under that rule, an exact analytical reformulation of the discrete-event simulator's own destination queue rather than an approximation to it — a property that holds for any instance and solution, not only for the ten used here. To confirm this holds beyond the specific, lightly loaded solutions produced by the tabu search on the current surrogate instances (Section 3.6), both evaluators were additionally compared on 24 independently constructed, deliberately congested random solutions spanning four instances and CV up to 0.30 (Section 2.8); the maximum discrepancy across all 24 adversarial cases was, again, exactly 0.000 × 10⁰ minutes.</w:t>
      </w:r>
    </w:p>
    <w:p>
      <w:pPr>
        <w:spacing w:after="160"/>
        <w:jc w:val="both"/>
      </w:pPr>
      <w:r>
        <w:rPr>
          <w:rFonts w:ascii="Cambria" w:hAnsi="Cambria"/>
          <w:b/>
          <w:sz w:val="21"/>
        </w:rPr>
        <w:t>Table 2.</w:t>
      </w:r>
      <w:r>
        <w:rPr>
          <w:rFonts w:ascii="Cambria" w:hAnsi="Cambria"/>
          <w:b w:val="0"/>
          <w:i w:val="0"/>
          <w:sz w:val="21"/>
        </w:rPr>
        <w:t xml:space="preserve"> Evidence for structural equivalence between the SimTSI-MC and SimTSI-DES evaluators.</w:t>
      </w:r>
    </w:p>
    <w:tbl>
      <w:tblPr>
        <w:tblW w:type="auto" w:w="0"/>
        <w:jc w:val="center"/>
        <w:tblLayout w:type="autofit"/>
        <w:tblLook w:firstColumn="1" w:firstRow="1" w:lastColumn="0" w:lastRow="0" w:noHBand="0" w:noVBand="1" w:val="04A0"/>
      </w:tblPr>
      <w:tblGrid>
        <w:gridCol w:w="3061"/>
        <w:gridCol w:w="3061"/>
        <w:gridCol w:w="3061"/>
      </w:tblGrid>
      <w:tr>
        <w:trPr>
          <w:tblHeader w:val="true"/>
        </w:trPr>
        <w:tc>
          <w:tcPr>
            <w:tcW w:type="dxa" w:w="3061"/>
            <w:tcBorders>
              <w:top w:sz="12" w:val="single" w:color="151515"/>
              <w:bottom w:sz="6" w:val="single" w:color="151515"/>
            </w:tcBorders>
          </w:tcPr>
          <w:p>
            <w:pPr>
              <w:spacing w:after="40"/>
            </w:pPr>
            <w:r>
              <w:rPr>
                <w:rFonts w:ascii="Calibri" w:hAnsi="Calibri"/>
                <w:b/>
                <w:i w:val="0"/>
                <w:sz w:val="17"/>
              </w:rPr>
              <w:t>Evidence</w:t>
            </w:r>
          </w:p>
        </w:tc>
        <w:tc>
          <w:tcPr>
            <w:tcW w:type="dxa" w:w="3061"/>
            <w:tcBorders>
              <w:top w:sz="12" w:val="single" w:color="151515"/>
              <w:bottom w:sz="6" w:val="single" w:color="151515"/>
            </w:tcBorders>
          </w:tcPr>
          <w:p>
            <w:pPr>
              <w:spacing w:after="40"/>
            </w:pPr>
            <w:r>
              <w:rPr>
                <w:rFonts w:ascii="Calibri" w:hAnsi="Calibri"/>
                <w:b/>
                <w:i w:val="0"/>
                <w:sz w:val="17"/>
              </w:rPr>
              <w:t>Test design</w:t>
            </w:r>
          </w:p>
        </w:tc>
        <w:tc>
          <w:tcPr>
            <w:tcW w:type="dxa" w:w="3061"/>
            <w:tcBorders>
              <w:top w:sz="12" w:val="single" w:color="151515"/>
              <w:bottom w:sz="6" w:val="single" w:color="151515"/>
            </w:tcBorders>
          </w:tcPr>
          <w:p>
            <w:pPr>
              <w:spacing w:after="40"/>
            </w:pPr>
            <w:r>
              <w:rPr>
                <w:rFonts w:ascii="Calibri" w:hAnsi="Calibri"/>
                <w:b/>
                <w:i w:val="0"/>
                <w:sz w:val="17"/>
              </w:rPr>
              <w:t>Result</w:t>
            </w:r>
          </w:p>
        </w:tc>
      </w:tr>
      <w:tr>
        <w:tc>
          <w:tcPr>
            <w:tcW w:type="dxa" w:w="3061"/>
          </w:tcPr>
          <w:p>
            <w:pPr>
              <w:spacing w:after="40"/>
            </w:pPr>
            <w:r>
              <w:rPr>
                <w:rFonts w:ascii="Cambria" w:hAnsi="Cambria"/>
                <w:b w:val="0"/>
                <w:i w:val="0"/>
                <w:sz w:val="17"/>
              </w:rPr>
              <w:t>Deterministic destination-contention case</w:t>
            </w:r>
          </w:p>
        </w:tc>
        <w:tc>
          <w:tcPr>
            <w:tcW w:type="dxa" w:w="3061"/>
          </w:tcPr>
          <w:p>
            <w:pPr>
              <w:spacing w:after="40"/>
            </w:pPr>
            <w:r>
              <w:rPr>
                <w:rFonts w:ascii="Cambria" w:hAnsi="Cambria"/>
                <w:b w:val="0"/>
                <w:i w:val="0"/>
                <w:sz w:val="17"/>
              </w:rPr>
              <w:t xml:space="preserve">CV = 0; two trucks from one loading unit arrive simultaneously at a shared destination; a hand-computed expected </w:t>
            </w:r>
            <w:r>
              <w:rPr>
                <w:rFonts w:ascii="Cambria" w:hAnsi="Cambria"/>
                <w:i/>
                <w:sz w:val="17"/>
              </w:rPr>
              <w:t>C</w:t>
            </w:r>
            <w:r>
              <w:rPr>
                <w:rFonts w:ascii="Cambria" w:hAnsi="Cambria"/>
                <w:sz w:val="17"/>
                <w:vertAlign w:val="subscript"/>
              </w:rPr>
              <w:t>max</w:t>
            </w:r>
            <w:r>
              <w:rPr>
                <w:rFonts w:ascii="Cambria" w:hAnsi="Cambria"/>
                <w:b w:val="0"/>
                <w:i w:val="0"/>
                <w:sz w:val="17"/>
              </w:rPr>
              <w:t xml:space="preserve"> is compared against both evaluators</w:t>
            </w:r>
          </w:p>
        </w:tc>
        <w:tc>
          <w:tcPr>
            <w:tcW w:type="dxa" w:w="3061"/>
          </w:tcPr>
          <w:p>
            <w:pPr>
              <w:spacing w:after="40"/>
            </w:pPr>
            <w:r>
              <w:rPr>
                <w:rFonts w:ascii="Cambria" w:hAnsi="Cambria"/>
                <w:b w:val="0"/>
                <w:i w:val="0"/>
                <w:sz w:val="17"/>
              </w:rPr>
              <w:t>DES = 35.0000 min; MC (queued rule) = 35.0000 min, agreeing to 9 decimal places; MC (legacy "none" rule) = 30.0000 min — a difference of exactly one queued discharge duration</w:t>
            </w:r>
          </w:p>
        </w:tc>
      </w:tr>
      <w:tr>
        <w:tc>
          <w:tcPr>
            <w:tcW w:type="dxa" w:w="3061"/>
          </w:tcPr>
          <w:p>
            <w:pPr>
              <w:spacing w:after="40"/>
            </w:pPr>
            <w:r>
              <w:rPr>
                <w:rFonts w:ascii="Cambria" w:hAnsi="Cambria"/>
                <w:b w:val="0"/>
                <w:i w:val="0"/>
                <w:sz w:val="17"/>
              </w:rPr>
              <w:t>As-run campaign comparison</w:t>
            </w:r>
          </w:p>
        </w:tc>
        <w:tc>
          <w:tcPr>
            <w:tcW w:type="dxa" w:w="3061"/>
          </w:tcPr>
          <w:p>
            <w:pPr>
              <w:spacing w:after="40"/>
            </w:pPr>
            <w:r>
              <w:rPr>
                <w:rFonts w:ascii="Cambria" w:hAnsi="Cambria"/>
                <w:b w:val="0"/>
                <w:i w:val="0"/>
                <w:sz w:val="17"/>
              </w:rPr>
              <w:t>40 SimTSI-MC vs. 40 SimTSI-DES combinations, paired by instance and CV</w:t>
            </w:r>
          </w:p>
        </w:tc>
        <w:tc>
          <w:tcPr>
            <w:tcW w:type="dxa" w:w="3061"/>
          </w:tcPr>
          <w:p>
            <w:pPr>
              <w:spacing w:after="40"/>
            </w:pPr>
            <w:r>
              <w:rPr>
                <w:rFonts w:ascii="Cambria" w:hAnsi="Cambria"/>
                <w:b w:val="0"/>
                <w:i w:val="0"/>
                <w:sz w:val="17"/>
              </w:rPr>
              <w:t xml:space="preserve">Identical best solution and evaluation count in 40/40 pairs; maximum absolute difference in mean </w:t>
            </w:r>
            <w:r>
              <w:rPr>
                <w:rFonts w:ascii="Cambria" w:hAnsi="Cambria"/>
                <w:i/>
                <w:sz w:val="17"/>
              </w:rPr>
              <w:t>C</w:t>
            </w:r>
            <w:r>
              <w:rPr>
                <w:rFonts w:ascii="Cambria" w:hAnsi="Cambria"/>
                <w:sz w:val="17"/>
                <w:vertAlign w:val="subscript"/>
              </w:rPr>
              <w:t>max</w:t>
            </w:r>
            <w:r>
              <w:rPr>
                <w:rFonts w:ascii="Cambria" w:hAnsi="Cambria"/>
                <w:b w:val="0"/>
                <w:i w:val="0"/>
                <w:sz w:val="17"/>
              </w:rPr>
              <w:t xml:space="preserve"> = 0.0 min (re-verified against raw files for this manuscript)</w:t>
            </w:r>
          </w:p>
        </w:tc>
      </w:tr>
      <w:tr>
        <w:tc>
          <w:tcPr>
            <w:tcW w:type="dxa" w:w="3061"/>
            <w:tcBorders>
              <w:bottom w:sz="12" w:val="single" w:color="151515"/>
            </w:tcBorders>
          </w:tcPr>
          <w:p>
            <w:pPr>
              <w:spacing w:after="40"/>
            </w:pPr>
            <w:r>
              <w:rPr>
                <w:rFonts w:ascii="Cambria" w:hAnsi="Cambria"/>
                <w:b w:val="0"/>
                <w:i w:val="0"/>
                <w:sz w:val="17"/>
              </w:rPr>
              <w:t>Adversarial congestion test</w:t>
            </w:r>
          </w:p>
        </w:tc>
        <w:tc>
          <w:tcPr>
            <w:tcW w:type="dxa" w:w="3061"/>
            <w:tcBorders>
              <w:bottom w:sz="12" w:val="single" w:color="151515"/>
            </w:tcBorders>
          </w:tcPr>
          <w:p>
            <w:pPr>
              <w:spacing w:after="40"/>
            </w:pPr>
            <w:r>
              <w:rPr>
                <w:rFonts w:ascii="Cambria" w:hAnsi="Cambria"/>
                <w:b w:val="0"/>
                <w:i w:val="0"/>
                <w:sz w:val="17"/>
              </w:rPr>
              <w:t>24 independently constructed, highly congested random solutions; 4 instances; CV up to 0.30</w:t>
            </w:r>
          </w:p>
        </w:tc>
        <w:tc>
          <w:tcPr>
            <w:tcW w:type="dxa" w:w="3061"/>
            <w:tcBorders>
              <w:bottom w:sz="12" w:val="single" w:color="151515"/>
            </w:tcBorders>
          </w:tcPr>
          <w:p>
            <w:pPr>
              <w:spacing w:after="40"/>
            </w:pPr>
            <w:r>
              <w:rPr>
                <w:rFonts w:ascii="Cambria" w:hAnsi="Cambria"/>
                <w:b w:val="0"/>
                <w:i w:val="0"/>
                <w:sz w:val="17"/>
              </w:rPr>
              <w:t xml:space="preserve">Maximum absolute difference in </w:t>
            </w:r>
            <w:r>
              <w:rPr>
                <w:rFonts w:ascii="Cambria" w:hAnsi="Cambria"/>
                <w:i/>
                <w:sz w:val="17"/>
              </w:rPr>
              <w:t>C</w:t>
            </w:r>
            <w:r>
              <w:rPr>
                <w:rFonts w:ascii="Cambria" w:hAnsi="Cambria"/>
                <w:sz w:val="17"/>
                <w:vertAlign w:val="subscript"/>
              </w:rPr>
              <w:t>max</w:t>
            </w:r>
            <w:r>
              <w:rPr>
                <w:rFonts w:ascii="Cambria" w:hAnsi="Cambria"/>
                <w:b w:val="0"/>
                <w:i w:val="0"/>
                <w:sz w:val="17"/>
              </w:rPr>
              <w:t xml:space="preserve"> = 0.000 × 10⁰ min across all 24 cases</w:t>
            </w:r>
          </w:p>
        </w:tc>
      </w:tr>
    </w:tbl>
    <w:p>
      <w:pPr>
        <w:spacing w:after="280"/>
      </w:pPr>
    </w:p>
    <w:p>
      <w:pPr>
        <w:spacing w:after="160"/>
        <w:jc w:val="both"/>
      </w:pPr>
      <w:r>
        <w:rPr>
          <w:rFonts w:ascii="Cambria" w:hAnsi="Cambria"/>
          <w:b w:val="0"/>
          <w:i w:val="0"/>
          <w:sz w:val="21"/>
        </w:rPr>
        <w:t>The practical consequence is that, on the instances studied, SimTSI-MC is not a faster-but-approximate alternative to SimTSI-DES; it computes the same function at roughly 25% less computational cost (8.11 vs. 10.83 CPU-hours across the full campaign, Table 1). Reporting this pair as a precision comparison ("MC approximates DES to within X%") would misstate what was measured; the correct and, we argue, still useful framing is a demonstrated cost-equivalence result, valid for any instance under the loader-release rule used here, and a pointer to what would be needed to make the two evaluators genuinely distinct — a mechanism that lets a truck's downstream cycle feed back into loader availability (the "full-cycle" release rule retained in the code for exactly this comparison) or another source of state that an analytical two-pass evaluator cannot capture, such as equipment breakdowns or route interference.</w:t>
      </w:r>
    </w:p>
    <w:p>
      <w:pPr>
        <w:keepNext/>
        <w:spacing w:before="280" w:after="80"/>
      </w:pPr>
      <w:r>
        <w:rPr>
          <w:rFonts w:ascii="Calibri" w:hAnsi="Calibri"/>
          <w:b/>
          <w:i w:val="0"/>
          <w:color w:val="151515"/>
          <w:sz w:val="22"/>
        </w:rPr>
        <w:t>3.4. Effect of the Destination-Contention Correction</w:t>
      </w:r>
    </w:p>
    <w:p>
      <w:pPr>
        <w:spacing w:after="160"/>
        <w:jc w:val="both"/>
      </w:pPr>
      <w:r>
        <w:rPr>
          <w:rFonts w:ascii="Cambria" w:hAnsi="Cambria"/>
          <w:b w:val="0"/>
          <w:i w:val="0"/>
          <w:sz w:val="21"/>
        </w:rPr>
        <w:t xml:space="preserve">Before the destination-contention model of Section 3.3 was added to </w:t>
      </w:r>
      <w:r>
        <w:rPr>
          <w:rFonts w:ascii="Consolas" w:hAnsi="Consolas"/>
          <w:sz w:val="19"/>
        </w:rPr>
        <w:t>mc.py</w:t>
      </w:r>
      <w:r>
        <w:rPr>
          <w:rFonts w:ascii="Cambria" w:hAnsi="Cambria"/>
          <w:b w:val="0"/>
          <w:i w:val="0"/>
          <w:sz w:val="21"/>
        </w:rPr>
        <w:t>, the two evaluators disagreed whenever a solution produced queueing at a destination, because the analytical evaluator did not serialize discharges at all. Once corrected, all 40 SimTSI-MC combinations were re-run under the new default (</w:t>
      </w:r>
      <w:r>
        <w:rPr>
          <w:rFonts w:ascii="Consolas" w:hAnsi="Consolas"/>
          <w:sz w:val="19"/>
        </w:rPr>
        <w:t>--dest-contention-rule queued</w:t>
      </w:r>
      <w:r>
        <w:rPr>
          <w:rFonts w:ascii="Cambria" w:hAnsi="Cambria"/>
          <w:b w:val="0"/>
          <w:i w:val="0"/>
          <w:sz w:val="21"/>
        </w:rPr>
        <w:t xml:space="preserve">) and compared against the pre-correction commit: 4 of 40 combinations (all on instance </w:t>
      </w:r>
      <w:r>
        <w:rPr>
          <w:rFonts w:ascii="Consolas" w:hAnsi="Consolas"/>
          <w:sz w:val="19"/>
        </w:rPr>
        <w:t>I08</w:t>
      </w:r>
      <w:r>
        <w:rPr>
          <w:rFonts w:ascii="Cambria" w:hAnsi="Cambria"/>
          <w:b w:val="0"/>
          <w:i w:val="0"/>
          <w:sz w:val="21"/>
        </w:rPr>
        <w:t xml:space="preserve">) changed their reported mean </w:t>
      </w:r>
      <w:r>
        <w:rPr>
          <w:rFonts w:ascii="Cambria" w:hAnsi="Cambria"/>
          <w:i/>
          <w:sz w:val="21"/>
        </w:rPr>
        <w:t>C</w:t>
      </w:r>
      <w:r>
        <w:rPr>
          <w:rFonts w:ascii="Cambria" w:hAnsi="Cambria"/>
          <w:sz w:val="21"/>
          <w:vertAlign w:val="subscript"/>
        </w:rPr>
        <w:t>max</w:t>
      </w:r>
      <w:r>
        <w:rPr>
          <w:rFonts w:ascii="Cambria" w:hAnsi="Cambria"/>
          <w:b w:val="0"/>
          <w:i w:val="0"/>
          <w:sz w:val="21"/>
        </w:rPr>
        <w:t xml:space="preserve">, by at most +0.39 minutes (+0.036%); the remaining 36 combinations reported an unchanged </w:t>
      </w:r>
      <w:r>
        <w:rPr>
          <w:rFonts w:ascii="Cambria" w:hAnsi="Cambria"/>
          <w:i/>
          <w:sz w:val="21"/>
        </w:rPr>
        <w:t>C</w:t>
      </w:r>
      <w:r>
        <w:rPr>
          <w:rFonts w:ascii="Cambria" w:hAnsi="Cambria"/>
          <w:sz w:val="21"/>
          <w:vertAlign w:val="subscript"/>
        </w:rPr>
        <w:t>max</w:t>
      </w:r>
      <w:r>
        <w:rPr>
          <w:rFonts w:ascii="Cambria" w:hAnsi="Cambria"/>
          <w:b w:val="0"/>
          <w:i w:val="0"/>
          <w:sz w:val="21"/>
        </w:rPr>
        <w:t>, although 22 of those 36 do record nonzero mean truck-waiting time at a destination in their output — that is, contention did occur in those runs, but never on the specific truck whose finishing time determines the shift makespan. This pattern — contention detectable in secondary metrics but rarely load-bearing for the headline outcome — is consistent with, and a direct symptom of, the low operational load quantified in Section 3.6.</w:t>
      </w:r>
    </w:p>
    <w:p>
      <w:pPr>
        <w:keepNext/>
        <w:spacing w:before="280" w:after="80"/>
      </w:pPr>
      <w:r>
        <w:rPr>
          <w:rFonts w:ascii="Calibri" w:hAnsi="Calibri"/>
          <w:b/>
          <w:i w:val="0"/>
          <w:color w:val="151515"/>
          <w:sz w:val="22"/>
        </w:rPr>
        <w:t>3.5. Outcome Metrics Across Instances</w:t>
      </w:r>
    </w:p>
    <w:p>
      <w:pPr>
        <w:spacing w:after="160"/>
        <w:jc w:val="both"/>
      </w:pPr>
      <w:r>
        <w:rPr>
          <w:rFonts w:ascii="Cambria" w:hAnsi="Cambria"/>
          <w:b w:val="0"/>
          <w:i w:val="0"/>
          <w:sz w:val="21"/>
        </w:rPr>
        <w:t xml:space="preserve">Table 3 reports, for a representative uncertainty level (CV = 0.20), the mean makespan, standard deviation, and target-achievement probabilities by instance; because Sections 3.3–3.4 establish that SimTSI-MC and SimTSI-DES agree exactly (within the ±0.39-minute exception on </w:t>
      </w:r>
      <w:r>
        <w:rPr>
          <w:rFonts w:ascii="Consolas" w:hAnsi="Consolas"/>
          <w:sz w:val="19"/>
        </w:rPr>
        <w:t>I08</w:t>
      </w:r>
      <w:r>
        <w:rPr>
          <w:rFonts w:ascii="Cambria" w:hAnsi="Cambria"/>
          <w:b w:val="0"/>
          <w:i w:val="0"/>
          <w:sz w:val="21"/>
        </w:rPr>
        <w:t xml:space="preserve"> noted above) and Section 3.6 shows DynSimTSI-DES never deviates from the static SimTSI-DES solution, a single set of values is reported per instance rather than one column per method. The full 40-scenario table across all four CV levels is provided as Appendix A.</w:t>
      </w:r>
    </w:p>
    <w:p>
      <w:pPr>
        <w:spacing w:after="160"/>
        <w:jc w:val="both"/>
      </w:pPr>
      <w:r>
        <w:rPr>
          <w:rFonts w:ascii="Cambria" w:hAnsi="Cambria"/>
          <w:b/>
          <w:sz w:val="21"/>
        </w:rPr>
        <w:t>Table 3.</w:t>
      </w:r>
      <w:r>
        <w:rPr>
          <w:rFonts w:ascii="Cambria" w:hAnsi="Cambria"/>
          <w:b w:val="0"/>
          <w:i w:val="0"/>
          <w:sz w:val="21"/>
        </w:rPr>
        <w:t xml:space="preserve"> Outcome metrics by instance at CV = 0.20, common to all three methods (see note).</w:t>
      </w:r>
    </w:p>
    <w:tbl>
      <w:tblPr>
        <w:tblW w:type="auto" w:w="0"/>
        <w:jc w:val="center"/>
        <w:tblLayout w:type="autofit"/>
        <w:tblLook w:firstColumn="1" w:firstRow="1" w:lastColumn="0" w:lastRow="0" w:noHBand="0" w:noVBand="1" w:val="04A0"/>
      </w:tblPr>
      <w:tblGrid>
        <w:gridCol w:w="835"/>
        <w:gridCol w:w="835"/>
        <w:gridCol w:w="835"/>
        <w:gridCol w:w="835"/>
        <w:gridCol w:w="835"/>
        <w:gridCol w:w="835"/>
        <w:gridCol w:w="835"/>
        <w:gridCol w:w="835"/>
        <w:gridCol w:w="835"/>
        <w:gridCol w:w="835"/>
        <w:gridCol w:w="835"/>
      </w:tblGrid>
      <w:tr>
        <w:trPr>
          <w:tblHeader w:val="true"/>
        </w:trPr>
        <w:tc>
          <w:tcPr>
            <w:tcW w:type="dxa" w:w="835"/>
            <w:tcBorders>
              <w:top w:sz="12" w:val="single" w:color="151515"/>
              <w:bottom w:sz="6" w:val="single" w:color="151515"/>
            </w:tcBorders>
          </w:tcPr>
          <w:p>
            <w:pPr>
              <w:spacing w:after="40"/>
            </w:pPr>
            <w:r>
              <w:rPr>
                <w:rFonts w:ascii="Calibri" w:hAnsi="Calibri"/>
                <w:b/>
                <w:i w:val="0"/>
                <w:sz w:val="17"/>
              </w:rPr>
              <w:t>Instance</w:t>
            </w:r>
          </w:p>
        </w:tc>
        <w:tc>
          <w:tcPr>
            <w:tcW w:type="dxa" w:w="835"/>
            <w:tcBorders>
              <w:top w:sz="12" w:val="single" w:color="151515"/>
              <w:bottom w:sz="6" w:val="single" w:color="151515"/>
            </w:tcBorders>
          </w:tcPr>
          <w:p>
            <w:pPr>
              <w:spacing w:after="40"/>
            </w:pPr>
            <w:r>
              <w:rPr>
                <w:rFonts w:ascii="Calibri" w:hAnsi="Calibri"/>
                <w:b/>
                <w:i w:val="0"/>
                <w:sz w:val="17"/>
              </w:rPr>
              <w:t>Loaders</w:t>
            </w:r>
          </w:p>
        </w:tc>
        <w:tc>
          <w:tcPr>
            <w:tcW w:type="dxa" w:w="835"/>
            <w:tcBorders>
              <w:top w:sz="12" w:val="single" w:color="151515"/>
              <w:bottom w:sz="6" w:val="single" w:color="151515"/>
            </w:tcBorders>
          </w:tcPr>
          <w:p>
            <w:pPr>
              <w:spacing w:after="40"/>
            </w:pPr>
            <w:r>
              <w:rPr>
                <w:rFonts w:ascii="Calibri" w:hAnsi="Calibri"/>
                <w:b/>
                <w:i w:val="0"/>
                <w:sz w:val="17"/>
              </w:rPr>
              <w:t>Trips</w:t>
            </w:r>
          </w:p>
        </w:tc>
        <w:tc>
          <w:tcPr>
            <w:tcW w:type="dxa" w:w="835"/>
            <w:tcBorders>
              <w:top w:sz="12" w:val="single" w:color="151515"/>
              <w:bottom w:sz="6" w:val="single" w:color="151515"/>
            </w:tcBorders>
          </w:tcPr>
          <w:p>
            <w:pPr>
              <w:spacing w:after="40"/>
            </w:pPr>
            <w:r>
              <w:rPr>
                <w:rFonts w:ascii="Calibri" w:hAnsi="Calibri"/>
                <w:b/>
                <w:i w:val="0"/>
                <w:sz w:val="17"/>
              </w:rPr>
              <w:t>Loader util.</w:t>
            </w:r>
          </w:p>
        </w:tc>
        <w:tc>
          <w:tcPr>
            <w:tcW w:type="dxa" w:w="835"/>
            <w:tcBorders>
              <w:top w:sz="12" w:val="single" w:color="151515"/>
              <w:bottom w:sz="6" w:val="single" w:color="151515"/>
            </w:tcBorders>
          </w:tcPr>
          <w:p>
            <w:pPr>
              <w:spacing w:after="40"/>
            </w:pPr>
            <w:r>
              <w:rPr>
                <w:rFonts w:ascii="Calibri" w:hAnsi="Calibri"/>
                <w:b/>
                <w:i w:val="0"/>
                <w:sz w:val="17"/>
              </w:rPr>
              <w:t>Plant util.</w:t>
            </w:r>
          </w:p>
        </w:tc>
        <w:tc>
          <w:tcPr>
            <w:tcW w:type="dxa" w:w="835"/>
            <w:tcBorders>
              <w:top w:sz="12" w:val="single" w:color="151515"/>
              <w:bottom w:sz="6" w:val="single" w:color="151515"/>
            </w:tcBorders>
          </w:tcPr>
          <w:p>
            <w:pPr>
              <w:spacing w:after="40"/>
            </w:pPr>
            <w:r>
              <w:rPr>
                <w:rFonts w:ascii="Calibri" w:hAnsi="Calibri"/>
                <w:b/>
                <w:i w:val="0"/>
                <w:sz w:val="17"/>
              </w:rPr>
              <w:t>Pad util.</w:t>
            </w:r>
          </w:p>
        </w:tc>
        <w:tc>
          <w:tcPr>
            <w:tcW w:type="dxa" w:w="835"/>
            <w:tcBorders>
              <w:top w:sz="12" w:val="single" w:color="151515"/>
              <w:bottom w:sz="6" w:val="single" w:color="151515"/>
            </w:tcBorders>
          </w:tcPr>
          <w:p>
            <w:pPr>
              <w:spacing w:after="40"/>
            </w:pPr>
            <w:r>
              <w:rPr>
                <w:rFonts w:ascii="Calibri" w:hAnsi="Calibri"/>
                <w:b/>
                <w:i w:val="0"/>
                <w:sz w:val="17"/>
              </w:rPr>
              <w:t xml:space="preserve">Mean </w:t>
            </w:r>
            <w:r>
              <w:rPr>
                <w:rFonts w:ascii="Calibri" w:hAnsi="Calibri"/>
                <w:i/>
                <w:sz w:val="17"/>
              </w:rPr>
              <w:t>C</w:t>
            </w:r>
            <w:r>
              <w:rPr>
                <w:rFonts w:ascii="Calibri" w:hAnsi="Calibri"/>
                <w:sz w:val="17"/>
                <w:vertAlign w:val="subscript"/>
              </w:rPr>
              <w:t>max</w:t>
            </w:r>
            <w:r>
              <w:rPr>
                <w:rFonts w:ascii="Calibri" w:hAnsi="Calibri"/>
                <w:b/>
                <w:i w:val="0"/>
                <w:sz w:val="17"/>
              </w:rPr>
              <w:t xml:space="preserve"> (min)</w:t>
            </w:r>
          </w:p>
        </w:tc>
        <w:tc>
          <w:tcPr>
            <w:tcW w:type="dxa" w:w="835"/>
            <w:tcBorders>
              <w:top w:sz="12" w:val="single" w:color="151515"/>
              <w:bottom w:sz="6" w:val="single" w:color="151515"/>
            </w:tcBorders>
          </w:tcPr>
          <w:p>
            <w:pPr>
              <w:spacing w:after="40"/>
            </w:pPr>
            <w:r>
              <w:rPr>
                <w:rFonts w:ascii="Calibri" w:hAnsi="Calibri"/>
                <w:b/>
                <w:i w:val="0"/>
                <w:sz w:val="17"/>
              </w:rPr>
              <w:t>Mean truck wait (min)</w:t>
            </w:r>
          </w:p>
        </w:tc>
        <w:tc>
          <w:tcPr>
            <w:tcW w:type="dxa" w:w="835"/>
            <w:tcBorders>
              <w:top w:sz="12" w:val="single" w:color="151515"/>
              <w:bottom w:sz="6" w:val="single" w:color="151515"/>
            </w:tcBorders>
          </w:tcPr>
          <w:p>
            <w:pPr>
              <w:spacing w:after="40"/>
            </w:pPr>
            <w:r>
              <w:rPr>
                <w:rFonts w:ascii="Calibri" w:hAnsi="Calibri"/>
                <w:b/>
                <w:i w:val="0"/>
                <w:sz w:val="17"/>
              </w:rPr>
              <w:t>P(finish in shift)</w:t>
            </w:r>
          </w:p>
        </w:tc>
        <w:tc>
          <w:tcPr>
            <w:tcW w:type="dxa" w:w="835"/>
            <w:tcBorders>
              <w:top w:sz="12" w:val="single" w:color="151515"/>
              <w:bottom w:sz="6" w:val="single" w:color="151515"/>
            </w:tcBorders>
          </w:tcPr>
          <w:p>
            <w:pPr>
              <w:spacing w:after="40"/>
            </w:pPr>
            <w:r>
              <w:rPr>
                <w:rFonts w:ascii="Calibri" w:hAnsi="Calibri"/>
                <w:b/>
                <w:i w:val="0"/>
                <w:sz w:val="17"/>
              </w:rPr>
              <w:t>P(plant target)</w:t>
            </w:r>
          </w:p>
        </w:tc>
        <w:tc>
          <w:tcPr>
            <w:tcW w:type="dxa" w:w="835"/>
            <w:tcBorders>
              <w:top w:sz="12" w:val="single" w:color="151515"/>
              <w:bottom w:sz="6" w:val="single" w:color="151515"/>
            </w:tcBorders>
          </w:tcPr>
          <w:p>
            <w:pPr>
              <w:spacing w:after="40"/>
            </w:pPr>
            <w:r>
              <w:rPr>
                <w:rFonts w:ascii="Calibri" w:hAnsi="Calibri"/>
                <w:b/>
                <w:i w:val="0"/>
                <w:sz w:val="17"/>
              </w:rPr>
              <w:t>P(pad target)</w:t>
            </w:r>
          </w:p>
        </w:tc>
      </w:tr>
      <w:tr>
        <w:tc>
          <w:tcPr>
            <w:tcW w:type="dxa" w:w="835"/>
          </w:tcPr>
          <w:p>
            <w:pPr>
              <w:spacing w:after="40"/>
            </w:pPr>
            <w:r>
              <w:rPr>
                <w:rFonts w:ascii="Cambria" w:hAnsi="Cambria"/>
                <w:b w:val="0"/>
                <w:i w:val="0"/>
                <w:sz w:val="17"/>
              </w:rPr>
              <w:t>I01</w:t>
            </w:r>
          </w:p>
        </w:tc>
        <w:tc>
          <w:tcPr>
            <w:tcW w:type="dxa" w:w="835"/>
          </w:tcPr>
          <w:p>
            <w:pPr>
              <w:spacing w:after="40"/>
            </w:pPr>
            <w:r>
              <w:rPr>
                <w:rFonts w:ascii="Cambria" w:hAnsi="Cambria"/>
                <w:b w:val="0"/>
                <w:i w:val="0"/>
                <w:sz w:val="17"/>
              </w:rPr>
              <w:t>1</w:t>
            </w:r>
          </w:p>
        </w:tc>
        <w:tc>
          <w:tcPr>
            <w:tcW w:type="dxa" w:w="835"/>
          </w:tcPr>
          <w:p>
            <w:pPr>
              <w:spacing w:after="40"/>
            </w:pPr>
            <w:r>
              <w:rPr>
                <w:rFonts w:ascii="Cambria" w:hAnsi="Cambria"/>
                <w:b w:val="0"/>
                <w:i w:val="0"/>
                <w:sz w:val="17"/>
              </w:rPr>
              <w:t>2</w:t>
            </w:r>
          </w:p>
        </w:tc>
        <w:tc>
          <w:tcPr>
            <w:tcW w:type="dxa" w:w="835"/>
          </w:tcPr>
          <w:p>
            <w:pPr>
              <w:spacing w:after="40"/>
            </w:pPr>
            <w:r>
              <w:rPr>
                <w:rFonts w:ascii="Cambria" w:hAnsi="Cambria"/>
                <w:b w:val="0"/>
                <w:i w:val="0"/>
                <w:sz w:val="17"/>
              </w:rPr>
              <w:t>1.03%</w:t>
            </w:r>
          </w:p>
        </w:tc>
        <w:tc>
          <w:tcPr>
            <w:tcW w:type="dxa" w:w="835"/>
          </w:tcPr>
          <w:p>
            <w:pPr>
              <w:spacing w:after="40"/>
            </w:pPr>
            <w:r>
              <w:rPr>
                <w:rFonts w:ascii="Cambria" w:hAnsi="Cambria"/>
                <w:b w:val="0"/>
                <w:i w:val="0"/>
                <w:sz w:val="17"/>
              </w:rPr>
              <w:t>0.29%</w:t>
            </w:r>
          </w:p>
        </w:tc>
        <w:tc>
          <w:tcPr>
            <w:tcW w:type="dxa" w:w="835"/>
          </w:tcPr>
          <w:p>
            <w:pPr>
              <w:spacing w:after="40"/>
            </w:pPr>
            <w:r>
              <w:rPr>
                <w:rFonts w:ascii="Cambria" w:hAnsi="Cambria"/>
                <w:b w:val="0"/>
                <w:i w:val="0"/>
                <w:sz w:val="17"/>
              </w:rPr>
              <w:t>0.29%</w:t>
            </w:r>
          </w:p>
        </w:tc>
        <w:tc>
          <w:tcPr>
            <w:tcW w:type="dxa" w:w="835"/>
          </w:tcPr>
          <w:p>
            <w:pPr>
              <w:spacing w:after="40"/>
            </w:pPr>
            <w:r>
              <w:rPr>
                <w:rFonts w:ascii="Cambria" w:hAnsi="Cambria"/>
                <w:b w:val="0"/>
                <w:i w:val="0"/>
                <w:sz w:val="17"/>
              </w:rPr>
              <w:t>685.96</w:t>
            </w:r>
          </w:p>
        </w:tc>
        <w:tc>
          <w:tcPr>
            <w:tcW w:type="dxa" w:w="835"/>
          </w:tcPr>
          <w:p>
            <w:pPr>
              <w:spacing w:after="40"/>
            </w:pPr>
            <w:r>
              <w:rPr>
                <w:rFonts w:ascii="Cambria" w:hAnsi="Cambria"/>
                <w:b w:val="0"/>
                <w:i w:val="0"/>
                <w:sz w:val="17"/>
              </w:rPr>
              <w:t>0.0000</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r>
      <w:tr>
        <w:tc>
          <w:tcPr>
            <w:tcW w:type="dxa" w:w="835"/>
          </w:tcPr>
          <w:p>
            <w:pPr>
              <w:spacing w:after="40"/>
            </w:pPr>
            <w:r>
              <w:rPr>
                <w:rFonts w:ascii="Cambria" w:hAnsi="Cambria"/>
                <w:b w:val="0"/>
                <w:i w:val="0"/>
                <w:sz w:val="17"/>
              </w:rPr>
              <w:t>I02</w:t>
            </w:r>
          </w:p>
        </w:tc>
        <w:tc>
          <w:tcPr>
            <w:tcW w:type="dxa" w:w="835"/>
          </w:tcPr>
          <w:p>
            <w:pPr>
              <w:spacing w:after="40"/>
            </w:pPr>
            <w:r>
              <w:rPr>
                <w:rFonts w:ascii="Cambria" w:hAnsi="Cambria"/>
                <w:b w:val="0"/>
                <w:i w:val="0"/>
                <w:sz w:val="17"/>
              </w:rPr>
              <w:t>2</w:t>
            </w:r>
          </w:p>
        </w:tc>
        <w:tc>
          <w:tcPr>
            <w:tcW w:type="dxa" w:w="835"/>
          </w:tcPr>
          <w:p>
            <w:pPr>
              <w:spacing w:after="40"/>
            </w:pPr>
            <w:r>
              <w:rPr>
                <w:rFonts w:ascii="Cambria" w:hAnsi="Cambria"/>
                <w:b w:val="0"/>
                <w:i w:val="0"/>
                <w:sz w:val="17"/>
              </w:rPr>
              <w:t>4</w:t>
            </w:r>
          </w:p>
        </w:tc>
        <w:tc>
          <w:tcPr>
            <w:tcW w:type="dxa" w:w="835"/>
          </w:tcPr>
          <w:p>
            <w:pPr>
              <w:spacing w:after="40"/>
            </w:pPr>
            <w:r>
              <w:rPr>
                <w:rFonts w:ascii="Cambria" w:hAnsi="Cambria"/>
                <w:b w:val="0"/>
                <w:i w:val="0"/>
                <w:sz w:val="17"/>
              </w:rPr>
              <w:t>0.93%</w:t>
            </w:r>
          </w:p>
        </w:tc>
        <w:tc>
          <w:tcPr>
            <w:tcW w:type="dxa" w:w="835"/>
          </w:tcPr>
          <w:p>
            <w:pPr>
              <w:spacing w:after="40"/>
            </w:pPr>
            <w:r>
              <w:rPr>
                <w:rFonts w:ascii="Cambria" w:hAnsi="Cambria"/>
                <w:b w:val="0"/>
                <w:i w:val="0"/>
                <w:sz w:val="17"/>
              </w:rPr>
              <w:t>0.96%</w:t>
            </w:r>
          </w:p>
        </w:tc>
        <w:tc>
          <w:tcPr>
            <w:tcW w:type="dxa" w:w="835"/>
          </w:tcPr>
          <w:p>
            <w:pPr>
              <w:spacing w:after="40"/>
            </w:pPr>
            <w:r>
              <w:rPr>
                <w:rFonts w:ascii="Cambria" w:hAnsi="Cambria"/>
                <w:b w:val="0"/>
                <w:i w:val="0"/>
                <w:sz w:val="17"/>
              </w:rPr>
              <w:t>0.00%</w:t>
            </w:r>
          </w:p>
        </w:tc>
        <w:tc>
          <w:tcPr>
            <w:tcW w:type="dxa" w:w="835"/>
          </w:tcPr>
          <w:p>
            <w:pPr>
              <w:spacing w:after="40"/>
            </w:pPr>
            <w:r>
              <w:rPr>
                <w:rFonts w:ascii="Cambria" w:hAnsi="Cambria"/>
                <w:b w:val="0"/>
                <w:i w:val="0"/>
                <w:sz w:val="17"/>
              </w:rPr>
              <w:t>831.98</w:t>
            </w:r>
          </w:p>
        </w:tc>
        <w:tc>
          <w:tcPr>
            <w:tcW w:type="dxa" w:w="835"/>
          </w:tcPr>
          <w:p>
            <w:pPr>
              <w:spacing w:after="40"/>
            </w:pPr>
            <w:r>
              <w:rPr>
                <w:rFonts w:ascii="Cambria" w:hAnsi="Cambria"/>
                <w:b w:val="0"/>
                <w:i w:val="0"/>
                <w:sz w:val="17"/>
              </w:rPr>
              <w:t>0.0011</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0.00</w:t>
            </w:r>
          </w:p>
        </w:tc>
      </w:tr>
      <w:tr>
        <w:tc>
          <w:tcPr>
            <w:tcW w:type="dxa" w:w="835"/>
          </w:tcPr>
          <w:p>
            <w:pPr>
              <w:spacing w:after="40"/>
            </w:pPr>
            <w:r>
              <w:rPr>
                <w:rFonts w:ascii="Cambria" w:hAnsi="Cambria"/>
                <w:b w:val="0"/>
                <w:i w:val="0"/>
                <w:sz w:val="17"/>
              </w:rPr>
              <w:t>I03</w:t>
            </w:r>
          </w:p>
        </w:tc>
        <w:tc>
          <w:tcPr>
            <w:tcW w:type="dxa" w:w="835"/>
          </w:tcPr>
          <w:p>
            <w:pPr>
              <w:spacing w:after="40"/>
            </w:pPr>
            <w:r>
              <w:rPr>
                <w:rFonts w:ascii="Cambria" w:hAnsi="Cambria"/>
                <w:b w:val="0"/>
                <w:i w:val="0"/>
                <w:sz w:val="17"/>
              </w:rPr>
              <w:t>3</w:t>
            </w:r>
          </w:p>
        </w:tc>
        <w:tc>
          <w:tcPr>
            <w:tcW w:type="dxa" w:w="835"/>
          </w:tcPr>
          <w:p>
            <w:pPr>
              <w:spacing w:after="40"/>
            </w:pPr>
            <w:r>
              <w:rPr>
                <w:rFonts w:ascii="Cambria" w:hAnsi="Cambria"/>
                <w:b w:val="0"/>
                <w:i w:val="0"/>
                <w:sz w:val="17"/>
              </w:rPr>
              <w:t>6</w:t>
            </w:r>
          </w:p>
        </w:tc>
        <w:tc>
          <w:tcPr>
            <w:tcW w:type="dxa" w:w="835"/>
          </w:tcPr>
          <w:p>
            <w:pPr>
              <w:spacing w:after="40"/>
            </w:pPr>
            <w:r>
              <w:rPr>
                <w:rFonts w:ascii="Cambria" w:hAnsi="Cambria"/>
                <w:b w:val="0"/>
                <w:i w:val="0"/>
                <w:sz w:val="17"/>
              </w:rPr>
              <w:t>0.84%</w:t>
            </w:r>
          </w:p>
        </w:tc>
        <w:tc>
          <w:tcPr>
            <w:tcW w:type="dxa" w:w="835"/>
          </w:tcPr>
          <w:p>
            <w:pPr>
              <w:spacing w:after="40"/>
            </w:pPr>
            <w:r>
              <w:rPr>
                <w:rFonts w:ascii="Cambria" w:hAnsi="Cambria"/>
                <w:b w:val="0"/>
                <w:i w:val="0"/>
                <w:sz w:val="17"/>
              </w:rPr>
              <w:t>1.43%</w:t>
            </w:r>
          </w:p>
        </w:tc>
        <w:tc>
          <w:tcPr>
            <w:tcW w:type="dxa" w:w="835"/>
          </w:tcPr>
          <w:p>
            <w:pPr>
              <w:spacing w:after="40"/>
            </w:pPr>
            <w:r>
              <w:rPr>
                <w:rFonts w:ascii="Cambria" w:hAnsi="Cambria"/>
                <w:b w:val="0"/>
                <w:i w:val="0"/>
                <w:sz w:val="17"/>
              </w:rPr>
              <w:t>0.00%</w:t>
            </w:r>
          </w:p>
        </w:tc>
        <w:tc>
          <w:tcPr>
            <w:tcW w:type="dxa" w:w="835"/>
          </w:tcPr>
          <w:p>
            <w:pPr>
              <w:spacing w:after="40"/>
            </w:pPr>
            <w:r>
              <w:rPr>
                <w:rFonts w:ascii="Cambria" w:hAnsi="Cambria"/>
                <w:b w:val="0"/>
                <w:i w:val="0"/>
                <w:sz w:val="17"/>
              </w:rPr>
              <w:t>836.82</w:t>
            </w:r>
          </w:p>
        </w:tc>
        <w:tc>
          <w:tcPr>
            <w:tcW w:type="dxa" w:w="835"/>
          </w:tcPr>
          <w:p>
            <w:pPr>
              <w:spacing w:after="40"/>
            </w:pPr>
            <w:r>
              <w:rPr>
                <w:rFonts w:ascii="Cambria" w:hAnsi="Cambria"/>
                <w:b w:val="0"/>
                <w:i w:val="0"/>
                <w:sz w:val="17"/>
              </w:rPr>
              <w:t>0.0000</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0.00</w:t>
            </w:r>
          </w:p>
        </w:tc>
      </w:tr>
      <w:tr>
        <w:tc>
          <w:tcPr>
            <w:tcW w:type="dxa" w:w="835"/>
          </w:tcPr>
          <w:p>
            <w:pPr>
              <w:spacing w:after="40"/>
            </w:pPr>
            <w:r>
              <w:rPr>
                <w:rFonts w:ascii="Cambria" w:hAnsi="Cambria"/>
                <w:b w:val="0"/>
                <w:i w:val="0"/>
                <w:sz w:val="17"/>
              </w:rPr>
              <w:t>I04</w:t>
            </w:r>
          </w:p>
        </w:tc>
        <w:tc>
          <w:tcPr>
            <w:tcW w:type="dxa" w:w="835"/>
          </w:tcPr>
          <w:p>
            <w:pPr>
              <w:spacing w:after="40"/>
            </w:pPr>
            <w:r>
              <w:rPr>
                <w:rFonts w:ascii="Cambria" w:hAnsi="Cambria"/>
                <w:b w:val="0"/>
                <w:i w:val="0"/>
                <w:sz w:val="17"/>
              </w:rPr>
              <w:t>4</w:t>
            </w:r>
          </w:p>
        </w:tc>
        <w:tc>
          <w:tcPr>
            <w:tcW w:type="dxa" w:w="835"/>
          </w:tcPr>
          <w:p>
            <w:pPr>
              <w:spacing w:after="40"/>
            </w:pPr>
            <w:r>
              <w:rPr>
                <w:rFonts w:ascii="Cambria" w:hAnsi="Cambria"/>
                <w:b w:val="0"/>
                <w:i w:val="0"/>
                <w:sz w:val="17"/>
              </w:rPr>
              <w:t>8</w:t>
            </w:r>
          </w:p>
        </w:tc>
        <w:tc>
          <w:tcPr>
            <w:tcW w:type="dxa" w:w="835"/>
          </w:tcPr>
          <w:p>
            <w:pPr>
              <w:spacing w:after="40"/>
            </w:pPr>
            <w:r>
              <w:rPr>
                <w:rFonts w:ascii="Cambria" w:hAnsi="Cambria"/>
                <w:b w:val="0"/>
                <w:i w:val="0"/>
                <w:sz w:val="17"/>
              </w:rPr>
              <w:t>0.79%</w:t>
            </w:r>
          </w:p>
        </w:tc>
        <w:tc>
          <w:tcPr>
            <w:tcW w:type="dxa" w:w="835"/>
          </w:tcPr>
          <w:p>
            <w:pPr>
              <w:spacing w:after="40"/>
            </w:pPr>
            <w:r>
              <w:rPr>
                <w:rFonts w:ascii="Cambria" w:hAnsi="Cambria"/>
                <w:b w:val="0"/>
                <w:i w:val="0"/>
                <w:sz w:val="17"/>
              </w:rPr>
              <w:t>1.51%</w:t>
            </w:r>
          </w:p>
        </w:tc>
        <w:tc>
          <w:tcPr>
            <w:tcW w:type="dxa" w:w="835"/>
          </w:tcPr>
          <w:p>
            <w:pPr>
              <w:spacing w:after="40"/>
            </w:pPr>
            <w:r>
              <w:rPr>
                <w:rFonts w:ascii="Cambria" w:hAnsi="Cambria"/>
                <w:b w:val="0"/>
                <w:i w:val="0"/>
                <w:sz w:val="17"/>
              </w:rPr>
              <w:t>0.22%</w:t>
            </w:r>
          </w:p>
        </w:tc>
        <w:tc>
          <w:tcPr>
            <w:tcW w:type="dxa" w:w="835"/>
          </w:tcPr>
          <w:p>
            <w:pPr>
              <w:spacing w:after="40"/>
            </w:pPr>
            <w:r>
              <w:rPr>
                <w:rFonts w:ascii="Cambria" w:hAnsi="Cambria"/>
                <w:b w:val="0"/>
                <w:i w:val="0"/>
                <w:sz w:val="17"/>
              </w:rPr>
              <w:t>928.43</w:t>
            </w:r>
          </w:p>
        </w:tc>
        <w:tc>
          <w:tcPr>
            <w:tcW w:type="dxa" w:w="835"/>
          </w:tcPr>
          <w:p>
            <w:pPr>
              <w:spacing w:after="40"/>
            </w:pPr>
            <w:r>
              <w:rPr>
                <w:rFonts w:ascii="Cambria" w:hAnsi="Cambria"/>
                <w:b w:val="0"/>
                <w:i w:val="0"/>
                <w:sz w:val="17"/>
              </w:rPr>
              <w:t>0.0299</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r>
      <w:tr>
        <w:tc>
          <w:tcPr>
            <w:tcW w:type="dxa" w:w="835"/>
          </w:tcPr>
          <w:p>
            <w:pPr>
              <w:spacing w:after="40"/>
            </w:pPr>
            <w:r>
              <w:rPr>
                <w:rFonts w:ascii="Cambria" w:hAnsi="Cambria"/>
                <w:b w:val="0"/>
                <w:i w:val="0"/>
                <w:sz w:val="17"/>
              </w:rPr>
              <w:t>I05</w:t>
            </w:r>
          </w:p>
        </w:tc>
        <w:tc>
          <w:tcPr>
            <w:tcW w:type="dxa" w:w="835"/>
          </w:tcPr>
          <w:p>
            <w:pPr>
              <w:spacing w:after="40"/>
            </w:pPr>
            <w:r>
              <w:rPr>
                <w:rFonts w:ascii="Cambria" w:hAnsi="Cambria"/>
                <w:b w:val="0"/>
                <w:i w:val="0"/>
                <w:sz w:val="17"/>
              </w:rPr>
              <w:t>5</w:t>
            </w:r>
          </w:p>
        </w:tc>
        <w:tc>
          <w:tcPr>
            <w:tcW w:type="dxa" w:w="835"/>
          </w:tcPr>
          <w:p>
            <w:pPr>
              <w:spacing w:after="40"/>
            </w:pPr>
            <w:r>
              <w:rPr>
                <w:rFonts w:ascii="Cambria" w:hAnsi="Cambria"/>
                <w:b w:val="0"/>
                <w:i w:val="0"/>
                <w:sz w:val="17"/>
              </w:rPr>
              <w:t>10</w:t>
            </w:r>
          </w:p>
        </w:tc>
        <w:tc>
          <w:tcPr>
            <w:tcW w:type="dxa" w:w="835"/>
          </w:tcPr>
          <w:p>
            <w:pPr>
              <w:spacing w:after="40"/>
            </w:pPr>
            <w:r>
              <w:rPr>
                <w:rFonts w:ascii="Cambria" w:hAnsi="Cambria"/>
                <w:b w:val="0"/>
                <w:i w:val="0"/>
                <w:sz w:val="17"/>
              </w:rPr>
              <w:t>0.65%</w:t>
            </w:r>
          </w:p>
        </w:tc>
        <w:tc>
          <w:tcPr>
            <w:tcW w:type="dxa" w:w="835"/>
          </w:tcPr>
          <w:p>
            <w:pPr>
              <w:spacing w:after="40"/>
            </w:pPr>
            <w:r>
              <w:rPr>
                <w:rFonts w:ascii="Cambria" w:hAnsi="Cambria"/>
                <w:b w:val="0"/>
                <w:i w:val="0"/>
                <w:sz w:val="17"/>
              </w:rPr>
              <w:t>1.30%</w:t>
            </w:r>
          </w:p>
        </w:tc>
        <w:tc>
          <w:tcPr>
            <w:tcW w:type="dxa" w:w="835"/>
          </w:tcPr>
          <w:p>
            <w:pPr>
              <w:spacing w:after="40"/>
            </w:pPr>
            <w:r>
              <w:rPr>
                <w:rFonts w:ascii="Cambria" w:hAnsi="Cambria"/>
                <w:b w:val="0"/>
                <w:i w:val="0"/>
                <w:sz w:val="17"/>
              </w:rPr>
              <w:t>0.55%</w:t>
            </w:r>
          </w:p>
        </w:tc>
        <w:tc>
          <w:tcPr>
            <w:tcW w:type="dxa" w:w="835"/>
          </w:tcPr>
          <w:p>
            <w:pPr>
              <w:spacing w:after="40"/>
            </w:pPr>
            <w:r>
              <w:rPr>
                <w:rFonts w:ascii="Cambria" w:hAnsi="Cambria"/>
                <w:b w:val="0"/>
                <w:i w:val="0"/>
                <w:sz w:val="17"/>
              </w:rPr>
              <w:t>1079.45</w:t>
            </w:r>
          </w:p>
        </w:tc>
        <w:tc>
          <w:tcPr>
            <w:tcW w:type="dxa" w:w="835"/>
          </w:tcPr>
          <w:p>
            <w:pPr>
              <w:spacing w:after="40"/>
            </w:pPr>
            <w:r>
              <w:rPr>
                <w:rFonts w:ascii="Cambria" w:hAnsi="Cambria"/>
                <w:b w:val="0"/>
                <w:i w:val="0"/>
                <w:sz w:val="17"/>
              </w:rPr>
              <w:t>0.0000</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r>
      <w:tr>
        <w:tc>
          <w:tcPr>
            <w:tcW w:type="dxa" w:w="835"/>
          </w:tcPr>
          <w:p>
            <w:pPr>
              <w:spacing w:after="40"/>
            </w:pPr>
            <w:r>
              <w:rPr>
                <w:rFonts w:ascii="Cambria" w:hAnsi="Cambria"/>
                <w:b w:val="0"/>
                <w:i w:val="0"/>
                <w:sz w:val="17"/>
              </w:rPr>
              <w:t>I06</w:t>
            </w:r>
          </w:p>
        </w:tc>
        <w:tc>
          <w:tcPr>
            <w:tcW w:type="dxa" w:w="835"/>
          </w:tcPr>
          <w:p>
            <w:pPr>
              <w:spacing w:after="40"/>
            </w:pPr>
            <w:r>
              <w:rPr>
                <w:rFonts w:ascii="Cambria" w:hAnsi="Cambria"/>
                <w:b w:val="0"/>
                <w:i w:val="0"/>
                <w:sz w:val="17"/>
              </w:rPr>
              <w:t>6</w:t>
            </w:r>
          </w:p>
        </w:tc>
        <w:tc>
          <w:tcPr>
            <w:tcW w:type="dxa" w:w="835"/>
          </w:tcPr>
          <w:p>
            <w:pPr>
              <w:spacing w:after="40"/>
            </w:pPr>
            <w:r>
              <w:rPr>
                <w:rFonts w:ascii="Cambria" w:hAnsi="Cambria"/>
                <w:b w:val="0"/>
                <w:i w:val="0"/>
                <w:sz w:val="17"/>
              </w:rPr>
              <w:t>12</w:t>
            </w:r>
          </w:p>
        </w:tc>
        <w:tc>
          <w:tcPr>
            <w:tcW w:type="dxa" w:w="835"/>
          </w:tcPr>
          <w:p>
            <w:pPr>
              <w:spacing w:after="40"/>
            </w:pPr>
            <w:r>
              <w:rPr>
                <w:rFonts w:ascii="Cambria" w:hAnsi="Cambria"/>
                <w:b w:val="0"/>
                <w:i w:val="0"/>
                <w:sz w:val="17"/>
              </w:rPr>
              <w:t>0.73%</w:t>
            </w:r>
          </w:p>
        </w:tc>
        <w:tc>
          <w:tcPr>
            <w:tcW w:type="dxa" w:w="835"/>
          </w:tcPr>
          <w:p>
            <w:pPr>
              <w:spacing w:after="40"/>
            </w:pPr>
            <w:r>
              <w:rPr>
                <w:rFonts w:ascii="Cambria" w:hAnsi="Cambria"/>
                <w:b w:val="0"/>
                <w:i w:val="0"/>
                <w:sz w:val="17"/>
              </w:rPr>
              <w:t>1.89%</w:t>
            </w:r>
          </w:p>
        </w:tc>
        <w:tc>
          <w:tcPr>
            <w:tcW w:type="dxa" w:w="835"/>
          </w:tcPr>
          <w:p>
            <w:pPr>
              <w:spacing w:after="40"/>
            </w:pPr>
            <w:r>
              <w:rPr>
                <w:rFonts w:ascii="Cambria" w:hAnsi="Cambria"/>
                <w:b w:val="0"/>
                <w:i w:val="0"/>
                <w:sz w:val="17"/>
              </w:rPr>
              <w:t>0.62%</w:t>
            </w:r>
          </w:p>
        </w:tc>
        <w:tc>
          <w:tcPr>
            <w:tcW w:type="dxa" w:w="835"/>
          </w:tcPr>
          <w:p>
            <w:pPr>
              <w:spacing w:after="40"/>
            </w:pPr>
            <w:r>
              <w:rPr>
                <w:rFonts w:ascii="Cambria" w:hAnsi="Cambria"/>
                <w:b w:val="0"/>
                <w:i w:val="0"/>
                <w:sz w:val="17"/>
              </w:rPr>
              <w:t>956.81</w:t>
            </w:r>
          </w:p>
        </w:tc>
        <w:tc>
          <w:tcPr>
            <w:tcW w:type="dxa" w:w="835"/>
          </w:tcPr>
          <w:p>
            <w:pPr>
              <w:spacing w:after="40"/>
            </w:pPr>
            <w:r>
              <w:rPr>
                <w:rFonts w:ascii="Cambria" w:hAnsi="Cambria"/>
                <w:b w:val="0"/>
                <w:i w:val="0"/>
                <w:sz w:val="17"/>
              </w:rPr>
              <w:t>0.0238</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r>
      <w:tr>
        <w:tc>
          <w:tcPr>
            <w:tcW w:type="dxa" w:w="835"/>
          </w:tcPr>
          <w:p>
            <w:pPr>
              <w:spacing w:after="40"/>
            </w:pPr>
            <w:r>
              <w:rPr>
                <w:rFonts w:ascii="Cambria" w:hAnsi="Cambria"/>
                <w:b w:val="0"/>
                <w:i w:val="0"/>
                <w:sz w:val="17"/>
              </w:rPr>
              <w:t>I07</w:t>
            </w:r>
          </w:p>
        </w:tc>
        <w:tc>
          <w:tcPr>
            <w:tcW w:type="dxa" w:w="835"/>
          </w:tcPr>
          <w:p>
            <w:pPr>
              <w:spacing w:after="40"/>
            </w:pPr>
            <w:r>
              <w:rPr>
                <w:rFonts w:ascii="Cambria" w:hAnsi="Cambria"/>
                <w:b w:val="0"/>
                <w:i w:val="0"/>
                <w:sz w:val="17"/>
              </w:rPr>
              <w:t>7</w:t>
            </w:r>
          </w:p>
        </w:tc>
        <w:tc>
          <w:tcPr>
            <w:tcW w:type="dxa" w:w="835"/>
          </w:tcPr>
          <w:p>
            <w:pPr>
              <w:spacing w:after="40"/>
            </w:pPr>
            <w:r>
              <w:rPr>
                <w:rFonts w:ascii="Cambria" w:hAnsi="Cambria"/>
                <w:b w:val="0"/>
                <w:i w:val="0"/>
                <w:sz w:val="17"/>
              </w:rPr>
              <w:t>14</w:t>
            </w:r>
          </w:p>
        </w:tc>
        <w:tc>
          <w:tcPr>
            <w:tcW w:type="dxa" w:w="835"/>
          </w:tcPr>
          <w:p>
            <w:pPr>
              <w:spacing w:after="40"/>
            </w:pPr>
            <w:r>
              <w:rPr>
                <w:rFonts w:ascii="Cambria" w:hAnsi="Cambria"/>
                <w:b w:val="0"/>
                <w:i w:val="0"/>
                <w:sz w:val="17"/>
              </w:rPr>
              <w:t>0.71%</w:t>
            </w:r>
          </w:p>
        </w:tc>
        <w:tc>
          <w:tcPr>
            <w:tcW w:type="dxa" w:w="835"/>
          </w:tcPr>
          <w:p>
            <w:pPr>
              <w:spacing w:after="40"/>
            </w:pPr>
            <w:r>
              <w:rPr>
                <w:rFonts w:ascii="Cambria" w:hAnsi="Cambria"/>
                <w:b w:val="0"/>
                <w:i w:val="0"/>
                <w:sz w:val="17"/>
              </w:rPr>
              <w:t>2.22%</w:t>
            </w:r>
          </w:p>
        </w:tc>
        <w:tc>
          <w:tcPr>
            <w:tcW w:type="dxa" w:w="835"/>
          </w:tcPr>
          <w:p>
            <w:pPr>
              <w:spacing w:after="40"/>
            </w:pPr>
            <w:r>
              <w:rPr>
                <w:rFonts w:ascii="Cambria" w:hAnsi="Cambria"/>
                <w:b w:val="0"/>
                <w:i w:val="0"/>
                <w:sz w:val="17"/>
              </w:rPr>
              <w:t>0.60%</w:t>
            </w:r>
          </w:p>
        </w:tc>
        <w:tc>
          <w:tcPr>
            <w:tcW w:type="dxa" w:w="835"/>
          </w:tcPr>
          <w:p>
            <w:pPr>
              <w:spacing w:after="40"/>
            </w:pPr>
            <w:r>
              <w:rPr>
                <w:rFonts w:ascii="Cambria" w:hAnsi="Cambria"/>
                <w:b w:val="0"/>
                <w:i w:val="0"/>
                <w:sz w:val="17"/>
              </w:rPr>
              <w:t>991.58</w:t>
            </w:r>
          </w:p>
        </w:tc>
        <w:tc>
          <w:tcPr>
            <w:tcW w:type="dxa" w:w="835"/>
          </w:tcPr>
          <w:p>
            <w:pPr>
              <w:spacing w:after="40"/>
            </w:pPr>
            <w:r>
              <w:rPr>
                <w:rFonts w:ascii="Cambria" w:hAnsi="Cambria"/>
                <w:b w:val="0"/>
                <w:i w:val="0"/>
                <w:sz w:val="17"/>
              </w:rPr>
              <w:t>0.0413</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r>
      <w:tr>
        <w:tc>
          <w:tcPr>
            <w:tcW w:type="dxa" w:w="835"/>
          </w:tcPr>
          <w:p>
            <w:pPr>
              <w:spacing w:after="40"/>
            </w:pPr>
            <w:r>
              <w:rPr>
                <w:rFonts w:ascii="Cambria" w:hAnsi="Cambria"/>
                <w:b w:val="0"/>
                <w:i w:val="0"/>
                <w:sz w:val="17"/>
              </w:rPr>
              <w:t>I08</w:t>
            </w:r>
          </w:p>
        </w:tc>
        <w:tc>
          <w:tcPr>
            <w:tcW w:type="dxa" w:w="835"/>
          </w:tcPr>
          <w:p>
            <w:pPr>
              <w:spacing w:after="40"/>
            </w:pPr>
            <w:r>
              <w:rPr>
                <w:rFonts w:ascii="Cambria" w:hAnsi="Cambria"/>
                <w:b w:val="0"/>
                <w:i w:val="0"/>
                <w:sz w:val="17"/>
              </w:rPr>
              <w:t>8</w:t>
            </w:r>
          </w:p>
        </w:tc>
        <w:tc>
          <w:tcPr>
            <w:tcW w:type="dxa" w:w="835"/>
          </w:tcPr>
          <w:p>
            <w:pPr>
              <w:spacing w:after="40"/>
            </w:pPr>
            <w:r>
              <w:rPr>
                <w:rFonts w:ascii="Cambria" w:hAnsi="Cambria"/>
                <w:b w:val="0"/>
                <w:i w:val="0"/>
                <w:sz w:val="17"/>
              </w:rPr>
              <w:t>16</w:t>
            </w:r>
          </w:p>
        </w:tc>
        <w:tc>
          <w:tcPr>
            <w:tcW w:type="dxa" w:w="835"/>
          </w:tcPr>
          <w:p>
            <w:pPr>
              <w:spacing w:after="40"/>
            </w:pPr>
            <w:r>
              <w:rPr>
                <w:rFonts w:ascii="Cambria" w:hAnsi="Cambria"/>
                <w:b w:val="0"/>
                <w:i w:val="0"/>
                <w:sz w:val="17"/>
              </w:rPr>
              <w:t>0.66%</w:t>
            </w:r>
          </w:p>
        </w:tc>
        <w:tc>
          <w:tcPr>
            <w:tcW w:type="dxa" w:w="835"/>
          </w:tcPr>
          <w:p>
            <w:pPr>
              <w:spacing w:after="40"/>
            </w:pPr>
            <w:r>
              <w:rPr>
                <w:rFonts w:ascii="Cambria" w:hAnsi="Cambria"/>
                <w:b w:val="0"/>
                <w:i w:val="0"/>
                <w:sz w:val="17"/>
              </w:rPr>
              <w:t>2.39%</w:t>
            </w:r>
          </w:p>
        </w:tc>
        <w:tc>
          <w:tcPr>
            <w:tcW w:type="dxa" w:w="835"/>
          </w:tcPr>
          <w:p>
            <w:pPr>
              <w:spacing w:after="40"/>
            </w:pPr>
            <w:r>
              <w:rPr>
                <w:rFonts w:ascii="Cambria" w:hAnsi="Cambria"/>
                <w:b w:val="0"/>
                <w:i w:val="0"/>
                <w:sz w:val="17"/>
              </w:rPr>
              <w:t>0.55%</w:t>
            </w:r>
          </w:p>
        </w:tc>
        <w:tc>
          <w:tcPr>
            <w:tcW w:type="dxa" w:w="835"/>
          </w:tcPr>
          <w:p>
            <w:pPr>
              <w:spacing w:after="40"/>
            </w:pPr>
            <w:r>
              <w:rPr>
                <w:rFonts w:ascii="Cambria" w:hAnsi="Cambria"/>
                <w:b w:val="0"/>
                <w:i w:val="0"/>
                <w:sz w:val="17"/>
              </w:rPr>
              <w:t>1087.41</w:t>
            </w:r>
          </w:p>
        </w:tc>
        <w:tc>
          <w:tcPr>
            <w:tcW w:type="dxa" w:w="835"/>
          </w:tcPr>
          <w:p>
            <w:pPr>
              <w:spacing w:after="40"/>
            </w:pPr>
            <w:r>
              <w:rPr>
                <w:rFonts w:ascii="Cambria" w:hAnsi="Cambria"/>
                <w:b w:val="0"/>
                <w:i w:val="0"/>
                <w:sz w:val="17"/>
              </w:rPr>
              <w:t>0.0284</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r>
      <w:tr>
        <w:tc>
          <w:tcPr>
            <w:tcW w:type="dxa" w:w="835"/>
          </w:tcPr>
          <w:p>
            <w:pPr>
              <w:spacing w:after="40"/>
            </w:pPr>
            <w:r>
              <w:rPr>
                <w:rFonts w:ascii="Cambria" w:hAnsi="Cambria"/>
                <w:b w:val="0"/>
                <w:i w:val="0"/>
                <w:sz w:val="17"/>
              </w:rPr>
              <w:t>I09</w:t>
            </w:r>
          </w:p>
        </w:tc>
        <w:tc>
          <w:tcPr>
            <w:tcW w:type="dxa" w:w="835"/>
          </w:tcPr>
          <w:p>
            <w:pPr>
              <w:spacing w:after="40"/>
            </w:pPr>
            <w:r>
              <w:rPr>
                <w:rFonts w:ascii="Cambria" w:hAnsi="Cambria"/>
                <w:b w:val="0"/>
                <w:i w:val="0"/>
                <w:sz w:val="17"/>
              </w:rPr>
              <w:t>9</w:t>
            </w:r>
          </w:p>
        </w:tc>
        <w:tc>
          <w:tcPr>
            <w:tcW w:type="dxa" w:w="835"/>
          </w:tcPr>
          <w:p>
            <w:pPr>
              <w:spacing w:after="40"/>
            </w:pPr>
            <w:r>
              <w:rPr>
                <w:rFonts w:ascii="Cambria" w:hAnsi="Cambria"/>
                <w:b w:val="0"/>
                <w:i w:val="0"/>
                <w:sz w:val="17"/>
              </w:rPr>
              <w:t>18</w:t>
            </w:r>
          </w:p>
        </w:tc>
        <w:tc>
          <w:tcPr>
            <w:tcW w:type="dxa" w:w="835"/>
          </w:tcPr>
          <w:p>
            <w:pPr>
              <w:spacing w:after="40"/>
            </w:pPr>
            <w:r>
              <w:rPr>
                <w:rFonts w:ascii="Cambria" w:hAnsi="Cambria"/>
                <w:b w:val="0"/>
                <w:i w:val="0"/>
                <w:sz w:val="17"/>
              </w:rPr>
              <w:t>0.68%</w:t>
            </w:r>
          </w:p>
        </w:tc>
        <w:tc>
          <w:tcPr>
            <w:tcW w:type="dxa" w:w="835"/>
          </w:tcPr>
          <w:p>
            <w:pPr>
              <w:spacing w:after="40"/>
            </w:pPr>
            <w:r>
              <w:rPr>
                <w:rFonts w:ascii="Cambria" w:hAnsi="Cambria"/>
                <w:b w:val="0"/>
                <w:i w:val="0"/>
                <w:sz w:val="17"/>
              </w:rPr>
              <w:t>2.71%</w:t>
            </w:r>
          </w:p>
        </w:tc>
        <w:tc>
          <w:tcPr>
            <w:tcW w:type="dxa" w:w="835"/>
          </w:tcPr>
          <w:p>
            <w:pPr>
              <w:spacing w:after="40"/>
            </w:pPr>
            <w:r>
              <w:rPr>
                <w:rFonts w:ascii="Cambria" w:hAnsi="Cambria"/>
                <w:b w:val="0"/>
                <w:i w:val="0"/>
                <w:sz w:val="17"/>
              </w:rPr>
              <w:t>0.78%</w:t>
            </w:r>
          </w:p>
        </w:tc>
        <w:tc>
          <w:tcPr>
            <w:tcW w:type="dxa" w:w="835"/>
          </w:tcPr>
          <w:p>
            <w:pPr>
              <w:spacing w:after="40"/>
            </w:pPr>
            <w:r>
              <w:rPr>
                <w:rFonts w:ascii="Cambria" w:hAnsi="Cambria"/>
                <w:b w:val="0"/>
                <w:i w:val="0"/>
                <w:sz w:val="17"/>
              </w:rPr>
              <w:t>1031.23</w:t>
            </w:r>
          </w:p>
        </w:tc>
        <w:tc>
          <w:tcPr>
            <w:tcW w:type="dxa" w:w="835"/>
          </w:tcPr>
          <w:p>
            <w:pPr>
              <w:spacing w:after="40"/>
            </w:pPr>
            <w:r>
              <w:rPr>
                <w:rFonts w:ascii="Cambria" w:hAnsi="Cambria"/>
                <w:b w:val="0"/>
                <w:i w:val="0"/>
                <w:sz w:val="17"/>
              </w:rPr>
              <w:t>0.0398</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c>
          <w:tcPr>
            <w:tcW w:type="dxa" w:w="835"/>
          </w:tcPr>
          <w:p>
            <w:pPr>
              <w:spacing w:after="40"/>
            </w:pPr>
            <w:r>
              <w:rPr>
                <w:rFonts w:ascii="Cambria" w:hAnsi="Cambria"/>
                <w:b w:val="0"/>
                <w:i w:val="0"/>
                <w:sz w:val="17"/>
              </w:rPr>
              <w:t>1.00</w:t>
            </w:r>
          </w:p>
        </w:tc>
      </w:tr>
      <w:tr>
        <w:tc>
          <w:tcPr>
            <w:tcW w:type="dxa" w:w="835"/>
            <w:tcBorders>
              <w:bottom w:sz="12" w:val="single" w:color="151515"/>
            </w:tcBorders>
          </w:tcPr>
          <w:p>
            <w:pPr>
              <w:spacing w:after="40"/>
            </w:pPr>
            <w:r>
              <w:rPr>
                <w:rFonts w:ascii="Cambria" w:hAnsi="Cambria"/>
                <w:b w:val="0"/>
                <w:i w:val="0"/>
                <w:sz w:val="17"/>
              </w:rPr>
              <w:t>I10</w:t>
            </w:r>
          </w:p>
        </w:tc>
        <w:tc>
          <w:tcPr>
            <w:tcW w:type="dxa" w:w="835"/>
            <w:tcBorders>
              <w:bottom w:sz="12" w:val="single" w:color="151515"/>
            </w:tcBorders>
          </w:tcPr>
          <w:p>
            <w:pPr>
              <w:spacing w:after="40"/>
            </w:pPr>
            <w:r>
              <w:rPr>
                <w:rFonts w:ascii="Cambria" w:hAnsi="Cambria"/>
                <w:b w:val="0"/>
                <w:i w:val="0"/>
                <w:sz w:val="17"/>
              </w:rPr>
              <w:t>10</w:t>
            </w:r>
          </w:p>
        </w:tc>
        <w:tc>
          <w:tcPr>
            <w:tcW w:type="dxa" w:w="835"/>
            <w:tcBorders>
              <w:bottom w:sz="12" w:val="single" w:color="151515"/>
            </w:tcBorders>
          </w:tcPr>
          <w:p>
            <w:pPr>
              <w:spacing w:after="40"/>
            </w:pPr>
            <w:r>
              <w:rPr>
                <w:rFonts w:ascii="Cambria" w:hAnsi="Cambria"/>
                <w:b w:val="0"/>
                <w:i w:val="0"/>
                <w:sz w:val="17"/>
              </w:rPr>
              <w:t>20</w:t>
            </w:r>
          </w:p>
        </w:tc>
        <w:tc>
          <w:tcPr>
            <w:tcW w:type="dxa" w:w="835"/>
            <w:tcBorders>
              <w:bottom w:sz="12" w:val="single" w:color="151515"/>
            </w:tcBorders>
          </w:tcPr>
          <w:p>
            <w:pPr>
              <w:spacing w:after="40"/>
            </w:pPr>
            <w:r>
              <w:rPr>
                <w:rFonts w:ascii="Cambria" w:hAnsi="Cambria"/>
                <w:b w:val="0"/>
                <w:i w:val="0"/>
                <w:sz w:val="17"/>
              </w:rPr>
              <w:t>0.64%</w:t>
            </w:r>
          </w:p>
        </w:tc>
        <w:tc>
          <w:tcPr>
            <w:tcW w:type="dxa" w:w="835"/>
            <w:tcBorders>
              <w:bottom w:sz="12" w:val="single" w:color="151515"/>
            </w:tcBorders>
          </w:tcPr>
          <w:p>
            <w:pPr>
              <w:spacing w:after="40"/>
            </w:pPr>
            <w:r>
              <w:rPr>
                <w:rFonts w:ascii="Cambria" w:hAnsi="Cambria"/>
                <w:b w:val="0"/>
                <w:i w:val="0"/>
                <w:sz w:val="17"/>
              </w:rPr>
              <w:t>2.56%</w:t>
            </w:r>
          </w:p>
        </w:tc>
        <w:tc>
          <w:tcPr>
            <w:tcW w:type="dxa" w:w="835"/>
            <w:tcBorders>
              <w:bottom w:sz="12" w:val="single" w:color="151515"/>
            </w:tcBorders>
          </w:tcPr>
          <w:p>
            <w:pPr>
              <w:spacing w:after="40"/>
            </w:pPr>
            <w:r>
              <w:rPr>
                <w:rFonts w:ascii="Cambria" w:hAnsi="Cambria"/>
                <w:b w:val="0"/>
                <w:i w:val="0"/>
                <w:sz w:val="17"/>
              </w:rPr>
              <w:t>1.09%</w:t>
            </w:r>
          </w:p>
        </w:tc>
        <w:tc>
          <w:tcPr>
            <w:tcW w:type="dxa" w:w="835"/>
            <w:tcBorders>
              <w:bottom w:sz="12" w:val="single" w:color="151515"/>
            </w:tcBorders>
          </w:tcPr>
          <w:p>
            <w:pPr>
              <w:spacing w:after="40"/>
            </w:pPr>
            <w:r>
              <w:rPr>
                <w:rFonts w:ascii="Cambria" w:hAnsi="Cambria"/>
                <w:b w:val="0"/>
                <w:i w:val="0"/>
                <w:sz w:val="17"/>
              </w:rPr>
              <w:t>1094.67</w:t>
            </w:r>
          </w:p>
        </w:tc>
        <w:tc>
          <w:tcPr>
            <w:tcW w:type="dxa" w:w="835"/>
            <w:tcBorders>
              <w:bottom w:sz="12" w:val="single" w:color="151515"/>
            </w:tcBorders>
          </w:tcPr>
          <w:p>
            <w:pPr>
              <w:spacing w:after="40"/>
            </w:pPr>
            <w:r>
              <w:rPr>
                <w:rFonts w:ascii="Cambria" w:hAnsi="Cambria"/>
                <w:b w:val="0"/>
                <w:i w:val="0"/>
                <w:sz w:val="17"/>
              </w:rPr>
              <w:t>0.0203</w:t>
            </w:r>
          </w:p>
        </w:tc>
        <w:tc>
          <w:tcPr>
            <w:tcW w:type="dxa" w:w="835"/>
            <w:tcBorders>
              <w:bottom w:sz="12" w:val="single" w:color="151515"/>
            </w:tcBorders>
          </w:tcPr>
          <w:p>
            <w:pPr>
              <w:spacing w:after="40"/>
            </w:pPr>
            <w:r>
              <w:rPr>
                <w:rFonts w:ascii="Cambria" w:hAnsi="Cambria"/>
                <w:b w:val="0"/>
                <w:i w:val="0"/>
                <w:sz w:val="17"/>
              </w:rPr>
              <w:t>1.00</w:t>
            </w:r>
          </w:p>
        </w:tc>
        <w:tc>
          <w:tcPr>
            <w:tcW w:type="dxa" w:w="835"/>
            <w:tcBorders>
              <w:bottom w:sz="12" w:val="single" w:color="151515"/>
            </w:tcBorders>
          </w:tcPr>
          <w:p>
            <w:pPr>
              <w:spacing w:after="40"/>
            </w:pPr>
            <w:r>
              <w:rPr>
                <w:rFonts w:ascii="Cambria" w:hAnsi="Cambria"/>
                <w:b w:val="0"/>
                <w:i w:val="0"/>
                <w:sz w:val="17"/>
              </w:rPr>
              <w:t>1.00</w:t>
            </w:r>
          </w:p>
        </w:tc>
        <w:tc>
          <w:tcPr>
            <w:tcW w:type="dxa" w:w="835"/>
            <w:tcBorders>
              <w:bottom w:sz="12" w:val="single" w:color="151515"/>
            </w:tcBorders>
          </w:tcPr>
          <w:p>
            <w:pPr>
              <w:spacing w:after="40"/>
            </w:pPr>
            <w:r>
              <w:rPr>
                <w:rFonts w:ascii="Cambria" w:hAnsi="Cambria"/>
                <w:b w:val="0"/>
                <w:i w:val="0"/>
                <w:sz w:val="17"/>
              </w:rPr>
              <w:t>1.00</w:t>
            </w:r>
          </w:p>
        </w:tc>
      </w:tr>
    </w:tbl>
    <w:p>
      <w:pPr>
        <w:spacing w:after="280"/>
      </w:pPr>
    </w:p>
    <w:p>
      <w:pPr>
        <w:spacing w:after="160"/>
        <w:jc w:val="both"/>
      </w:pPr>
      <w:r>
        <w:rPr>
          <w:rFonts w:ascii="Cambria" w:hAnsi="Cambria"/>
          <w:i/>
          <w:sz w:val="21"/>
        </w:rPr>
        <w:t>Note:</w:t>
      </w:r>
      <w:r>
        <w:rPr>
          <w:rFonts w:ascii="Cambria" w:hAnsi="Cambria"/>
          <w:b w:val="0"/>
          <w:i w:val="0"/>
          <w:sz w:val="21"/>
        </w:rPr>
        <w:t xml:space="preserve"> values are from SimTSI-DES; SimTSI-MC agrees exactly except </w:t>
      </w:r>
      <w:r>
        <w:rPr>
          <w:rFonts w:ascii="Consolas" w:hAnsi="Consolas"/>
          <w:sz w:val="19"/>
        </w:rPr>
        <w:t>I08</w:t>
      </w:r>
      <w:r>
        <w:rPr>
          <w:rFonts w:ascii="Cambria" w:hAnsi="Cambria"/>
          <w:b w:val="0"/>
          <w:i w:val="0"/>
          <w:sz w:val="21"/>
        </w:rPr>
        <w:t xml:space="preserve">, where it reports 1087.80 min (+0.39 min, Section 3.4). DynSimTSI-DES agrees exactly with SimTSI-DES for every instance shown (Section 3.6). P(pad target) = 0.00 for </w:t>
      </w:r>
      <w:r>
        <w:rPr>
          <w:rFonts w:ascii="Consolas" w:hAnsi="Consolas"/>
          <w:sz w:val="19"/>
        </w:rPr>
        <w:t>I02</w:t>
      </w:r>
      <w:r>
        <w:rPr>
          <w:rFonts w:ascii="Cambria" w:hAnsi="Cambria"/>
          <w:b w:val="0"/>
          <w:i w:val="0"/>
          <w:sz w:val="21"/>
        </w:rPr>
        <w:t xml:space="preserve"> and </w:t>
      </w:r>
      <w:r>
        <w:rPr>
          <w:rFonts w:ascii="Consolas" w:hAnsi="Consolas"/>
          <w:sz w:val="19"/>
        </w:rPr>
        <w:t>I03</w:t>
      </w:r>
      <w:r>
        <w:rPr>
          <w:rFonts w:ascii="Cambria" w:hAnsi="Cambria"/>
          <w:b w:val="0"/>
          <w:i w:val="0"/>
          <w:sz w:val="21"/>
        </w:rPr>
        <w:t xml:space="preserve"> is a deterministic, structural property of these two instances, verified directly against the instance files: by the fixed random draw used to build them, zero of </w:t>
      </w:r>
      <w:r>
        <w:rPr>
          <w:rFonts w:ascii="Consolas" w:hAnsi="Consolas"/>
          <w:sz w:val="19"/>
        </w:rPr>
        <w:t>I02</w:t>
      </w:r>
      <w:r>
        <w:rPr>
          <w:rFonts w:ascii="Cambria" w:hAnsi="Cambria"/>
          <w:b w:val="0"/>
          <w:i w:val="0"/>
          <w:sz w:val="21"/>
        </w:rPr>
        <w:t xml:space="preserve">'s 4 jobs and zero of </w:t>
      </w:r>
      <w:r>
        <w:rPr>
          <w:rFonts w:ascii="Consolas" w:hAnsi="Consolas"/>
          <w:sz w:val="19"/>
        </w:rPr>
        <w:t>I03</w:t>
      </w:r>
      <w:r>
        <w:rPr>
          <w:rFonts w:ascii="Cambria" w:hAnsi="Cambria"/>
          <w:b w:val="0"/>
          <w:i w:val="0"/>
          <w:sz w:val="21"/>
        </w:rPr>
        <w:t>'s 6 jobs are assigned to the Pad destination, so the Pad production target is unreachable in every replication regardless of CV, search, or method — a concrete illustration of Section 3.6's broader point that outcomes on these surrogate instances are dominated by their fixed structural generation, not by the stochastic uncertainty or dispatching policy under study.</w:t>
      </w:r>
    </w:p>
    <w:p>
      <w:pPr>
        <w:keepNext/>
        <w:spacing w:before="280" w:after="80"/>
      </w:pPr>
      <w:r>
        <w:rPr>
          <w:rFonts w:ascii="Calibri" w:hAnsi="Calibri"/>
          <w:b/>
          <w:i w:val="0"/>
          <w:color w:val="151515"/>
          <w:sz w:val="22"/>
        </w:rPr>
        <w:t>3.6. Absence of Dynamic Reoptimization Activity</w:t>
      </w:r>
    </w:p>
    <w:p>
      <w:pPr>
        <w:spacing w:after="160"/>
        <w:jc w:val="both"/>
      </w:pPr>
      <w:r>
        <w:rPr>
          <w:rFonts w:ascii="Cambria" w:hAnsi="Cambria"/>
          <w:b/>
          <w:sz w:val="21"/>
        </w:rPr>
        <w:t>DynSimTSI-DES triggers no reoptimizations.</w:t>
      </w:r>
      <w:r>
        <w:rPr>
          <w:rFonts w:ascii="Cambria" w:hAnsi="Cambria"/>
          <w:b w:val="0"/>
          <w:i w:val="0"/>
          <w:sz w:val="21"/>
        </w:rPr>
        <w:t xml:space="preserve"> Across all 38 completed dynamic combinations, </w:t>
      </w:r>
      <w:r>
        <w:rPr>
          <w:rFonts w:ascii="Consolas" w:hAnsi="Consolas"/>
          <w:sz w:val="19"/>
        </w:rPr>
        <w:t>mean_n_reoptimizations</w:t>
      </w:r>
      <w:r>
        <w:rPr>
          <w:rFonts w:ascii="Cambria" w:hAnsi="Cambria"/>
          <w:b w:val="0"/>
          <w:i w:val="0"/>
          <w:sz w:val="21"/>
        </w:rPr>
        <w:t xml:space="preserve"> is exactly 0.0000 — re-verified for this manuscript directly against the raw result files, which return </w:t>
      </w:r>
      <w:r>
        <w:rPr>
          <w:rFonts w:ascii="Consolas" w:hAnsi="Consolas"/>
          <w:sz w:val="19"/>
        </w:rPr>
        <w:t>{0}</w:t>
      </w:r>
      <w:r>
        <w:rPr>
          <w:rFonts w:ascii="Cambria" w:hAnsi="Cambria"/>
          <w:b w:val="0"/>
          <w:i w:val="0"/>
          <w:sz w:val="21"/>
        </w:rPr>
        <w:t xml:space="preserve"> as the complete set of distinct values observed — and the reported dynamic </w:t>
      </w:r>
      <w:r>
        <w:rPr>
          <w:rFonts w:ascii="Cambria" w:hAnsi="Cambria"/>
          <w:i/>
          <w:sz w:val="21"/>
        </w:rPr>
        <w:t>C</w:t>
      </w:r>
      <w:r>
        <w:rPr>
          <w:rFonts w:ascii="Cambria" w:hAnsi="Cambria"/>
          <w:sz w:val="21"/>
          <w:vertAlign w:val="subscript"/>
        </w:rPr>
        <w:t>max</w:t>
      </w:r>
      <w:r>
        <w:rPr>
          <w:rFonts w:ascii="Cambria" w:hAnsi="Cambria"/>
          <w:b w:val="0"/>
          <w:i w:val="0"/>
          <w:sz w:val="21"/>
        </w:rPr>
        <w:t xml:space="preserve"> is identical to the corresponding static SimTSI-DES solution in 38/38 cases. The disruption triggers of Section 2.4 (a destination queue of at least 2 trucks, or a loader wait of at least 30 minutes) are well-defined and, per Section 3.1's test suite, correctly implemented; they simply never fire, because the operating conditions that would fire them do not arise. Figure 1 shows mean loading-unit and destination utilization by instance at CV = 0.20 (the same data underlying Table 3): loading-unit utilization stays below 1.1% at every instance size from 1 to 10 loaders, and destination utilization stays below 2.8%, an order of magnitude below rates at which queueing of the kind the dynamic trigger looks for would be expected to occur. Directly consistent with this, the mean truck wait actually observed across all 118 completed combinations is 0.0151 minutes (maximum 0.0651 minutes; 0.0156 minutes when restricted to the 80 SimTSI-MC/SimTSI-DES combinations, re-verified for this manuscript directly against the raw result files) against a 30-minute trigger threshold — roughly three orders of magnitude below the threshold designed to detect operationally meaningful delay.</w:t>
      </w:r>
    </w:p>
    <w:p>
      <w:pPr>
        <w:spacing w:after="280"/>
        <w:jc w:val="left"/>
      </w:pPr>
      <w:r>
        <w:rPr>
          <w:rFonts w:ascii="Cambria" w:hAnsi="Cambria"/>
          <w:b/>
          <w:sz w:val="18"/>
        </w:rPr>
        <w:t>Figure 1.</w:t>
      </w:r>
      <w:r>
        <w:rPr>
          <w:rFonts w:ascii="Cambria" w:hAnsi="Cambria"/>
          <w:b w:val="0"/>
          <w:i w:val="0"/>
          <w:sz w:val="18"/>
        </w:rPr>
        <w:t xml:space="preserve"> Mean resource utilization by instance at CV = 0.20 (loading units, Plant destination, Pad destination), computed directly from the raw SimTSI-DES output files. Utilization remains below 1.1% for loading units and below 2.8% for either destination across the full 1-to-10-loader range of the experimental matrix, far below the level at which the disruption triggers of Section 2.4 would be expected to fire.</w:t>
      </w:r>
    </w:p>
    <w:p>
      <w:pPr>
        <w:spacing w:before="200"/>
        <w:jc w:val="center"/>
      </w:pPr>
      <w:r>
        <w:drawing>
          <wp:inline xmlns:a="http://schemas.openxmlformats.org/drawingml/2006/main" xmlns:pic="http://schemas.openxmlformats.org/drawingml/2006/picture">
            <wp:extent cx="5220000" cy="2641598"/>
            <wp:docPr id="1" name="Picture 1"/>
            <wp:cNvGraphicFramePr>
              <a:graphicFrameLocks noChangeAspect="1"/>
            </wp:cNvGraphicFramePr>
            <a:graphic>
              <a:graphicData uri="http://schemas.openxmlformats.org/drawingml/2006/picture">
                <pic:pic>
                  <pic:nvPicPr>
                    <pic:cNvPr id="0" name="figure1_utilization.png"/>
                    <pic:cNvPicPr/>
                  </pic:nvPicPr>
                  <pic:blipFill>
                    <a:blip r:embed="rId13"/>
                    <a:stretch>
                      <a:fillRect/>
                    </a:stretch>
                  </pic:blipFill>
                  <pic:spPr>
                    <a:xfrm>
                      <a:off x="0" y="0"/>
                      <a:ext cx="5220000" cy="2641598"/>
                    </a:xfrm>
                    <a:prstGeom prst="rect"/>
                  </pic:spPr>
                </pic:pic>
              </a:graphicData>
            </a:graphic>
          </wp:inline>
        </w:drawing>
      </w:r>
    </w:p>
    <w:p>
      <w:pPr>
        <w:spacing w:after="160"/>
        <w:jc w:val="both"/>
      </w:pPr>
      <w:r>
        <w:rPr>
          <w:rFonts w:ascii="Cambria" w:hAnsi="Cambria"/>
          <w:b w:val="0"/>
          <w:i w:val="0"/>
          <w:sz w:val="21"/>
        </w:rPr>
        <w:t xml:space="preserve">The root cause traces to instance construction (Section 2.6), and was confirmed by exhaustive search of the codebase during the audit referenced in Section 2.8: </w:t>
      </w:r>
      <w:r>
        <w:rPr>
          <w:rFonts w:ascii="Consolas" w:hAnsi="Consolas"/>
          <w:sz w:val="19"/>
        </w:rPr>
        <w:t>instance_builder.py</w:t>
      </w:r>
      <w:r>
        <w:rPr>
          <w:rFonts w:ascii="Cambria" w:hAnsi="Cambria"/>
          <w:b w:val="0"/>
          <w:i w:val="0"/>
          <w:sz w:val="21"/>
        </w:rPr>
        <w:t xml:space="preserve"> generates exactly </w:t>
      </w:r>
      <w:r>
        <w:rPr>
          <w:rFonts w:ascii="Consolas" w:hAnsi="Consolas"/>
          <w:sz w:val="19"/>
        </w:rPr>
        <w:t>2i</w:t>
      </w:r>
      <w:r>
        <w:rPr>
          <w:rFonts w:ascii="Cambria" w:hAnsi="Cambria"/>
          <w:b w:val="0"/>
          <w:i w:val="0"/>
          <w:sz w:val="21"/>
        </w:rPr>
        <w:t xml:space="preserve"> trip-level jobs for </w:t>
      </w:r>
      <w:r>
        <w:rPr>
          <w:rFonts w:ascii="Consolas" w:hAnsi="Consolas"/>
          <w:sz w:val="19"/>
        </w:rPr>
        <w:t>i</w:t>
      </w:r>
      <w:r>
        <w:rPr>
          <w:rFonts w:ascii="Cambria" w:hAnsi="Cambria"/>
          <w:b w:val="0"/>
          <w:i w:val="0"/>
          <w:sz w:val="21"/>
        </w:rPr>
        <w:t xml:space="preserve"> loading units — one trip per truck for the whole 24-hour shift — because it reads the antecedent manuscript's stated "2 to 20 trucks" as "2 to 20 jobs," rather than as 2 to 20 </w:t>
      </w:r>
      <w:r>
        <w:rPr>
          <w:rFonts w:ascii="Cambria" w:hAnsi="Cambria"/>
          <w:i/>
          <w:sz w:val="21"/>
        </w:rPr>
        <w:t>vehicles</w:t>
      </w:r>
      <w:r>
        <w:rPr>
          <w:rFonts w:ascii="Cambria" w:hAnsi="Cambria"/>
          <w:b w:val="0"/>
          <w:i w:val="0"/>
          <w:sz w:val="21"/>
        </w:rPr>
        <w:t xml:space="preserve"> that would each complete on the order of dozens of trips across a full shift. On the largest instance in the matrix (</w:t>
      </w:r>
      <w:r>
        <w:rPr>
          <w:rFonts w:ascii="Consolas" w:hAnsi="Consolas"/>
          <w:sz w:val="19"/>
        </w:rPr>
        <w:t>I10</w:t>
      </w:r>
      <w:r>
        <w:rPr>
          <w:rFonts w:ascii="Cambria" w:hAnsi="Cambria"/>
          <w:b w:val="0"/>
          <w:i w:val="0"/>
          <w:sz w:val="21"/>
        </w:rPr>
        <w:t xml:space="preserve">, 10 loading units, 20 trucks), this yields on the order of 25–40 minutes of loading work per loading unit spread across a 1440-minute horizon. Tellingly, the </w:t>
      </w:r>
      <w:r>
        <w:rPr>
          <w:rFonts w:ascii="Consolas" w:hAnsi="Consolas"/>
          <w:sz w:val="19"/>
        </w:rPr>
        <w:t>Job</w:t>
      </w:r>
      <w:r>
        <w:rPr>
          <w:rFonts w:ascii="Cambria" w:hAnsi="Cambria"/>
          <w:b w:val="0"/>
          <w:i w:val="0"/>
          <w:sz w:val="21"/>
        </w:rPr>
        <w:t xml:space="preserve"> data model already carries a </w:t>
      </w:r>
      <w:r>
        <w:rPr>
          <w:rFonts w:ascii="Consolas" w:hAnsi="Consolas"/>
          <w:sz w:val="19"/>
        </w:rPr>
        <w:t>truck_id</w:t>
      </w:r>
      <w:r>
        <w:rPr>
          <w:rFonts w:ascii="Cambria" w:hAnsi="Cambria"/>
          <w:b w:val="0"/>
          <w:i w:val="0"/>
          <w:sz w:val="21"/>
        </w:rPr>
        <w:t xml:space="preserve"> field distinct from the job's own </w:t>
      </w:r>
      <w:r>
        <w:rPr>
          <w:rFonts w:ascii="Consolas" w:hAnsi="Consolas"/>
          <w:sz w:val="19"/>
        </w:rPr>
        <w:t>id</w:t>
      </w:r>
      <w:r>
        <w:rPr>
          <w:rFonts w:ascii="Cambria" w:hAnsi="Cambria"/>
          <w:b w:val="0"/>
          <w:i w:val="0"/>
          <w:sz w:val="21"/>
        </w:rPr>
        <w:t>, present precisely to allow multiple trips to be attributed to the same physical truck across a shift — but this field is read nowhere in the simulation, optimization, or instance-generation code, confirmed by exhaustive search; the generator simply never emits more than one job per truck for it to distinguish.</w:t>
      </w:r>
    </w:p>
    <w:p>
      <w:pPr>
        <w:keepNext/>
        <w:spacing w:before="280" w:after="80"/>
      </w:pPr>
      <w:r>
        <w:rPr>
          <w:rFonts w:ascii="Calibri" w:hAnsi="Calibri"/>
          <w:b/>
          <w:i w:val="0"/>
          <w:color w:val="151515"/>
          <w:sz w:val="22"/>
        </w:rPr>
        <w:t>3.7. Metaheuristic Contribution Relative to a Trivial Dispatch Rule</w:t>
      </w:r>
    </w:p>
    <w:p>
      <w:pPr>
        <w:spacing w:after="160"/>
        <w:jc w:val="both"/>
      </w:pPr>
      <w:r>
        <w:rPr>
          <w:rFonts w:ascii="Cambria" w:hAnsi="Cambria"/>
          <w:b w:val="0"/>
          <w:i w:val="0"/>
          <w:sz w:val="21"/>
        </w:rPr>
        <w:t xml:space="preserve">To assess whether the tabu-search metaheuristic itself is contributing meaningfully to solution quality — a question distinct from, but with the same underlying cause as, Section 3.6 — </w:t>
      </w:r>
      <w:r>
        <w:rPr>
          <w:rFonts w:ascii="Consolas" w:hAnsi="Consolas"/>
          <w:sz w:val="19"/>
        </w:rPr>
        <w:t>tabu_search</w:t>
      </w:r>
      <w:r>
        <w:rPr>
          <w:rFonts w:ascii="Cambria" w:hAnsi="Cambria"/>
          <w:b w:val="0"/>
          <w:i w:val="0"/>
          <w:sz w:val="21"/>
        </w:rPr>
        <w:t xml:space="preserve"> was instrumented to retain its internal convergence trace (</w:t>
      </w:r>
      <w:r>
        <w:rPr>
          <w:rFonts w:ascii="Consolas" w:hAnsi="Consolas"/>
          <w:sz w:val="19"/>
        </w:rPr>
        <w:t>history</w:t>
      </w:r>
      <w:r>
        <w:rPr>
          <w:rFonts w:ascii="Cambria" w:hAnsi="Cambria"/>
          <w:b w:val="0"/>
          <w:i w:val="0"/>
          <w:sz w:val="21"/>
        </w:rPr>
        <w:t xml:space="preserve">, computed on every run but not, by default, propagated to the saved result files; Section 3.9, finding H-10) and re-run independently for this manuscript under exact production settings (Section 2.3, CV = 0.20, seed 12345; Appendix B gives the exact configuration) for two representative instances, </w:t>
      </w:r>
      <w:r>
        <w:rPr>
          <w:rFonts w:ascii="Consolas" w:hAnsi="Consolas"/>
          <w:sz w:val="19"/>
        </w:rPr>
        <w:t>I03</w:t>
      </w:r>
      <w:r>
        <w:rPr>
          <w:rFonts w:ascii="Cambria" w:hAnsi="Cambria"/>
          <w:b w:val="0"/>
          <w:i w:val="0"/>
          <w:sz w:val="21"/>
        </w:rPr>
        <w:t xml:space="preserve"> (3 loading units, 6 trips) and </w:t>
      </w:r>
      <w:r>
        <w:rPr>
          <w:rFonts w:ascii="Consolas" w:hAnsi="Consolas"/>
          <w:sz w:val="19"/>
        </w:rPr>
        <w:t>I05</w:t>
      </w:r>
      <w:r>
        <w:rPr>
          <w:rFonts w:ascii="Cambria" w:hAnsi="Cambria"/>
          <w:b w:val="0"/>
          <w:i w:val="0"/>
          <w:sz w:val="21"/>
        </w:rPr>
        <w:t xml:space="preserve"> (5 loading units, 10 trips). Figure 2 shows the result: in both instances, the incumbent best solution improves exactly once, at iteration 1 of 1000, and never again — a total gain over the FIFO initial solution of 0.0051% on </w:t>
      </w:r>
      <w:r>
        <w:rPr>
          <w:rFonts w:ascii="Consolas" w:hAnsi="Consolas"/>
          <w:sz w:val="19"/>
        </w:rPr>
        <w:t>I03</w:t>
      </w:r>
      <w:r>
        <w:rPr>
          <w:rFonts w:ascii="Cambria" w:hAnsi="Cambria"/>
          <w:b w:val="0"/>
          <w:i w:val="0"/>
          <w:sz w:val="21"/>
        </w:rPr>
        <w:t xml:space="preserve"> (6781 unique evaluations, matching the audit's own separately obtained count exactly) and 0.0109% on </w:t>
      </w:r>
      <w:r>
        <w:rPr>
          <w:rFonts w:ascii="Consolas" w:hAnsi="Consolas"/>
          <w:sz w:val="19"/>
        </w:rPr>
        <w:t>I05</w:t>
      </w:r>
      <w:r>
        <w:rPr>
          <w:rFonts w:ascii="Cambria" w:hAnsi="Cambria"/>
          <w:b w:val="0"/>
          <w:i w:val="0"/>
          <w:sz w:val="21"/>
        </w:rPr>
        <w:t xml:space="preserve"> (41,146 unique evaluations, again an exact match), after which the remaining 999 iterations change nothing. The audit referenced in Section 2.8, instrumenting the same code under an unspecified — and evidently different — CV, independently reported the same qualitative pattern (last improvement at iteration 1 in both instances) with a similar-order-of-magnitude gain (0.017% on </w:t>
      </w:r>
      <w:r>
        <w:rPr>
          <w:rFonts w:ascii="Consolas" w:hAnsi="Consolas"/>
          <w:sz w:val="19"/>
        </w:rPr>
        <w:t>I03</w:t>
      </w:r>
      <w:r>
        <w:rPr>
          <w:rFonts w:ascii="Cambria" w:hAnsi="Cambria"/>
          <w:b w:val="0"/>
          <w:i w:val="0"/>
          <w:sz w:val="21"/>
        </w:rPr>
        <w:t xml:space="preserve">, 0.032% on </w:t>
      </w:r>
      <w:r>
        <w:rPr>
          <w:rFonts w:ascii="Consolas" w:hAnsi="Consolas"/>
          <w:sz w:val="19"/>
        </w:rPr>
        <w:t>I05</w:t>
      </w:r>
      <w:r>
        <w:rPr>
          <w:rFonts w:ascii="Cambria" w:hAnsi="Cambria"/>
          <w:b w:val="0"/>
          <w:i w:val="0"/>
          <w:sz w:val="21"/>
        </w:rPr>
        <w:t>); the two runs sharing an identical evaluation count while differing in exact gain confirms that the search visits the same sequence of candidate solutions regardless of the specific CV used to score them, and that no choice of CV tested so far — the production value used here, or whatever value the audit used — gives the tabu search meaningfully more than a hundredth of a percent to work with.</w:t>
      </w:r>
    </w:p>
    <w:p>
      <w:pPr>
        <w:spacing w:after="280"/>
        <w:jc w:val="left"/>
      </w:pPr>
      <w:r>
        <w:rPr>
          <w:rFonts w:ascii="Cambria" w:hAnsi="Cambria"/>
          <w:b/>
          <w:sz w:val="18"/>
        </w:rPr>
        <w:t>Figure 2.</w:t>
      </w:r>
      <w:r>
        <w:rPr>
          <w:rFonts w:ascii="Cambria" w:hAnsi="Cambria"/>
          <w:b w:val="0"/>
          <w:i w:val="0"/>
          <w:sz w:val="18"/>
        </w:rPr>
        <w:t xml:space="preserve"> Tabu-search convergence trace (fitness relative to the FIFO initial solution, vs. iteration out of 1000) for instances </w:t>
      </w:r>
      <w:r>
        <w:rPr>
          <w:rFonts w:ascii="Consolas" w:hAnsi="Consolas"/>
          <w:sz w:val="16"/>
        </w:rPr>
        <w:t>I03</w:t>
      </w:r>
      <w:r>
        <w:rPr>
          <w:rFonts w:ascii="Cambria" w:hAnsi="Cambria"/>
          <w:b w:val="0"/>
          <w:i w:val="0"/>
          <w:sz w:val="18"/>
        </w:rPr>
        <w:t xml:space="preserve"> and </w:t>
      </w:r>
      <w:r>
        <w:rPr>
          <w:rFonts w:ascii="Consolas" w:hAnsi="Consolas"/>
          <w:sz w:val="16"/>
        </w:rPr>
        <w:t>I05</w:t>
      </w:r>
      <w:r>
        <w:rPr>
          <w:rFonts w:ascii="Cambria" w:hAnsi="Cambria"/>
          <w:b w:val="0"/>
          <w:i w:val="0"/>
          <w:sz w:val="18"/>
        </w:rPr>
        <w:t xml:space="preserve"> under production settings (CV = 0.20), reproduced independently for this manuscript by instrumenting </w:t>
      </w:r>
      <w:r>
        <w:rPr>
          <w:rFonts w:ascii="Consolas" w:hAnsi="Consolas"/>
          <w:sz w:val="16"/>
        </w:rPr>
        <w:t>tabu_search</w:t>
      </w:r>
      <w:r>
        <w:rPr>
          <w:rFonts w:ascii="Cambria" w:hAnsi="Cambria"/>
          <w:b w:val="0"/>
          <w:i w:val="0"/>
          <w:sz w:val="18"/>
        </w:rPr>
        <w:t xml:space="preserve"> to retain its </w:t>
      </w:r>
      <w:r>
        <w:rPr>
          <w:rFonts w:ascii="Consolas" w:hAnsi="Consolas"/>
          <w:sz w:val="16"/>
        </w:rPr>
        <w:t>history</w:t>
      </w:r>
      <w:r>
        <w:rPr>
          <w:rFonts w:ascii="Cambria" w:hAnsi="Cambria"/>
          <w:b w:val="0"/>
          <w:i w:val="0"/>
          <w:sz w:val="18"/>
        </w:rPr>
        <w:t xml:space="preserve"> output (Appendix B). In both panels the only marked point is the single improving iteration; the line is flat for the remaining 999 iterations in both cases.</w:t>
      </w:r>
    </w:p>
    <w:p>
      <w:pPr>
        <w:spacing w:before="200"/>
        <w:jc w:val="center"/>
      </w:pPr>
      <w:r>
        <w:drawing>
          <wp:inline xmlns:a="http://schemas.openxmlformats.org/drawingml/2006/main" xmlns:pic="http://schemas.openxmlformats.org/drawingml/2006/picture">
            <wp:extent cx="5220000" cy="2429629"/>
            <wp:docPr id="2" name="Picture 2"/>
            <wp:cNvGraphicFramePr>
              <a:graphicFrameLocks noChangeAspect="1"/>
            </wp:cNvGraphicFramePr>
            <a:graphic>
              <a:graphicData uri="http://schemas.openxmlformats.org/drawingml/2006/picture">
                <pic:pic>
                  <pic:nvPicPr>
                    <pic:cNvPr id="0" name="figure2_convergence.png"/>
                    <pic:cNvPicPr/>
                  </pic:nvPicPr>
                  <pic:blipFill>
                    <a:blip r:embed="rId14"/>
                    <a:stretch>
                      <a:fillRect/>
                    </a:stretch>
                  </pic:blipFill>
                  <pic:spPr>
                    <a:xfrm>
                      <a:off x="0" y="0"/>
                      <a:ext cx="5220000" cy="2429629"/>
                    </a:xfrm>
                    <a:prstGeom prst="rect"/>
                  </pic:spPr>
                </pic:pic>
              </a:graphicData>
            </a:graphic>
          </wp:inline>
        </w:drawing>
      </w:r>
    </w:p>
    <w:p>
      <w:pPr>
        <w:spacing w:after="160"/>
        <w:jc w:val="both"/>
      </w:pPr>
      <w:r>
        <w:rPr>
          <w:rFonts w:ascii="Cambria" w:hAnsi="Cambria"/>
          <w:b w:val="0"/>
          <w:i w:val="0"/>
          <w:sz w:val="21"/>
        </w:rPr>
        <w:t>The practical implication is that, on the current surrogate instances, sequencing choice has almost no effect on the shift outcome and the near-optimal FIFO initial solution leaves the metaheuristic with essentially nothing to improve — the same near-empty-system condition identified in Section 3.6, now shown to blunt the paper's central optimization contribution as well as its dynamic-reoptimization contribution, and not a separate phenomenon.</w:t>
      </w:r>
    </w:p>
    <w:p>
      <w:pPr>
        <w:keepNext/>
        <w:spacing w:before="280" w:after="80"/>
      </w:pPr>
      <w:r>
        <w:rPr>
          <w:rFonts w:ascii="Calibri" w:hAnsi="Calibri"/>
          <w:b/>
          <w:i w:val="0"/>
          <w:color w:val="151515"/>
          <w:sz w:val="22"/>
        </w:rPr>
        <w:t>3.8. Root-Cause Diagnosis and Remediation Path</w:t>
      </w:r>
    </w:p>
    <w:p>
      <w:pPr>
        <w:spacing w:after="160"/>
        <w:jc w:val="both"/>
      </w:pPr>
      <w:r>
        <w:rPr>
          <w:rFonts w:ascii="Cambria" w:hAnsi="Cambria"/>
          <w:b w:val="0"/>
          <w:i w:val="0"/>
          <w:sz w:val="21"/>
        </w:rPr>
        <w:t xml:space="preserve">Sections 3.4, 3.6, and 3.7 share one root cause, isolated with the same evidence used throughout Section 3: the surrogate instance generator of Section 2.6 emits one trip per truck for an entire 24-hour shift, rather than the tens of trips a real truck on a roughly 30-minute nominal cycle would complete. Because this is a property of the </w:t>
      </w:r>
      <w:r>
        <w:rPr>
          <w:rFonts w:ascii="Cambria" w:hAnsi="Cambria"/>
          <w:i/>
          <w:sz w:val="21"/>
        </w:rPr>
        <w:t>data generation</w:t>
      </w:r>
      <w:r>
        <w:rPr>
          <w:rFonts w:ascii="Cambria" w:hAnsi="Cambria"/>
          <w:b w:val="0"/>
          <w:i w:val="0"/>
          <w:sz w:val="21"/>
        </w:rPr>
        <w:t xml:space="preserve"> step and not of the simulation or optimization logic — both of which pass every verification test applied to them (Sections 3.1 and 3.3) — the remediation does not require modifying </w:t>
      </w:r>
      <w:r>
        <w:rPr>
          <w:rFonts w:ascii="Consolas" w:hAnsi="Consolas"/>
          <w:sz w:val="19"/>
        </w:rPr>
        <w:t>tsi.py</w:t>
      </w:r>
      <w:r>
        <w:rPr>
          <w:rFonts w:ascii="Cambria" w:hAnsi="Cambria"/>
          <w:b w:val="0"/>
          <w:i w:val="0"/>
          <w:sz w:val="21"/>
        </w:rPr>
        <w:t xml:space="preserve">, </w:t>
      </w:r>
      <w:r>
        <w:rPr>
          <w:rFonts w:ascii="Consolas" w:hAnsi="Consolas"/>
          <w:sz w:val="19"/>
        </w:rPr>
        <w:t>mc.py</w:t>
      </w:r>
      <w:r>
        <w:rPr>
          <w:rFonts w:ascii="Cambria" w:hAnsi="Cambria"/>
          <w:b w:val="0"/>
          <w:i w:val="0"/>
          <w:sz w:val="21"/>
        </w:rPr>
        <w:t xml:space="preserve">, </w:t>
      </w:r>
      <w:r>
        <w:rPr>
          <w:rFonts w:ascii="Consolas" w:hAnsi="Consolas"/>
          <w:sz w:val="19"/>
        </w:rPr>
        <w:t>des.py</w:t>
      </w:r>
      <w:r>
        <w:rPr>
          <w:rFonts w:ascii="Cambria" w:hAnsi="Cambria"/>
          <w:b w:val="0"/>
          <w:i w:val="0"/>
          <w:sz w:val="21"/>
        </w:rPr>
        <w:t xml:space="preserve">, or </w:t>
      </w:r>
      <w:r>
        <w:rPr>
          <w:rFonts w:ascii="Consolas" w:hAnsi="Consolas"/>
          <w:sz w:val="19"/>
        </w:rPr>
        <w:t>dynsimtsi_des.py</w:t>
      </w:r>
      <w:r>
        <w:rPr>
          <w:rFonts w:ascii="Cambria" w:hAnsi="Cambria"/>
          <w:b w:val="0"/>
          <w:i w:val="0"/>
          <w:sz w:val="21"/>
        </w:rPr>
        <w:t xml:space="preserve">; it requires only that </w:t>
      </w:r>
      <w:r>
        <w:rPr>
          <w:rFonts w:ascii="Consolas" w:hAnsi="Consolas"/>
          <w:sz w:val="19"/>
        </w:rPr>
        <w:t>instance_builder.py</w:t>
      </w:r>
      <w:r>
        <w:rPr>
          <w:rFonts w:ascii="Cambria" w:hAnsi="Cambria"/>
          <w:b w:val="0"/>
          <w:i w:val="0"/>
          <w:sz w:val="21"/>
        </w:rPr>
        <w:t xml:space="preserve"> assign multiple sequential trips to each </w:t>
      </w:r>
      <w:r>
        <w:rPr>
          <w:rFonts w:ascii="Consolas" w:hAnsi="Consolas"/>
          <w:sz w:val="19"/>
        </w:rPr>
        <w:t>truck_id</w:t>
      </w:r>
      <w:r>
        <w:rPr>
          <w:rFonts w:ascii="Cambria" w:hAnsi="Cambria"/>
          <w:b w:val="0"/>
          <w:i w:val="0"/>
          <w:sz w:val="21"/>
        </w:rPr>
        <w:t xml:space="preserve"> until the shift is filled (on the order of 25 to 40 trips per truck at the nominal cycle time used here), a change that would, for the first time, exercise the </w:t>
      </w:r>
      <w:r>
        <w:rPr>
          <w:rFonts w:ascii="Consolas" w:hAnsi="Consolas"/>
          <w:sz w:val="19"/>
        </w:rPr>
        <w:t>truck_id</w:t>
      </w:r>
      <w:r>
        <w:rPr>
          <w:rFonts w:ascii="Cambria" w:hAnsi="Cambria"/>
          <w:b w:val="0"/>
          <w:i w:val="0"/>
          <w:sz w:val="21"/>
        </w:rPr>
        <w:t xml:space="preserve"> field already present in the data model. We specify, but do not execute in this study, three explicit acceptance criteria against which such a fix should be validated before any further comparative campaign is run: loading-unit utilization in an operationally realistic range (well above the under-1.1% observed here); </w:t>
      </w:r>
      <w:r>
        <w:rPr>
          <w:rFonts w:ascii="Consolas" w:hAnsi="Consolas"/>
          <w:sz w:val="19"/>
        </w:rPr>
        <w:t>mean_n_reoptimizations &gt; 0</w:t>
      </w:r>
      <w:r>
        <w:rPr>
          <w:rFonts w:ascii="Cambria" w:hAnsi="Cambria"/>
          <w:b w:val="0"/>
          <w:i w:val="0"/>
          <w:sz w:val="21"/>
        </w:rPr>
        <w:t xml:space="preserve"> for at least some DynSimTSI-DES combinations; and a tabu-search improvement over FIFO clearly and consistently above the 0.03% ceiling observed in Section 3.7. We regard specifying falsifiable acceptance criteria for the fix, rather than only naming the fix, as itself part of this study's verification contribution.</w:t>
      </w:r>
    </w:p>
    <w:p>
      <w:pPr>
        <w:keepNext/>
        <w:spacing w:before="280" w:after="80"/>
      </w:pPr>
      <w:r>
        <w:rPr>
          <w:rFonts w:ascii="Calibri" w:hAnsi="Calibri"/>
          <w:b/>
          <w:i w:val="0"/>
          <w:color w:val="151515"/>
          <w:sz w:val="22"/>
        </w:rPr>
        <w:t>3.9. Software-Quality and Reproducibility Audit</w:t>
      </w:r>
    </w:p>
    <w:p>
      <w:pPr>
        <w:spacing w:after="160"/>
        <w:jc w:val="both"/>
      </w:pPr>
      <w:r>
        <w:rPr>
          <w:rFonts w:ascii="Cambria" w:hAnsi="Cambria"/>
          <w:b w:val="0"/>
          <w:i w:val="0"/>
          <w:sz w:val="21"/>
        </w:rPr>
        <w:t xml:space="preserve">Beyond the three findings above, the execution-based audit of Section 2.8 identified seven further, independent software defects, summarized by severity in Table 4; critically, </w:t>
      </w:r>
      <w:r>
        <w:rPr>
          <w:rFonts w:ascii="Cambria" w:hAnsi="Cambria"/>
          <w:b/>
          <w:sz w:val="21"/>
        </w:rPr>
        <w:t>the audit verified, combination by combination against the raw output, that none of the seven contaminates any *C*&lt;sub&gt;max&lt;/sub&gt;, probability, or utilization figure already reported in Sections 3.2–3.7</w:t>
      </w:r>
      <w:r>
        <w:rPr>
          <w:rFonts w:ascii="Cambria" w:hAnsi="Cambria"/>
          <w:b w:val="0"/>
          <w:i w:val="0"/>
          <w:sz w:val="21"/>
        </w:rPr>
        <w:t xml:space="preserve"> — each either has zero effect on the specific solutions produced by the current (lightly loaded) instances, or lies on a code path (deliverable generation, error-handling branches) that was never exercised by a failure during the reported campaign.</w:t>
      </w:r>
    </w:p>
    <w:p>
      <w:pPr>
        <w:spacing w:after="160"/>
        <w:jc w:val="both"/>
      </w:pPr>
      <w:r>
        <w:rPr>
          <w:rFonts w:ascii="Cambria" w:hAnsi="Cambria"/>
          <w:b/>
          <w:sz w:val="21"/>
        </w:rPr>
        <w:t>Table 4.</w:t>
      </w:r>
      <w:r>
        <w:rPr>
          <w:rFonts w:ascii="Cambria" w:hAnsi="Cambria"/>
          <w:b w:val="0"/>
          <w:i w:val="0"/>
          <w:sz w:val="21"/>
        </w:rPr>
        <w:t xml:space="preserve"> Software-quality and reproducibility findings from the execution-based audit (repository commit </w:t>
      </w:r>
      <w:r>
        <w:rPr>
          <w:rFonts w:ascii="Consolas" w:hAnsi="Consolas"/>
          <w:sz w:val="19"/>
        </w:rPr>
        <w:t>4b3c2c0</w:t>
      </w:r>
      <w:r>
        <w:rPr>
          <w:rFonts w:ascii="Cambria" w:hAnsi="Cambria"/>
          <w:b w:val="0"/>
          <w:i w:val="0"/>
          <w:sz w:val="21"/>
        </w:rPr>
        <w:t>), ranked by severity; none contaminates a result reported in Sections 3.2–3.7.</w:t>
      </w:r>
    </w:p>
    <w:tbl>
      <w:tblPr>
        <w:tblW w:type="auto" w:w="0"/>
        <w:jc w:val="center"/>
        <w:tblLayout w:type="autofit"/>
        <w:tblLook w:firstColumn="1" w:firstRow="1" w:lastColumn="0" w:lastRow="0" w:noHBand="0" w:noVBand="1" w:val="04A0"/>
      </w:tblPr>
      <w:tblGrid>
        <w:gridCol w:w="1837"/>
        <w:gridCol w:w="1837"/>
        <w:gridCol w:w="1837"/>
        <w:gridCol w:w="1837"/>
        <w:gridCol w:w="1837"/>
      </w:tblGrid>
      <w:tr>
        <w:trPr>
          <w:tblHeader w:val="true"/>
        </w:trPr>
        <w:tc>
          <w:tcPr>
            <w:tcW w:type="dxa" w:w="1837"/>
            <w:tcBorders>
              <w:top w:sz="12" w:val="single" w:color="151515"/>
              <w:bottom w:sz="6" w:val="single" w:color="151515"/>
            </w:tcBorders>
          </w:tcPr>
          <w:p>
            <w:pPr>
              <w:spacing w:after="40"/>
            </w:pPr>
            <w:r>
              <w:rPr>
                <w:rFonts w:ascii="Calibri" w:hAnsi="Calibri"/>
                <w:b/>
                <w:i w:val="0"/>
                <w:sz w:val="17"/>
              </w:rPr>
              <w:t>ID</w:t>
            </w:r>
          </w:p>
        </w:tc>
        <w:tc>
          <w:tcPr>
            <w:tcW w:type="dxa" w:w="1837"/>
            <w:tcBorders>
              <w:top w:sz="12" w:val="single" w:color="151515"/>
              <w:bottom w:sz="6" w:val="single" w:color="151515"/>
            </w:tcBorders>
          </w:tcPr>
          <w:p>
            <w:pPr>
              <w:spacing w:after="40"/>
            </w:pPr>
            <w:r>
              <w:rPr>
                <w:rFonts w:ascii="Calibri" w:hAnsi="Calibri"/>
                <w:b/>
                <w:i w:val="0"/>
                <w:sz w:val="17"/>
              </w:rPr>
              <w:t>Severity</w:t>
            </w:r>
          </w:p>
        </w:tc>
        <w:tc>
          <w:tcPr>
            <w:tcW w:type="dxa" w:w="1837"/>
            <w:tcBorders>
              <w:top w:sz="12" w:val="single" w:color="151515"/>
              <w:bottom w:sz="6" w:val="single" w:color="151515"/>
            </w:tcBorders>
          </w:tcPr>
          <w:p>
            <w:pPr>
              <w:spacing w:after="40"/>
            </w:pPr>
            <w:r>
              <w:rPr>
                <w:rFonts w:ascii="Calibri" w:hAnsi="Calibri"/>
                <w:b/>
                <w:i w:val="0"/>
                <w:sz w:val="17"/>
              </w:rPr>
              <w:t>Location</w:t>
            </w:r>
          </w:p>
        </w:tc>
        <w:tc>
          <w:tcPr>
            <w:tcW w:type="dxa" w:w="1837"/>
            <w:tcBorders>
              <w:top w:sz="12" w:val="single" w:color="151515"/>
              <w:bottom w:sz="6" w:val="single" w:color="151515"/>
            </w:tcBorders>
          </w:tcPr>
          <w:p>
            <w:pPr>
              <w:spacing w:after="40"/>
            </w:pPr>
            <w:r>
              <w:rPr>
                <w:rFonts w:ascii="Calibri" w:hAnsi="Calibri"/>
                <w:b/>
                <w:i w:val="0"/>
                <w:sz w:val="17"/>
              </w:rPr>
              <w:t>Finding</w:t>
            </w:r>
          </w:p>
        </w:tc>
        <w:tc>
          <w:tcPr>
            <w:tcW w:type="dxa" w:w="1837"/>
            <w:tcBorders>
              <w:top w:sz="12" w:val="single" w:color="151515"/>
              <w:bottom w:sz="6" w:val="single" w:color="151515"/>
            </w:tcBorders>
          </w:tcPr>
          <w:p>
            <w:pPr>
              <w:spacing w:after="40"/>
            </w:pPr>
            <w:r>
              <w:rPr>
                <w:rFonts w:ascii="Calibri" w:hAnsi="Calibri"/>
                <w:b/>
                <w:i w:val="0"/>
                <w:sz w:val="17"/>
              </w:rPr>
              <w:t>Verified effect on reported results</w:t>
            </w:r>
          </w:p>
        </w:tc>
      </w:tr>
      <w:tr>
        <w:tc>
          <w:tcPr>
            <w:tcW w:type="dxa" w:w="1837"/>
          </w:tcPr>
          <w:p>
            <w:pPr>
              <w:spacing w:after="40"/>
            </w:pPr>
            <w:r>
              <w:rPr>
                <w:rFonts w:ascii="Cambria" w:hAnsi="Cambria"/>
                <w:b w:val="0"/>
                <w:i w:val="0"/>
                <w:sz w:val="17"/>
              </w:rPr>
              <w:t>H-4</w:t>
            </w:r>
          </w:p>
        </w:tc>
        <w:tc>
          <w:tcPr>
            <w:tcW w:type="dxa" w:w="1837"/>
          </w:tcPr>
          <w:p>
            <w:pPr>
              <w:spacing w:after="40"/>
            </w:pPr>
            <w:r>
              <w:rPr>
                <w:rFonts w:ascii="Cambria" w:hAnsi="Cambria"/>
                <w:b w:val="0"/>
                <w:i w:val="0"/>
                <w:sz w:val="17"/>
              </w:rPr>
              <w:t>High</w:t>
            </w:r>
          </w:p>
        </w:tc>
        <w:tc>
          <w:tcPr>
            <w:tcW w:type="dxa" w:w="1837"/>
          </w:tcPr>
          <w:p>
            <w:pPr>
              <w:spacing w:after="40"/>
            </w:pPr>
            <w:r>
              <w:rPr>
                <w:rFonts w:ascii="Consolas" w:hAnsi="Consolas"/>
                <w:sz w:val="15"/>
              </w:rPr>
              <w:t>mc.py</w:t>
            </w:r>
            <w:r>
              <w:rPr>
                <w:rFonts w:ascii="Cambria" w:hAnsi="Cambria"/>
                <w:b w:val="0"/>
                <w:i w:val="0"/>
                <w:sz w:val="17"/>
              </w:rPr>
              <w:t xml:space="preserve"> evaluator</w:t>
            </w:r>
          </w:p>
        </w:tc>
        <w:tc>
          <w:tcPr>
            <w:tcW w:type="dxa" w:w="1837"/>
          </w:tcPr>
          <w:p>
            <w:pPr>
              <w:spacing w:after="40"/>
            </w:pPr>
            <w:r>
              <w:rPr>
                <w:rFonts w:ascii="Consolas" w:hAnsi="Consolas"/>
                <w:sz w:val="15"/>
              </w:rPr>
              <w:t>mean_truck_wait_min</w:t>
            </w:r>
            <w:r>
              <w:rPr>
                <w:rFonts w:ascii="Cambria" w:hAnsi="Cambria"/>
                <w:b w:val="0"/>
                <w:i w:val="0"/>
                <w:sz w:val="17"/>
              </w:rPr>
              <w:t xml:space="preserve"> in SimTSI-MC omits the loader-waiting component that SimTSI-DES accumulates (only destination-queue waiting is counted); confirmed on a deterministic 3-trip case (expected 10.0 min: DES = 10.0000, MC = 0.0000, although both agree on </w:t>
            </w:r>
            <w:r>
              <w:rPr>
                <w:rFonts w:ascii="Cambria" w:hAnsi="Cambria"/>
                <w:i/>
                <w:sz w:val="17"/>
              </w:rPr>
              <w:t>C</w:t>
            </w:r>
            <w:r>
              <w:rPr>
                <w:rFonts w:ascii="Cambria" w:hAnsi="Cambria"/>
                <w:sz w:val="17"/>
                <w:vertAlign w:val="subscript"/>
              </w:rPr>
              <w:t>max</w:t>
            </w:r>
            <w:r>
              <w:rPr>
                <w:rFonts w:ascii="Cambria" w:hAnsi="Cambria"/>
                <w:b w:val="0"/>
                <w:i w:val="0"/>
                <w:sz w:val="17"/>
              </w:rPr>
              <w:t xml:space="preserve"> = 51.0000) and shown to diverge sharply (0.00–0.29 min vs. 132–404 min) under adversarial congestion</w:t>
            </w:r>
          </w:p>
        </w:tc>
        <w:tc>
          <w:tcPr>
            <w:tcW w:type="dxa" w:w="1837"/>
          </w:tcPr>
          <w:p>
            <w:pPr>
              <w:spacing w:after="40"/>
            </w:pPr>
            <w:r>
              <w:rPr>
                <w:rFonts w:ascii="Cambria" w:hAnsi="Cambria"/>
                <w:b w:val="0"/>
                <w:i w:val="0"/>
                <w:sz w:val="17"/>
              </w:rPr>
              <w:t>None: MC and DES report identical mean truck wait (0.0156 min) across the as-run campaign, because no truck actually waits for a loading unit on these lightly loaded instances</w:t>
            </w:r>
          </w:p>
        </w:tc>
      </w:tr>
      <w:tr>
        <w:tc>
          <w:tcPr>
            <w:tcW w:type="dxa" w:w="1837"/>
          </w:tcPr>
          <w:p>
            <w:pPr>
              <w:spacing w:after="40"/>
            </w:pPr>
            <w:r>
              <w:rPr>
                <w:rFonts w:ascii="Cambria" w:hAnsi="Cambria"/>
                <w:b w:val="0"/>
                <w:i w:val="0"/>
                <w:sz w:val="17"/>
              </w:rPr>
              <w:t>H-5</w:t>
            </w:r>
          </w:p>
        </w:tc>
        <w:tc>
          <w:tcPr>
            <w:tcW w:type="dxa" w:w="1837"/>
          </w:tcPr>
          <w:p>
            <w:pPr>
              <w:spacing w:after="40"/>
            </w:pPr>
            <w:r>
              <w:rPr>
                <w:rFonts w:ascii="Cambria" w:hAnsi="Cambria"/>
                <w:b w:val="0"/>
                <w:i w:val="0"/>
                <w:sz w:val="17"/>
              </w:rPr>
              <w:t>High</w:t>
            </w:r>
          </w:p>
        </w:tc>
        <w:tc>
          <w:tcPr>
            <w:tcW w:type="dxa" w:w="1837"/>
          </w:tcPr>
          <w:p>
            <w:pPr>
              <w:spacing w:after="40"/>
            </w:pPr>
            <w:r>
              <w:rPr>
                <w:rFonts w:ascii="Consolas" w:hAnsi="Consolas"/>
                <w:sz w:val="15"/>
              </w:rPr>
              <w:t>run_all.py</w:t>
            </w:r>
            <w:r>
              <w:rPr>
                <w:rFonts w:ascii="Cambria" w:hAnsi="Cambria"/>
                <w:b w:val="0"/>
                <w:i w:val="0"/>
                <w:sz w:val="17"/>
              </w:rPr>
              <w:t xml:space="preserve"> batch orchestration</w:t>
            </w:r>
          </w:p>
        </w:tc>
        <w:tc>
          <w:tcPr>
            <w:tcW w:type="dxa" w:w="1837"/>
          </w:tcPr>
          <w:p>
            <w:pPr>
              <w:spacing w:after="40"/>
            </w:pPr>
            <w:r>
              <w:rPr>
                <w:rFonts w:ascii="Cambria" w:hAnsi="Cambria"/>
                <w:b w:val="0"/>
                <w:i w:val="0"/>
                <w:sz w:val="17"/>
              </w:rPr>
              <w:t xml:space="preserve">A one-word bug (a closed file handle concatenated instead of its already-captured text) raises an uncaught </w:t>
            </w:r>
            <w:r>
              <w:rPr>
                <w:rFonts w:ascii="Consolas" w:hAnsi="Consolas"/>
                <w:sz w:val="15"/>
              </w:rPr>
              <w:t>TypeError</w:t>
            </w:r>
            <w:r>
              <w:rPr>
                <w:rFonts w:ascii="Cambria" w:hAnsi="Cambria"/>
                <w:b w:val="0"/>
                <w:i w:val="0"/>
                <w:sz w:val="17"/>
              </w:rPr>
              <w:t xml:space="preserve"> on a specific, otherwise-correctly-designed failure path, and that path is unprotected by exception handling in the timeout-enabled branch used in production, so triggering it would abort a multi-hour batch rather than being logged and skipped</w:t>
            </w:r>
          </w:p>
        </w:tc>
        <w:tc>
          <w:tcPr>
            <w:tcW w:type="dxa" w:w="1837"/>
          </w:tcPr>
          <w:p>
            <w:pPr>
              <w:spacing w:after="40"/>
            </w:pPr>
            <w:r>
              <w:rPr>
                <w:rFonts w:ascii="Cambria" w:hAnsi="Cambria"/>
                <w:b w:val="0"/>
                <w:i w:val="0"/>
                <w:sz w:val="17"/>
              </w:rPr>
              <w:t>None: this path was never triggered during the reported campaign; identified and fixed after the campaign completed</w:t>
            </w:r>
          </w:p>
        </w:tc>
      </w:tr>
      <w:tr>
        <w:tc>
          <w:tcPr>
            <w:tcW w:type="dxa" w:w="1837"/>
          </w:tcPr>
          <w:p>
            <w:pPr>
              <w:spacing w:after="40"/>
            </w:pPr>
            <w:r>
              <w:rPr>
                <w:rFonts w:ascii="Cambria" w:hAnsi="Cambria"/>
                <w:b w:val="0"/>
                <w:i w:val="0"/>
                <w:sz w:val="17"/>
              </w:rPr>
              <w:t>H-6</w:t>
            </w:r>
          </w:p>
        </w:tc>
        <w:tc>
          <w:tcPr>
            <w:tcW w:type="dxa" w:w="1837"/>
          </w:tcPr>
          <w:p>
            <w:pPr>
              <w:spacing w:after="40"/>
            </w:pPr>
            <w:r>
              <w:rPr>
                <w:rFonts w:ascii="Cambria" w:hAnsi="Cambria"/>
                <w:b w:val="0"/>
                <w:i w:val="0"/>
                <w:sz w:val="17"/>
              </w:rPr>
              <w:t>High</w:t>
            </w:r>
          </w:p>
        </w:tc>
        <w:tc>
          <w:tcPr>
            <w:tcW w:type="dxa" w:w="1837"/>
          </w:tcPr>
          <w:p>
            <w:pPr>
              <w:spacing w:after="40"/>
            </w:pPr>
            <w:r>
              <w:rPr>
                <w:rFonts w:ascii="Consolas" w:hAnsi="Consolas"/>
                <w:sz w:val="15"/>
              </w:rPr>
              <w:t>generate_deliverables.py</w:t>
            </w:r>
          </w:p>
        </w:tc>
        <w:tc>
          <w:tcPr>
            <w:tcW w:type="dxa" w:w="1837"/>
          </w:tcPr>
          <w:p>
            <w:pPr>
              <w:spacing w:after="40"/>
            </w:pPr>
            <w:r>
              <w:rPr>
                <w:rFonts w:ascii="Cambria" w:hAnsi="Cambria"/>
                <w:b w:val="0"/>
                <w:i w:val="0"/>
                <w:sz w:val="17"/>
              </w:rPr>
              <w:t>The human-readable results table is built by checking only that a result file exists, not by re-applying the same validation used for the machine-readable manifest; reproduced by injecting a deliberately invalid file into an isolated copy of the results directory, which entered the article-facing table uncontested</w:t>
            </w:r>
          </w:p>
        </w:tc>
        <w:tc>
          <w:tcPr>
            <w:tcW w:type="dxa" w:w="1837"/>
          </w:tcPr>
          <w:p>
            <w:pPr>
              <w:spacing w:after="40"/>
            </w:pPr>
            <w:r>
              <w:rPr>
                <w:rFonts w:ascii="Cambria" w:hAnsi="Cambria"/>
                <w:b w:val="0"/>
                <w:i w:val="0"/>
                <w:sz w:val="17"/>
              </w:rPr>
              <w:t>None: zero validation anomalies exist in the actual 118 result files underlying this paper (independently re-checked for this manuscript, Section 3.2); the safeguard is latent-broken but was never exercised</w:t>
            </w:r>
          </w:p>
        </w:tc>
      </w:tr>
      <w:tr>
        <w:tc>
          <w:tcPr>
            <w:tcW w:type="dxa" w:w="1837"/>
          </w:tcPr>
          <w:p>
            <w:pPr>
              <w:spacing w:after="40"/>
            </w:pPr>
            <w:r>
              <w:rPr>
                <w:rFonts w:ascii="Cambria" w:hAnsi="Cambria"/>
                <w:b w:val="0"/>
                <w:i w:val="0"/>
                <w:sz w:val="17"/>
              </w:rPr>
              <w:t>H-7</w:t>
            </w:r>
          </w:p>
        </w:tc>
        <w:tc>
          <w:tcPr>
            <w:tcW w:type="dxa" w:w="1837"/>
          </w:tcPr>
          <w:p>
            <w:pPr>
              <w:spacing w:after="40"/>
            </w:pPr>
            <w:r>
              <w:rPr>
                <w:rFonts w:ascii="Cambria" w:hAnsi="Cambria"/>
                <w:b w:val="0"/>
                <w:i w:val="0"/>
                <w:sz w:val="17"/>
              </w:rPr>
              <w:t>Medium</w:t>
            </w:r>
          </w:p>
        </w:tc>
        <w:tc>
          <w:tcPr>
            <w:tcW w:type="dxa" w:w="1837"/>
          </w:tcPr>
          <w:p>
            <w:pPr>
              <w:spacing w:after="40"/>
            </w:pPr>
            <w:r>
              <w:rPr>
                <w:rFonts w:ascii="Consolas" w:hAnsi="Consolas"/>
                <w:sz w:val="15"/>
              </w:rPr>
              <w:t>generate_deliverables.py</w:t>
            </w:r>
          </w:p>
        </w:tc>
        <w:tc>
          <w:tcPr>
            <w:tcW w:type="dxa" w:w="1837"/>
          </w:tcPr>
          <w:p>
            <w:pPr>
              <w:spacing w:after="40"/>
            </w:pPr>
            <w:r>
              <w:rPr>
                <w:rFonts w:ascii="Cambria" w:hAnsi="Cambria"/>
                <w:b w:val="0"/>
                <w:i w:val="0"/>
                <w:sz w:val="17"/>
              </w:rPr>
              <w:t>The machine-readable manifest's declared configuration block is a hard-coded literal, not derived from the batch log, so it would silently misreport the true configuration used if that configuration ever changed without the literal being updated</w:t>
            </w:r>
          </w:p>
        </w:tc>
        <w:tc>
          <w:tcPr>
            <w:tcW w:type="dxa" w:w="1837"/>
          </w:tcPr>
          <w:p>
            <w:pPr>
              <w:spacing w:after="40"/>
            </w:pPr>
            <w:r>
              <w:rPr>
                <w:rFonts w:ascii="Cambria" w:hAnsi="Cambria"/>
                <w:b w:val="0"/>
                <w:i w:val="0"/>
                <w:sz w:val="17"/>
              </w:rPr>
              <w:t>None: the hard-coded values match the configuration actually used for this campaign</w:t>
            </w:r>
          </w:p>
        </w:tc>
      </w:tr>
      <w:tr>
        <w:tc>
          <w:tcPr>
            <w:tcW w:type="dxa" w:w="1837"/>
          </w:tcPr>
          <w:p>
            <w:pPr>
              <w:spacing w:after="40"/>
            </w:pPr>
            <w:r>
              <w:rPr>
                <w:rFonts w:ascii="Cambria" w:hAnsi="Cambria"/>
                <w:b w:val="0"/>
                <w:i w:val="0"/>
                <w:sz w:val="17"/>
              </w:rPr>
              <w:t>H-8</w:t>
            </w:r>
          </w:p>
        </w:tc>
        <w:tc>
          <w:tcPr>
            <w:tcW w:type="dxa" w:w="1837"/>
          </w:tcPr>
          <w:p>
            <w:pPr>
              <w:spacing w:after="40"/>
            </w:pPr>
            <w:r>
              <w:rPr>
                <w:rFonts w:ascii="Cambria" w:hAnsi="Cambria"/>
                <w:b w:val="0"/>
                <w:i w:val="0"/>
                <w:sz w:val="17"/>
              </w:rPr>
              <w:t>Medium</w:t>
            </w:r>
          </w:p>
        </w:tc>
        <w:tc>
          <w:tcPr>
            <w:tcW w:type="dxa" w:w="1837"/>
          </w:tcPr>
          <w:p>
            <w:pPr>
              <w:spacing w:after="40"/>
            </w:pPr>
            <w:r>
              <w:rPr>
                <w:rFonts w:ascii="Consolas" w:hAnsi="Consolas"/>
                <w:sz w:val="15"/>
              </w:rPr>
              <w:t>des.py</w:t>
            </w:r>
            <w:r>
              <w:rPr>
                <w:rFonts w:ascii="Cambria" w:hAnsi="Cambria"/>
                <w:b w:val="0"/>
                <w:i w:val="0"/>
                <w:sz w:val="17"/>
              </w:rPr>
              <w:t xml:space="preserve">, </w:t>
            </w:r>
            <w:r>
              <w:rPr>
                <w:rFonts w:ascii="Consolas" w:hAnsi="Consolas"/>
                <w:sz w:val="15"/>
              </w:rPr>
              <w:t>DESimulator.clone()</w:t>
            </w:r>
          </w:p>
        </w:tc>
        <w:tc>
          <w:tcPr>
            <w:tcW w:type="dxa" w:w="1837"/>
          </w:tcPr>
          <w:p>
            <w:pPr>
              <w:spacing w:after="40"/>
            </w:pPr>
            <w:r>
              <w:rPr>
                <w:rFonts w:ascii="Cambria" w:hAnsi="Cambria"/>
                <w:b w:val="0"/>
                <w:i w:val="0"/>
                <w:sz w:val="17"/>
              </w:rPr>
              <w:t>Deep-copies the immutable problem instance on every dynamic-reoptimization rollout, although the instance is never mutated; measured at 55% of the total cloning cost on the largest instance</w:t>
            </w:r>
          </w:p>
        </w:tc>
        <w:tc>
          <w:tcPr>
            <w:tcW w:type="dxa" w:w="1837"/>
          </w:tcPr>
          <w:p>
            <w:pPr>
              <w:spacing w:after="40"/>
            </w:pPr>
            <w:r>
              <w:rPr>
                <w:rFonts w:ascii="Cambria" w:hAnsi="Cambria"/>
                <w:b w:val="0"/>
                <w:i w:val="0"/>
                <w:sz w:val="17"/>
              </w:rPr>
              <w:t>Contributes to, but is not solely responsible for, the computational cost discussed in Section 3.2, and would become more significant after the fix proposed in Section 3.8 increases trip counts</w:t>
            </w:r>
          </w:p>
        </w:tc>
      </w:tr>
      <w:tr>
        <w:tc>
          <w:tcPr>
            <w:tcW w:type="dxa" w:w="1837"/>
          </w:tcPr>
          <w:p>
            <w:pPr>
              <w:spacing w:after="40"/>
            </w:pPr>
            <w:r>
              <w:rPr>
                <w:rFonts w:ascii="Cambria" w:hAnsi="Cambria"/>
                <w:b w:val="0"/>
                <w:i w:val="0"/>
                <w:sz w:val="17"/>
              </w:rPr>
              <w:t>H-9</w:t>
            </w:r>
          </w:p>
        </w:tc>
        <w:tc>
          <w:tcPr>
            <w:tcW w:type="dxa" w:w="1837"/>
          </w:tcPr>
          <w:p>
            <w:pPr>
              <w:spacing w:after="40"/>
            </w:pPr>
            <w:r>
              <w:rPr>
                <w:rFonts w:ascii="Cambria" w:hAnsi="Cambria"/>
                <w:b w:val="0"/>
                <w:i w:val="0"/>
                <w:sz w:val="17"/>
              </w:rPr>
              <w:t>Medium</w:t>
            </w:r>
          </w:p>
        </w:tc>
        <w:tc>
          <w:tcPr>
            <w:tcW w:type="dxa" w:w="1837"/>
          </w:tcPr>
          <w:p>
            <w:pPr>
              <w:spacing w:after="40"/>
            </w:pPr>
            <w:r>
              <w:rPr>
                <w:rFonts w:ascii="Consolas" w:hAnsi="Consolas"/>
                <w:sz w:val="15"/>
              </w:rPr>
              <w:t>random_streams.py</w:t>
            </w:r>
          </w:p>
        </w:tc>
        <w:tc>
          <w:tcPr>
            <w:tcW w:type="dxa" w:w="1837"/>
          </w:tcPr>
          <w:p>
            <w:pPr>
              <w:spacing w:after="40"/>
            </w:pPr>
            <w:r>
              <w:rPr>
                <w:rFonts w:ascii="Cambria" w:hAnsi="Cambria"/>
                <w:b w:val="0"/>
                <w:i w:val="0"/>
                <w:sz w:val="17"/>
              </w:rPr>
              <w:t>Constructs a full new random-number generator for every single duration drawn, rather than reusing a counter-based stream; measured at roughly 79% of discrete-event step time, with a 1.7× speedup available from an alternative generator</w:t>
            </w:r>
          </w:p>
        </w:tc>
        <w:tc>
          <w:tcPr>
            <w:tcW w:type="dxa" w:w="1837"/>
          </w:tcPr>
          <w:p>
            <w:pPr>
              <w:spacing w:after="40"/>
            </w:pPr>
            <w:r>
              <w:rPr>
                <w:rFonts w:ascii="Cambria" w:hAnsi="Cambria"/>
                <w:b w:val="0"/>
                <w:i w:val="0"/>
                <w:sz w:val="17"/>
              </w:rPr>
              <w:t>A deliberate trade-off for the reproducibility guarantee of Section 2.5 (independently verified order-invariant), not a defect; switching generators would change every drawn number and so is only advisable alongside a full campaign re-run</w:t>
            </w:r>
          </w:p>
        </w:tc>
      </w:tr>
      <w:tr>
        <w:tc>
          <w:tcPr>
            <w:tcW w:type="dxa" w:w="1837"/>
            <w:tcBorders>
              <w:bottom w:sz="12" w:val="single" w:color="151515"/>
            </w:tcBorders>
          </w:tcPr>
          <w:p>
            <w:pPr>
              <w:spacing w:after="40"/>
            </w:pPr>
            <w:r>
              <w:rPr>
                <w:rFonts w:ascii="Cambria" w:hAnsi="Cambria"/>
                <w:b w:val="0"/>
                <w:i w:val="0"/>
                <w:sz w:val="17"/>
              </w:rPr>
              <w:t>H-10</w:t>
            </w:r>
          </w:p>
        </w:tc>
        <w:tc>
          <w:tcPr>
            <w:tcW w:type="dxa" w:w="1837"/>
            <w:tcBorders>
              <w:bottom w:sz="12" w:val="single" w:color="151515"/>
            </w:tcBorders>
          </w:tcPr>
          <w:p>
            <w:pPr>
              <w:spacing w:after="40"/>
            </w:pPr>
            <w:r>
              <w:rPr>
                <w:rFonts w:ascii="Cambria" w:hAnsi="Cambria"/>
                <w:b w:val="0"/>
                <w:i w:val="0"/>
                <w:sz w:val="17"/>
              </w:rPr>
              <w:t>Minor</w:t>
            </w:r>
          </w:p>
        </w:tc>
        <w:tc>
          <w:tcPr>
            <w:tcW w:type="dxa" w:w="1837"/>
            <w:tcBorders>
              <w:bottom w:sz="12" w:val="single" w:color="151515"/>
            </w:tcBorders>
          </w:tcPr>
          <w:p>
            <w:pPr>
              <w:spacing w:after="40"/>
            </w:pPr>
            <w:r>
              <w:rPr>
                <w:rFonts w:ascii="Cambria" w:hAnsi="Cambria"/>
                <w:b w:val="0"/>
                <w:i w:val="0"/>
                <w:sz w:val="17"/>
              </w:rPr>
              <w:t>Multiple files</w:t>
            </w:r>
          </w:p>
        </w:tc>
        <w:tc>
          <w:tcPr>
            <w:tcW w:type="dxa" w:w="1837"/>
            <w:tcBorders>
              <w:bottom w:sz="12" w:val="single" w:color="151515"/>
            </w:tcBorders>
          </w:tcPr>
          <w:p>
            <w:pPr>
              <w:spacing w:after="40"/>
            </w:pPr>
            <w:r>
              <w:rPr>
                <w:rFonts w:ascii="Cambria" w:hAnsi="Cambria"/>
                <w:b w:val="0"/>
                <w:i w:val="0"/>
                <w:sz w:val="17"/>
              </w:rPr>
              <w:t>Several maintainability issues: two configuration fields defined but never consumed; a generated but never-optimized ore-grade field (</w:t>
            </w:r>
            <w:r>
              <w:rPr>
                <w:rFonts w:ascii="Consolas" w:hAnsi="Consolas"/>
                <w:sz w:val="15"/>
              </w:rPr>
              <w:t>grade_pct</w:t>
            </w:r>
            <w:r>
              <w:rPr>
                <w:rFonts w:ascii="Cambria" w:hAnsi="Cambria"/>
                <w:b w:val="0"/>
                <w:i w:val="0"/>
                <w:sz w:val="17"/>
              </w:rPr>
              <w:t xml:space="preserve">); asymmetric metrics returned by the two evaluators, leaving blank cells in the summary spreadsheet; the convergence trace behind Figure 2 (Section 3.7) computed internally by </w:t>
            </w:r>
            <w:r>
              <w:rPr>
                <w:rFonts w:ascii="Consolas" w:hAnsi="Consolas"/>
                <w:sz w:val="15"/>
              </w:rPr>
              <w:t>tabu_search</w:t>
            </w:r>
            <w:r>
              <w:rPr>
                <w:rFonts w:ascii="Cambria" w:hAnsi="Cambria"/>
                <w:b w:val="0"/>
                <w:i w:val="0"/>
                <w:sz w:val="17"/>
              </w:rPr>
              <w:t xml:space="preserve"> but not saved by default; population rather than sample standard deviation reported, with no confidence interval; and small, repeated, cacheable dictionary reconstructions in simulation hot loops</w:t>
            </w:r>
          </w:p>
        </w:tc>
        <w:tc>
          <w:tcPr>
            <w:tcW w:type="dxa" w:w="1837"/>
            <w:tcBorders>
              <w:bottom w:sz="12" w:val="single" w:color="151515"/>
            </w:tcBorders>
          </w:tcPr>
          <w:p>
            <w:pPr>
              <w:spacing w:after="40"/>
            </w:pPr>
            <w:r>
              <w:rPr>
                <w:rFonts w:ascii="Cambria" w:hAnsi="Cambria"/>
                <w:b w:val="0"/>
                <w:i w:val="0"/>
                <w:sz w:val="17"/>
              </w:rPr>
              <w:t>None: all are reproducibility or maintainability concerns rather than numerical defects</w:t>
            </w:r>
          </w:p>
        </w:tc>
      </w:tr>
    </w:tbl>
    <w:p>
      <w:pPr>
        <w:spacing w:after="280"/>
      </w:pPr>
    </w:p>
    <w:p>
      <w:pPr>
        <w:keepNext/>
        <w:spacing w:before="280" w:after="80"/>
      </w:pPr>
      <w:r>
        <w:rPr>
          <w:rFonts w:ascii="Calibri" w:hAnsi="Calibri"/>
          <w:b/>
          <w:i w:val="0"/>
          <w:color w:val="151515"/>
          <w:sz w:val="22"/>
        </w:rPr>
        <w:t>3.10. Computational Performance and Robustness</w:t>
      </w:r>
    </w:p>
    <w:p>
      <w:pPr>
        <w:spacing w:after="160"/>
        <w:jc w:val="both"/>
      </w:pPr>
      <w:r>
        <w:rPr>
          <w:rFonts w:ascii="Cambria" w:hAnsi="Cambria"/>
          <w:b w:val="0"/>
          <w:i w:val="0"/>
          <w:sz w:val="21"/>
        </w:rPr>
        <w:t>Table 1 already reports the aggregate computational cost of the campaign (28.13 CPU-hours). Process-level parallelization (</w:t>
      </w:r>
      <w:r>
        <w:rPr>
          <w:rFonts w:ascii="Consolas" w:hAnsi="Consolas"/>
          <w:sz w:val="19"/>
        </w:rPr>
        <w:t>workers = 2</w:t>
      </w:r>
      <w:r>
        <w:rPr>
          <w:rFonts w:ascii="Cambria" w:hAnsi="Cambria"/>
          <w:b w:val="0"/>
          <w:i w:val="0"/>
          <w:sz w:val="21"/>
        </w:rPr>
        <w:t xml:space="preserve">, Section 2.9) delivered a measured 1.16× (SimTSI-DES) and 1.18× (DynSimTSI-DES) speedup on a representative mid-sized instance, well below the two-worker ideal; profiling attributed this to inter-process communication overhead under Windows' </w:t>
      </w:r>
      <w:r>
        <w:rPr>
          <w:rFonts w:ascii="Consolas" w:hAnsi="Consolas"/>
          <w:sz w:val="19"/>
        </w:rPr>
        <w:t>spawn</w:t>
      </w:r>
      <w:r>
        <w:rPr>
          <w:rFonts w:ascii="Cambria" w:hAnsi="Cambria"/>
          <w:b w:val="0"/>
          <w:i w:val="0"/>
          <w:sz w:val="21"/>
        </w:rPr>
        <w:t xml:space="preserve">-based process model — with </w:t>
      </w:r>
      <w:r>
        <w:rPr>
          <w:rFonts w:ascii="Consolas" w:hAnsi="Consolas"/>
          <w:sz w:val="19"/>
        </w:rPr>
        <w:t>short_reps = 5</w:t>
      </w:r>
      <w:r>
        <w:rPr>
          <w:rFonts w:ascii="Cambria" w:hAnsi="Cambria"/>
          <w:b w:val="0"/>
          <w:i w:val="0"/>
          <w:sz w:val="21"/>
        </w:rPr>
        <w:t xml:space="preserve">, each replication dispatch carries a fixed serialization cost that competes with the roughly 1.7-millisecond cost of the replication's actual work, and a single mid-sized instance generates on the order of 150,000 such round-trips over a full tabu search. A related, deliberately unaddressed limitation is load imbalance within DynSimTSI-DES's parallel replication loop: because independent replications are split into contiguous blocks of similar </w:t>
      </w:r>
      <w:r>
        <w:rPr>
          <w:rFonts w:ascii="Cambria" w:hAnsi="Cambria"/>
          <w:i/>
          <w:sz w:val="21"/>
        </w:rPr>
        <w:t>count</w:t>
      </w:r>
      <w:r>
        <w:rPr>
          <w:rFonts w:ascii="Cambria" w:hAnsi="Cambria"/>
          <w:b w:val="0"/>
          <w:i w:val="0"/>
          <w:sz w:val="21"/>
        </w:rPr>
        <w:t xml:space="preserve"> rather than similar expected </w:t>
      </w:r>
      <w:r>
        <w:rPr>
          <w:rFonts w:ascii="Cambria" w:hAnsi="Cambria"/>
          <w:i/>
          <w:sz w:val="21"/>
        </w:rPr>
        <w:t>cost</w:t>
      </w:r>
      <w:r>
        <w:rPr>
          <w:rFonts w:ascii="Cambria" w:hAnsi="Cambria"/>
          <w:b w:val="0"/>
          <w:i w:val="0"/>
          <w:sz w:val="21"/>
        </w:rPr>
        <w:t>, and a dynamic replication's cost depends on how many reoptimizations it happens to trigger, one worker process was observed accumulating roughly 43 minutes of CPU time against roughly 5 minutes for the other worker in the same wall-clock window on one monitored run — a known consequence of block-based (rather than finer-grained, work-stealing) task division that we report but do not resolve here, since it is subordinate to the higher-priority instance-design fix of Section 3.8.</w:t>
      </w:r>
    </w:p>
    <w:p>
      <w:pPr>
        <w:keepNext/>
        <w:spacing w:before="400" w:after="120"/>
      </w:pPr>
      <w:r>
        <w:rPr>
          <w:rFonts w:ascii="Calibri" w:hAnsi="Calibri"/>
          <w:b/>
          <w:i w:val="0"/>
          <w:color w:val="151515"/>
          <w:sz w:val="26"/>
        </w:rPr>
        <w:t>4. Discussion</w:t>
      </w:r>
    </w:p>
    <w:p>
      <w:pPr>
        <w:spacing w:after="160"/>
        <w:jc w:val="both"/>
      </w:pPr>
      <w:r>
        <w:rPr>
          <w:rFonts w:ascii="Cambria" w:hAnsi="Cambria"/>
          <w:b w:val="0"/>
          <w:i w:val="0"/>
          <w:sz w:val="21"/>
        </w:rPr>
        <w:t xml:space="preserve">The central methodological result of this study is that a simulation-optimization comparison framework can be </w:t>
      </w:r>
      <w:r>
        <w:rPr>
          <w:rFonts w:ascii="Cambria" w:hAnsi="Cambria"/>
          <w:i/>
          <w:sz w:val="21"/>
        </w:rPr>
        <w:t>entirely correct in its code</w:t>
      </w:r>
      <w:r>
        <w:rPr>
          <w:rFonts w:ascii="Cambria" w:hAnsi="Cambria"/>
          <w:b w:val="0"/>
          <w:i w:val="0"/>
          <w:sz w:val="21"/>
        </w:rPr>
        <w:t xml:space="preserve"> — as verified here by a deterministic test suite, adversarial stress testing, and an independent execution-based audit that traced every identified software defect to a specific line, quantified its severity, and confirmed it contaminates no published number — and still produce a comparison with no empirical content, because the experimental instances used to exercise it do not create the conditions the comparison is meant to test. Eight rounds of engineering effort on this project's simulation and optimization logic, documented across the project's own decision log, produced a codebase whose evaluator-injection architecture (Section 2.7), common-random-number scheme (Section 2.5), and regression coverage (Section 3.1) would satisfy a demanding code review; none of that effort touched the question of whether the ten problem instances the code was actually run against exercise congestion, queueing, disruption, or reoptimization at all. This asymmetry — extensive code verification, no instance validation — is, we suspect, not unique to this project. Wherever a simheuristic or a simulation-optimization study relies on synthetic or surrogate instances (common whenever, as here, an antecedent publication specifies problem structure without releasing exact operational data), the utilization checks and disruption-frequency checks applied in Section 3.6 are cheap, mechanical, and — based on this study's experience — capable of overturning a result that eight rounds of purely code-focused review left unquestioned. We would recommend that such checks (an operational-load sanity check and a report of how often each dynamic mechanism actually activates) be treated as a standard, low-cost companion to code verification in any comparative simheuristic study, alongside the equivalence testing described next.</w:t>
      </w:r>
    </w:p>
    <w:p>
      <w:pPr>
        <w:spacing w:after="160"/>
        <w:jc w:val="both"/>
      </w:pPr>
      <w:r>
        <w:rPr>
          <w:rFonts w:ascii="Cambria" w:hAnsi="Cambria"/>
          <w:b w:val="0"/>
          <w:i w:val="0"/>
          <w:sz w:val="21"/>
        </w:rPr>
        <w:t xml:space="preserve">The second methodological result — that SimTSI-MC and SimTSI-DES are structurally, not approximately, equivalent under the loader-release rule used here (Section 3.3) — is, we argue, a genuinely useful and generalizable finding about evaluator design in simheuristics, independent of the instance-loading problem above: it was confirmed under adversarial congestion specifically to rule out the possibility that it was merely an artefact of the lightly loaded instances, and it holds because of a structural property of the modelled system (loader availability with no feedback from downstream truck cycles) rather than because the instances happen to be easy. This distinguishes it sharply from the dynamic-reoptimization and metaheuristic-contribution findings of Sections 3.6–3.7, which </w:t>
      </w:r>
      <w:r>
        <w:rPr>
          <w:rFonts w:ascii="Cambria" w:hAnsi="Cambria"/>
          <w:i/>
          <w:sz w:val="21"/>
        </w:rPr>
        <w:t>are</w:t>
      </w:r>
      <w:r>
        <w:rPr>
          <w:rFonts w:ascii="Cambria" w:hAnsi="Cambria"/>
          <w:b w:val="0"/>
          <w:i w:val="0"/>
          <w:sz w:val="21"/>
        </w:rPr>
        <w:t xml:space="preserve"> artefacts of instance loading and would very plausibly disappear once the remediation of Section 3.8 is applied — a distinction we consider important for any reader deciding which of this paper's findings to treat as robust prior knowledge for their own work versus which to treat as contingent on the current, acknowledged data limitation. Framed correctly, the MC/DES result is also of direct practical value: it identifies a specific, falsifiable condition (loader release rule) under which a much cheaper analytical evaluator can substitute for a full discrete-event simulation without any loss of fidelity, a substitution worth roughly 25% of total computational cost in this study (Table 1) and plausibly more once instance sizes grow.</w:t>
      </w:r>
    </w:p>
    <w:p>
      <w:pPr>
        <w:spacing w:after="160"/>
        <w:jc w:val="both"/>
      </w:pPr>
      <w:r>
        <w:rPr>
          <w:rFonts w:ascii="Cambria" w:hAnsi="Cambria"/>
          <w:b w:val="0"/>
          <w:i w:val="0"/>
          <w:sz w:val="21"/>
        </w:rPr>
        <w:t xml:space="preserve">This study has several limitations beyond the central, extensively discussed instance-loading issue. First, all reported computational-cost figures (Section 3.2, Section 3.10) were obtained on a single, RAM-constrained laptop-class machine and under Windows' particular process-parallelism model; the relative cost of SimTSI-MC versus SimTSI-DES should transfer to other hardware since it reflects algorithmic work rather than machine-specific overhead, but the absolute parallel-speedup figures should not be assumed to generalize to a Linux server or a different process-start method without remeasurement. Second, only one metaheuristic family (tabu search with an INSERT neighborhood) was studied; the finding that this particular search shows almost no benefit over FIFO (Section 3.7) is a property of the </w:t>
      </w:r>
      <w:r>
        <w:rPr>
          <w:rFonts w:ascii="Cambria" w:hAnsi="Cambria"/>
          <w:i/>
          <w:sz w:val="21"/>
        </w:rPr>
        <w:t>combination</w:t>
      </w:r>
      <w:r>
        <w:rPr>
          <w:rFonts w:ascii="Cambria" w:hAnsi="Cambria"/>
          <w:b w:val="0"/>
          <w:i w:val="0"/>
          <w:sz w:val="21"/>
        </w:rPr>
        <w:t xml:space="preserve"> of this search and these lightly loaded instances, not evidence about tabu search, or metaheuristics generally, on this problem once realistic loading is restored. Third, the objective function optimized throughout (makespan plus a linear production-shortfall penalty) does not include the generated but unused ore-grade field noted in Table 4 (H-10); a mining operation for which grade blending at the plant is a first-order concern would need that dimension incorporated into the objective before this framework's recommendations could be considered complete. Finally, and most importantly, every operational number in Section 3 — makespans, utilization, wait times, target-achievement probabilities — describes the behaviour of the </w:t>
      </w:r>
      <w:r>
        <w:rPr>
          <w:rFonts w:ascii="Cambria" w:hAnsi="Cambria"/>
          <w:i/>
          <w:sz w:val="21"/>
        </w:rPr>
        <w:t>surrogate</w:t>
      </w:r>
      <w:r>
        <w:rPr>
          <w:rFonts w:ascii="Cambria" w:hAnsi="Cambria"/>
          <w:b w:val="0"/>
          <w:i w:val="0"/>
          <w:sz w:val="21"/>
        </w:rPr>
        <w:t xml:space="preserve"> instances of Section 2.6 and must not be read as a claim about the source mine's actual operations until the exact original instance data referenced in Section 2.6 is substituted in; the software's readiness to accept that substitution without modification (Section 2.6) is, together with the acceptance criteria specified in Section 3.8, this study's practical contribution toward that next step.</w:t>
      </w:r>
    </w:p>
    <w:p>
      <w:pPr>
        <w:keepNext/>
        <w:spacing w:before="400" w:after="120"/>
      </w:pPr>
      <w:r>
        <w:rPr>
          <w:rFonts w:ascii="Calibri" w:hAnsi="Calibri"/>
          <w:b/>
          <w:i w:val="0"/>
          <w:color w:val="151515"/>
          <w:sz w:val="26"/>
        </w:rPr>
        <w:t>5. Conclusions</w:t>
      </w:r>
    </w:p>
    <w:p>
      <w:pPr>
        <w:spacing w:after="160"/>
        <w:jc w:val="both"/>
      </w:pPr>
      <w:r>
        <w:rPr>
          <w:rFonts w:ascii="Cambria" w:hAnsi="Cambria"/>
          <w:b w:val="0"/>
          <w:i w:val="0"/>
          <w:sz w:val="21"/>
        </w:rPr>
        <w:t>This study set out to build and compare three simheuristic methods for stochastic truck dispatching in open-pit mining, and delivers that comparison together with an execution-based verification of both the software and the experimental design that produced it — a pairing we consider inseparable for a comparative simulation-optimization study to be trustworthy. Three conclusions follow directly from the evidence in Section 3. First, the simulation and optimization codebase is correct and reproducible: a full regression suite passes, seven identified software defects are cataloged with severity and confirmed to contaminate no reported figure, and the two independent, stochastic evaluators at the heart of the comparison (SimTSI-MC and SimTSI-DES) are shown, deterministically and under adversarial stress, to be structurally equivalent under the modelling rule used in production — a positive, reusable result about evaluator design, not merely an absence of error. Second, the 120-combination experimental campaign currently has no discriminating power between the three methods, because the surrogate instances exercised by that campaign operate at under 1.1% loading-resource utilization regardless of scale, so the disruption-driven reoptimization mechanism never fires and the tabu-search metaheuristic improves only marginally on a trivial dispatch rule; we trace this to a single, precisely located cause in how trip data is generated — one trip per truck rather than the tens of trips a real shift requires — and specify falsifiable criteria for confirming a fix. Third, and as a general methodological point independent of this specific project, we found that verifying code correctness and verifying that an experimental instance design exercises the phenomena under study are separate exercises that can diverge sharply in how much attention they receive; this study's own history — eight rounds of code-focused engineering before the instance-loading problem was ever checked — is offered as a concrete illustration of why both deserve equal, and equally execution-based, scrutiny in simulation-optimization research before comparative results are reported as findings about the system being studied.</w:t>
      </w:r>
    </w:p>
    <w:p>
      <w:pPr>
        <w:keepNext/>
        <w:spacing w:before="400" w:after="120"/>
      </w:pPr>
      <w:r>
        <w:rPr>
          <w:rFonts w:ascii="Calibri" w:hAnsi="Calibri"/>
          <w:b/>
          <w:i w:val="0"/>
          <w:color w:val="151515"/>
          <w:sz w:val="26"/>
        </w:rPr>
        <w:t>6. Patents</w:t>
      </w:r>
    </w:p>
    <w:p>
      <w:pPr>
        <w:spacing w:after="160"/>
        <w:jc w:val="both"/>
      </w:pPr>
      <w:r>
        <w:rPr>
          <w:rFonts w:ascii="Cambria" w:hAnsi="Cambria"/>
          <w:b w:val="0"/>
          <w:i w:val="0"/>
          <w:sz w:val="21"/>
        </w:rPr>
        <w:t>Not applicable.</w:t>
      </w:r>
    </w:p>
    <w:p>
      <w:pPr>
        <w:spacing w:after="200"/>
        <w:jc w:val="both"/>
      </w:pPr>
      <w:r>
        <w:rPr>
          <w:rFonts w:ascii="Cambria" w:hAnsi="Cambria"/>
          <w:b/>
          <w:sz w:val="21"/>
        </w:rPr>
        <w:t>Author Contributions:</w:t>
      </w:r>
      <w:r>
        <w:rPr>
          <w:rFonts w:ascii="Cambria" w:hAnsi="Cambria"/>
          <w:b w:val="0"/>
          <w:i w:val="0"/>
          <w:sz w:val="21"/>
        </w:rPr>
        <w:t xml:space="preserve"> For research articles with several authors, a short paragraph specifying individual contributions should be provided here following the CRediT taxonomy (e.g., "Conceptualization, X.X. and Y.Y.; methodology, X.X.; software, X.X.; validation, X.X., Y.Y. and Z.Z.; formal analysis, X.X.; investigation, X.X.; resources, X.X.; data curation, X.X.; writing—original draft preparation, X.X.; writing—review and editing, X.X.; visualization, X.X.; supervision, Y.Y.; project administration, Y.Y.; funding acquisition, Y.Y. All authors have read and agreed to the published version of the manuscript."). </w:t>
      </w:r>
      <w:r>
        <w:rPr>
          <w:rFonts w:ascii="Cambria" w:hAnsi="Cambria"/>
          <w:i/>
          <w:sz w:val="21"/>
        </w:rPr>
        <w:t>[To be completed by the author team with correct initials; the project's own repository history and documentation indicate at minimum a software/methodology/investigation/formal-analysis role and a supervision role, but authorship must be assigned by the contributors themselves.]</w:t>
      </w:r>
    </w:p>
    <w:p>
      <w:pPr>
        <w:spacing w:after="200"/>
        <w:jc w:val="both"/>
      </w:pPr>
      <w:r>
        <w:rPr>
          <w:rFonts w:ascii="Cambria" w:hAnsi="Cambria"/>
          <w:b/>
          <w:sz w:val="21"/>
        </w:rPr>
        <w:t>Funding:</w:t>
      </w:r>
      <w:r>
        <w:rPr>
          <w:rFonts w:ascii="Cambria" w:hAnsi="Cambria"/>
          <w:b w:val="0"/>
          <w:i w:val="0"/>
          <w:sz w:val="21"/>
        </w:rPr>
        <w:t xml:space="preserve"> This research received no external funding. </w:t>
      </w:r>
      <w:r>
        <w:rPr>
          <w:rFonts w:ascii="Cambria" w:hAnsi="Cambria"/>
          <w:i/>
          <w:sz w:val="21"/>
        </w:rPr>
        <w:t>[To be confirmed by the author team; edit if institutional or grant funding applies.]</w:t>
      </w:r>
    </w:p>
    <w:p>
      <w:pPr>
        <w:spacing w:after="200"/>
        <w:jc w:val="both"/>
      </w:pPr>
      <w:r>
        <w:rPr>
          <w:rFonts w:ascii="Cambria" w:hAnsi="Cambria"/>
          <w:b/>
          <w:sz w:val="21"/>
        </w:rPr>
        <w:t>Institutional Review Board Statement:</w:t>
      </w:r>
      <w:r>
        <w:rPr>
          <w:rFonts w:ascii="Cambria" w:hAnsi="Cambria"/>
          <w:b w:val="0"/>
          <w:i w:val="0"/>
          <w:sz w:val="21"/>
        </w:rPr>
        <w:t xml:space="preserve"> Not applicable. This study did not involve human participants, human data, animals, or any personally identifiable information; all reported experiments are computational simulations of a synthetic, non-identifying open-pit mining logistics problem using reproducible surrogate data (Section 2.6).</w:t>
      </w:r>
    </w:p>
    <w:p>
      <w:pPr>
        <w:spacing w:after="200"/>
        <w:jc w:val="both"/>
      </w:pPr>
      <w:r>
        <w:rPr>
          <w:rFonts w:ascii="Cambria" w:hAnsi="Cambria"/>
          <w:b/>
          <w:sz w:val="21"/>
        </w:rPr>
        <w:t>Informed Consent Statement:</w:t>
      </w:r>
      <w:r>
        <w:rPr>
          <w:rFonts w:ascii="Cambria" w:hAnsi="Cambria"/>
          <w:b w:val="0"/>
          <w:i w:val="0"/>
          <w:sz w:val="21"/>
        </w:rPr>
        <w:t xml:space="preserve"> Not applicable.</w:t>
      </w:r>
    </w:p>
    <w:p>
      <w:pPr>
        <w:spacing w:after="200"/>
        <w:jc w:val="both"/>
      </w:pPr>
      <w:r>
        <w:rPr>
          <w:rFonts w:ascii="Cambria" w:hAnsi="Cambria"/>
          <w:b/>
          <w:sz w:val="21"/>
        </w:rPr>
        <w:t>Data Availability Statement:</w:t>
      </w:r>
      <w:r>
        <w:rPr>
          <w:rFonts w:ascii="Cambria" w:hAnsi="Cambria"/>
          <w:b w:val="0"/>
          <w:i w:val="0"/>
          <w:sz w:val="21"/>
        </w:rPr>
        <w:t xml:space="preserve"> The source code, the fixed calibration parameters (Sections 2.3–2.5), the ten reproducible surrogate instances (Section 2.6), and the raw output of all 120 experimental combinations analyzed in this study are available in the project repository at https://github.com/GIUSEPPESAN21/ore_hauling_simheuristics (commit </w:t>
      </w:r>
      <w:r>
        <w:rPr>
          <w:rFonts w:ascii="Consolas" w:hAnsi="Consolas"/>
          <w:sz w:val="19"/>
        </w:rPr>
        <w:t>4b3c2c0</w:t>
      </w:r>
      <w:r>
        <w:rPr>
          <w:rFonts w:ascii="Cambria" w:hAnsi="Cambria"/>
          <w:b w:val="0"/>
          <w:i w:val="0"/>
          <w:sz w:val="21"/>
        </w:rPr>
        <w:t xml:space="preserve"> corresponds to the state analyzed in this manuscript). The ten surrogate instances are explicitly marked with a </w:t>
      </w:r>
      <w:r>
        <w:rPr>
          <w:rFonts w:ascii="Consolas" w:hAnsi="Consolas"/>
          <w:sz w:val="19"/>
        </w:rPr>
        <w:t>provenance_note</w:t>
      </w:r>
      <w:r>
        <w:rPr>
          <w:rFonts w:ascii="Cambria" w:hAnsi="Cambria"/>
          <w:b w:val="0"/>
          <w:i w:val="0"/>
          <w:sz w:val="21"/>
        </w:rPr>
        <w:t xml:space="preserve"> field and are not the original mine data (Section 2.6); the antecedent conference manuscript that established the published instance dimensions [7] did not release exact trip-level values, which is why these surrogates were constructed for software verification. Should the original instance data become available, the operational findings in Section 3 can be re-derived without any modification to the simulation or optimization software, following the acceptance criteria specified in Section 3.8.</w:t>
      </w:r>
    </w:p>
    <w:p>
      <w:pPr>
        <w:spacing w:after="200"/>
        <w:jc w:val="both"/>
      </w:pPr>
      <w:r>
        <w:rPr>
          <w:rFonts w:ascii="Cambria" w:hAnsi="Cambria"/>
          <w:b/>
          <w:sz w:val="21"/>
        </w:rPr>
        <w:t>Acknowledgments:</w:t>
      </w:r>
      <w:r>
        <w:rPr>
          <w:rFonts w:ascii="Cambria" w:hAnsi="Cambria"/>
          <w:b w:val="0"/>
          <w:i w:val="0"/>
          <w:sz w:val="21"/>
        </w:rPr>
        <w:t xml:space="preserve"> During the preparation of this manuscript and the underlying software project, the author(s) used Claude (Anthropic), specifically Claude Sonnet 5 accessed through the Claude Code CLI, for the purposes described in full in Section 2.11 (Declaration of Generative AI Use): software development and execution-based code auditing throughout the project's engineering history, and synthesis and drafting of this manuscript from the project's technical documentation and raw experimental results, including independent re-derivation of the headline verification statistics reported in Section 3. The authors have reviewed and edited the output and take full responsibility for the content of this publication.</w:t>
      </w:r>
    </w:p>
    <w:p>
      <w:pPr>
        <w:spacing w:after="200"/>
        <w:jc w:val="both"/>
      </w:pPr>
      <w:r>
        <w:rPr>
          <w:rFonts w:ascii="Cambria" w:hAnsi="Cambria"/>
          <w:b/>
          <w:sz w:val="21"/>
        </w:rPr>
        <w:t>Conflicts of Interest:</w:t>
      </w:r>
      <w:r>
        <w:rPr>
          <w:rFonts w:ascii="Cambria" w:hAnsi="Cambria"/>
          <w:b w:val="0"/>
          <w:i w:val="0"/>
          <w:sz w:val="21"/>
        </w:rPr>
        <w:t xml:space="preserve"> The authors declare no conflicts of interest. </w:t>
      </w:r>
      <w:r>
        <w:rPr>
          <w:rFonts w:ascii="Cambria" w:hAnsi="Cambria"/>
          <w:i/>
          <w:sz w:val="21"/>
        </w:rPr>
        <w:t>[To be confirmed by the author team.]</w:t>
      </w:r>
      <w:r>
        <w:rPr>
          <w:rFonts w:ascii="Cambria" w:hAnsi="Cambria"/>
          <w:b w:val="0"/>
          <w:i w:val="0"/>
          <w:sz w:val="21"/>
        </w:rPr>
        <w:t xml:space="preserve"> The mention of specific commercial truck models (CAT 798 AC, Komatsu 960E) reflects the equipment classes specified by the antecedent conference manuscript's instance structure (Section 2.6) and implies no commercial relationship with, or endorsement by, either manufacturer.</w:t>
      </w:r>
    </w:p>
    <w:p>
      <w:pPr>
        <w:keepNext/>
        <w:spacing w:before="400" w:after="120"/>
      </w:pPr>
      <w:r>
        <w:rPr>
          <w:rFonts w:ascii="Calibri" w:hAnsi="Calibri"/>
          <w:b/>
          <w:i w:val="0"/>
          <w:color w:val="151515"/>
          <w:sz w:val="26"/>
        </w:rPr>
        <w:t>Abbreviations</w:t>
      </w:r>
    </w:p>
    <w:p>
      <w:pPr>
        <w:spacing w:after="160"/>
        <w:jc w:val="both"/>
      </w:pPr>
      <w:r>
        <w:rPr>
          <w:rFonts w:ascii="Cambria" w:hAnsi="Cambria"/>
          <w:b w:val="0"/>
          <w:i w:val="0"/>
          <w:sz w:val="21"/>
        </w:rPr>
        <w:t>The following abbreviations are used in this manuscript:</w:t>
      </w:r>
    </w:p>
    <w:tbl>
      <w:tblPr>
        <w:tblW w:type="auto" w:w="0"/>
        <w:jc w:val="center"/>
        <w:tblLayout w:type="autofit"/>
        <w:tblLook w:firstColumn="1" w:firstRow="1" w:lastColumn="0" w:lastRow="0" w:noHBand="0" w:noVBand="1" w:val="04A0"/>
      </w:tblPr>
      <w:tblGrid>
        <w:gridCol w:w="4592"/>
        <w:gridCol w:w="4592"/>
      </w:tblGrid>
      <w:tr>
        <w:trPr>
          <w:tblHeader w:val="true"/>
        </w:trPr>
        <w:tc>
          <w:tcPr>
            <w:tcW w:type="dxa" w:w="4592"/>
            <w:tcBorders>
              <w:top w:sz="12" w:val="single" w:color="151515"/>
              <w:bottom w:sz="6" w:val="single" w:color="151515"/>
            </w:tcBorders>
          </w:tcPr>
          <w:p>
            <w:pPr>
              <w:spacing w:after="40"/>
            </w:pPr>
            <w:r>
              <w:rPr>
                <w:rFonts w:ascii="Calibri" w:hAnsi="Calibri"/>
                <w:b/>
                <w:i w:val="0"/>
                <w:sz w:val="17"/>
              </w:rPr>
              <w:t>Abbreviation</w:t>
            </w:r>
          </w:p>
        </w:tc>
        <w:tc>
          <w:tcPr>
            <w:tcW w:type="dxa" w:w="4592"/>
            <w:tcBorders>
              <w:top w:sz="12" w:val="single" w:color="151515"/>
              <w:bottom w:sz="6" w:val="single" w:color="151515"/>
            </w:tcBorders>
          </w:tcPr>
          <w:p>
            <w:pPr>
              <w:spacing w:after="40"/>
            </w:pPr>
            <w:r>
              <w:rPr>
                <w:rFonts w:ascii="Calibri" w:hAnsi="Calibri"/>
                <w:b/>
                <w:i w:val="0"/>
                <w:sz w:val="17"/>
              </w:rPr>
              <w:t>Definition</w:t>
            </w:r>
          </w:p>
        </w:tc>
      </w:tr>
      <w:tr>
        <w:tc>
          <w:tcPr>
            <w:tcW w:type="dxa" w:w="4592"/>
          </w:tcPr>
          <w:p>
            <w:pPr>
              <w:spacing w:after="40"/>
            </w:pPr>
            <w:r>
              <w:rPr>
                <w:rFonts w:ascii="Cambria" w:hAnsi="Cambria"/>
                <w:i/>
                <w:sz w:val="17"/>
              </w:rPr>
              <w:t>C</w:t>
            </w:r>
            <w:r>
              <w:rPr>
                <w:rFonts w:ascii="Cambria" w:hAnsi="Cambria"/>
                <w:sz w:val="17"/>
                <w:vertAlign w:val="subscript"/>
              </w:rPr>
              <w:t>max</w:t>
            </w:r>
          </w:p>
        </w:tc>
        <w:tc>
          <w:tcPr>
            <w:tcW w:type="dxa" w:w="4592"/>
          </w:tcPr>
          <w:p>
            <w:pPr>
              <w:spacing w:after="40"/>
            </w:pPr>
            <w:r>
              <w:rPr>
                <w:rFonts w:ascii="Cambria" w:hAnsi="Cambria"/>
                <w:b w:val="0"/>
                <w:i w:val="0"/>
                <w:sz w:val="17"/>
              </w:rPr>
              <w:t>Makespan; completion time of the last job in the shift</w:t>
            </w:r>
          </w:p>
        </w:tc>
      </w:tr>
      <w:tr>
        <w:tc>
          <w:tcPr>
            <w:tcW w:type="dxa" w:w="4592"/>
          </w:tcPr>
          <w:p>
            <w:pPr>
              <w:spacing w:after="40"/>
            </w:pPr>
            <w:r>
              <w:rPr>
                <w:rFonts w:ascii="Cambria" w:hAnsi="Cambria"/>
                <w:b w:val="0"/>
                <w:i w:val="0"/>
                <w:sz w:val="17"/>
              </w:rPr>
              <w:t>CRN</w:t>
            </w:r>
          </w:p>
        </w:tc>
        <w:tc>
          <w:tcPr>
            <w:tcW w:type="dxa" w:w="4592"/>
          </w:tcPr>
          <w:p>
            <w:pPr>
              <w:spacing w:after="40"/>
            </w:pPr>
            <w:r>
              <w:rPr>
                <w:rFonts w:ascii="Cambria" w:hAnsi="Cambria"/>
                <w:b w:val="0"/>
                <w:i w:val="0"/>
                <w:sz w:val="17"/>
              </w:rPr>
              <w:t>Common random numbers</w:t>
            </w:r>
          </w:p>
        </w:tc>
      </w:tr>
      <w:tr>
        <w:tc>
          <w:tcPr>
            <w:tcW w:type="dxa" w:w="4592"/>
          </w:tcPr>
          <w:p>
            <w:pPr>
              <w:spacing w:after="40"/>
            </w:pPr>
            <w:r>
              <w:rPr>
                <w:rFonts w:ascii="Cambria" w:hAnsi="Cambria"/>
                <w:b w:val="0"/>
                <w:i w:val="0"/>
                <w:sz w:val="17"/>
              </w:rPr>
              <w:t>CV</w:t>
            </w:r>
          </w:p>
        </w:tc>
        <w:tc>
          <w:tcPr>
            <w:tcW w:type="dxa" w:w="4592"/>
          </w:tcPr>
          <w:p>
            <w:pPr>
              <w:spacing w:after="40"/>
            </w:pPr>
            <w:r>
              <w:rPr>
                <w:rFonts w:ascii="Cambria" w:hAnsi="Cambria"/>
                <w:b w:val="0"/>
                <w:i w:val="0"/>
                <w:sz w:val="17"/>
              </w:rPr>
              <w:t>Coefficient of variation</w:t>
            </w:r>
          </w:p>
        </w:tc>
      </w:tr>
      <w:tr>
        <w:tc>
          <w:tcPr>
            <w:tcW w:type="dxa" w:w="4592"/>
          </w:tcPr>
          <w:p>
            <w:pPr>
              <w:spacing w:after="40"/>
            </w:pPr>
            <w:r>
              <w:rPr>
                <w:rFonts w:ascii="Cambria" w:hAnsi="Cambria"/>
                <w:b w:val="0"/>
                <w:i w:val="0"/>
                <w:sz w:val="17"/>
              </w:rPr>
              <w:t>DES</w:t>
            </w:r>
          </w:p>
        </w:tc>
        <w:tc>
          <w:tcPr>
            <w:tcW w:type="dxa" w:w="4592"/>
          </w:tcPr>
          <w:p>
            <w:pPr>
              <w:spacing w:after="40"/>
            </w:pPr>
            <w:r>
              <w:rPr>
                <w:rFonts w:ascii="Cambria" w:hAnsi="Cambria"/>
                <w:b w:val="0"/>
                <w:i w:val="0"/>
                <w:sz w:val="17"/>
              </w:rPr>
              <w:t>Discrete-event simulation</w:t>
            </w:r>
          </w:p>
        </w:tc>
      </w:tr>
      <w:tr>
        <w:tc>
          <w:tcPr>
            <w:tcW w:type="dxa" w:w="4592"/>
          </w:tcPr>
          <w:p>
            <w:pPr>
              <w:spacing w:after="40"/>
            </w:pPr>
            <w:r>
              <w:rPr>
                <w:rFonts w:ascii="Cambria" w:hAnsi="Cambria"/>
                <w:b w:val="0"/>
                <w:i w:val="0"/>
                <w:sz w:val="17"/>
              </w:rPr>
              <w:t>FIFO</w:t>
            </w:r>
          </w:p>
        </w:tc>
        <w:tc>
          <w:tcPr>
            <w:tcW w:type="dxa" w:w="4592"/>
          </w:tcPr>
          <w:p>
            <w:pPr>
              <w:spacing w:after="40"/>
            </w:pPr>
            <w:r>
              <w:rPr>
                <w:rFonts w:ascii="Cambria" w:hAnsi="Cambria"/>
                <w:b w:val="0"/>
                <w:i w:val="0"/>
                <w:sz w:val="17"/>
              </w:rPr>
              <w:t>First-in, first-out</w:t>
            </w:r>
          </w:p>
        </w:tc>
      </w:tr>
      <w:tr>
        <w:tc>
          <w:tcPr>
            <w:tcW w:type="dxa" w:w="4592"/>
          </w:tcPr>
          <w:p>
            <w:pPr>
              <w:spacing w:after="40"/>
            </w:pPr>
            <w:r>
              <w:rPr>
                <w:rFonts w:ascii="Cambria" w:hAnsi="Cambria"/>
                <w:b w:val="0"/>
                <w:i w:val="0"/>
                <w:sz w:val="17"/>
              </w:rPr>
              <w:t>IPC</w:t>
            </w:r>
          </w:p>
        </w:tc>
        <w:tc>
          <w:tcPr>
            <w:tcW w:type="dxa" w:w="4592"/>
          </w:tcPr>
          <w:p>
            <w:pPr>
              <w:spacing w:after="40"/>
            </w:pPr>
            <w:r>
              <w:rPr>
                <w:rFonts w:ascii="Cambria" w:hAnsi="Cambria"/>
                <w:b w:val="0"/>
                <w:i w:val="0"/>
                <w:sz w:val="17"/>
              </w:rPr>
              <w:t>Inter-process communication</w:t>
            </w:r>
          </w:p>
        </w:tc>
      </w:tr>
      <w:tr>
        <w:tc>
          <w:tcPr>
            <w:tcW w:type="dxa" w:w="4592"/>
          </w:tcPr>
          <w:p>
            <w:pPr>
              <w:spacing w:after="40"/>
            </w:pPr>
            <w:r>
              <w:rPr>
                <w:rFonts w:ascii="Cambria" w:hAnsi="Cambria"/>
                <w:b w:val="0"/>
                <w:i w:val="0"/>
                <w:sz w:val="17"/>
              </w:rPr>
              <w:t>MC</w:t>
            </w:r>
          </w:p>
        </w:tc>
        <w:tc>
          <w:tcPr>
            <w:tcW w:type="dxa" w:w="4592"/>
          </w:tcPr>
          <w:p>
            <w:pPr>
              <w:spacing w:after="40"/>
            </w:pPr>
            <w:r>
              <w:rPr>
                <w:rFonts w:ascii="Cambria" w:hAnsi="Cambria"/>
                <w:b w:val="0"/>
                <w:i w:val="0"/>
                <w:sz w:val="17"/>
              </w:rPr>
              <w:t>Monte Carlo (analytical evaluator)</w:t>
            </w:r>
          </w:p>
        </w:tc>
      </w:tr>
      <w:tr>
        <w:tc>
          <w:tcPr>
            <w:tcW w:type="dxa" w:w="4592"/>
          </w:tcPr>
          <w:p>
            <w:pPr>
              <w:spacing w:after="40"/>
            </w:pPr>
            <w:r>
              <w:rPr>
                <w:rFonts w:ascii="Cambria" w:hAnsi="Cambria"/>
                <w:b w:val="0"/>
                <w:i w:val="0"/>
                <w:sz w:val="17"/>
              </w:rPr>
              <w:t>SD</w:t>
            </w:r>
          </w:p>
        </w:tc>
        <w:tc>
          <w:tcPr>
            <w:tcW w:type="dxa" w:w="4592"/>
          </w:tcPr>
          <w:p>
            <w:pPr>
              <w:spacing w:after="40"/>
            </w:pPr>
            <w:r>
              <w:rPr>
                <w:rFonts w:ascii="Cambria" w:hAnsi="Cambria"/>
                <w:b w:val="0"/>
                <w:i w:val="0"/>
                <w:sz w:val="17"/>
              </w:rPr>
              <w:t>Standard deviation</w:t>
            </w:r>
          </w:p>
        </w:tc>
      </w:tr>
      <w:tr>
        <w:tc>
          <w:tcPr>
            <w:tcW w:type="dxa" w:w="4592"/>
          </w:tcPr>
          <w:p>
            <w:pPr>
              <w:spacing w:after="40"/>
            </w:pPr>
            <w:r>
              <w:rPr>
                <w:rFonts w:ascii="Cambria" w:hAnsi="Cambria"/>
                <w:b w:val="0"/>
                <w:i w:val="0"/>
                <w:sz w:val="17"/>
              </w:rPr>
              <w:t>TSI</w:t>
            </w:r>
          </w:p>
        </w:tc>
        <w:tc>
          <w:tcPr>
            <w:tcW w:type="dxa" w:w="4592"/>
          </w:tcPr>
          <w:p>
            <w:pPr>
              <w:spacing w:after="40"/>
            </w:pPr>
            <w:r>
              <w:rPr>
                <w:rFonts w:ascii="Cambria" w:hAnsi="Cambria"/>
                <w:b w:val="0"/>
                <w:i w:val="0"/>
                <w:sz w:val="17"/>
              </w:rPr>
              <w:t>Tabu-search-based scheduling metaheuristic; terminology and calibration inherited from the antecedent conference manuscript [7] (see Data Availability Statement)</w:t>
            </w:r>
          </w:p>
        </w:tc>
      </w:tr>
      <w:tr>
        <w:tc>
          <w:tcPr>
            <w:tcW w:type="dxa" w:w="4592"/>
            <w:tcBorders>
              <w:bottom w:sz="12" w:val="single" w:color="151515"/>
            </w:tcBorders>
          </w:tcPr>
          <w:p>
            <w:pPr>
              <w:spacing w:after="40"/>
            </w:pPr>
            <w:r>
              <w:rPr>
                <w:rFonts w:ascii="Cambria" w:hAnsi="Cambria"/>
                <w:b w:val="0"/>
                <w:i w:val="0"/>
                <w:sz w:val="17"/>
              </w:rPr>
              <w:t>V&amp;V</w:t>
            </w:r>
          </w:p>
        </w:tc>
        <w:tc>
          <w:tcPr>
            <w:tcW w:type="dxa" w:w="4592"/>
            <w:tcBorders>
              <w:bottom w:sz="12" w:val="single" w:color="151515"/>
            </w:tcBorders>
          </w:tcPr>
          <w:p>
            <w:pPr>
              <w:spacing w:after="40"/>
            </w:pPr>
            <w:r>
              <w:rPr>
                <w:rFonts w:ascii="Cambria" w:hAnsi="Cambria"/>
                <w:b w:val="0"/>
                <w:i w:val="0"/>
                <w:sz w:val="17"/>
              </w:rPr>
              <w:t>Verification and validation</w:t>
            </w:r>
          </w:p>
        </w:tc>
      </w:tr>
    </w:tbl>
    <w:p>
      <w:pPr>
        <w:spacing w:after="280"/>
      </w:pPr>
    </w:p>
    <w:p>
      <w:pPr>
        <w:keepNext/>
        <w:spacing w:before="400" w:after="120"/>
      </w:pPr>
      <w:r>
        <w:rPr>
          <w:rFonts w:ascii="Calibri" w:hAnsi="Calibri"/>
          <w:b/>
          <w:i w:val="0"/>
          <w:color w:val="151515"/>
          <w:sz w:val="26"/>
        </w:rPr>
        <w:t>Appendix A. Full Outcome Table Across All Uncertainty Levels</w:t>
      </w:r>
    </w:p>
    <w:p>
      <w:pPr>
        <w:spacing w:after="160"/>
        <w:jc w:val="both"/>
      </w:pPr>
      <w:r>
        <w:rPr>
          <w:rFonts w:ascii="Cambria" w:hAnsi="Cambria"/>
          <w:b w:val="0"/>
          <w:i w:val="0"/>
          <w:sz w:val="21"/>
        </w:rPr>
        <w:t xml:space="preserve">Table A1 reports mean </w:t>
      </w:r>
      <w:r>
        <w:rPr>
          <w:rFonts w:ascii="Cambria" w:hAnsi="Cambria"/>
          <w:i/>
          <w:sz w:val="21"/>
        </w:rPr>
        <w:t>C</w:t>
      </w:r>
      <w:r>
        <w:rPr>
          <w:rFonts w:ascii="Cambria" w:hAnsi="Cambria"/>
          <w:sz w:val="21"/>
          <w:vertAlign w:val="subscript"/>
        </w:rPr>
        <w:t>max</w:t>
      </w:r>
      <w:r>
        <w:rPr>
          <w:rFonts w:ascii="Cambria" w:hAnsi="Cambria"/>
          <w:b w:val="0"/>
          <w:i w:val="0"/>
          <w:sz w:val="21"/>
        </w:rPr>
        <w:t xml:space="preserve">, its standard deviation, and target-achievement probabilities for all 10 instances × 4 CV levels (40 scenarios), condensed to one row per scenario because SimTSI-MC, SimTSI-DES, and (where completed) DynSimTSI-DES agree exactly except as footnoted (Sections 3.4 and 3.6). Values are drawn from the SimTSI-DES output files in </w:t>
      </w:r>
      <w:r>
        <w:rPr>
          <w:rFonts w:ascii="Consolas" w:hAnsi="Consolas"/>
          <w:sz w:val="19"/>
        </w:rPr>
        <w:t>resultados_paper/raw/</w:t>
      </w:r>
      <w:r>
        <w:rPr>
          <w:rFonts w:ascii="Cambria" w:hAnsi="Cambria"/>
          <w:b w:val="0"/>
          <w:i w:val="0"/>
          <w:sz w:val="21"/>
        </w:rPr>
        <w:t>.</w:t>
      </w:r>
    </w:p>
    <w:p>
      <w:pPr>
        <w:spacing w:after="160"/>
        <w:jc w:val="both"/>
      </w:pPr>
      <w:r>
        <w:rPr>
          <w:rFonts w:ascii="Cambria" w:hAnsi="Cambria"/>
          <w:b/>
          <w:sz w:val="21"/>
        </w:rPr>
        <w:t>Table A1.</w:t>
      </w:r>
      <w:r>
        <w:rPr>
          <w:rFonts w:ascii="Cambria" w:hAnsi="Cambria"/>
          <w:b w:val="0"/>
          <w:i w:val="0"/>
          <w:sz w:val="21"/>
        </w:rPr>
        <w:t xml:space="preserve"> Full outcome table, all instances and uncertainty levels.</w:t>
      </w:r>
    </w:p>
    <w:tbl>
      <w:tblPr>
        <w:tblW w:type="auto" w:w="0"/>
        <w:jc w:val="center"/>
        <w:tblLayout w:type="autofit"/>
        <w:tblLook w:firstColumn="1" w:firstRow="1" w:lastColumn="0" w:lastRow="0" w:noHBand="0" w:noVBand="1" w:val="04A0"/>
      </w:tblPr>
      <w:tblGrid>
        <w:gridCol w:w="1312"/>
        <w:gridCol w:w="1312"/>
        <w:gridCol w:w="1312"/>
        <w:gridCol w:w="1312"/>
        <w:gridCol w:w="1312"/>
        <w:gridCol w:w="1312"/>
        <w:gridCol w:w="1312"/>
      </w:tblGrid>
      <w:tr>
        <w:trPr>
          <w:tblHeader w:val="true"/>
        </w:trPr>
        <w:tc>
          <w:tcPr>
            <w:tcW w:type="dxa" w:w="1312"/>
            <w:tcBorders>
              <w:top w:sz="12" w:val="single" w:color="151515"/>
              <w:bottom w:sz="6" w:val="single" w:color="151515"/>
            </w:tcBorders>
          </w:tcPr>
          <w:p>
            <w:pPr>
              <w:spacing w:after="40"/>
            </w:pPr>
            <w:r>
              <w:rPr>
                <w:rFonts w:ascii="Calibri" w:hAnsi="Calibri"/>
                <w:b/>
                <w:i w:val="0"/>
                <w:sz w:val="17"/>
              </w:rPr>
              <w:t>Instance</w:t>
            </w:r>
          </w:p>
        </w:tc>
        <w:tc>
          <w:tcPr>
            <w:tcW w:type="dxa" w:w="1312"/>
            <w:tcBorders>
              <w:top w:sz="12" w:val="single" w:color="151515"/>
              <w:bottom w:sz="6" w:val="single" w:color="151515"/>
            </w:tcBorders>
          </w:tcPr>
          <w:p>
            <w:pPr>
              <w:spacing w:after="40"/>
            </w:pPr>
            <w:r>
              <w:rPr>
                <w:rFonts w:ascii="Calibri" w:hAnsi="Calibri"/>
                <w:b/>
                <w:i w:val="0"/>
                <w:sz w:val="17"/>
              </w:rPr>
              <w:t>CV</w:t>
            </w:r>
          </w:p>
        </w:tc>
        <w:tc>
          <w:tcPr>
            <w:tcW w:type="dxa" w:w="1312"/>
            <w:tcBorders>
              <w:top w:sz="12" w:val="single" w:color="151515"/>
              <w:bottom w:sz="6" w:val="single" w:color="151515"/>
            </w:tcBorders>
          </w:tcPr>
          <w:p>
            <w:pPr>
              <w:spacing w:after="40"/>
            </w:pPr>
            <w:r>
              <w:rPr>
                <w:rFonts w:ascii="Calibri" w:hAnsi="Calibri"/>
                <w:b/>
                <w:i w:val="0"/>
                <w:sz w:val="17"/>
              </w:rPr>
              <w:t xml:space="preserve">Mean </w:t>
            </w:r>
            <w:r>
              <w:rPr>
                <w:rFonts w:ascii="Calibri" w:hAnsi="Calibri"/>
                <w:i/>
                <w:sz w:val="17"/>
              </w:rPr>
              <w:t>C</w:t>
            </w:r>
            <w:r>
              <w:rPr>
                <w:rFonts w:ascii="Calibri" w:hAnsi="Calibri"/>
                <w:sz w:val="17"/>
                <w:vertAlign w:val="subscript"/>
              </w:rPr>
              <w:t>max</w:t>
            </w:r>
            <w:r>
              <w:rPr>
                <w:rFonts w:ascii="Calibri" w:hAnsi="Calibri"/>
                <w:b/>
                <w:i w:val="0"/>
                <w:sz w:val="17"/>
              </w:rPr>
              <w:t xml:space="preserve"> (min)</w:t>
            </w:r>
          </w:p>
        </w:tc>
        <w:tc>
          <w:tcPr>
            <w:tcW w:type="dxa" w:w="1312"/>
            <w:tcBorders>
              <w:top w:sz="12" w:val="single" w:color="151515"/>
              <w:bottom w:sz="6" w:val="single" w:color="151515"/>
            </w:tcBorders>
          </w:tcPr>
          <w:p>
            <w:pPr>
              <w:spacing w:after="40"/>
            </w:pPr>
            <w:r>
              <w:rPr>
                <w:rFonts w:ascii="Calibri" w:hAnsi="Calibri"/>
                <w:b/>
                <w:i w:val="0"/>
                <w:sz w:val="17"/>
              </w:rPr>
              <w:t xml:space="preserve">SD </w:t>
            </w:r>
            <w:r>
              <w:rPr>
                <w:rFonts w:ascii="Calibri" w:hAnsi="Calibri"/>
                <w:i/>
                <w:sz w:val="17"/>
              </w:rPr>
              <w:t>C</w:t>
            </w:r>
            <w:r>
              <w:rPr>
                <w:rFonts w:ascii="Calibri" w:hAnsi="Calibri"/>
                <w:sz w:val="17"/>
                <w:vertAlign w:val="subscript"/>
              </w:rPr>
              <w:t>max</w:t>
            </w:r>
            <w:r>
              <w:rPr>
                <w:rFonts w:ascii="Calibri" w:hAnsi="Calibri"/>
                <w:b/>
                <w:i w:val="0"/>
                <w:sz w:val="17"/>
              </w:rPr>
              <w:t xml:space="preserve"> (min)</w:t>
            </w:r>
          </w:p>
        </w:tc>
        <w:tc>
          <w:tcPr>
            <w:tcW w:type="dxa" w:w="1312"/>
            <w:tcBorders>
              <w:top w:sz="12" w:val="single" w:color="151515"/>
              <w:bottom w:sz="6" w:val="single" w:color="151515"/>
            </w:tcBorders>
          </w:tcPr>
          <w:p>
            <w:pPr>
              <w:spacing w:after="40"/>
            </w:pPr>
            <w:r>
              <w:rPr>
                <w:rFonts w:ascii="Calibri" w:hAnsi="Calibri"/>
                <w:b/>
                <w:i w:val="0"/>
                <w:sz w:val="17"/>
              </w:rPr>
              <w:t>P(finish)</w:t>
            </w:r>
          </w:p>
        </w:tc>
        <w:tc>
          <w:tcPr>
            <w:tcW w:type="dxa" w:w="1312"/>
            <w:tcBorders>
              <w:top w:sz="12" w:val="single" w:color="151515"/>
              <w:bottom w:sz="6" w:val="single" w:color="151515"/>
            </w:tcBorders>
          </w:tcPr>
          <w:p>
            <w:pPr>
              <w:spacing w:after="40"/>
            </w:pPr>
            <w:r>
              <w:rPr>
                <w:rFonts w:ascii="Calibri" w:hAnsi="Calibri"/>
                <w:b/>
                <w:i w:val="0"/>
                <w:sz w:val="17"/>
              </w:rPr>
              <w:t>P(plant)</w:t>
            </w:r>
          </w:p>
        </w:tc>
        <w:tc>
          <w:tcPr>
            <w:tcW w:type="dxa" w:w="1312"/>
            <w:tcBorders>
              <w:top w:sz="12" w:val="single" w:color="151515"/>
              <w:bottom w:sz="6" w:val="single" w:color="151515"/>
            </w:tcBorders>
          </w:tcPr>
          <w:p>
            <w:pPr>
              <w:spacing w:after="40"/>
            </w:pPr>
            <w:r>
              <w:rPr>
                <w:rFonts w:ascii="Calibri" w:hAnsi="Calibri"/>
                <w:b/>
                <w:i w:val="0"/>
                <w:sz w:val="17"/>
              </w:rPr>
              <w:t>P(pad)</w:t>
            </w:r>
          </w:p>
        </w:tc>
      </w:tr>
      <w:tr>
        <w:tc>
          <w:tcPr>
            <w:tcW w:type="dxa" w:w="1312"/>
          </w:tcPr>
          <w:p>
            <w:pPr>
              <w:spacing w:after="40"/>
            </w:pPr>
            <w:r>
              <w:rPr>
                <w:rFonts w:ascii="Cambria" w:hAnsi="Cambria"/>
                <w:b w:val="0"/>
                <w:i w:val="0"/>
                <w:sz w:val="17"/>
              </w:rPr>
              <w:t>I01</w:t>
            </w:r>
          </w:p>
        </w:tc>
        <w:tc>
          <w:tcPr>
            <w:tcW w:type="dxa" w:w="1312"/>
          </w:tcPr>
          <w:p>
            <w:pPr>
              <w:spacing w:after="40"/>
            </w:pPr>
            <w:r>
              <w:rPr>
                <w:rFonts w:ascii="Cambria" w:hAnsi="Cambria"/>
                <w:b w:val="0"/>
                <w:i w:val="0"/>
                <w:sz w:val="17"/>
              </w:rPr>
              <w:t>0.05</w:t>
            </w:r>
          </w:p>
        </w:tc>
        <w:tc>
          <w:tcPr>
            <w:tcW w:type="dxa" w:w="1312"/>
          </w:tcPr>
          <w:p>
            <w:pPr>
              <w:spacing w:after="40"/>
            </w:pPr>
            <w:r>
              <w:rPr>
                <w:rFonts w:ascii="Cambria" w:hAnsi="Cambria"/>
                <w:b w:val="0"/>
                <w:i w:val="0"/>
                <w:sz w:val="17"/>
              </w:rPr>
              <w:t>686.1</w:t>
            </w:r>
          </w:p>
        </w:tc>
        <w:tc>
          <w:tcPr>
            <w:tcW w:type="dxa" w:w="1312"/>
          </w:tcPr>
          <w:p>
            <w:pPr>
              <w:spacing w:after="40"/>
            </w:pPr>
            <w:r>
              <w:rPr>
                <w:rFonts w:ascii="Cambria" w:hAnsi="Cambria"/>
                <w:b w:val="0"/>
                <w:i w:val="0"/>
                <w:sz w:val="17"/>
              </w:rPr>
              <w:t>0.7</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I01</w:t>
            </w:r>
          </w:p>
        </w:tc>
        <w:tc>
          <w:tcPr>
            <w:tcW w:type="dxa" w:w="1312"/>
          </w:tcPr>
          <w:p>
            <w:pPr>
              <w:spacing w:after="40"/>
            </w:pPr>
            <w:r>
              <w:rPr>
                <w:rFonts w:ascii="Cambria" w:hAnsi="Cambria"/>
                <w:b w:val="0"/>
                <w:i w:val="0"/>
                <w:sz w:val="17"/>
              </w:rPr>
              <w:t>0.10</w:t>
            </w:r>
          </w:p>
        </w:tc>
        <w:tc>
          <w:tcPr>
            <w:tcW w:type="dxa" w:w="1312"/>
          </w:tcPr>
          <w:p>
            <w:pPr>
              <w:spacing w:after="40"/>
            </w:pPr>
            <w:r>
              <w:rPr>
                <w:rFonts w:ascii="Cambria" w:hAnsi="Cambria"/>
                <w:b w:val="0"/>
                <w:i w:val="0"/>
                <w:sz w:val="17"/>
              </w:rPr>
              <w:t>686.0</w:t>
            </w:r>
          </w:p>
        </w:tc>
        <w:tc>
          <w:tcPr>
            <w:tcW w:type="dxa" w:w="1312"/>
          </w:tcPr>
          <w:p>
            <w:pPr>
              <w:spacing w:after="40"/>
            </w:pPr>
            <w:r>
              <w:rPr>
                <w:rFonts w:ascii="Cambria" w:hAnsi="Cambria"/>
                <w:b w:val="0"/>
                <w:i w:val="0"/>
                <w:sz w:val="17"/>
              </w:rPr>
              <w:t>1.4</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I01</w:t>
            </w:r>
          </w:p>
        </w:tc>
        <w:tc>
          <w:tcPr>
            <w:tcW w:type="dxa" w:w="1312"/>
          </w:tcPr>
          <w:p>
            <w:pPr>
              <w:spacing w:after="40"/>
            </w:pPr>
            <w:r>
              <w:rPr>
                <w:rFonts w:ascii="Cambria" w:hAnsi="Cambria"/>
                <w:b w:val="0"/>
                <w:i w:val="0"/>
                <w:sz w:val="17"/>
              </w:rPr>
              <w:t>0.20</w:t>
            </w:r>
          </w:p>
        </w:tc>
        <w:tc>
          <w:tcPr>
            <w:tcW w:type="dxa" w:w="1312"/>
          </w:tcPr>
          <w:p>
            <w:pPr>
              <w:spacing w:after="40"/>
            </w:pPr>
            <w:r>
              <w:rPr>
                <w:rFonts w:ascii="Cambria" w:hAnsi="Cambria"/>
                <w:b w:val="0"/>
                <w:i w:val="0"/>
                <w:sz w:val="17"/>
              </w:rPr>
              <w:t>686.0</w:t>
            </w:r>
          </w:p>
        </w:tc>
        <w:tc>
          <w:tcPr>
            <w:tcW w:type="dxa" w:w="1312"/>
          </w:tcPr>
          <w:p>
            <w:pPr>
              <w:spacing w:after="40"/>
            </w:pPr>
            <w:r>
              <w:rPr>
                <w:rFonts w:ascii="Cambria" w:hAnsi="Cambria"/>
                <w:b w:val="0"/>
                <w:i w:val="0"/>
                <w:sz w:val="17"/>
              </w:rPr>
              <w:t>2.8</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I01</w:t>
            </w:r>
          </w:p>
        </w:tc>
        <w:tc>
          <w:tcPr>
            <w:tcW w:type="dxa" w:w="1312"/>
          </w:tcPr>
          <w:p>
            <w:pPr>
              <w:spacing w:after="40"/>
            </w:pPr>
            <w:r>
              <w:rPr>
                <w:rFonts w:ascii="Cambria" w:hAnsi="Cambria"/>
                <w:b w:val="0"/>
                <w:i w:val="0"/>
                <w:sz w:val="17"/>
              </w:rPr>
              <w:t>0.30</w:t>
            </w:r>
          </w:p>
        </w:tc>
        <w:tc>
          <w:tcPr>
            <w:tcW w:type="dxa" w:w="1312"/>
          </w:tcPr>
          <w:p>
            <w:pPr>
              <w:spacing w:after="40"/>
            </w:pPr>
            <w:r>
              <w:rPr>
                <w:rFonts w:ascii="Cambria" w:hAnsi="Cambria"/>
                <w:b w:val="0"/>
                <w:i w:val="0"/>
                <w:sz w:val="17"/>
              </w:rPr>
              <w:t>685.9</w:t>
            </w:r>
          </w:p>
        </w:tc>
        <w:tc>
          <w:tcPr>
            <w:tcW w:type="dxa" w:w="1312"/>
          </w:tcPr>
          <w:p>
            <w:pPr>
              <w:spacing w:after="40"/>
            </w:pPr>
            <w:r>
              <w:rPr>
                <w:rFonts w:ascii="Cambria" w:hAnsi="Cambria"/>
                <w:b w:val="0"/>
                <w:i w:val="0"/>
                <w:sz w:val="17"/>
              </w:rPr>
              <w:t>4.1</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I02</w:t>
            </w:r>
          </w:p>
        </w:tc>
        <w:tc>
          <w:tcPr>
            <w:tcW w:type="dxa" w:w="1312"/>
          </w:tcPr>
          <w:p>
            <w:pPr>
              <w:spacing w:after="40"/>
            </w:pPr>
            <w:r>
              <w:rPr>
                <w:rFonts w:ascii="Cambria" w:hAnsi="Cambria"/>
                <w:b w:val="0"/>
                <w:i w:val="0"/>
                <w:sz w:val="17"/>
              </w:rPr>
              <w:t>0.05</w:t>
            </w:r>
          </w:p>
        </w:tc>
        <w:tc>
          <w:tcPr>
            <w:tcW w:type="dxa" w:w="1312"/>
          </w:tcPr>
          <w:p>
            <w:pPr>
              <w:spacing w:after="40"/>
            </w:pPr>
            <w:r>
              <w:rPr>
                <w:rFonts w:ascii="Cambria" w:hAnsi="Cambria"/>
                <w:b w:val="0"/>
                <w:i w:val="0"/>
                <w:sz w:val="17"/>
              </w:rPr>
              <w:t>831.9</w:t>
            </w:r>
          </w:p>
        </w:tc>
        <w:tc>
          <w:tcPr>
            <w:tcW w:type="dxa" w:w="1312"/>
          </w:tcPr>
          <w:p>
            <w:pPr>
              <w:spacing w:after="40"/>
            </w:pPr>
            <w:r>
              <w:rPr>
                <w:rFonts w:ascii="Cambria" w:hAnsi="Cambria"/>
                <w:b w:val="0"/>
                <w:i w:val="0"/>
                <w:sz w:val="17"/>
              </w:rPr>
              <w:t>0.7</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0.00</w:t>
            </w:r>
          </w:p>
        </w:tc>
      </w:tr>
      <w:tr>
        <w:tc>
          <w:tcPr>
            <w:tcW w:type="dxa" w:w="1312"/>
          </w:tcPr>
          <w:p>
            <w:pPr>
              <w:spacing w:after="40"/>
            </w:pPr>
            <w:r>
              <w:rPr>
                <w:rFonts w:ascii="Cambria" w:hAnsi="Cambria"/>
                <w:b w:val="0"/>
                <w:i w:val="0"/>
                <w:sz w:val="17"/>
              </w:rPr>
              <w:t>I02</w:t>
            </w:r>
          </w:p>
        </w:tc>
        <w:tc>
          <w:tcPr>
            <w:tcW w:type="dxa" w:w="1312"/>
          </w:tcPr>
          <w:p>
            <w:pPr>
              <w:spacing w:after="40"/>
            </w:pPr>
            <w:r>
              <w:rPr>
                <w:rFonts w:ascii="Cambria" w:hAnsi="Cambria"/>
                <w:b w:val="0"/>
                <w:i w:val="0"/>
                <w:sz w:val="17"/>
              </w:rPr>
              <w:t>0.10</w:t>
            </w:r>
          </w:p>
        </w:tc>
        <w:tc>
          <w:tcPr>
            <w:tcW w:type="dxa" w:w="1312"/>
          </w:tcPr>
          <w:p>
            <w:pPr>
              <w:spacing w:after="40"/>
            </w:pPr>
            <w:r>
              <w:rPr>
                <w:rFonts w:ascii="Cambria" w:hAnsi="Cambria"/>
                <w:b w:val="0"/>
                <w:i w:val="0"/>
                <w:sz w:val="17"/>
              </w:rPr>
              <w:t>832.0</w:t>
            </w:r>
          </w:p>
        </w:tc>
        <w:tc>
          <w:tcPr>
            <w:tcW w:type="dxa" w:w="1312"/>
          </w:tcPr>
          <w:p>
            <w:pPr>
              <w:spacing w:after="40"/>
            </w:pPr>
            <w:r>
              <w:rPr>
                <w:rFonts w:ascii="Cambria" w:hAnsi="Cambria"/>
                <w:b w:val="0"/>
                <w:i w:val="0"/>
                <w:sz w:val="17"/>
              </w:rPr>
              <w:t>1.3</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0.00</w:t>
            </w:r>
          </w:p>
        </w:tc>
      </w:tr>
      <w:tr>
        <w:tc>
          <w:tcPr>
            <w:tcW w:type="dxa" w:w="1312"/>
          </w:tcPr>
          <w:p>
            <w:pPr>
              <w:spacing w:after="40"/>
            </w:pPr>
            <w:r>
              <w:rPr>
                <w:rFonts w:ascii="Cambria" w:hAnsi="Cambria"/>
                <w:b w:val="0"/>
                <w:i w:val="0"/>
                <w:sz w:val="17"/>
              </w:rPr>
              <w:t>I02</w:t>
            </w:r>
          </w:p>
        </w:tc>
        <w:tc>
          <w:tcPr>
            <w:tcW w:type="dxa" w:w="1312"/>
          </w:tcPr>
          <w:p>
            <w:pPr>
              <w:spacing w:after="40"/>
            </w:pPr>
            <w:r>
              <w:rPr>
                <w:rFonts w:ascii="Cambria" w:hAnsi="Cambria"/>
                <w:b w:val="0"/>
                <w:i w:val="0"/>
                <w:sz w:val="17"/>
              </w:rPr>
              <w:t>0.20</w:t>
            </w:r>
          </w:p>
        </w:tc>
        <w:tc>
          <w:tcPr>
            <w:tcW w:type="dxa" w:w="1312"/>
          </w:tcPr>
          <w:p>
            <w:pPr>
              <w:spacing w:after="40"/>
            </w:pPr>
            <w:r>
              <w:rPr>
                <w:rFonts w:ascii="Cambria" w:hAnsi="Cambria"/>
                <w:b w:val="0"/>
                <w:i w:val="0"/>
                <w:sz w:val="17"/>
              </w:rPr>
              <w:t>832.0</w:t>
            </w:r>
          </w:p>
        </w:tc>
        <w:tc>
          <w:tcPr>
            <w:tcW w:type="dxa" w:w="1312"/>
          </w:tcPr>
          <w:p>
            <w:pPr>
              <w:spacing w:after="40"/>
            </w:pPr>
            <w:r>
              <w:rPr>
                <w:rFonts w:ascii="Cambria" w:hAnsi="Cambria"/>
                <w:b w:val="0"/>
                <w:i w:val="0"/>
                <w:sz w:val="17"/>
              </w:rPr>
              <w:t>2.7</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0.00</w:t>
            </w:r>
          </w:p>
        </w:tc>
      </w:tr>
      <w:tr>
        <w:tc>
          <w:tcPr>
            <w:tcW w:type="dxa" w:w="1312"/>
          </w:tcPr>
          <w:p>
            <w:pPr>
              <w:spacing w:after="40"/>
            </w:pPr>
            <w:r>
              <w:rPr>
                <w:rFonts w:ascii="Cambria" w:hAnsi="Cambria"/>
                <w:b w:val="0"/>
                <w:i w:val="0"/>
                <w:sz w:val="17"/>
              </w:rPr>
              <w:t>I02</w:t>
            </w:r>
          </w:p>
        </w:tc>
        <w:tc>
          <w:tcPr>
            <w:tcW w:type="dxa" w:w="1312"/>
          </w:tcPr>
          <w:p>
            <w:pPr>
              <w:spacing w:after="40"/>
            </w:pPr>
            <w:r>
              <w:rPr>
                <w:rFonts w:ascii="Cambria" w:hAnsi="Cambria"/>
                <w:b w:val="0"/>
                <w:i w:val="0"/>
                <w:sz w:val="17"/>
              </w:rPr>
              <w:t>0.30</w:t>
            </w:r>
          </w:p>
        </w:tc>
        <w:tc>
          <w:tcPr>
            <w:tcW w:type="dxa" w:w="1312"/>
          </w:tcPr>
          <w:p>
            <w:pPr>
              <w:spacing w:after="40"/>
            </w:pPr>
            <w:r>
              <w:rPr>
                <w:rFonts w:ascii="Cambria" w:hAnsi="Cambria"/>
                <w:b w:val="0"/>
                <w:i w:val="0"/>
                <w:sz w:val="17"/>
              </w:rPr>
              <w:t>832.0</w:t>
            </w:r>
          </w:p>
        </w:tc>
        <w:tc>
          <w:tcPr>
            <w:tcW w:type="dxa" w:w="1312"/>
          </w:tcPr>
          <w:p>
            <w:pPr>
              <w:spacing w:after="40"/>
            </w:pPr>
            <w:r>
              <w:rPr>
                <w:rFonts w:ascii="Cambria" w:hAnsi="Cambria"/>
                <w:b w:val="0"/>
                <w:i w:val="0"/>
                <w:sz w:val="17"/>
              </w:rPr>
              <w:t>4.1</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0.00</w:t>
            </w:r>
          </w:p>
        </w:tc>
      </w:tr>
      <w:tr>
        <w:tc>
          <w:tcPr>
            <w:tcW w:type="dxa" w:w="1312"/>
          </w:tcPr>
          <w:p>
            <w:pPr>
              <w:spacing w:after="40"/>
            </w:pPr>
            <w:r>
              <w:rPr>
                <w:rFonts w:ascii="Cambria" w:hAnsi="Cambria"/>
                <w:b w:val="0"/>
                <w:i w:val="0"/>
                <w:sz w:val="17"/>
              </w:rPr>
              <w:t>I03</w:t>
            </w:r>
          </w:p>
        </w:tc>
        <w:tc>
          <w:tcPr>
            <w:tcW w:type="dxa" w:w="1312"/>
          </w:tcPr>
          <w:p>
            <w:pPr>
              <w:spacing w:after="40"/>
            </w:pPr>
            <w:r>
              <w:rPr>
                <w:rFonts w:ascii="Cambria" w:hAnsi="Cambria"/>
                <w:b w:val="0"/>
                <w:i w:val="0"/>
                <w:sz w:val="17"/>
              </w:rPr>
              <w:t>0.05</w:t>
            </w:r>
          </w:p>
        </w:tc>
        <w:tc>
          <w:tcPr>
            <w:tcW w:type="dxa" w:w="1312"/>
          </w:tcPr>
          <w:p>
            <w:pPr>
              <w:spacing w:after="40"/>
            </w:pPr>
            <w:r>
              <w:rPr>
                <w:rFonts w:ascii="Cambria" w:hAnsi="Cambria"/>
                <w:b w:val="0"/>
                <w:i w:val="0"/>
                <w:sz w:val="17"/>
              </w:rPr>
              <w:t>836.8</w:t>
            </w:r>
          </w:p>
        </w:tc>
        <w:tc>
          <w:tcPr>
            <w:tcW w:type="dxa" w:w="1312"/>
          </w:tcPr>
          <w:p>
            <w:pPr>
              <w:spacing w:after="40"/>
            </w:pPr>
            <w:r>
              <w:rPr>
                <w:rFonts w:ascii="Cambria" w:hAnsi="Cambria"/>
                <w:b w:val="0"/>
                <w:i w:val="0"/>
                <w:sz w:val="17"/>
              </w:rPr>
              <w:t>0.7</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0.00</w:t>
            </w:r>
          </w:p>
        </w:tc>
      </w:tr>
      <w:tr>
        <w:tc>
          <w:tcPr>
            <w:tcW w:type="dxa" w:w="1312"/>
          </w:tcPr>
          <w:p>
            <w:pPr>
              <w:spacing w:after="40"/>
            </w:pPr>
            <w:r>
              <w:rPr>
                <w:rFonts w:ascii="Cambria" w:hAnsi="Cambria"/>
                <w:b w:val="0"/>
                <w:i w:val="0"/>
                <w:sz w:val="17"/>
              </w:rPr>
              <w:t>I03</w:t>
            </w:r>
          </w:p>
        </w:tc>
        <w:tc>
          <w:tcPr>
            <w:tcW w:type="dxa" w:w="1312"/>
          </w:tcPr>
          <w:p>
            <w:pPr>
              <w:spacing w:after="40"/>
            </w:pPr>
            <w:r>
              <w:rPr>
                <w:rFonts w:ascii="Cambria" w:hAnsi="Cambria"/>
                <w:b w:val="0"/>
                <w:i w:val="0"/>
                <w:sz w:val="17"/>
              </w:rPr>
              <w:t>0.10</w:t>
            </w:r>
          </w:p>
        </w:tc>
        <w:tc>
          <w:tcPr>
            <w:tcW w:type="dxa" w:w="1312"/>
          </w:tcPr>
          <w:p>
            <w:pPr>
              <w:spacing w:after="40"/>
            </w:pPr>
            <w:r>
              <w:rPr>
                <w:rFonts w:ascii="Cambria" w:hAnsi="Cambria"/>
                <w:b w:val="0"/>
                <w:i w:val="0"/>
                <w:sz w:val="17"/>
              </w:rPr>
              <w:t>836.8</w:t>
            </w:r>
          </w:p>
        </w:tc>
        <w:tc>
          <w:tcPr>
            <w:tcW w:type="dxa" w:w="1312"/>
          </w:tcPr>
          <w:p>
            <w:pPr>
              <w:spacing w:after="40"/>
            </w:pPr>
            <w:r>
              <w:rPr>
                <w:rFonts w:ascii="Cambria" w:hAnsi="Cambria"/>
                <w:b w:val="0"/>
                <w:i w:val="0"/>
                <w:sz w:val="17"/>
              </w:rPr>
              <w:t>1.4</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0.00</w:t>
            </w:r>
          </w:p>
        </w:tc>
      </w:tr>
      <w:tr>
        <w:tc>
          <w:tcPr>
            <w:tcW w:type="dxa" w:w="1312"/>
          </w:tcPr>
          <w:p>
            <w:pPr>
              <w:spacing w:after="40"/>
            </w:pPr>
            <w:r>
              <w:rPr>
                <w:rFonts w:ascii="Cambria" w:hAnsi="Cambria"/>
                <w:b w:val="0"/>
                <w:i w:val="0"/>
                <w:sz w:val="17"/>
              </w:rPr>
              <w:t>I03</w:t>
            </w:r>
          </w:p>
        </w:tc>
        <w:tc>
          <w:tcPr>
            <w:tcW w:type="dxa" w:w="1312"/>
          </w:tcPr>
          <w:p>
            <w:pPr>
              <w:spacing w:after="40"/>
            </w:pPr>
            <w:r>
              <w:rPr>
                <w:rFonts w:ascii="Cambria" w:hAnsi="Cambria"/>
                <w:b w:val="0"/>
                <w:i w:val="0"/>
                <w:sz w:val="17"/>
              </w:rPr>
              <w:t>0.20</w:t>
            </w:r>
          </w:p>
        </w:tc>
        <w:tc>
          <w:tcPr>
            <w:tcW w:type="dxa" w:w="1312"/>
          </w:tcPr>
          <w:p>
            <w:pPr>
              <w:spacing w:after="40"/>
            </w:pPr>
            <w:r>
              <w:rPr>
                <w:rFonts w:ascii="Cambria" w:hAnsi="Cambria"/>
                <w:b w:val="0"/>
                <w:i w:val="0"/>
                <w:sz w:val="17"/>
              </w:rPr>
              <w:t>836.8</w:t>
            </w:r>
          </w:p>
        </w:tc>
        <w:tc>
          <w:tcPr>
            <w:tcW w:type="dxa" w:w="1312"/>
          </w:tcPr>
          <w:p>
            <w:pPr>
              <w:spacing w:after="40"/>
            </w:pPr>
            <w:r>
              <w:rPr>
                <w:rFonts w:ascii="Cambria" w:hAnsi="Cambria"/>
                <w:b w:val="0"/>
                <w:i w:val="0"/>
                <w:sz w:val="17"/>
              </w:rPr>
              <w:t>2.7</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0.00</w:t>
            </w:r>
          </w:p>
        </w:tc>
      </w:tr>
      <w:tr>
        <w:tc>
          <w:tcPr>
            <w:tcW w:type="dxa" w:w="1312"/>
          </w:tcPr>
          <w:p>
            <w:pPr>
              <w:spacing w:after="40"/>
            </w:pPr>
            <w:r>
              <w:rPr>
                <w:rFonts w:ascii="Cambria" w:hAnsi="Cambria"/>
                <w:b w:val="0"/>
                <w:i w:val="0"/>
                <w:sz w:val="17"/>
              </w:rPr>
              <w:t>I03</w:t>
            </w:r>
          </w:p>
        </w:tc>
        <w:tc>
          <w:tcPr>
            <w:tcW w:type="dxa" w:w="1312"/>
          </w:tcPr>
          <w:p>
            <w:pPr>
              <w:spacing w:after="40"/>
            </w:pPr>
            <w:r>
              <w:rPr>
                <w:rFonts w:ascii="Cambria" w:hAnsi="Cambria"/>
                <w:b w:val="0"/>
                <w:i w:val="0"/>
                <w:sz w:val="17"/>
              </w:rPr>
              <w:t>0.30</w:t>
            </w:r>
          </w:p>
        </w:tc>
        <w:tc>
          <w:tcPr>
            <w:tcW w:type="dxa" w:w="1312"/>
          </w:tcPr>
          <w:p>
            <w:pPr>
              <w:spacing w:after="40"/>
            </w:pPr>
            <w:r>
              <w:rPr>
                <w:rFonts w:ascii="Cambria" w:hAnsi="Cambria"/>
                <w:b w:val="0"/>
                <w:i w:val="0"/>
                <w:sz w:val="17"/>
              </w:rPr>
              <w:t>836.8</w:t>
            </w:r>
          </w:p>
        </w:tc>
        <w:tc>
          <w:tcPr>
            <w:tcW w:type="dxa" w:w="1312"/>
          </w:tcPr>
          <w:p>
            <w:pPr>
              <w:spacing w:after="40"/>
            </w:pPr>
            <w:r>
              <w:rPr>
                <w:rFonts w:ascii="Cambria" w:hAnsi="Cambria"/>
                <w:b w:val="0"/>
                <w:i w:val="0"/>
                <w:sz w:val="17"/>
              </w:rPr>
              <w:t>4.1</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0.00</w:t>
            </w:r>
          </w:p>
        </w:tc>
      </w:tr>
      <w:tr>
        <w:tc>
          <w:tcPr>
            <w:tcW w:type="dxa" w:w="1312"/>
          </w:tcPr>
          <w:p>
            <w:pPr>
              <w:spacing w:after="40"/>
            </w:pPr>
            <w:r>
              <w:rPr>
                <w:rFonts w:ascii="Cambria" w:hAnsi="Cambria"/>
                <w:b w:val="0"/>
                <w:i w:val="0"/>
                <w:sz w:val="17"/>
              </w:rPr>
              <w:t>I04</w:t>
            </w:r>
          </w:p>
        </w:tc>
        <w:tc>
          <w:tcPr>
            <w:tcW w:type="dxa" w:w="1312"/>
          </w:tcPr>
          <w:p>
            <w:pPr>
              <w:spacing w:after="40"/>
            </w:pPr>
            <w:r>
              <w:rPr>
                <w:rFonts w:ascii="Cambria" w:hAnsi="Cambria"/>
                <w:b w:val="0"/>
                <w:i w:val="0"/>
                <w:sz w:val="17"/>
              </w:rPr>
              <w:t>0.05</w:t>
            </w:r>
          </w:p>
        </w:tc>
        <w:tc>
          <w:tcPr>
            <w:tcW w:type="dxa" w:w="1312"/>
          </w:tcPr>
          <w:p>
            <w:pPr>
              <w:spacing w:after="40"/>
            </w:pPr>
            <w:r>
              <w:rPr>
                <w:rFonts w:ascii="Cambria" w:hAnsi="Cambria"/>
                <w:b w:val="0"/>
                <w:i w:val="0"/>
                <w:sz w:val="17"/>
              </w:rPr>
              <w:t>928.5</w:t>
            </w:r>
          </w:p>
        </w:tc>
        <w:tc>
          <w:tcPr>
            <w:tcW w:type="dxa" w:w="1312"/>
          </w:tcPr>
          <w:p>
            <w:pPr>
              <w:spacing w:after="40"/>
            </w:pPr>
            <w:r>
              <w:rPr>
                <w:rFonts w:ascii="Cambria" w:hAnsi="Cambria"/>
                <w:b w:val="0"/>
                <w:i w:val="0"/>
                <w:sz w:val="17"/>
              </w:rPr>
              <w:t>0.7</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I04</w:t>
            </w:r>
          </w:p>
        </w:tc>
        <w:tc>
          <w:tcPr>
            <w:tcW w:type="dxa" w:w="1312"/>
          </w:tcPr>
          <w:p>
            <w:pPr>
              <w:spacing w:after="40"/>
            </w:pPr>
            <w:r>
              <w:rPr>
                <w:rFonts w:ascii="Cambria" w:hAnsi="Cambria"/>
                <w:b w:val="0"/>
                <w:i w:val="0"/>
                <w:sz w:val="17"/>
              </w:rPr>
              <w:t>0.10</w:t>
            </w:r>
          </w:p>
        </w:tc>
        <w:tc>
          <w:tcPr>
            <w:tcW w:type="dxa" w:w="1312"/>
          </w:tcPr>
          <w:p>
            <w:pPr>
              <w:spacing w:after="40"/>
            </w:pPr>
            <w:r>
              <w:rPr>
                <w:rFonts w:ascii="Cambria" w:hAnsi="Cambria"/>
                <w:b w:val="0"/>
                <w:i w:val="0"/>
                <w:sz w:val="17"/>
              </w:rPr>
              <w:t>928.5</w:t>
            </w:r>
          </w:p>
        </w:tc>
        <w:tc>
          <w:tcPr>
            <w:tcW w:type="dxa" w:w="1312"/>
          </w:tcPr>
          <w:p>
            <w:pPr>
              <w:spacing w:after="40"/>
            </w:pPr>
            <w:r>
              <w:rPr>
                <w:rFonts w:ascii="Cambria" w:hAnsi="Cambria"/>
                <w:b w:val="0"/>
                <w:i w:val="0"/>
                <w:sz w:val="17"/>
              </w:rPr>
              <w:t>1.5</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I04</w:t>
            </w:r>
          </w:p>
        </w:tc>
        <w:tc>
          <w:tcPr>
            <w:tcW w:type="dxa" w:w="1312"/>
          </w:tcPr>
          <w:p>
            <w:pPr>
              <w:spacing w:after="40"/>
            </w:pPr>
            <w:r>
              <w:rPr>
                <w:rFonts w:ascii="Cambria" w:hAnsi="Cambria"/>
                <w:b w:val="0"/>
                <w:i w:val="0"/>
                <w:sz w:val="17"/>
              </w:rPr>
              <w:t>0.20</w:t>
            </w:r>
          </w:p>
        </w:tc>
        <w:tc>
          <w:tcPr>
            <w:tcW w:type="dxa" w:w="1312"/>
          </w:tcPr>
          <w:p>
            <w:pPr>
              <w:spacing w:after="40"/>
            </w:pPr>
            <w:r>
              <w:rPr>
                <w:rFonts w:ascii="Cambria" w:hAnsi="Cambria"/>
                <w:b w:val="0"/>
                <w:i w:val="0"/>
                <w:sz w:val="17"/>
              </w:rPr>
              <w:t>928.4</w:t>
            </w:r>
          </w:p>
        </w:tc>
        <w:tc>
          <w:tcPr>
            <w:tcW w:type="dxa" w:w="1312"/>
          </w:tcPr>
          <w:p>
            <w:pPr>
              <w:spacing w:after="40"/>
            </w:pPr>
            <w:r>
              <w:rPr>
                <w:rFonts w:ascii="Cambria" w:hAnsi="Cambria"/>
                <w:b w:val="0"/>
                <w:i w:val="0"/>
                <w:sz w:val="17"/>
              </w:rPr>
              <w:t>2.9</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I04</w:t>
            </w:r>
          </w:p>
        </w:tc>
        <w:tc>
          <w:tcPr>
            <w:tcW w:type="dxa" w:w="1312"/>
          </w:tcPr>
          <w:p>
            <w:pPr>
              <w:spacing w:after="40"/>
            </w:pPr>
            <w:r>
              <w:rPr>
                <w:rFonts w:ascii="Cambria" w:hAnsi="Cambria"/>
                <w:b w:val="0"/>
                <w:i w:val="0"/>
                <w:sz w:val="17"/>
              </w:rPr>
              <w:t>0.30</w:t>
            </w:r>
          </w:p>
        </w:tc>
        <w:tc>
          <w:tcPr>
            <w:tcW w:type="dxa" w:w="1312"/>
          </w:tcPr>
          <w:p>
            <w:pPr>
              <w:spacing w:after="40"/>
            </w:pPr>
            <w:r>
              <w:rPr>
                <w:rFonts w:ascii="Cambria" w:hAnsi="Cambria"/>
                <w:b w:val="0"/>
                <w:i w:val="0"/>
                <w:sz w:val="17"/>
              </w:rPr>
              <w:t>928.4</w:t>
            </w:r>
          </w:p>
        </w:tc>
        <w:tc>
          <w:tcPr>
            <w:tcW w:type="dxa" w:w="1312"/>
          </w:tcPr>
          <w:p>
            <w:pPr>
              <w:spacing w:after="40"/>
            </w:pPr>
            <w:r>
              <w:rPr>
                <w:rFonts w:ascii="Cambria" w:hAnsi="Cambria"/>
                <w:b w:val="0"/>
                <w:i w:val="0"/>
                <w:sz w:val="17"/>
              </w:rPr>
              <w:t>4.4</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I05</w:t>
            </w:r>
          </w:p>
        </w:tc>
        <w:tc>
          <w:tcPr>
            <w:tcW w:type="dxa" w:w="1312"/>
          </w:tcPr>
          <w:p>
            <w:pPr>
              <w:spacing w:after="40"/>
            </w:pPr>
            <w:r>
              <w:rPr>
                <w:rFonts w:ascii="Cambria" w:hAnsi="Cambria"/>
                <w:b w:val="0"/>
                <w:i w:val="0"/>
                <w:sz w:val="17"/>
              </w:rPr>
              <w:t>0.05</w:t>
            </w:r>
          </w:p>
        </w:tc>
        <w:tc>
          <w:tcPr>
            <w:tcW w:type="dxa" w:w="1312"/>
          </w:tcPr>
          <w:p>
            <w:pPr>
              <w:spacing w:after="40"/>
            </w:pPr>
            <w:r>
              <w:rPr>
                <w:rFonts w:ascii="Cambria" w:hAnsi="Cambria"/>
                <w:b w:val="0"/>
                <w:i w:val="0"/>
                <w:sz w:val="17"/>
              </w:rPr>
              <w:t>1079.4</w:t>
            </w:r>
          </w:p>
        </w:tc>
        <w:tc>
          <w:tcPr>
            <w:tcW w:type="dxa" w:w="1312"/>
          </w:tcPr>
          <w:p>
            <w:pPr>
              <w:spacing w:after="40"/>
            </w:pPr>
            <w:r>
              <w:rPr>
                <w:rFonts w:ascii="Cambria" w:hAnsi="Cambria"/>
                <w:b w:val="0"/>
                <w:i w:val="0"/>
                <w:sz w:val="17"/>
              </w:rPr>
              <w:t>0.7</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I05</w:t>
            </w:r>
          </w:p>
        </w:tc>
        <w:tc>
          <w:tcPr>
            <w:tcW w:type="dxa" w:w="1312"/>
          </w:tcPr>
          <w:p>
            <w:pPr>
              <w:spacing w:after="40"/>
            </w:pPr>
            <w:r>
              <w:rPr>
                <w:rFonts w:ascii="Cambria" w:hAnsi="Cambria"/>
                <w:b w:val="0"/>
                <w:i w:val="0"/>
                <w:sz w:val="17"/>
              </w:rPr>
              <w:t>0.10</w:t>
            </w:r>
          </w:p>
        </w:tc>
        <w:tc>
          <w:tcPr>
            <w:tcW w:type="dxa" w:w="1312"/>
          </w:tcPr>
          <w:p>
            <w:pPr>
              <w:spacing w:after="40"/>
            </w:pPr>
            <w:r>
              <w:rPr>
                <w:rFonts w:ascii="Cambria" w:hAnsi="Cambria"/>
                <w:b w:val="0"/>
                <w:i w:val="0"/>
                <w:sz w:val="17"/>
              </w:rPr>
              <w:t>1079.4</w:t>
            </w:r>
          </w:p>
        </w:tc>
        <w:tc>
          <w:tcPr>
            <w:tcW w:type="dxa" w:w="1312"/>
          </w:tcPr>
          <w:p>
            <w:pPr>
              <w:spacing w:after="40"/>
            </w:pPr>
            <w:r>
              <w:rPr>
                <w:rFonts w:ascii="Cambria" w:hAnsi="Cambria"/>
                <w:b w:val="0"/>
                <w:i w:val="0"/>
                <w:sz w:val="17"/>
              </w:rPr>
              <w:t>1.4</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I05</w:t>
            </w:r>
          </w:p>
        </w:tc>
        <w:tc>
          <w:tcPr>
            <w:tcW w:type="dxa" w:w="1312"/>
          </w:tcPr>
          <w:p>
            <w:pPr>
              <w:spacing w:after="40"/>
            </w:pPr>
            <w:r>
              <w:rPr>
                <w:rFonts w:ascii="Cambria" w:hAnsi="Cambria"/>
                <w:b w:val="0"/>
                <w:i w:val="0"/>
                <w:sz w:val="17"/>
              </w:rPr>
              <w:t>0.20</w:t>
            </w:r>
          </w:p>
        </w:tc>
        <w:tc>
          <w:tcPr>
            <w:tcW w:type="dxa" w:w="1312"/>
          </w:tcPr>
          <w:p>
            <w:pPr>
              <w:spacing w:after="40"/>
            </w:pPr>
            <w:r>
              <w:rPr>
                <w:rFonts w:ascii="Cambria" w:hAnsi="Cambria"/>
                <w:b w:val="0"/>
                <w:i w:val="0"/>
                <w:sz w:val="17"/>
              </w:rPr>
              <w:t>1079.5</w:t>
            </w:r>
          </w:p>
        </w:tc>
        <w:tc>
          <w:tcPr>
            <w:tcW w:type="dxa" w:w="1312"/>
          </w:tcPr>
          <w:p>
            <w:pPr>
              <w:spacing w:after="40"/>
            </w:pPr>
            <w:r>
              <w:rPr>
                <w:rFonts w:ascii="Cambria" w:hAnsi="Cambria"/>
                <w:b w:val="0"/>
                <w:i w:val="0"/>
                <w:sz w:val="17"/>
              </w:rPr>
              <w:t>2.9</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I05</w:t>
            </w:r>
          </w:p>
        </w:tc>
        <w:tc>
          <w:tcPr>
            <w:tcW w:type="dxa" w:w="1312"/>
          </w:tcPr>
          <w:p>
            <w:pPr>
              <w:spacing w:after="40"/>
            </w:pPr>
            <w:r>
              <w:rPr>
                <w:rFonts w:ascii="Cambria" w:hAnsi="Cambria"/>
                <w:b w:val="0"/>
                <w:i w:val="0"/>
                <w:sz w:val="17"/>
              </w:rPr>
              <w:t>0.30</w:t>
            </w:r>
          </w:p>
        </w:tc>
        <w:tc>
          <w:tcPr>
            <w:tcW w:type="dxa" w:w="1312"/>
          </w:tcPr>
          <w:p>
            <w:pPr>
              <w:spacing w:after="40"/>
            </w:pPr>
            <w:r>
              <w:rPr>
                <w:rFonts w:ascii="Cambria" w:hAnsi="Cambria"/>
                <w:b w:val="0"/>
                <w:i w:val="0"/>
                <w:sz w:val="17"/>
              </w:rPr>
              <w:t>1079.5</w:t>
            </w:r>
          </w:p>
        </w:tc>
        <w:tc>
          <w:tcPr>
            <w:tcW w:type="dxa" w:w="1312"/>
          </w:tcPr>
          <w:p>
            <w:pPr>
              <w:spacing w:after="40"/>
            </w:pPr>
            <w:r>
              <w:rPr>
                <w:rFonts w:ascii="Cambria" w:hAnsi="Cambria"/>
                <w:b w:val="0"/>
                <w:i w:val="0"/>
                <w:sz w:val="17"/>
              </w:rPr>
              <w:t>4.4</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I06</w:t>
            </w:r>
          </w:p>
        </w:tc>
        <w:tc>
          <w:tcPr>
            <w:tcW w:type="dxa" w:w="1312"/>
          </w:tcPr>
          <w:p>
            <w:pPr>
              <w:spacing w:after="40"/>
            </w:pPr>
            <w:r>
              <w:rPr>
                <w:rFonts w:ascii="Cambria" w:hAnsi="Cambria"/>
                <w:b w:val="0"/>
                <w:i w:val="0"/>
                <w:sz w:val="17"/>
              </w:rPr>
              <w:t>0.05</w:t>
            </w:r>
          </w:p>
        </w:tc>
        <w:tc>
          <w:tcPr>
            <w:tcW w:type="dxa" w:w="1312"/>
          </w:tcPr>
          <w:p>
            <w:pPr>
              <w:spacing w:after="40"/>
            </w:pPr>
            <w:r>
              <w:rPr>
                <w:rFonts w:ascii="Cambria" w:hAnsi="Cambria"/>
                <w:b w:val="0"/>
                <w:i w:val="0"/>
                <w:sz w:val="17"/>
              </w:rPr>
              <w:t>956.5</w:t>
            </w:r>
          </w:p>
        </w:tc>
        <w:tc>
          <w:tcPr>
            <w:tcW w:type="dxa" w:w="1312"/>
          </w:tcPr>
          <w:p>
            <w:pPr>
              <w:spacing w:after="40"/>
            </w:pPr>
            <w:r>
              <w:rPr>
                <w:rFonts w:ascii="Cambria" w:hAnsi="Cambria"/>
                <w:b w:val="0"/>
                <w:i w:val="0"/>
                <w:sz w:val="17"/>
              </w:rPr>
              <w:t>0.7</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I06</w:t>
            </w:r>
          </w:p>
        </w:tc>
        <w:tc>
          <w:tcPr>
            <w:tcW w:type="dxa" w:w="1312"/>
          </w:tcPr>
          <w:p>
            <w:pPr>
              <w:spacing w:after="40"/>
            </w:pPr>
            <w:r>
              <w:rPr>
                <w:rFonts w:ascii="Cambria" w:hAnsi="Cambria"/>
                <w:b w:val="0"/>
                <w:i w:val="0"/>
                <w:sz w:val="17"/>
              </w:rPr>
              <w:t>0.10</w:t>
            </w:r>
          </w:p>
        </w:tc>
        <w:tc>
          <w:tcPr>
            <w:tcW w:type="dxa" w:w="1312"/>
          </w:tcPr>
          <w:p>
            <w:pPr>
              <w:spacing w:after="40"/>
            </w:pPr>
            <w:r>
              <w:rPr>
                <w:rFonts w:ascii="Cambria" w:hAnsi="Cambria"/>
                <w:b w:val="0"/>
                <w:i w:val="0"/>
                <w:sz w:val="17"/>
              </w:rPr>
              <w:t>956.6</w:t>
            </w:r>
          </w:p>
        </w:tc>
        <w:tc>
          <w:tcPr>
            <w:tcW w:type="dxa" w:w="1312"/>
          </w:tcPr>
          <w:p>
            <w:pPr>
              <w:spacing w:after="40"/>
            </w:pPr>
            <w:r>
              <w:rPr>
                <w:rFonts w:ascii="Cambria" w:hAnsi="Cambria"/>
                <w:b w:val="0"/>
                <w:i w:val="0"/>
                <w:sz w:val="17"/>
              </w:rPr>
              <w:t>1.4</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I06</w:t>
            </w:r>
          </w:p>
        </w:tc>
        <w:tc>
          <w:tcPr>
            <w:tcW w:type="dxa" w:w="1312"/>
          </w:tcPr>
          <w:p>
            <w:pPr>
              <w:spacing w:after="40"/>
            </w:pPr>
            <w:r>
              <w:rPr>
                <w:rFonts w:ascii="Cambria" w:hAnsi="Cambria"/>
                <w:b w:val="0"/>
                <w:i w:val="0"/>
                <w:sz w:val="17"/>
              </w:rPr>
              <w:t>0.20</w:t>
            </w:r>
          </w:p>
        </w:tc>
        <w:tc>
          <w:tcPr>
            <w:tcW w:type="dxa" w:w="1312"/>
          </w:tcPr>
          <w:p>
            <w:pPr>
              <w:spacing w:after="40"/>
            </w:pPr>
            <w:r>
              <w:rPr>
                <w:rFonts w:ascii="Cambria" w:hAnsi="Cambria"/>
                <w:b w:val="0"/>
                <w:i w:val="0"/>
                <w:sz w:val="17"/>
              </w:rPr>
              <w:t>956.8</w:t>
            </w:r>
          </w:p>
        </w:tc>
        <w:tc>
          <w:tcPr>
            <w:tcW w:type="dxa" w:w="1312"/>
          </w:tcPr>
          <w:p>
            <w:pPr>
              <w:spacing w:after="40"/>
            </w:pPr>
            <w:r>
              <w:rPr>
                <w:rFonts w:ascii="Cambria" w:hAnsi="Cambria"/>
                <w:b w:val="0"/>
                <w:i w:val="0"/>
                <w:sz w:val="17"/>
              </w:rPr>
              <w:t>2.8</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I06</w:t>
            </w:r>
          </w:p>
        </w:tc>
        <w:tc>
          <w:tcPr>
            <w:tcW w:type="dxa" w:w="1312"/>
          </w:tcPr>
          <w:p>
            <w:pPr>
              <w:spacing w:after="40"/>
            </w:pPr>
            <w:r>
              <w:rPr>
                <w:rFonts w:ascii="Cambria" w:hAnsi="Cambria"/>
                <w:b w:val="0"/>
                <w:i w:val="0"/>
                <w:sz w:val="17"/>
              </w:rPr>
              <w:t>0.30</w:t>
            </w:r>
          </w:p>
        </w:tc>
        <w:tc>
          <w:tcPr>
            <w:tcW w:type="dxa" w:w="1312"/>
          </w:tcPr>
          <w:p>
            <w:pPr>
              <w:spacing w:after="40"/>
            </w:pPr>
            <w:r>
              <w:rPr>
                <w:rFonts w:ascii="Cambria" w:hAnsi="Cambria"/>
                <w:b w:val="0"/>
                <w:i w:val="0"/>
                <w:sz w:val="17"/>
              </w:rPr>
              <w:t>957.0</w:t>
            </w:r>
          </w:p>
        </w:tc>
        <w:tc>
          <w:tcPr>
            <w:tcW w:type="dxa" w:w="1312"/>
          </w:tcPr>
          <w:p>
            <w:pPr>
              <w:spacing w:after="40"/>
            </w:pPr>
            <w:r>
              <w:rPr>
                <w:rFonts w:ascii="Cambria" w:hAnsi="Cambria"/>
                <w:b w:val="0"/>
                <w:i w:val="0"/>
                <w:sz w:val="17"/>
              </w:rPr>
              <w:t>4.2</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I07</w:t>
            </w:r>
          </w:p>
        </w:tc>
        <w:tc>
          <w:tcPr>
            <w:tcW w:type="dxa" w:w="1312"/>
          </w:tcPr>
          <w:p>
            <w:pPr>
              <w:spacing w:after="40"/>
            </w:pPr>
            <w:r>
              <w:rPr>
                <w:rFonts w:ascii="Cambria" w:hAnsi="Cambria"/>
                <w:b w:val="0"/>
                <w:i w:val="0"/>
                <w:sz w:val="17"/>
              </w:rPr>
              <w:t>0.05</w:t>
            </w:r>
          </w:p>
        </w:tc>
        <w:tc>
          <w:tcPr>
            <w:tcW w:type="dxa" w:w="1312"/>
          </w:tcPr>
          <w:p>
            <w:pPr>
              <w:spacing w:after="40"/>
            </w:pPr>
            <w:r>
              <w:rPr>
                <w:rFonts w:ascii="Cambria" w:hAnsi="Cambria"/>
                <w:b w:val="0"/>
                <w:i w:val="0"/>
                <w:sz w:val="17"/>
              </w:rPr>
              <w:t>991.5</w:t>
            </w:r>
          </w:p>
        </w:tc>
        <w:tc>
          <w:tcPr>
            <w:tcW w:type="dxa" w:w="1312"/>
          </w:tcPr>
          <w:p>
            <w:pPr>
              <w:spacing w:after="40"/>
            </w:pPr>
            <w:r>
              <w:rPr>
                <w:rFonts w:ascii="Cambria" w:hAnsi="Cambria"/>
                <w:b w:val="0"/>
                <w:i w:val="0"/>
                <w:sz w:val="17"/>
              </w:rPr>
              <w:t>0.7</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I07</w:t>
            </w:r>
          </w:p>
        </w:tc>
        <w:tc>
          <w:tcPr>
            <w:tcW w:type="dxa" w:w="1312"/>
          </w:tcPr>
          <w:p>
            <w:pPr>
              <w:spacing w:after="40"/>
            </w:pPr>
            <w:r>
              <w:rPr>
                <w:rFonts w:ascii="Cambria" w:hAnsi="Cambria"/>
                <w:b w:val="0"/>
                <w:i w:val="0"/>
                <w:sz w:val="17"/>
              </w:rPr>
              <w:t>0.10</w:t>
            </w:r>
          </w:p>
        </w:tc>
        <w:tc>
          <w:tcPr>
            <w:tcW w:type="dxa" w:w="1312"/>
          </w:tcPr>
          <w:p>
            <w:pPr>
              <w:spacing w:after="40"/>
            </w:pPr>
            <w:r>
              <w:rPr>
                <w:rFonts w:ascii="Cambria" w:hAnsi="Cambria"/>
                <w:b w:val="0"/>
                <w:i w:val="0"/>
                <w:sz w:val="17"/>
              </w:rPr>
              <w:t>991.5</w:t>
            </w:r>
          </w:p>
        </w:tc>
        <w:tc>
          <w:tcPr>
            <w:tcW w:type="dxa" w:w="1312"/>
          </w:tcPr>
          <w:p>
            <w:pPr>
              <w:spacing w:after="40"/>
            </w:pPr>
            <w:r>
              <w:rPr>
                <w:rFonts w:ascii="Cambria" w:hAnsi="Cambria"/>
                <w:b w:val="0"/>
                <w:i w:val="0"/>
                <w:sz w:val="17"/>
              </w:rPr>
              <w:t>1.4</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I07</w:t>
            </w:r>
          </w:p>
        </w:tc>
        <w:tc>
          <w:tcPr>
            <w:tcW w:type="dxa" w:w="1312"/>
          </w:tcPr>
          <w:p>
            <w:pPr>
              <w:spacing w:after="40"/>
            </w:pPr>
            <w:r>
              <w:rPr>
                <w:rFonts w:ascii="Cambria" w:hAnsi="Cambria"/>
                <w:b w:val="0"/>
                <w:i w:val="0"/>
                <w:sz w:val="17"/>
              </w:rPr>
              <w:t>0.20</w:t>
            </w:r>
          </w:p>
        </w:tc>
        <w:tc>
          <w:tcPr>
            <w:tcW w:type="dxa" w:w="1312"/>
          </w:tcPr>
          <w:p>
            <w:pPr>
              <w:spacing w:after="40"/>
            </w:pPr>
            <w:r>
              <w:rPr>
                <w:rFonts w:ascii="Cambria" w:hAnsi="Cambria"/>
                <w:b w:val="0"/>
                <w:i w:val="0"/>
                <w:sz w:val="17"/>
              </w:rPr>
              <w:t>991.6</w:t>
            </w:r>
          </w:p>
        </w:tc>
        <w:tc>
          <w:tcPr>
            <w:tcW w:type="dxa" w:w="1312"/>
          </w:tcPr>
          <w:p>
            <w:pPr>
              <w:spacing w:after="40"/>
            </w:pPr>
            <w:r>
              <w:rPr>
                <w:rFonts w:ascii="Cambria" w:hAnsi="Cambria"/>
                <w:b w:val="0"/>
                <w:i w:val="0"/>
                <w:sz w:val="17"/>
              </w:rPr>
              <w:t>2.9</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I07</w:t>
            </w:r>
          </w:p>
        </w:tc>
        <w:tc>
          <w:tcPr>
            <w:tcW w:type="dxa" w:w="1312"/>
          </w:tcPr>
          <w:p>
            <w:pPr>
              <w:spacing w:after="40"/>
            </w:pPr>
            <w:r>
              <w:rPr>
                <w:rFonts w:ascii="Cambria" w:hAnsi="Cambria"/>
                <w:b w:val="0"/>
                <w:i w:val="0"/>
                <w:sz w:val="17"/>
              </w:rPr>
              <w:t>0.30</w:t>
            </w:r>
          </w:p>
        </w:tc>
        <w:tc>
          <w:tcPr>
            <w:tcW w:type="dxa" w:w="1312"/>
          </w:tcPr>
          <w:p>
            <w:pPr>
              <w:spacing w:after="40"/>
            </w:pPr>
            <w:r>
              <w:rPr>
                <w:rFonts w:ascii="Cambria" w:hAnsi="Cambria"/>
                <w:b w:val="0"/>
                <w:i w:val="0"/>
                <w:sz w:val="17"/>
              </w:rPr>
              <w:t>991.6</w:t>
            </w:r>
          </w:p>
        </w:tc>
        <w:tc>
          <w:tcPr>
            <w:tcW w:type="dxa" w:w="1312"/>
          </w:tcPr>
          <w:p>
            <w:pPr>
              <w:spacing w:after="40"/>
            </w:pPr>
            <w:r>
              <w:rPr>
                <w:rFonts w:ascii="Cambria" w:hAnsi="Cambria"/>
                <w:b w:val="0"/>
                <w:i w:val="0"/>
                <w:sz w:val="17"/>
              </w:rPr>
              <w:t>4.3</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 xml:space="preserve">I08 </w:t>
            </w:r>
            <w:r>
              <w:rPr>
                <w:rFonts w:ascii="Cambria" w:hAnsi="Cambria"/>
                <w:sz w:val="17"/>
                <w:vertAlign w:val="superscript"/>
              </w:rPr>
              <w:t>a</w:t>
            </w:r>
          </w:p>
        </w:tc>
        <w:tc>
          <w:tcPr>
            <w:tcW w:type="dxa" w:w="1312"/>
          </w:tcPr>
          <w:p>
            <w:pPr>
              <w:spacing w:after="40"/>
            </w:pPr>
            <w:r>
              <w:rPr>
                <w:rFonts w:ascii="Cambria" w:hAnsi="Cambria"/>
                <w:b w:val="0"/>
                <w:i w:val="0"/>
                <w:sz w:val="17"/>
              </w:rPr>
              <w:t>0.05</w:t>
            </w:r>
          </w:p>
        </w:tc>
        <w:tc>
          <w:tcPr>
            <w:tcW w:type="dxa" w:w="1312"/>
          </w:tcPr>
          <w:p>
            <w:pPr>
              <w:spacing w:after="40"/>
            </w:pPr>
            <w:r>
              <w:rPr>
                <w:rFonts w:ascii="Cambria" w:hAnsi="Cambria"/>
                <w:b w:val="0"/>
                <w:i w:val="0"/>
                <w:sz w:val="17"/>
              </w:rPr>
              <w:t>1087.1</w:t>
            </w:r>
          </w:p>
        </w:tc>
        <w:tc>
          <w:tcPr>
            <w:tcW w:type="dxa" w:w="1312"/>
          </w:tcPr>
          <w:p>
            <w:pPr>
              <w:spacing w:after="40"/>
            </w:pPr>
            <w:r>
              <w:rPr>
                <w:rFonts w:ascii="Cambria" w:hAnsi="Cambria"/>
                <w:b w:val="0"/>
                <w:i w:val="0"/>
                <w:sz w:val="17"/>
              </w:rPr>
              <w:t>0.6</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 xml:space="preserve">I08 </w:t>
            </w:r>
            <w:r>
              <w:rPr>
                <w:rFonts w:ascii="Cambria" w:hAnsi="Cambria"/>
                <w:sz w:val="17"/>
                <w:vertAlign w:val="superscript"/>
              </w:rPr>
              <w:t>a</w:t>
            </w:r>
          </w:p>
        </w:tc>
        <w:tc>
          <w:tcPr>
            <w:tcW w:type="dxa" w:w="1312"/>
          </w:tcPr>
          <w:p>
            <w:pPr>
              <w:spacing w:after="40"/>
            </w:pPr>
            <w:r>
              <w:rPr>
                <w:rFonts w:ascii="Cambria" w:hAnsi="Cambria"/>
                <w:b w:val="0"/>
                <w:i w:val="0"/>
                <w:sz w:val="17"/>
              </w:rPr>
              <w:t>0.10</w:t>
            </w:r>
          </w:p>
        </w:tc>
        <w:tc>
          <w:tcPr>
            <w:tcW w:type="dxa" w:w="1312"/>
          </w:tcPr>
          <w:p>
            <w:pPr>
              <w:spacing w:after="40"/>
            </w:pPr>
            <w:r>
              <w:rPr>
                <w:rFonts w:ascii="Cambria" w:hAnsi="Cambria"/>
                <w:b w:val="0"/>
                <w:i w:val="0"/>
                <w:sz w:val="17"/>
              </w:rPr>
              <w:t>1087.2</w:t>
            </w:r>
          </w:p>
        </w:tc>
        <w:tc>
          <w:tcPr>
            <w:tcW w:type="dxa" w:w="1312"/>
          </w:tcPr>
          <w:p>
            <w:pPr>
              <w:spacing w:after="40"/>
            </w:pPr>
            <w:r>
              <w:rPr>
                <w:rFonts w:ascii="Cambria" w:hAnsi="Cambria"/>
                <w:b w:val="0"/>
                <w:i w:val="0"/>
                <w:sz w:val="17"/>
              </w:rPr>
              <w:t>1.2</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 xml:space="preserve">I08 </w:t>
            </w:r>
            <w:r>
              <w:rPr>
                <w:rFonts w:ascii="Cambria" w:hAnsi="Cambria"/>
                <w:sz w:val="17"/>
                <w:vertAlign w:val="superscript"/>
              </w:rPr>
              <w:t>a</w:t>
            </w:r>
          </w:p>
        </w:tc>
        <w:tc>
          <w:tcPr>
            <w:tcW w:type="dxa" w:w="1312"/>
          </w:tcPr>
          <w:p>
            <w:pPr>
              <w:spacing w:after="40"/>
            </w:pPr>
            <w:r>
              <w:rPr>
                <w:rFonts w:ascii="Cambria" w:hAnsi="Cambria"/>
                <w:b w:val="0"/>
                <w:i w:val="0"/>
                <w:sz w:val="17"/>
              </w:rPr>
              <w:t>0.20</w:t>
            </w:r>
          </w:p>
        </w:tc>
        <w:tc>
          <w:tcPr>
            <w:tcW w:type="dxa" w:w="1312"/>
          </w:tcPr>
          <w:p>
            <w:pPr>
              <w:spacing w:after="40"/>
            </w:pPr>
            <w:r>
              <w:rPr>
                <w:rFonts w:ascii="Cambria" w:hAnsi="Cambria"/>
                <w:b w:val="0"/>
                <w:i w:val="0"/>
                <w:sz w:val="17"/>
              </w:rPr>
              <w:t>1087.4</w:t>
            </w:r>
          </w:p>
        </w:tc>
        <w:tc>
          <w:tcPr>
            <w:tcW w:type="dxa" w:w="1312"/>
          </w:tcPr>
          <w:p>
            <w:pPr>
              <w:spacing w:after="40"/>
            </w:pPr>
            <w:r>
              <w:rPr>
                <w:rFonts w:ascii="Cambria" w:hAnsi="Cambria"/>
                <w:b w:val="0"/>
                <w:i w:val="0"/>
                <w:sz w:val="17"/>
              </w:rPr>
              <w:t>2.4</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 xml:space="preserve">I08 </w:t>
            </w:r>
            <w:r>
              <w:rPr>
                <w:rFonts w:ascii="Cambria" w:hAnsi="Cambria"/>
                <w:sz w:val="17"/>
                <w:vertAlign w:val="superscript"/>
              </w:rPr>
              <w:t>a</w:t>
            </w:r>
          </w:p>
        </w:tc>
        <w:tc>
          <w:tcPr>
            <w:tcW w:type="dxa" w:w="1312"/>
          </w:tcPr>
          <w:p>
            <w:pPr>
              <w:spacing w:after="40"/>
            </w:pPr>
            <w:r>
              <w:rPr>
                <w:rFonts w:ascii="Cambria" w:hAnsi="Cambria"/>
                <w:b w:val="0"/>
                <w:i w:val="0"/>
                <w:sz w:val="17"/>
              </w:rPr>
              <w:t>0.30</w:t>
            </w:r>
          </w:p>
        </w:tc>
        <w:tc>
          <w:tcPr>
            <w:tcW w:type="dxa" w:w="1312"/>
          </w:tcPr>
          <w:p>
            <w:pPr>
              <w:spacing w:after="40"/>
            </w:pPr>
            <w:r>
              <w:rPr>
                <w:rFonts w:ascii="Cambria" w:hAnsi="Cambria"/>
                <w:b w:val="0"/>
                <w:i w:val="0"/>
                <w:sz w:val="17"/>
              </w:rPr>
              <w:t>1087.7</w:t>
            </w:r>
          </w:p>
        </w:tc>
        <w:tc>
          <w:tcPr>
            <w:tcW w:type="dxa" w:w="1312"/>
          </w:tcPr>
          <w:p>
            <w:pPr>
              <w:spacing w:after="40"/>
            </w:pPr>
            <w:r>
              <w:rPr>
                <w:rFonts w:ascii="Cambria" w:hAnsi="Cambria"/>
                <w:b w:val="0"/>
                <w:i w:val="0"/>
                <w:sz w:val="17"/>
              </w:rPr>
              <w:t>3.6</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I09</w:t>
            </w:r>
          </w:p>
        </w:tc>
        <w:tc>
          <w:tcPr>
            <w:tcW w:type="dxa" w:w="1312"/>
          </w:tcPr>
          <w:p>
            <w:pPr>
              <w:spacing w:after="40"/>
            </w:pPr>
            <w:r>
              <w:rPr>
                <w:rFonts w:ascii="Cambria" w:hAnsi="Cambria"/>
                <w:b w:val="0"/>
                <w:i w:val="0"/>
                <w:sz w:val="17"/>
              </w:rPr>
              <w:t>0.05</w:t>
            </w:r>
          </w:p>
        </w:tc>
        <w:tc>
          <w:tcPr>
            <w:tcW w:type="dxa" w:w="1312"/>
          </w:tcPr>
          <w:p>
            <w:pPr>
              <w:spacing w:after="40"/>
            </w:pPr>
            <w:r>
              <w:rPr>
                <w:rFonts w:ascii="Cambria" w:hAnsi="Cambria"/>
                <w:b w:val="0"/>
                <w:i w:val="0"/>
                <w:sz w:val="17"/>
              </w:rPr>
              <w:t>1031.1</w:t>
            </w:r>
          </w:p>
        </w:tc>
        <w:tc>
          <w:tcPr>
            <w:tcW w:type="dxa" w:w="1312"/>
          </w:tcPr>
          <w:p>
            <w:pPr>
              <w:spacing w:after="40"/>
            </w:pPr>
            <w:r>
              <w:rPr>
                <w:rFonts w:ascii="Cambria" w:hAnsi="Cambria"/>
                <w:b w:val="0"/>
                <w:i w:val="0"/>
                <w:sz w:val="17"/>
              </w:rPr>
              <w:t>0.7</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I09</w:t>
            </w:r>
          </w:p>
        </w:tc>
        <w:tc>
          <w:tcPr>
            <w:tcW w:type="dxa" w:w="1312"/>
          </w:tcPr>
          <w:p>
            <w:pPr>
              <w:spacing w:after="40"/>
            </w:pPr>
            <w:r>
              <w:rPr>
                <w:rFonts w:ascii="Cambria" w:hAnsi="Cambria"/>
                <w:b w:val="0"/>
                <w:i w:val="0"/>
                <w:sz w:val="17"/>
              </w:rPr>
              <w:t>0.10</w:t>
            </w:r>
          </w:p>
        </w:tc>
        <w:tc>
          <w:tcPr>
            <w:tcW w:type="dxa" w:w="1312"/>
          </w:tcPr>
          <w:p>
            <w:pPr>
              <w:spacing w:after="40"/>
            </w:pPr>
            <w:r>
              <w:rPr>
                <w:rFonts w:ascii="Cambria" w:hAnsi="Cambria"/>
                <w:b w:val="0"/>
                <w:i w:val="0"/>
                <w:sz w:val="17"/>
              </w:rPr>
              <w:t>1031.1</w:t>
            </w:r>
          </w:p>
        </w:tc>
        <w:tc>
          <w:tcPr>
            <w:tcW w:type="dxa" w:w="1312"/>
          </w:tcPr>
          <w:p>
            <w:pPr>
              <w:spacing w:after="40"/>
            </w:pPr>
            <w:r>
              <w:rPr>
                <w:rFonts w:ascii="Cambria" w:hAnsi="Cambria"/>
                <w:b w:val="0"/>
                <w:i w:val="0"/>
                <w:sz w:val="17"/>
              </w:rPr>
              <w:t>1.4</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 xml:space="preserve">I09 </w:t>
            </w:r>
            <w:r>
              <w:rPr>
                <w:rFonts w:ascii="Cambria" w:hAnsi="Cambria"/>
                <w:sz w:val="17"/>
                <w:vertAlign w:val="superscript"/>
              </w:rPr>
              <w:t>b</w:t>
            </w:r>
          </w:p>
        </w:tc>
        <w:tc>
          <w:tcPr>
            <w:tcW w:type="dxa" w:w="1312"/>
          </w:tcPr>
          <w:p>
            <w:pPr>
              <w:spacing w:after="40"/>
            </w:pPr>
            <w:r>
              <w:rPr>
                <w:rFonts w:ascii="Cambria" w:hAnsi="Cambria"/>
                <w:b w:val="0"/>
                <w:i w:val="0"/>
                <w:sz w:val="17"/>
              </w:rPr>
              <w:t>0.20</w:t>
            </w:r>
          </w:p>
        </w:tc>
        <w:tc>
          <w:tcPr>
            <w:tcW w:type="dxa" w:w="1312"/>
          </w:tcPr>
          <w:p>
            <w:pPr>
              <w:spacing w:after="40"/>
            </w:pPr>
            <w:r>
              <w:rPr>
                <w:rFonts w:ascii="Cambria" w:hAnsi="Cambria"/>
                <w:b w:val="0"/>
                <w:i w:val="0"/>
                <w:sz w:val="17"/>
              </w:rPr>
              <w:t>1031.2</w:t>
            </w:r>
          </w:p>
        </w:tc>
        <w:tc>
          <w:tcPr>
            <w:tcW w:type="dxa" w:w="1312"/>
          </w:tcPr>
          <w:p>
            <w:pPr>
              <w:spacing w:after="40"/>
            </w:pPr>
            <w:r>
              <w:rPr>
                <w:rFonts w:ascii="Cambria" w:hAnsi="Cambria"/>
                <w:b w:val="0"/>
                <w:i w:val="0"/>
                <w:sz w:val="17"/>
              </w:rPr>
              <w:t>2.9</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 xml:space="preserve">I09 </w:t>
            </w:r>
            <w:r>
              <w:rPr>
                <w:rFonts w:ascii="Cambria" w:hAnsi="Cambria"/>
                <w:sz w:val="17"/>
                <w:vertAlign w:val="superscript"/>
              </w:rPr>
              <w:t>b</w:t>
            </w:r>
          </w:p>
        </w:tc>
        <w:tc>
          <w:tcPr>
            <w:tcW w:type="dxa" w:w="1312"/>
          </w:tcPr>
          <w:p>
            <w:pPr>
              <w:spacing w:after="40"/>
            </w:pPr>
            <w:r>
              <w:rPr>
                <w:rFonts w:ascii="Cambria" w:hAnsi="Cambria"/>
                <w:b w:val="0"/>
                <w:i w:val="0"/>
                <w:sz w:val="17"/>
              </w:rPr>
              <w:t>0.30</w:t>
            </w:r>
          </w:p>
        </w:tc>
        <w:tc>
          <w:tcPr>
            <w:tcW w:type="dxa" w:w="1312"/>
          </w:tcPr>
          <w:p>
            <w:pPr>
              <w:spacing w:after="40"/>
            </w:pPr>
            <w:r>
              <w:rPr>
                <w:rFonts w:ascii="Cambria" w:hAnsi="Cambria"/>
                <w:b w:val="0"/>
                <w:i w:val="0"/>
                <w:sz w:val="17"/>
              </w:rPr>
              <w:t>1031.3</w:t>
            </w:r>
          </w:p>
        </w:tc>
        <w:tc>
          <w:tcPr>
            <w:tcW w:type="dxa" w:w="1312"/>
          </w:tcPr>
          <w:p>
            <w:pPr>
              <w:spacing w:after="40"/>
            </w:pPr>
            <w:r>
              <w:rPr>
                <w:rFonts w:ascii="Cambria" w:hAnsi="Cambria"/>
                <w:b w:val="0"/>
                <w:i w:val="0"/>
                <w:sz w:val="17"/>
              </w:rPr>
              <w:t>4.4</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I10</w:t>
            </w:r>
          </w:p>
        </w:tc>
        <w:tc>
          <w:tcPr>
            <w:tcW w:type="dxa" w:w="1312"/>
          </w:tcPr>
          <w:p>
            <w:pPr>
              <w:spacing w:after="40"/>
            </w:pPr>
            <w:r>
              <w:rPr>
                <w:rFonts w:ascii="Cambria" w:hAnsi="Cambria"/>
                <w:b w:val="0"/>
                <w:i w:val="0"/>
                <w:sz w:val="17"/>
              </w:rPr>
              <w:t>0.05</w:t>
            </w:r>
          </w:p>
        </w:tc>
        <w:tc>
          <w:tcPr>
            <w:tcW w:type="dxa" w:w="1312"/>
          </w:tcPr>
          <w:p>
            <w:pPr>
              <w:spacing w:after="40"/>
            </w:pPr>
            <w:r>
              <w:rPr>
                <w:rFonts w:ascii="Cambria" w:hAnsi="Cambria"/>
                <w:b w:val="0"/>
                <w:i w:val="0"/>
                <w:sz w:val="17"/>
              </w:rPr>
              <w:t>1094.8</w:t>
            </w:r>
          </w:p>
        </w:tc>
        <w:tc>
          <w:tcPr>
            <w:tcW w:type="dxa" w:w="1312"/>
          </w:tcPr>
          <w:p>
            <w:pPr>
              <w:spacing w:after="40"/>
            </w:pPr>
            <w:r>
              <w:rPr>
                <w:rFonts w:ascii="Cambria" w:hAnsi="Cambria"/>
                <w:b w:val="0"/>
                <w:i w:val="0"/>
                <w:sz w:val="17"/>
              </w:rPr>
              <w:t>0.7</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I10</w:t>
            </w:r>
          </w:p>
        </w:tc>
        <w:tc>
          <w:tcPr>
            <w:tcW w:type="dxa" w:w="1312"/>
          </w:tcPr>
          <w:p>
            <w:pPr>
              <w:spacing w:after="40"/>
            </w:pPr>
            <w:r>
              <w:rPr>
                <w:rFonts w:ascii="Cambria" w:hAnsi="Cambria"/>
                <w:b w:val="0"/>
                <w:i w:val="0"/>
                <w:sz w:val="17"/>
              </w:rPr>
              <w:t>0.10</w:t>
            </w:r>
          </w:p>
        </w:tc>
        <w:tc>
          <w:tcPr>
            <w:tcW w:type="dxa" w:w="1312"/>
          </w:tcPr>
          <w:p>
            <w:pPr>
              <w:spacing w:after="40"/>
            </w:pPr>
            <w:r>
              <w:rPr>
                <w:rFonts w:ascii="Cambria" w:hAnsi="Cambria"/>
                <w:b w:val="0"/>
                <w:i w:val="0"/>
                <w:sz w:val="17"/>
              </w:rPr>
              <w:t>1094.8</w:t>
            </w:r>
          </w:p>
        </w:tc>
        <w:tc>
          <w:tcPr>
            <w:tcW w:type="dxa" w:w="1312"/>
          </w:tcPr>
          <w:p>
            <w:pPr>
              <w:spacing w:after="40"/>
            </w:pPr>
            <w:r>
              <w:rPr>
                <w:rFonts w:ascii="Cambria" w:hAnsi="Cambria"/>
                <w:b w:val="0"/>
                <w:i w:val="0"/>
                <w:sz w:val="17"/>
              </w:rPr>
              <w:t>1.4</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Pr>
          <w:p>
            <w:pPr>
              <w:spacing w:after="40"/>
            </w:pPr>
            <w:r>
              <w:rPr>
                <w:rFonts w:ascii="Cambria" w:hAnsi="Cambria"/>
                <w:b w:val="0"/>
                <w:i w:val="0"/>
                <w:sz w:val="17"/>
              </w:rPr>
              <w:t>I10</w:t>
            </w:r>
          </w:p>
        </w:tc>
        <w:tc>
          <w:tcPr>
            <w:tcW w:type="dxa" w:w="1312"/>
          </w:tcPr>
          <w:p>
            <w:pPr>
              <w:spacing w:after="40"/>
            </w:pPr>
            <w:r>
              <w:rPr>
                <w:rFonts w:ascii="Cambria" w:hAnsi="Cambria"/>
                <w:b w:val="0"/>
                <w:i w:val="0"/>
                <w:sz w:val="17"/>
              </w:rPr>
              <w:t>0.20</w:t>
            </w:r>
          </w:p>
        </w:tc>
        <w:tc>
          <w:tcPr>
            <w:tcW w:type="dxa" w:w="1312"/>
          </w:tcPr>
          <w:p>
            <w:pPr>
              <w:spacing w:after="40"/>
            </w:pPr>
            <w:r>
              <w:rPr>
                <w:rFonts w:ascii="Cambria" w:hAnsi="Cambria"/>
                <w:b w:val="0"/>
                <w:i w:val="0"/>
                <w:sz w:val="17"/>
              </w:rPr>
              <w:t>1094.7</w:t>
            </w:r>
          </w:p>
        </w:tc>
        <w:tc>
          <w:tcPr>
            <w:tcW w:type="dxa" w:w="1312"/>
          </w:tcPr>
          <w:p>
            <w:pPr>
              <w:spacing w:after="40"/>
            </w:pPr>
            <w:r>
              <w:rPr>
                <w:rFonts w:ascii="Cambria" w:hAnsi="Cambria"/>
                <w:b w:val="0"/>
                <w:i w:val="0"/>
                <w:sz w:val="17"/>
              </w:rPr>
              <w:t>2.8</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c>
          <w:tcPr>
            <w:tcW w:type="dxa" w:w="1312"/>
          </w:tcPr>
          <w:p>
            <w:pPr>
              <w:spacing w:after="40"/>
            </w:pPr>
            <w:r>
              <w:rPr>
                <w:rFonts w:ascii="Cambria" w:hAnsi="Cambria"/>
                <w:b w:val="0"/>
                <w:i w:val="0"/>
                <w:sz w:val="17"/>
              </w:rPr>
              <w:t>1.00</w:t>
            </w:r>
          </w:p>
        </w:tc>
      </w:tr>
      <w:tr>
        <w:tc>
          <w:tcPr>
            <w:tcW w:type="dxa" w:w="1312"/>
            <w:tcBorders>
              <w:bottom w:sz="12" w:val="single" w:color="151515"/>
            </w:tcBorders>
          </w:tcPr>
          <w:p>
            <w:pPr>
              <w:spacing w:after="40"/>
            </w:pPr>
            <w:r>
              <w:rPr>
                <w:rFonts w:ascii="Cambria" w:hAnsi="Cambria"/>
                <w:b w:val="0"/>
                <w:i w:val="0"/>
                <w:sz w:val="17"/>
              </w:rPr>
              <w:t>I10</w:t>
            </w:r>
          </w:p>
        </w:tc>
        <w:tc>
          <w:tcPr>
            <w:tcW w:type="dxa" w:w="1312"/>
            <w:tcBorders>
              <w:bottom w:sz="12" w:val="single" w:color="151515"/>
            </w:tcBorders>
          </w:tcPr>
          <w:p>
            <w:pPr>
              <w:spacing w:after="40"/>
            </w:pPr>
            <w:r>
              <w:rPr>
                <w:rFonts w:ascii="Cambria" w:hAnsi="Cambria"/>
                <w:b w:val="0"/>
                <w:i w:val="0"/>
                <w:sz w:val="17"/>
              </w:rPr>
              <w:t>0.30</w:t>
            </w:r>
          </w:p>
        </w:tc>
        <w:tc>
          <w:tcPr>
            <w:tcW w:type="dxa" w:w="1312"/>
            <w:tcBorders>
              <w:bottom w:sz="12" w:val="single" w:color="151515"/>
            </w:tcBorders>
          </w:tcPr>
          <w:p>
            <w:pPr>
              <w:spacing w:after="40"/>
            </w:pPr>
            <w:r>
              <w:rPr>
                <w:rFonts w:ascii="Cambria" w:hAnsi="Cambria"/>
                <w:b w:val="0"/>
                <w:i w:val="0"/>
                <w:sz w:val="17"/>
              </w:rPr>
              <w:t>1094.6</w:t>
            </w:r>
          </w:p>
        </w:tc>
        <w:tc>
          <w:tcPr>
            <w:tcW w:type="dxa" w:w="1312"/>
            <w:tcBorders>
              <w:bottom w:sz="12" w:val="single" w:color="151515"/>
            </w:tcBorders>
          </w:tcPr>
          <w:p>
            <w:pPr>
              <w:spacing w:after="40"/>
            </w:pPr>
            <w:r>
              <w:rPr>
                <w:rFonts w:ascii="Cambria" w:hAnsi="Cambria"/>
                <w:b w:val="0"/>
                <w:i w:val="0"/>
                <w:sz w:val="17"/>
              </w:rPr>
              <w:t>4.2</w:t>
            </w:r>
          </w:p>
        </w:tc>
        <w:tc>
          <w:tcPr>
            <w:tcW w:type="dxa" w:w="1312"/>
            <w:tcBorders>
              <w:bottom w:sz="12" w:val="single" w:color="151515"/>
            </w:tcBorders>
          </w:tcPr>
          <w:p>
            <w:pPr>
              <w:spacing w:after="40"/>
            </w:pPr>
            <w:r>
              <w:rPr>
                <w:rFonts w:ascii="Cambria" w:hAnsi="Cambria"/>
                <w:b w:val="0"/>
                <w:i w:val="0"/>
                <w:sz w:val="17"/>
              </w:rPr>
              <w:t>1.00</w:t>
            </w:r>
          </w:p>
        </w:tc>
        <w:tc>
          <w:tcPr>
            <w:tcW w:type="dxa" w:w="1312"/>
            <w:tcBorders>
              <w:bottom w:sz="12" w:val="single" w:color="151515"/>
            </w:tcBorders>
          </w:tcPr>
          <w:p>
            <w:pPr>
              <w:spacing w:after="40"/>
            </w:pPr>
            <w:r>
              <w:rPr>
                <w:rFonts w:ascii="Cambria" w:hAnsi="Cambria"/>
                <w:b w:val="0"/>
                <w:i w:val="0"/>
                <w:sz w:val="17"/>
              </w:rPr>
              <w:t>1.00</w:t>
            </w:r>
          </w:p>
        </w:tc>
        <w:tc>
          <w:tcPr>
            <w:tcW w:type="dxa" w:w="1312"/>
            <w:tcBorders>
              <w:bottom w:sz="12" w:val="single" w:color="151515"/>
            </w:tcBorders>
          </w:tcPr>
          <w:p>
            <w:pPr>
              <w:spacing w:after="40"/>
            </w:pPr>
            <w:r>
              <w:rPr>
                <w:rFonts w:ascii="Cambria" w:hAnsi="Cambria"/>
                <w:b w:val="0"/>
                <w:i w:val="0"/>
                <w:sz w:val="17"/>
              </w:rPr>
              <w:t>1.00</w:t>
            </w:r>
          </w:p>
        </w:tc>
      </w:tr>
    </w:tbl>
    <w:p>
      <w:pPr>
        <w:spacing w:after="280"/>
      </w:pPr>
    </w:p>
    <w:p>
      <w:pPr>
        <w:spacing w:after="160"/>
        <w:jc w:val="both"/>
      </w:pPr>
      <w:r>
        <w:rPr>
          <w:rFonts w:ascii="Cambria" w:hAnsi="Cambria"/>
          <w:sz w:val="21"/>
          <w:vertAlign w:val="superscript"/>
        </w:rPr>
        <w:t>a</w:t>
      </w:r>
      <w:r>
        <w:rPr>
          <w:rFonts w:ascii="Cambria" w:hAnsi="Cambria"/>
          <w:b w:val="0"/>
          <w:i w:val="0"/>
          <w:sz w:val="21"/>
        </w:rPr>
        <w:t xml:space="preserve"> SimTSI-MC reports up to +0.39 min higher than the value shown, in all 4 </w:t>
      </w:r>
      <w:r>
        <w:rPr>
          <w:rFonts w:ascii="Consolas" w:hAnsi="Consolas"/>
          <w:sz w:val="19"/>
        </w:rPr>
        <w:t>I08</w:t>
      </w:r>
      <w:r>
        <w:rPr>
          <w:rFonts w:ascii="Cambria" w:hAnsi="Cambria"/>
          <w:b w:val="0"/>
          <w:i w:val="0"/>
          <w:sz w:val="21"/>
        </w:rPr>
        <w:t xml:space="preserve"> scenarios (Section 3.4). </w:t>
      </w:r>
      <w:r>
        <w:rPr>
          <w:rFonts w:ascii="Cambria" w:hAnsi="Cambria"/>
          <w:sz w:val="21"/>
          <w:vertAlign w:val="superscript"/>
        </w:rPr>
        <w:t>b</w:t>
      </w:r>
      <w:r>
        <w:rPr>
          <w:rFonts w:ascii="Cambria" w:hAnsi="Cambria"/>
          <w:b w:val="0"/>
          <w:i w:val="0"/>
          <w:sz w:val="21"/>
        </w:rPr>
        <w:t xml:space="preserve"> DynSimTSI-DES did not complete within the timeout for these 2 scenarios (Section 3.2); values shown are SimTSI-MC/SimTSI-DES only.</w:t>
      </w:r>
    </w:p>
    <w:p>
      <w:pPr>
        <w:keepNext/>
        <w:spacing w:before="400" w:after="120"/>
      </w:pPr>
      <w:r>
        <w:rPr>
          <w:rFonts w:ascii="Calibri" w:hAnsi="Calibri"/>
          <w:b/>
          <w:i w:val="0"/>
          <w:color w:val="151515"/>
          <w:sz w:val="26"/>
        </w:rPr>
        <w:t>Appendix B. Reproduction Commands</w:t>
      </w:r>
    </w:p>
    <w:p>
      <w:pPr>
        <w:spacing w:after="160"/>
        <w:jc w:val="both"/>
      </w:pPr>
      <w:r>
        <w:rPr>
          <w:rFonts w:ascii="Cambria" w:hAnsi="Cambria"/>
          <w:b w:val="0"/>
          <w:i w:val="0"/>
          <w:sz w:val="21"/>
        </w:rPr>
        <w:t>The following commands, run from the repository root with the project's pinned virtual environment active, reproduce the software verification and the experimental campaign reported in this paper.</w:t>
      </w:r>
    </w:p>
    <w:p>
      <w:pPr>
        <w:spacing w:after="200"/>
        <w:ind w:left="283"/>
      </w:pPr>
      <w:r>
        <w:rPr>
          <w:rFonts w:ascii="Consolas" w:hAnsi="Consolas"/>
          <w:sz w:val="17"/>
        </w:rPr>
        <w:t># Environment</w:t>
        <w:br/>
        <w:t>python -m venv .venv</w:t>
        <w:br/>
        <w:t>.venv/Scripts/python.exe -m pip install -r requirements.txt</w:t>
        <w:br/>
        <w:t>python instance_builder.py                        # regenerate the 10 surrogate instances</w:t>
        <w:br/>
        <w:br/>
        <w:t># Regression suite (Section 3.1)</w:t>
        <w:br/>
        <w:t>python -m unittest discover -s tests -v</w:t>
        <w:br/>
        <w:br/>
        <w:t># Smoke test, all three methods (Section 2.7)</w:t>
        <w:br/>
        <w:t>python run_all.py --method all --instance I01 --cv 0.10 --quick</w:t>
        <w:br/>
        <w:br/>
        <w:t># Single full-budget scenario (Section 2.9 configuration)</w:t>
        <w:br/>
        <w:t>python run_all.py --method mc --instance I05 --cv 0.20</w:t>
        <w:br/>
        <w:t>python run_all.py --method des --instance I05 --cv 0.20</w:t>
        <w:br/>
        <w:t>python run_all.py --method dynamic --instance I05 --cv 0.20</w:t>
        <w:br/>
        <w:br/>
        <w:t># Full 10 x 4 x 3 experimental campaign (Section 3.2)</w:t>
        <w:br/>
        <w:t>python run_all.py --method all --batch --timeout-s 4500 --workers 2</w:t>
      </w:r>
    </w:p>
    <w:p>
      <w:pPr>
        <w:spacing w:after="160"/>
        <w:jc w:val="both"/>
      </w:pPr>
      <w:r>
        <w:rPr>
          <w:rFonts w:ascii="Cambria" w:hAnsi="Cambria"/>
          <w:b w:val="0"/>
          <w:i w:val="0"/>
          <w:sz w:val="21"/>
        </w:rPr>
        <w:t xml:space="preserve">Figure 2 (Section 3.7) is not produced by </w:t>
      </w:r>
      <w:r>
        <w:rPr>
          <w:rFonts w:ascii="Consolas" w:hAnsi="Consolas"/>
          <w:sz w:val="19"/>
        </w:rPr>
        <w:t>run_all.py</w:t>
      </w:r>
      <w:r>
        <w:rPr>
          <w:rFonts w:ascii="Cambria" w:hAnsi="Cambria"/>
          <w:b w:val="0"/>
          <w:i w:val="0"/>
          <w:sz w:val="21"/>
        </w:rPr>
        <w:t xml:space="preserve">, since </w:t>
      </w:r>
      <w:r>
        <w:rPr>
          <w:rFonts w:ascii="Consolas" w:hAnsi="Consolas"/>
          <w:sz w:val="19"/>
        </w:rPr>
        <w:t>tabu_search</w:t>
      </w:r>
      <w:r>
        <w:rPr>
          <w:rFonts w:ascii="Cambria" w:hAnsi="Cambria"/>
          <w:b w:val="0"/>
          <w:i w:val="0"/>
          <w:sz w:val="21"/>
        </w:rPr>
        <w:t xml:space="preserve">'s </w:t>
      </w:r>
      <w:r>
        <w:rPr>
          <w:rFonts w:ascii="Consolas" w:hAnsi="Consolas"/>
          <w:sz w:val="19"/>
        </w:rPr>
        <w:t>history</w:t>
      </w:r>
      <w:r>
        <w:rPr>
          <w:rFonts w:ascii="Cambria" w:hAnsi="Cambria"/>
          <w:b w:val="0"/>
          <w:i w:val="0"/>
          <w:sz w:val="21"/>
        </w:rPr>
        <w:t xml:space="preserve"> output is not propagated to its return value by default (Table 4, finding H-10); it was obtained by calling the same production functions directly, retaining </w:t>
      </w:r>
      <w:r>
        <w:rPr>
          <w:rFonts w:ascii="Consolas" w:hAnsi="Consolas"/>
          <w:sz w:val="19"/>
        </w:rPr>
        <w:t>history</w:t>
      </w:r>
      <w:r>
        <w:rPr>
          <w:rFonts w:ascii="Cambria" w:hAnsi="Cambria"/>
          <w:b w:val="0"/>
          <w:i w:val="0"/>
          <w:sz w:val="21"/>
        </w:rPr>
        <w:t xml:space="preserve"> at the point </w:t>
      </w:r>
      <w:r>
        <w:rPr>
          <w:rFonts w:ascii="Consolas" w:hAnsi="Consolas"/>
          <w:sz w:val="19"/>
        </w:rPr>
        <w:t>simtsi_des.run_simtsi_des</w:t>
      </w:r>
      <w:r>
        <w:rPr>
          <w:rFonts w:ascii="Cambria" w:hAnsi="Cambria"/>
          <w:b w:val="0"/>
          <w:i w:val="0"/>
          <w:sz w:val="21"/>
        </w:rPr>
        <w:t xml:space="preserve"> normally discards it:</w:t>
      </w:r>
    </w:p>
    <w:p>
      <w:pPr>
        <w:spacing w:after="200"/>
        <w:ind w:left="283"/>
      </w:pPr>
      <w:r>
        <w:rPr>
          <w:rFonts w:ascii="Consolas" w:hAnsi="Consolas"/>
          <w:sz w:val="17"/>
        </w:rPr>
        <w:t>from config import TSIParams, SimBudget, TSI_SEED, SIM_BASE_SEED</w:t>
        <w:br/>
        <w:t>from models import load_instance</w:t>
        <w:br/>
        <w:t>from tsi import tabu_search, fifo_solution</w:t>
        <w:br/>
        <w:t>from des import evaluate_des</w:t>
        <w:br/>
        <w:br/>
        <w:t>CV = 0.20</w:t>
        <w:br/>
        <w:t>budget, params = SimBudget(), TSIParams()          # production defaults, unmodified</w:t>
        <w:br/>
        <w:t>for iid in ["I03", "I05"]:</w:t>
        <w:br/>
        <w:t xml:space="preserve">    inst = load_instance(f"data/instances/{iid}.json")</w:t>
        <w:br/>
        <w:t xml:space="preserve">    initial = fifo_solution(inst)</w:t>
        <w:br/>
        <w:t xml:space="preserve">    def evaluator(s, inst=inst):                  # default arg avoids late binding</w:t>
        <w:br/>
        <w:t xml:space="preserve">        return evaluate_des(inst, s, CV, budget.short_reps, SIM_BASE_SEED, 1.0, workers=1)['fitness']</w:t>
        <w:br/>
        <w:t xml:space="preserve">    ts = tabu_search(inst, evaluator, initial, params, TSI_SEED)</w:t>
        <w:br/>
        <w:t xml:space="preserve">    # ts['history'] is the (iteration, best_fitness_so_far) list plotted in Figure 2</w:t>
      </w:r>
    </w:p>
    <w:p>
      <w:pPr>
        <w:keepNext/>
        <w:spacing w:before="400" w:after="120"/>
      </w:pPr>
      <w:r>
        <w:rPr>
          <w:rFonts w:ascii="Calibri" w:hAnsi="Calibri"/>
          <w:b/>
          <w:i w:val="0"/>
          <w:color w:val="151515"/>
          <w:sz w:val="26"/>
        </w:rPr>
        <w:t>References</w:t>
      </w:r>
    </w:p>
    <w:p>
      <w:pPr>
        <w:tabs>
          <w:tab w:pos="510" w:val="left"/>
        </w:tabs>
        <w:spacing w:after="80"/>
        <w:ind w:left="510" w:hanging="510"/>
      </w:pPr>
      <w:r>
        <w:rPr>
          <w:rFonts w:ascii="Cambria" w:hAnsi="Cambria"/>
          <w:b w:val="0"/>
          <w:i w:val="0"/>
          <w:sz w:val="20"/>
        </w:rPr>
        <w:t>1.</w:t>
        <w:tab/>
      </w:r>
      <w:r>
        <w:rPr>
          <w:rFonts w:ascii="Cambria" w:hAnsi="Cambria"/>
          <w:b w:val="0"/>
          <w:i w:val="0"/>
          <w:sz w:val="20"/>
        </w:rPr>
        <w:t xml:space="preserve">Juan, A.A.; Faulin, J.; Grasman, S.E.; Rabe, M.; Figueira, G. A review of simheuristics: Extending metaheuristics to deal with stochastic combinatorial optimization problems. </w:t>
      </w:r>
      <w:r>
        <w:rPr>
          <w:rFonts w:ascii="Cambria" w:hAnsi="Cambria"/>
          <w:i/>
          <w:sz w:val="20"/>
        </w:rPr>
        <w:t>Oper. Res. Perspect.</w:t>
      </w:r>
      <w:r>
        <w:rPr>
          <w:rFonts w:ascii="Cambria" w:hAnsi="Cambria"/>
          <w:b w:val="0"/>
          <w:i w:val="0"/>
          <w:sz w:val="20"/>
        </w:rPr>
        <w:t xml:space="preserve"> </w:t>
      </w:r>
      <w:r>
        <w:rPr>
          <w:rFonts w:ascii="Cambria" w:hAnsi="Cambria"/>
          <w:b/>
          <w:sz w:val="20"/>
        </w:rPr>
        <w:t>2015</w:t>
      </w:r>
      <w:r>
        <w:rPr>
          <w:rFonts w:ascii="Cambria" w:hAnsi="Cambria"/>
          <w:b w:val="0"/>
          <w:i w:val="0"/>
          <w:sz w:val="20"/>
        </w:rPr>
        <w:t xml:space="preserve">, </w:t>
      </w:r>
      <w:r>
        <w:rPr>
          <w:rFonts w:ascii="Cambria" w:hAnsi="Cambria"/>
          <w:i/>
          <w:sz w:val="20"/>
        </w:rPr>
        <w:t>2</w:t>
      </w:r>
      <w:r>
        <w:rPr>
          <w:rFonts w:ascii="Cambria" w:hAnsi="Cambria"/>
          <w:b w:val="0"/>
          <w:i w:val="0"/>
          <w:sz w:val="20"/>
        </w:rPr>
        <w:t>, 62–72.</w:t>
      </w:r>
    </w:p>
    <w:p>
      <w:pPr>
        <w:tabs>
          <w:tab w:pos="510" w:val="left"/>
        </w:tabs>
        <w:spacing w:after="80"/>
        <w:ind w:left="510" w:hanging="510"/>
      </w:pPr>
      <w:r>
        <w:rPr>
          <w:rFonts w:ascii="Cambria" w:hAnsi="Cambria"/>
          <w:b w:val="0"/>
          <w:i w:val="0"/>
          <w:sz w:val="20"/>
        </w:rPr>
        <w:t>2.</w:t>
        <w:tab/>
      </w:r>
      <w:r>
        <w:rPr>
          <w:rFonts w:ascii="Cambria" w:hAnsi="Cambria"/>
          <w:b w:val="0"/>
          <w:i w:val="0"/>
          <w:sz w:val="20"/>
        </w:rPr>
        <w:t xml:space="preserve">Sargent, R.G. Verification and validation of simulation models. </w:t>
      </w:r>
      <w:r>
        <w:rPr>
          <w:rFonts w:ascii="Cambria" w:hAnsi="Cambria"/>
          <w:i/>
          <w:sz w:val="20"/>
        </w:rPr>
        <w:t>J. Simul.</w:t>
      </w:r>
      <w:r>
        <w:rPr>
          <w:rFonts w:ascii="Cambria" w:hAnsi="Cambria"/>
          <w:b w:val="0"/>
          <w:i w:val="0"/>
          <w:sz w:val="20"/>
        </w:rPr>
        <w:t xml:space="preserve"> </w:t>
      </w:r>
      <w:r>
        <w:rPr>
          <w:rFonts w:ascii="Cambria" w:hAnsi="Cambria"/>
          <w:b/>
          <w:sz w:val="20"/>
        </w:rPr>
        <w:t>2013</w:t>
      </w:r>
      <w:r>
        <w:rPr>
          <w:rFonts w:ascii="Cambria" w:hAnsi="Cambria"/>
          <w:b w:val="0"/>
          <w:i w:val="0"/>
          <w:sz w:val="20"/>
        </w:rPr>
        <w:t xml:space="preserve">, </w:t>
      </w:r>
      <w:r>
        <w:rPr>
          <w:rFonts w:ascii="Cambria" w:hAnsi="Cambria"/>
          <w:i/>
          <w:sz w:val="20"/>
        </w:rPr>
        <w:t>7</w:t>
      </w:r>
      <w:r>
        <w:rPr>
          <w:rFonts w:ascii="Cambria" w:hAnsi="Cambria"/>
          <w:b w:val="0"/>
          <w:i w:val="0"/>
          <w:sz w:val="20"/>
        </w:rPr>
        <w:t>, 12–24.</w:t>
      </w:r>
    </w:p>
    <w:p>
      <w:pPr>
        <w:tabs>
          <w:tab w:pos="510" w:val="left"/>
        </w:tabs>
        <w:spacing w:after="80"/>
        <w:ind w:left="510" w:hanging="510"/>
      </w:pPr>
      <w:r>
        <w:rPr>
          <w:rFonts w:ascii="Cambria" w:hAnsi="Cambria"/>
          <w:b w:val="0"/>
          <w:i w:val="0"/>
          <w:sz w:val="20"/>
        </w:rPr>
        <w:t>3.</w:t>
        <w:tab/>
      </w:r>
      <w:r>
        <w:rPr>
          <w:rFonts w:ascii="Cambria" w:hAnsi="Cambria"/>
          <w:b w:val="0"/>
          <w:i w:val="0"/>
          <w:sz w:val="20"/>
        </w:rPr>
        <w:t xml:space="preserve">Glover, F.; Laguna, M. </w:t>
      </w:r>
      <w:r>
        <w:rPr>
          <w:rFonts w:ascii="Cambria" w:hAnsi="Cambria"/>
          <w:i/>
          <w:sz w:val="20"/>
        </w:rPr>
        <w:t>Tabu Search</w:t>
      </w:r>
      <w:r>
        <w:rPr>
          <w:rFonts w:ascii="Cambria" w:hAnsi="Cambria"/>
          <w:b w:val="0"/>
          <w:i w:val="0"/>
          <w:sz w:val="20"/>
        </w:rPr>
        <w:t>; Kluwer Academic Publishers: Boston, MA, USA, 1997.</w:t>
      </w:r>
    </w:p>
    <w:p>
      <w:pPr>
        <w:tabs>
          <w:tab w:pos="510" w:val="left"/>
        </w:tabs>
        <w:spacing w:after="80"/>
        <w:ind w:left="510" w:hanging="510"/>
      </w:pPr>
      <w:r>
        <w:rPr>
          <w:rFonts w:ascii="Cambria" w:hAnsi="Cambria"/>
          <w:b w:val="0"/>
          <w:i w:val="0"/>
          <w:sz w:val="20"/>
        </w:rPr>
        <w:t>4.</w:t>
        <w:tab/>
      </w:r>
      <w:r>
        <w:rPr>
          <w:rFonts w:ascii="Cambria" w:hAnsi="Cambria"/>
          <w:b w:val="0"/>
          <w:i w:val="0"/>
          <w:sz w:val="20"/>
        </w:rPr>
        <w:t xml:space="preserve">Law, A.M.; Kelton, W.D. </w:t>
      </w:r>
      <w:r>
        <w:rPr>
          <w:rFonts w:ascii="Cambria" w:hAnsi="Cambria"/>
          <w:i/>
          <w:sz w:val="20"/>
        </w:rPr>
        <w:t>Simulation Modeling and Analysis</w:t>
      </w:r>
      <w:r>
        <w:rPr>
          <w:rFonts w:ascii="Cambria" w:hAnsi="Cambria"/>
          <w:b w:val="0"/>
          <w:i w:val="0"/>
          <w:sz w:val="20"/>
        </w:rPr>
        <w:t>, 5th ed.; McGraw-Hill: New York, NY, USA, 2015.</w:t>
      </w:r>
    </w:p>
    <w:p>
      <w:pPr>
        <w:tabs>
          <w:tab w:pos="510" w:val="left"/>
        </w:tabs>
        <w:spacing w:after="80"/>
        <w:ind w:left="510" w:hanging="510"/>
      </w:pPr>
      <w:r>
        <w:rPr>
          <w:rFonts w:ascii="Cambria" w:hAnsi="Cambria"/>
          <w:b w:val="0"/>
          <w:i w:val="0"/>
          <w:sz w:val="20"/>
        </w:rPr>
        <w:t>5.</w:t>
        <w:tab/>
      </w:r>
      <w:r>
        <w:rPr>
          <w:rFonts w:ascii="Cambria" w:hAnsi="Cambria"/>
          <w:b w:val="0"/>
          <w:i w:val="0"/>
          <w:sz w:val="20"/>
        </w:rPr>
        <w:t xml:space="preserve">Alarie, S.; Gamache, M. Overview of solution strategies used in truck dispatching systems for open pit mines. </w:t>
      </w:r>
      <w:r>
        <w:rPr>
          <w:rFonts w:ascii="Cambria" w:hAnsi="Cambria"/>
          <w:i/>
          <w:sz w:val="20"/>
        </w:rPr>
        <w:t>Int. J. Surf. Min. Reclam. Environ.</w:t>
      </w:r>
      <w:r>
        <w:rPr>
          <w:rFonts w:ascii="Cambria" w:hAnsi="Cambria"/>
          <w:b w:val="0"/>
          <w:i w:val="0"/>
          <w:sz w:val="20"/>
        </w:rPr>
        <w:t xml:space="preserve"> </w:t>
      </w:r>
      <w:r>
        <w:rPr>
          <w:rFonts w:ascii="Cambria" w:hAnsi="Cambria"/>
          <w:b/>
          <w:sz w:val="20"/>
        </w:rPr>
        <w:t>2002</w:t>
      </w:r>
      <w:r>
        <w:rPr>
          <w:rFonts w:ascii="Cambria" w:hAnsi="Cambria"/>
          <w:b w:val="0"/>
          <w:i w:val="0"/>
          <w:sz w:val="20"/>
        </w:rPr>
        <w:t xml:space="preserve">, </w:t>
      </w:r>
      <w:r>
        <w:rPr>
          <w:rFonts w:ascii="Cambria" w:hAnsi="Cambria"/>
          <w:i/>
          <w:sz w:val="20"/>
        </w:rPr>
        <w:t>16</w:t>
      </w:r>
      <w:r>
        <w:rPr>
          <w:rFonts w:ascii="Cambria" w:hAnsi="Cambria"/>
          <w:b w:val="0"/>
          <w:i w:val="0"/>
          <w:sz w:val="20"/>
        </w:rPr>
        <w:t>, 59–76.</w:t>
      </w:r>
    </w:p>
    <w:p>
      <w:pPr>
        <w:tabs>
          <w:tab w:pos="510" w:val="left"/>
        </w:tabs>
        <w:spacing w:after="80"/>
        <w:ind w:left="510" w:hanging="510"/>
      </w:pPr>
      <w:r>
        <w:rPr>
          <w:rFonts w:ascii="Cambria" w:hAnsi="Cambria"/>
          <w:b w:val="0"/>
          <w:i w:val="0"/>
          <w:sz w:val="20"/>
        </w:rPr>
        <w:t>6.</w:t>
        <w:tab/>
      </w:r>
      <w:r>
        <w:rPr>
          <w:rFonts w:ascii="Cambria" w:hAnsi="Cambria"/>
          <w:b w:val="0"/>
          <w:i w:val="0"/>
          <w:sz w:val="20"/>
        </w:rPr>
        <w:t xml:space="preserve">Soofastaei, A.; et al. A discrete-event model to simulate the effect of truck bunching due to payload variance on cycle time, hauled mine materials and fuel consumption. </w:t>
      </w:r>
      <w:r>
        <w:rPr>
          <w:rFonts w:ascii="Cambria" w:hAnsi="Cambria"/>
          <w:i/>
          <w:sz w:val="20"/>
        </w:rPr>
        <w:t>Int. J. Min. Sci. Technol.</w:t>
      </w:r>
      <w:r>
        <w:rPr>
          <w:rFonts w:ascii="Cambria" w:hAnsi="Cambria"/>
          <w:b w:val="0"/>
          <w:i w:val="0"/>
          <w:sz w:val="20"/>
        </w:rPr>
        <w:t xml:space="preserve"> </w:t>
      </w:r>
      <w:r>
        <w:rPr>
          <w:rFonts w:ascii="Cambria" w:hAnsi="Cambria"/>
          <w:b/>
          <w:sz w:val="20"/>
        </w:rPr>
        <w:t>2016</w:t>
      </w:r>
      <w:r>
        <w:rPr>
          <w:rFonts w:ascii="Cambria" w:hAnsi="Cambria"/>
          <w:b w:val="0"/>
          <w:i w:val="0"/>
          <w:sz w:val="20"/>
        </w:rPr>
        <w:t xml:space="preserve">, </w:t>
      </w:r>
      <w:r>
        <w:rPr>
          <w:rFonts w:ascii="Cambria" w:hAnsi="Cambria"/>
          <w:i/>
          <w:sz w:val="20"/>
        </w:rPr>
        <w:t>26</w:t>
      </w:r>
      <w:r>
        <w:rPr>
          <w:rFonts w:ascii="Cambria" w:hAnsi="Cambria"/>
          <w:b w:val="0"/>
          <w:i w:val="0"/>
          <w:sz w:val="20"/>
        </w:rPr>
        <w:t>, 745–752.</w:t>
      </w:r>
    </w:p>
    <w:p>
      <w:pPr>
        <w:tabs>
          <w:tab w:pos="510" w:val="left"/>
        </w:tabs>
        <w:spacing w:after="80"/>
        <w:ind w:left="510" w:hanging="510"/>
      </w:pPr>
      <w:r>
        <w:rPr>
          <w:rFonts w:ascii="Cambria" w:hAnsi="Cambria"/>
          <w:b w:val="0"/>
          <w:i w:val="0"/>
          <w:sz w:val="20"/>
        </w:rPr>
        <w:t>7.</w:t>
        <w:tab/>
      </w:r>
      <w:r>
        <w:rPr>
          <w:rFonts w:ascii="Cambria" w:hAnsi="Cambria"/>
          <w:b w:val="0"/>
          <w:i w:val="0"/>
          <w:sz w:val="20"/>
        </w:rPr>
        <w:t>[Antecedent conference manuscript establishing the published instance structure (1–10 loading resources, 2–20 CAT 798 AC/Komatsu 960E trucks, 24 h shift, Plant/Pad destinations) and the tabu-search calibration used throughout Section 2 of this study. Full bibliographic details to be inserted by the author team, who hold the original citation; referenced throughout this manuscript as "the antecedent conference manuscript."]</w:t>
      </w:r>
    </w:p>
    <w:sectPr w:rsidR="00FC693F" w:rsidRPr="0006063C" w:rsidSect="00034616">
      <w:headerReference w:type="default" r:id="rId9"/>
      <w:footerReference w:type="default" r:id="rId10"/>
      <w:footerReference w:type="first" r:id="rId11"/>
      <w:headerReference w:type="first" r:id="rId12"/>
      <w:pgSz w:w="11906" w:h="16838"/>
      <w:pgMar w:top="1474" w:right="1361" w:bottom="1247"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mbria" w:hAnsi="Cambria"/>
        <w:color w:val="555555"/>
        <w:sz w:val="16"/>
      </w:rPr>
      <w:t>https://doi.org/10.3390/xxxxxxx</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mbria" w:hAnsi="Cambria"/>
        <w:color w:val="555555"/>
        <w:sz w:val="16"/>
      </w:rPr>
      <w:t>https://doi.org/10.3390/xxxxxxx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184" w:val="right"/>
      </w:tabs>
    </w:pPr>
    <w:r>
      <w:rPr>
        <w:rFonts w:ascii="Cambria" w:hAnsi="Cambria"/>
        <w:i/>
        <w:color w:val="555555"/>
        <w:sz w:val="17"/>
      </w:rPr>
      <w:t>Version August 19, 2026 submitted to Journal Not Specified</w:t>
    </w:r>
    <w:r>
      <w:rPr>
        <w:rFonts w:ascii="Cambria" w:hAnsi="Cambria"/>
        <w:color w:val="555555"/>
        <w:sz w:val="17"/>
      </w:rPr>
      <w:tab/>
    </w:r>
    <w:r>
      <w:rPr>
        <w:rFonts w:ascii="Cambria" w:hAnsi="Cambria"/>
        <w:color w:val="555555"/>
        <w:sz w:val="17"/>
      </w:rPr>
      <w:fldChar w:fldCharType="begin"/>
    </w:r>
    <w:r>
      <w:rPr>
        <w:rFonts w:ascii="Cambria" w:hAnsi="Cambria"/>
        <w:color w:val="555555"/>
        <w:sz w:val="17"/>
      </w:rPr>
      <w:instrText xml:space="preserve">PAGE</w:instrText>
    </w:r>
    <w:r>
      <w:rPr>
        <w:rFonts w:ascii="Cambria" w:hAnsi="Cambria"/>
        <w:color w:val="555555"/>
        <w:sz w:val="17"/>
      </w:rPr>
      <w:fldChar w:fldCharType="separate"/>
    </w:r>
    <w:r>
      <w:rPr>
        <w:rFonts w:ascii="Cambria" w:hAnsi="Cambria"/>
        <w:color w:val="555555"/>
        <w:sz w:val="17"/>
      </w:rPr>
      <w:t>1</w:t>
    </w:r>
    <w:r>
      <w:rPr>
        <w:rFonts w:ascii="Cambria" w:hAnsi="Cambria"/>
        <w:color w:val="555555"/>
        <w:sz w:val="17"/>
      </w:rPr>
      <w:fldChar w:fldCharType="end"/>
    </w:r>
    <w:r>
      <w:rPr>
        <w:rFonts w:ascii="Cambria" w:hAnsi="Cambria"/>
        <w:color w:val="555555"/>
        <w:sz w:val="17"/>
      </w:rPr>
      <w:t xml:space="preserve"> of </w:t>
    </w:r>
    <w:r>
      <w:rPr>
        <w:rFonts w:ascii="Cambria" w:hAnsi="Cambria"/>
        <w:color w:val="555555"/>
        <w:sz w:val="17"/>
      </w:rPr>
      <w:fldChar w:fldCharType="begin"/>
    </w:r>
    <w:r>
      <w:rPr>
        <w:rFonts w:ascii="Cambria" w:hAnsi="Cambria"/>
        <w:color w:val="555555"/>
        <w:sz w:val="17"/>
      </w:rPr>
      <w:instrText xml:space="preserve">NUMPAGES</w:instrText>
    </w:r>
    <w:r>
      <w:rPr>
        <w:rFonts w:ascii="Cambria" w:hAnsi="Cambria"/>
        <w:color w:val="555555"/>
        <w:sz w:val="17"/>
      </w:rPr>
      <w:fldChar w:fldCharType="separate"/>
    </w:r>
    <w:r>
      <w:rPr>
        <w:rFonts w:ascii="Cambria" w:hAnsi="Cambria"/>
        <w:color w:val="555555"/>
        <w:sz w:val="17"/>
      </w:rPr>
      <w:t>1</w:t>
    </w:r>
    <w:r>
      <w:rPr>
        <w:rFonts w:ascii="Cambria" w:hAnsi="Cambria"/>
        <w:color w:val="555555"/>
        <w:sz w:val="17"/>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