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AAF64">
      <w:pPr>
        <w:pStyle w:val="2"/>
      </w:pPr>
      <w:bookmarkStart w:id="0" w:name="afyapay"/>
      <w:r>
        <w:t>AfyaPay</w:t>
      </w:r>
    </w:p>
    <w:p w14:paraId="797EA61B">
      <w:pPr>
        <w:pStyle w:val="4"/>
      </w:pPr>
      <w:bookmarkStart w:id="1" w:name="project-title"/>
      <w:r>
        <w:t>Project Title</w:t>
      </w:r>
    </w:p>
    <w:p w14:paraId="17F28771">
      <w:pPr>
        <w:pStyle w:val="23"/>
      </w:pPr>
      <w:r>
        <w:t>AfyaPay: Tokenized Hea</w:t>
      </w:r>
      <w:bookmarkStart w:id="20" w:name="_GoBack"/>
      <w:bookmarkEnd w:id="20"/>
      <w:r>
        <w:t>lthcare Claims Financing Platform on Stellar</w:t>
      </w:r>
    </w:p>
    <w:bookmarkEnd w:id="1"/>
    <w:p w14:paraId="52D94D72">
      <w:pPr>
        <w:pStyle w:val="4"/>
      </w:pPr>
      <w:bookmarkStart w:id="2" w:name="executive-summary"/>
      <w:r>
        <w:t>Executive Summary</w:t>
      </w:r>
    </w:p>
    <w:p w14:paraId="1EEF3F17">
      <w:pPr>
        <w:pStyle w:val="23"/>
      </w:pPr>
      <w:r>
        <w:t>AfyaPay is a blockchain-powered healthcare financing platform built on Stellar that enables hospitals to convert approved insurance claims into tokenized digital assets that can be sold to investors before settlement.</w:t>
      </w:r>
    </w:p>
    <w:p w14:paraId="2F7DE4B7">
      <w:pPr>
        <w:pStyle w:val="3"/>
      </w:pPr>
      <w:r>
        <w:t>Healthcare providers often face cash flow challenges because insurance reimbursements can take weeks or months to arrive. AfyaPay solves this problem by allowing hospitals to access immediate liquidity through tokenized claim financing.</w:t>
      </w:r>
    </w:p>
    <w:p w14:paraId="2A5E052D">
      <w:pPr>
        <w:pStyle w:val="3"/>
      </w:pPr>
      <w:r>
        <w:t>Using Stellar’s asset issuance capabilities and Soroban smart contracts, approved claims become transferable digital assets. Investors can purchase these assets at a discount, providing hospitals with immediate funds while earning a return when the insurer settles the claim.</w:t>
      </w:r>
    </w:p>
    <w:bookmarkEnd w:id="2"/>
    <w:p w14:paraId="738B0B19">
      <w:pPr>
        <w:pStyle w:val="4"/>
      </w:pPr>
      <w:bookmarkStart w:id="3" w:name="problem-statement"/>
      <w:r>
        <w:t>Problem Statement</w:t>
      </w:r>
    </w:p>
    <w:p w14:paraId="537C9F9E">
      <w:pPr>
        <w:pStyle w:val="23"/>
      </w:pPr>
      <w:r>
        <w:t>Healthcare providers face three major challenges:</w:t>
      </w:r>
    </w:p>
    <w:p w14:paraId="5085312B">
      <w:pPr>
        <w:pStyle w:val="5"/>
      </w:pPr>
      <w:bookmarkStart w:id="4" w:name="delayed-insurance-settlements"/>
      <w:r>
        <w:t>Delayed Insurance Settlements</w:t>
      </w:r>
    </w:p>
    <w:p w14:paraId="1F82B89B">
      <w:pPr>
        <w:pStyle w:val="23"/>
      </w:pPr>
      <w:r>
        <w:t>Hospitals often wait 30–90 days for reimbursement after claims are approved.</w:t>
      </w:r>
    </w:p>
    <w:bookmarkEnd w:id="4"/>
    <w:p w14:paraId="0B273385">
      <w:pPr>
        <w:pStyle w:val="5"/>
      </w:pPr>
      <w:bookmarkStart w:id="5" w:name="cash-flow-constraints"/>
      <w:r>
        <w:t>Cash Flow Constraints</w:t>
      </w:r>
    </w:p>
    <w:p w14:paraId="5F92FE1D">
      <w:pPr>
        <w:pStyle w:val="23"/>
      </w:pPr>
      <w:r>
        <w:t>While waiting for settlement, hospitals must continue paying:</w:t>
      </w:r>
    </w:p>
    <w:p w14:paraId="507CE0A4">
      <w:pPr>
        <w:pStyle w:val="24"/>
        <w:numPr>
          <w:ilvl w:val="0"/>
          <w:numId w:val="1"/>
        </w:numPr>
      </w:pPr>
      <w:r>
        <w:t>Staff salaries</w:t>
      </w:r>
    </w:p>
    <w:p w14:paraId="6405DA80">
      <w:pPr>
        <w:pStyle w:val="24"/>
        <w:numPr>
          <w:ilvl w:val="0"/>
          <w:numId w:val="1"/>
        </w:numPr>
      </w:pPr>
      <w:r>
        <w:t>Suppliers</w:t>
      </w:r>
    </w:p>
    <w:p w14:paraId="50C5662A">
      <w:pPr>
        <w:pStyle w:val="24"/>
        <w:numPr>
          <w:ilvl w:val="0"/>
          <w:numId w:val="1"/>
        </w:numPr>
      </w:pPr>
      <w:r>
        <w:t>Utility bills</w:t>
      </w:r>
    </w:p>
    <w:p w14:paraId="1194109B">
      <w:pPr>
        <w:pStyle w:val="24"/>
        <w:numPr>
          <w:ilvl w:val="0"/>
          <w:numId w:val="1"/>
        </w:numPr>
      </w:pPr>
      <w:r>
        <w:t>Operational expenses</w:t>
      </w:r>
    </w:p>
    <w:bookmarkEnd w:id="5"/>
    <w:p w14:paraId="6E15BDF5">
      <w:pPr>
        <w:pStyle w:val="5"/>
      </w:pPr>
      <w:bookmarkStart w:id="6" w:name="limited-access-to-financing"/>
      <w:r>
        <w:t>Limited Access to Financing</w:t>
      </w:r>
    </w:p>
    <w:p w14:paraId="65C34A33">
      <w:pPr>
        <w:pStyle w:val="23"/>
      </w:pPr>
      <w:r>
        <w:t>Many hospitals rely on expensive loans or overdraft facilities to maintain operations.</w:t>
      </w:r>
    </w:p>
    <w:bookmarkEnd w:id="3"/>
    <w:bookmarkEnd w:id="6"/>
    <w:p w14:paraId="6FAAA00D">
      <w:pPr>
        <w:pStyle w:val="4"/>
      </w:pPr>
      <w:bookmarkStart w:id="7" w:name="proposed-solution"/>
      <w:r>
        <w:t>Proposed Solution</w:t>
      </w:r>
    </w:p>
    <w:p w14:paraId="2FBA828E">
      <w:pPr>
        <w:pStyle w:val="23"/>
      </w:pPr>
      <w:r>
        <w:t>AfyaPay introduces a healthcare claim financing marketplace where:</w:t>
      </w:r>
    </w:p>
    <w:p w14:paraId="5914E03A">
      <w:pPr>
        <w:pStyle w:val="24"/>
        <w:numPr>
          <w:ilvl w:val="0"/>
          <w:numId w:val="2"/>
        </w:numPr>
      </w:pPr>
      <w:r>
        <w:t>A hospital submits an insurance claim.</w:t>
      </w:r>
    </w:p>
    <w:p w14:paraId="1E483560">
      <w:pPr>
        <w:pStyle w:val="24"/>
        <w:numPr>
          <w:ilvl w:val="0"/>
          <w:numId w:val="2"/>
        </w:numPr>
      </w:pPr>
      <w:r>
        <w:t>The insurer approves the claim.</w:t>
      </w:r>
    </w:p>
    <w:p w14:paraId="4595C299">
      <w:pPr>
        <w:pStyle w:val="24"/>
        <w:numPr>
          <w:ilvl w:val="0"/>
          <w:numId w:val="2"/>
        </w:numPr>
      </w:pPr>
      <w:r>
        <w:t>AfyaPay tokenizes the approved claim.</w:t>
      </w:r>
    </w:p>
    <w:p w14:paraId="5507A812">
      <w:pPr>
        <w:pStyle w:val="24"/>
        <w:numPr>
          <w:ilvl w:val="0"/>
          <w:numId w:val="2"/>
        </w:numPr>
      </w:pPr>
      <w:r>
        <w:t>Investors purchase claim tokens.</w:t>
      </w:r>
    </w:p>
    <w:p w14:paraId="0F991B77">
      <w:pPr>
        <w:pStyle w:val="24"/>
        <w:numPr>
          <w:ilvl w:val="0"/>
          <w:numId w:val="2"/>
        </w:numPr>
      </w:pPr>
      <w:r>
        <w:t>The hospital receives immediate liquidity.</w:t>
      </w:r>
    </w:p>
    <w:p w14:paraId="47348134">
      <w:pPr>
        <w:pStyle w:val="24"/>
        <w:numPr>
          <w:ilvl w:val="0"/>
          <w:numId w:val="2"/>
        </w:numPr>
      </w:pPr>
      <w:r>
        <w:t>The insurer settles the claim at maturity.</w:t>
      </w:r>
    </w:p>
    <w:p w14:paraId="0733CBEF">
      <w:pPr>
        <w:pStyle w:val="24"/>
        <w:numPr>
          <w:ilvl w:val="0"/>
          <w:numId w:val="2"/>
        </w:numPr>
      </w:pPr>
      <w:r>
        <w:t>The token holder receives the settlement.</w:t>
      </w:r>
    </w:p>
    <w:bookmarkEnd w:id="7"/>
    <w:p w14:paraId="017AD084">
      <w:pPr>
        <w:pStyle w:val="4"/>
      </w:pPr>
      <w:bookmarkStart w:id="8" w:name="business-value"/>
      <w:r>
        <w:t>Business Value</w:t>
      </w:r>
    </w:p>
    <w:p w14:paraId="49171302">
      <w:pPr>
        <w:pStyle w:val="5"/>
      </w:pPr>
      <w:bookmarkStart w:id="9" w:name="hospitals"/>
      <w:r>
        <w:t>Hospitals</w:t>
      </w:r>
    </w:p>
    <w:p w14:paraId="5AC3875A">
      <w:pPr>
        <w:pStyle w:val="24"/>
        <w:numPr>
          <w:ilvl w:val="0"/>
          <w:numId w:val="1"/>
        </w:numPr>
      </w:pPr>
      <w:r>
        <w:t>Faster access to funds</w:t>
      </w:r>
    </w:p>
    <w:p w14:paraId="489B95A8">
      <w:pPr>
        <w:pStyle w:val="24"/>
        <w:numPr>
          <w:ilvl w:val="0"/>
          <w:numId w:val="1"/>
        </w:numPr>
      </w:pPr>
      <w:r>
        <w:t>Reduced dependence on loans</w:t>
      </w:r>
    </w:p>
    <w:p w14:paraId="3C531D52">
      <w:pPr>
        <w:pStyle w:val="24"/>
        <w:numPr>
          <w:ilvl w:val="0"/>
          <w:numId w:val="1"/>
        </w:numPr>
      </w:pPr>
      <w:r>
        <w:t>Improved cash flow</w:t>
      </w:r>
    </w:p>
    <w:bookmarkEnd w:id="9"/>
    <w:p w14:paraId="6D7E5173">
      <w:pPr>
        <w:pStyle w:val="5"/>
      </w:pPr>
      <w:bookmarkStart w:id="10" w:name="insurers"/>
      <w:r>
        <w:t>Insurers</w:t>
      </w:r>
    </w:p>
    <w:p w14:paraId="6EE93D62">
      <w:pPr>
        <w:pStyle w:val="24"/>
        <w:numPr>
          <w:ilvl w:val="0"/>
          <w:numId w:val="1"/>
        </w:numPr>
      </w:pPr>
      <w:r>
        <w:t>Transparent settlement process</w:t>
      </w:r>
    </w:p>
    <w:p w14:paraId="62375D8A">
      <w:pPr>
        <w:pStyle w:val="24"/>
        <w:numPr>
          <w:ilvl w:val="0"/>
          <w:numId w:val="1"/>
        </w:numPr>
      </w:pPr>
      <w:r>
        <w:t>Verifiable payment records</w:t>
      </w:r>
    </w:p>
    <w:p w14:paraId="55C54B7F">
      <w:pPr>
        <w:pStyle w:val="24"/>
        <w:numPr>
          <w:ilvl w:val="0"/>
          <w:numId w:val="1"/>
        </w:numPr>
      </w:pPr>
      <w:r>
        <w:t>Reduced disputes</w:t>
      </w:r>
    </w:p>
    <w:bookmarkEnd w:id="10"/>
    <w:p w14:paraId="3EA596A4">
      <w:pPr>
        <w:pStyle w:val="5"/>
      </w:pPr>
      <w:bookmarkStart w:id="11" w:name="investors"/>
      <w:r>
        <w:t>Investors</w:t>
      </w:r>
    </w:p>
    <w:p w14:paraId="6D295D3C">
      <w:pPr>
        <w:pStyle w:val="24"/>
        <w:numPr>
          <w:ilvl w:val="0"/>
          <w:numId w:val="1"/>
        </w:numPr>
      </w:pPr>
      <w:r>
        <w:t>New investment opportunities</w:t>
      </w:r>
    </w:p>
    <w:p w14:paraId="0A3F2EF6">
      <w:pPr>
        <w:pStyle w:val="24"/>
        <w:numPr>
          <w:ilvl w:val="0"/>
          <w:numId w:val="1"/>
        </w:numPr>
      </w:pPr>
      <w:r>
        <w:t>Predictable settlement-backed returns</w:t>
      </w:r>
    </w:p>
    <w:bookmarkEnd w:id="11"/>
    <w:p w14:paraId="58F2A5AF">
      <w:pPr>
        <w:pStyle w:val="5"/>
      </w:pPr>
      <w:bookmarkStart w:id="12" w:name="healthcare-ecosystem"/>
      <w:r>
        <w:t>Healthcare Ecosystem</w:t>
      </w:r>
    </w:p>
    <w:p w14:paraId="7CE55C10">
      <w:pPr>
        <w:pStyle w:val="24"/>
        <w:numPr>
          <w:ilvl w:val="0"/>
          <w:numId w:val="1"/>
        </w:numPr>
      </w:pPr>
      <w:r>
        <w:t>Increased liquidity</w:t>
      </w:r>
    </w:p>
    <w:p w14:paraId="5558B3B7">
      <w:pPr>
        <w:pStyle w:val="24"/>
        <w:numPr>
          <w:ilvl w:val="0"/>
          <w:numId w:val="1"/>
        </w:numPr>
      </w:pPr>
      <w:r>
        <w:t>Improved financial transparency</w:t>
      </w:r>
    </w:p>
    <w:p w14:paraId="38FD4913">
      <w:pPr>
        <w:pStyle w:val="24"/>
        <w:numPr>
          <w:ilvl w:val="0"/>
          <w:numId w:val="1"/>
        </w:numPr>
      </w:pPr>
      <w:r>
        <w:t>More efficient claims settlement</w:t>
      </w:r>
    </w:p>
    <w:bookmarkEnd w:id="8"/>
    <w:bookmarkEnd w:id="12"/>
    <w:p w14:paraId="63796F2A">
      <w:pPr>
        <w:pStyle w:val="4"/>
      </w:pPr>
      <w:bookmarkStart w:id="13" w:name="revenue-model"/>
      <w:r>
        <w:t>Revenue Model</w:t>
      </w:r>
    </w:p>
    <w:p w14:paraId="5ACD4DA5">
      <w:pPr>
        <w:pStyle w:val="5"/>
      </w:pPr>
      <w:bookmarkStart w:id="14" w:name="transaction-fees"/>
      <w:r>
        <w:t>Transaction Fees</w:t>
      </w:r>
    </w:p>
    <w:p w14:paraId="1DC98DB1">
      <w:pPr>
        <w:pStyle w:val="23"/>
      </w:pPr>
      <w:r>
        <w:t>A percentage charged for claim tokenization.</w:t>
      </w:r>
    </w:p>
    <w:bookmarkEnd w:id="14"/>
    <w:p w14:paraId="1F6D7622">
      <w:pPr>
        <w:pStyle w:val="5"/>
      </w:pPr>
      <w:bookmarkStart w:id="15" w:name="marketplace-fees"/>
      <w:r>
        <w:t>Marketplace Fees</w:t>
      </w:r>
    </w:p>
    <w:p w14:paraId="64FBD4A6">
      <w:pPr>
        <w:pStyle w:val="23"/>
      </w:pPr>
      <w:r>
        <w:t>A fee charged when claim tokens are transferred.</w:t>
      </w:r>
    </w:p>
    <w:bookmarkEnd w:id="15"/>
    <w:p w14:paraId="0C5CAD8C">
      <w:pPr>
        <w:pStyle w:val="5"/>
      </w:pPr>
      <w:bookmarkStart w:id="16" w:name="settlement-fees"/>
      <w:r>
        <w:t>Settlement Fees</w:t>
      </w:r>
    </w:p>
    <w:p w14:paraId="174B77D5">
      <w:pPr>
        <w:pStyle w:val="23"/>
      </w:pPr>
      <w:r>
        <w:t>A fee charged upon successful claim settlement.</w:t>
      </w:r>
    </w:p>
    <w:bookmarkEnd w:id="16"/>
    <w:p w14:paraId="2461A6FB">
      <w:pPr>
        <w:pStyle w:val="5"/>
      </w:pPr>
      <w:bookmarkStart w:id="17" w:name="enterprise-subscription"/>
      <w:r>
        <w:t>Enterprise Subscription</w:t>
      </w:r>
    </w:p>
    <w:p w14:paraId="11110A7B">
      <w:pPr>
        <w:pStyle w:val="23"/>
      </w:pPr>
      <w:r>
        <w:t>Hospitals and insurers can subscribe for advanced analytics and reporting.</w:t>
      </w:r>
    </w:p>
    <w:bookmarkEnd w:id="13"/>
    <w:bookmarkEnd w:id="17"/>
    <w:p w14:paraId="094D2BD9">
      <w:pPr>
        <w:pStyle w:val="4"/>
      </w:pPr>
      <w:bookmarkStart w:id="18" w:name="competitive-advantage"/>
      <w:r>
        <w:t>Competitive Advantage</w:t>
      </w:r>
    </w:p>
    <w:p w14:paraId="356AC88C">
      <w:pPr>
        <w:pStyle w:val="23"/>
      </w:pPr>
      <w:r>
        <w:t>Traditional healthcare financing requires banks, paperwork, and manual verification.</w:t>
      </w:r>
    </w:p>
    <w:p w14:paraId="343FB604">
      <w:pPr>
        <w:pStyle w:val="3"/>
      </w:pPr>
      <w:r>
        <w:t>AfyaPay provides:</w:t>
      </w:r>
    </w:p>
    <w:p w14:paraId="61CFD39C">
      <w:pPr>
        <w:pStyle w:val="24"/>
        <w:numPr>
          <w:ilvl w:val="0"/>
          <w:numId w:val="1"/>
        </w:numPr>
      </w:pPr>
      <w:r>
        <w:t>Blockchain-backed transparency</w:t>
      </w:r>
    </w:p>
    <w:p w14:paraId="24A0764E">
      <w:pPr>
        <w:pStyle w:val="24"/>
        <w:numPr>
          <w:ilvl w:val="0"/>
          <w:numId w:val="1"/>
        </w:numPr>
      </w:pPr>
      <w:r>
        <w:t>Digital asset ownership</w:t>
      </w:r>
    </w:p>
    <w:p w14:paraId="1F4AF9B1">
      <w:pPr>
        <w:pStyle w:val="24"/>
        <w:numPr>
          <w:ilvl w:val="0"/>
          <w:numId w:val="1"/>
        </w:numPr>
      </w:pPr>
      <w:r>
        <w:t>Automated settlement</w:t>
      </w:r>
    </w:p>
    <w:p w14:paraId="1C17CC90">
      <w:pPr>
        <w:pStyle w:val="24"/>
        <w:numPr>
          <w:ilvl w:val="0"/>
          <w:numId w:val="1"/>
        </w:numPr>
      </w:pPr>
      <w:r>
        <w:t>Near real-time transferability</w:t>
      </w:r>
    </w:p>
    <w:p w14:paraId="49BDBDA2">
      <w:pPr>
        <w:pStyle w:val="24"/>
        <w:numPr>
          <w:ilvl w:val="0"/>
          <w:numId w:val="1"/>
        </w:numPr>
      </w:pPr>
      <w:r>
        <w:t>Reduced financing friction</w:t>
      </w:r>
    </w:p>
    <w:bookmarkEnd w:id="18"/>
    <w:p w14:paraId="7AFDE112">
      <w:pPr>
        <w:pStyle w:val="4"/>
      </w:pPr>
      <w:bookmarkStart w:id="19" w:name="vision"/>
      <w:r>
        <w:t>Vision</w:t>
      </w:r>
    </w:p>
    <w:p w14:paraId="02B0CBF5">
      <w:pPr>
        <w:pStyle w:val="23"/>
      </w:pPr>
      <w:r>
        <w:t>To become Africa’s healthcare liquidity network by transforming insurance claims into tradeable financial assets using Stellar.</w:t>
      </w:r>
    </w:p>
    <w:bookmarkEnd w:id="0"/>
    <w:bookmarkEnd w:id="1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3B948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qFormat/>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342</Words>
  <Characters>2346</Characters>
  <Lines>12</Lines>
  <Paragraphs>8</Paragraphs>
  <TotalTime>11</TotalTime>
  <ScaleCrop>false</ScaleCrop>
  <LinksUpToDate>false</LinksUpToDate>
  <CharactersWithSpaces>2625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2026-06-04T07:38:00Z</dcterms:created>
  <dc:creator>WPS_1780037239</dc:creator>
  <cp:lastModifiedBy>WPS_1780037239</cp:lastModifiedBy>
  <dcterms:modified xsi:type="dcterms:W3CDTF">2026-06-04T07:52:24Z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58F0742482B749F48E5468A01C58DABA_13</vt:lpwstr>
  </property>
</Properties>
</file>