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Arabic AP Domain</w:t>
      </w:r>
      <w:r>
        <w:br/>
      </w:r>
      <w:r>
        <w:rPr>
          <w:b/>
          <w:bCs/>
        </w:rPr>
        <w:t xml:space="preserve">Business Requirements &amp; Lineage</w:t>
      </w:r>
      <w:r>
        <w:br/>
      </w:r>
      <w:r>
        <w:t xml:space="preserve">Source-to-Specification Mapping</w:t>
      </w:r>
      <w:r>
        <w:br/>
      </w:r>
      <w:r>
        <w:t xml:space="preserve">Ref:</w:t>
      </w:r>
      <w:r>
        <w:t xml:space="preserve"> </w:t>
      </w:r>
      <w:r>
        <w:rPr>
          <w:rStyle w:val="VerbatimChar"/>
        </w:rPr>
        <w:t xml:space="preserve">ARA-REQ-LIN-2026-v1.0</w:t>
      </w:r>
    </w:p>
    <w:p>
      <w:pPr>
        <w:pStyle w:val="Author"/>
      </w:pPr>
      <w:r>
        <w:t xml:space="preserve">SAP-OSS Business Architecture Team</w:t>
      </w:r>
    </w:p>
    <w:p>
      <w:pPr>
        <w:pStyle w:val="Date"/>
      </w:pPr>
      <w:r>
        <w:t xml:space="preserve">April 2026</w:t>
      </w:r>
    </w:p>
    <w:bookmarkStart w:id="9" w:name="ch:source-registry"/>
    <w:p>
      <w:pPr>
        <w:pStyle w:val="Heading1"/>
      </w:pPr>
      <w:r>
        <w:t xml:space="preserve">Source Material Registry</w:t>
      </w:r>
    </w:p>
    <w:p>
      <w:pPr>
        <w:pStyle w:val="FirstParagraph"/>
      </w:pPr>
      <w:r>
        <w:t xml:space="preserve">This chapter catalogues the primary source documents used to derive the business requirements for the Arabic AP domain.</w:t>
      </w:r>
    </w:p>
    <w:p>
      <w:pPr>
        <w:pStyle w:val="TableCaption"/>
      </w:pPr>
      <w:r>
        <w:t xml:space="preserve">Source Document Inventory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urce Document Inventory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 Payable DOI.docx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SCB Bahrain / NBR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Delegation of Invoicing (DOI) &amp;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Saudi - OTP Entry processing...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ZATCA (Saudi)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Q3’25 processing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EDAA Annual Fee Invoice...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Arabic/English Invoice layout (Standard)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Arabic-Simplified-Invoice.pdf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Arabic-only simplified invoice structure</w:t>
            </w:r>
          </w:p>
        </w:tc>
      </w:tr>
    </w:tbl>
    <w:bookmarkEnd w:id="9"/>
    <w:bookmarkStart w:id="11" w:name="ch:transformation"/>
    <w:p>
      <w:pPr>
        <w:pStyle w:val="Heading1"/>
      </w:pPr>
      <w:r>
        <w:t xml:space="preserve">Transformation Logic</w:t>
      </w:r>
    </w:p>
    <w:bookmarkStart w:id="10" w:name="from-pdf-to-machine-readable-yamljson"/>
    <w:p>
      <w:pPr>
        <w:pStyle w:val="Heading2"/>
      </w:pPr>
      <w:r>
        <w:t xml:space="preserve">From PDF to Machine-Readable (YAML/JSON)</w:t>
      </w:r>
    </w:p>
    <w:p>
      <w:pPr>
        <w:pStyle w:val="FirstParagraph"/>
      </w:pPr>
      <w:r>
        <w:t xml:space="preserve">The business requirements were extracted from the sources in</w:t>
      </w:r>
      <w:r>
        <w:t xml:space="preserve"> </w:t>
      </w:r>
      <w:hyperlink w:anchor="ch:source-registry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using a semi-automated "Ground Truth" process: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Heuristic Extraction:</w:t>
      </w:r>
      <w:r>
        <w:t xml:space="preserve"> </w:t>
      </w:r>
      <w:r>
        <w:t xml:space="preserve">Initial requirement identification by GFS Analysts.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Schema Normalization:</w:t>
      </w:r>
      <w:r>
        <w:t xml:space="preserve"> </w:t>
      </w:r>
      <w:r>
        <w:t xml:space="preserve">Mapping requirements to the</w:t>
      </w:r>
      <w:r>
        <w:t xml:space="preserve"> </w:t>
      </w:r>
      <w:r>
        <w:rPr>
          <w:rStyle w:val="VerbatimChar"/>
        </w:rPr>
        <w:t xml:space="preserve">invoice.schema.json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vat-checklist.schema.json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Formalization:</w:t>
      </w:r>
      <w:r>
        <w:t xml:space="preserve"> </w:t>
      </w:r>
      <w:r>
        <w:t xml:space="preserve">Converting narrative rules (e.g., "Full tax invoice must contain TIN") into JSON-Logic predicates.</w:t>
      </w:r>
    </w:p>
    <w:bookmarkEnd w:id="10"/>
    <w:bookmarkEnd w:id="11"/>
    <w:bookmarkStart w:id="12" w:name="ch:requirements"/>
    <w:p>
      <w:pPr>
        <w:pStyle w:val="Heading1"/>
      </w:pPr>
      <w:r>
        <w:t xml:space="preserve">Business Requirements Catalogue</w:t>
      </w:r>
    </w:p>
    <w:p>
      <w:pPr>
        <w:pStyle w:val="TableCaption"/>
      </w:pPr>
      <w:r>
        <w:t xml:space="preserve">Consolidated Business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solidated Business Requirement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BR-OCR-01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precision for currency must exceed 99.5%.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Saudi - OTP Entry processing...</w:t>
            </w:r>
            <w:r>
              <w:t xml:space="preserve"> </w:t>
            </w:r>
            <w:r>
              <w:t xml:space="preserve">(p.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BR-VAT-SA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vs Full Invoice determination based on 1000 SAR threshold.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ZATCA VAT Guidelines (Implicit in Saudi OTP)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BR-DOI-07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Evidence-based seven-control sign-off for Bahrain.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 Payable DOI.docx</w:t>
            </w:r>
            <w:r>
              <w:t xml:space="preserve"> </w:t>
            </w:r>
            <w:r>
              <w:t xml:space="preserve">(Section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BR-TRN-01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 must maintain semantic mapping for legal entity names.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EDAA Annual Fee Invoice...</w:t>
            </w:r>
          </w:p>
        </w:tc>
      </w:tr>
    </w:tbl>
    <w:bookmarkEnd w:id="12"/>
    <w:bookmarkStart w:id="13" w:name="ch:lineage"/>
    <w:p>
      <w:pPr>
        <w:pStyle w:val="Heading1"/>
      </w:pPr>
      <w:r>
        <w:t xml:space="preserve">Requirement-to-Specification Lineage</w:t>
      </w:r>
    </w:p>
    <w:p>
      <w:pPr>
        <w:pStyle w:val="TableCaption"/>
      </w:pPr>
      <w:r>
        <w:t xml:space="preserve">Technical Traceability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chnical Traceability Matrix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Technical 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 Spec 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BR-OCR-01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threshold calibration pilot.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arabic-ap-spec</w:t>
            </w:r>
            <w:r>
              <w:t xml:space="preserve"> </w:t>
            </w:r>
            <w:r>
              <w:t xml:space="preserve">Ch.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BR-VAT-SA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ID</w:t>
            </w:r>
            <w:r>
              <w:t xml:space="preserve"> </w:t>
            </w:r>
            <w:r>
              <w:rPr>
                <w:rStyle w:val="VerbatimChar"/>
              </w:rPr>
              <w:t xml:space="preserve">VAT-SA-SI-001</w:t>
            </w:r>
            <w:r>
              <w:t xml:space="preserve"> </w:t>
            </w:r>
            <w:r>
              <w:t xml:space="preserve">in VAT Engine.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arabic-ap-spec</w:t>
            </w:r>
            <w:r>
              <w:t xml:space="preserve"> </w:t>
            </w:r>
            <w:r>
              <w:t xml:space="preserve">Ch.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BR-DOI-07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28-state workflow wiring in</w:t>
            </w:r>
            <w:r>
              <w:t xml:space="preserve"> </w:t>
            </w:r>
            <w:r>
              <w:rPr>
                <w:rStyle w:val="VerbatimChar"/>
              </w:rPr>
              <w:t xml:space="preserve">ap.workflow.advance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arabic-ap-spec</w:t>
            </w:r>
            <w:r>
              <w:t xml:space="preserve"> </w:t>
            </w:r>
            <w:r>
              <w:t xml:space="preserve">Ch. 5 &amp;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BR-TRN-01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Arabic–English translation gate calibration.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arabic-ap-spec</w:t>
            </w:r>
            <w:r>
              <w:t xml:space="preserve"> </w:t>
            </w:r>
            <w:r>
              <w:t xml:space="preserve">Ch. 3</w:t>
            </w:r>
          </w:p>
        </w:tc>
      </w:tr>
    </w:tbl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Arabic AP Domain Business Requirements &amp; Lineage Source-to-Specification Mapping Ref: ARA-REQ-LIN-2026-v1.0</dc:title>
  <dc:creator>SAP-OSS Business Architecture Team</dc:creator>
  <cp:keywords/>
  <dcterms:created xsi:type="dcterms:W3CDTF">2026-04-20T04:37:48Z</dcterms:created>
  <dcterms:modified xsi:type="dcterms:W3CDTF">2026-04-20T04:37:48Z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