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Arabic AP Domain</w:t>
      </w:r>
      <w:r>
        <w:br/>
      </w:r>
      <w:r>
        <w:rPr>
          <w:b/>
          <w:bCs/>
        </w:rPr>
        <w:t xml:space="preserve">Business Requirements &amp; Lineage</w:t>
      </w:r>
      <w:r>
        <w:br/>
      </w:r>
      <w:r>
        <w:t xml:space="preserve">HITL Traceability Specification</w:t>
      </w:r>
      <w:r>
        <w:br/>
      </w:r>
      <w:r>
        <w:t xml:space="preserve">Ref:</w:t>
      </w:r>
      <w:r>
        <w:t xml:space="preserve"> </w:t>
      </w:r>
      <w:r>
        <w:rPr>
          <w:rStyle w:val="VerbatimChar"/>
        </w:rPr>
        <w:t xml:space="preserve">ARA-REQ-LIN-2026-v1.0</w:t>
      </w:r>
    </w:p>
    <w:p>
      <w:pPr>
        <w:pStyle w:val="Author"/>
      </w:pPr>
      <w:r>
        <w:t xml:space="preserve">SAP-OSS Business Architecture Team</w:t>
      </w:r>
    </w:p>
    <w:p>
      <w:pPr>
        <w:pStyle w:val="Date"/>
      </w:pPr>
      <w:r>
        <w:t xml:space="preserve">April 2026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specification defines the human-in-the-loop (HITL) traceability for the Arabic AP domain. It provides a formal mapping between raw regulatory source documents, derived business requirements, and the technical implementation specifications.</w:t>
      </w:r>
    </w:p>
    <w:p>
      <w:pPr>
        <w:pStyle w:val="BodyText"/>
      </w:pPr>
      <w:r>
        <w:t xml:space="preserve">The document is designed for business stakeholders, auditors, and legal reviewers to verify that the AI-augmented pipeline respects the underlying mandates of ZATCA (Saudi), NBR (Bahrain), and other regional authorities.</w:t>
      </w:r>
    </w:p>
    <w:bookmarkEnd w:id="9"/>
    <w:bookmarkStart w:id="10" w:name="ch:source-registry"/>
    <w:p>
      <w:pPr>
        <w:pStyle w:val="Heading1"/>
      </w:pPr>
      <w:r>
        <w:t xml:space="preserve">Source Material Registry</w:t>
      </w:r>
    </w:p>
    <w:p>
      <w:pPr>
        <w:pStyle w:val="FirstParagraph"/>
      </w:pPr>
      <w:r>
        <w:t xml:space="preserve">This chapter catalogues the primary source documents used to derive the business requirements for the Arabic AP domain.</w:t>
      </w:r>
    </w:p>
    <w:p>
      <w:pPr>
        <w:pStyle w:val="TableCaption"/>
      </w:pPr>
      <w:r>
        <w:t xml:space="preserve">Source Document Inventory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urce Document Invento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Regulatory Body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Concern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Regulatory Body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Concern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 Payable DOI.docx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SCB Bahrain / NBR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of Invoicing (DOI) &amp;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Saudi - OTP Entry processing...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ZATCA (Saudi)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Q3’25 processing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EDAA Annual Fee Invoice...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Arabic/English Invoice layout (Standard)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Arabic-Simplified-Invoice.pdf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Arabic-only simplified invoice structure</w:t>
            </w:r>
          </w:p>
        </w:tc>
      </w:tr>
    </w:tbl>
    <w:bookmarkEnd w:id="10"/>
    <w:bookmarkStart w:id="15" w:name="ch:transformation"/>
    <w:p>
      <w:pPr>
        <w:pStyle w:val="Heading1"/>
      </w:pPr>
      <w:r>
        <w:t xml:space="preserve">Transformation Logic</w:t>
      </w:r>
    </w:p>
    <w:bookmarkStart w:id="11" w:name="compliance-lifecycle-source-to-evidence"/>
    <w:p>
      <w:pPr>
        <w:pStyle w:val="Heading2"/>
      </w:pPr>
      <w:r>
        <w:t xml:space="preserve">Compliance Lifecycle: Source to Evidence</w:t>
      </w:r>
    </w:p>
    <w:p>
      <w:pPr>
        <w:pStyle w:val="FirstParagraph"/>
      </w:pPr>
      <w:r>
        <w:t xml:space="preserve">The following diagram visualizes the value stream for requirements in the SAP OSS platform. It ensures that every line of code is anchored in a verified business mandate.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end-to-end compliance value stream.</w:t>
      </w:r>
    </w:p>
    <w:bookmarkEnd w:id="11"/>
    <w:bookmarkStart w:id="14" w:name="from-pdf-to-machine-readable-yamljson"/>
    <w:p>
      <w:pPr>
        <w:pStyle w:val="Heading2"/>
      </w:pPr>
      <w:r>
        <w:t xml:space="preserve">From PDF to Machine-Readable (YAML/JSON)</w:t>
      </w:r>
    </w:p>
    <w:p>
      <w:pPr>
        <w:pStyle w:val="FirstParagraph"/>
      </w:pPr>
      <w:r>
        <w:t xml:space="preserve">The transformation from narrative prose to technical enforcement uses a semi-automated "Ground Truth" process.</w:t>
      </w:r>
      <w:r>
        <w:t xml:space="preserve"> </w:t>
      </w:r>
      <w:hyperlink w:anchor="tab:artifact-linkage">
        <w:r>
          <w:rPr>
            <w:rStyle w:val="Hyperlink"/>
          </w:rPr>
          <w:t xml:space="preserve">2.1</w:t>
        </w:r>
      </w:hyperlink>
      <w:r>
        <w:t xml:space="preserve"> </w:t>
      </w:r>
      <w:r>
        <w:t xml:space="preserve">maps the raw sources to their corresponding machine-readable counterparts.</w:t>
      </w:r>
    </w:p>
    <w:bookmarkStart w:id="12" w:name="tab:artifact-linkage"/>
    <w:p>
      <w:pPr>
        <w:pStyle w:val="TableCaption"/>
      </w:pPr>
      <w:r>
        <w:t xml:space="preserve">Source Material to Machine-Readable Linkage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urce Material to Machine-Readable Linkag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Material (Raw)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Machine-Readable Artifact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Registry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 Payable DOI.docx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bh-ap-doi.json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structured/policies/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Saudi - OTP Entry...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ksa-vat-q3.yaml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structured/rules/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Specification Addendum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spec-addendum.yaml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arabic/machine-readable/</w:t>
            </w:r>
          </w:p>
        </w:tc>
      </w:tr>
    </w:tbl>
    <w:bookmarkEnd w:id="12"/>
    <w:bookmarkStart w:id="13" w:name="extraction-methodology"/>
    <w:p>
      <w:pPr>
        <w:pStyle w:val="Heading3"/>
      </w:pPr>
      <w:r>
        <w:t xml:space="preserve">Extraction Methodology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Heuristic Extraction:</w:t>
      </w:r>
      <w:r>
        <w:t xml:space="preserve"> </w:t>
      </w:r>
      <w:r>
        <w:t xml:space="preserve">Initial requirement identification by GFS Analysts based on domain knowledge.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Schema Normalization:</w:t>
      </w:r>
      <w:r>
        <w:t xml:space="preserve"> </w:t>
      </w:r>
      <w:r>
        <w:t xml:space="preserve">Mapping requirements to the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vat-checklist.schema.json</w:t>
      </w:r>
      <w:r>
        <w:t xml:space="preserve"> </w:t>
      </w:r>
      <w:r>
        <w:t xml:space="preserve">defined in the technical spec.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Formalization:</w:t>
      </w:r>
      <w:r>
        <w:t xml:space="preserve"> </w:t>
      </w:r>
      <w:r>
        <w:t xml:space="preserve">Converting narrative rules (e.g., "Full tax invoice must contain TIN") into JSON-Logic predicates for automated enforcement.</w:t>
      </w:r>
    </w:p>
    <w:bookmarkEnd w:id="13"/>
    <w:bookmarkEnd w:id="14"/>
    <w:bookmarkEnd w:id="15"/>
    <w:bookmarkStart w:id="16" w:name="ch:requirements"/>
    <w:p>
      <w:pPr>
        <w:pStyle w:val="Heading1"/>
      </w:pPr>
      <w:r>
        <w:t xml:space="preserve">Business Requirements Catalogue</w:t>
      </w:r>
    </w:p>
    <w:p>
      <w:pPr>
        <w:pStyle w:val="TableCaption"/>
      </w:pPr>
      <w:r>
        <w:t xml:space="preserve">Consolidated Business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olidated Business Requirement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Business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Document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Business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Document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BR-OCR-01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 precision for currency must exceed 99.5%.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Saudi - OTP Entry processing...</w:t>
            </w:r>
            <w:r>
              <w:t xml:space="preserve"> </w:t>
            </w:r>
            <w:r>
              <w:t xml:space="preserve">(p.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BR-VAT-SA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Simplified vs Full Invoice determination based on 1000 SAR threshold.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ZATCA VAT Guidelines (Implicit in Saudi OTP)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BR-DOI-07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Evidence-based seven-control sign-off for Bahrain.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 Payable DOI.docx</w:t>
            </w:r>
            <w:r>
              <w:t xml:space="preserve"> </w:t>
            </w:r>
            <w:r>
              <w:t xml:space="preserve">(Section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BR-TRN-01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 must maintain semantic mapping for legal entity names.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EDAA Annual Fee Invoice...</w:t>
            </w:r>
          </w:p>
        </w:tc>
      </w:tr>
    </w:tbl>
    <w:bookmarkEnd w:id="16"/>
    <w:bookmarkStart w:id="17" w:name="ch:lineage"/>
    <w:p>
      <w:pPr>
        <w:pStyle w:val="Heading1"/>
      </w:pPr>
      <w:r>
        <w:t xml:space="preserve">Requirement-to-Specification Lineage</w:t>
      </w:r>
    </w:p>
    <w:p>
      <w:pPr>
        <w:pStyle w:val="TableCaption"/>
      </w:pPr>
      <w:r>
        <w:t xml:space="preserve">Technical Traceability Matrix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chnical Traceability Matrix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Technical Implementation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 Spec Ref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BR-OCR-01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threshold calibration pilot.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arabic-ap-spec</w:t>
            </w:r>
            <w:r>
              <w:t xml:space="preserve"> </w:t>
            </w:r>
            <w:r>
              <w:t xml:space="preserve">Ch.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BR-VAT-SA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ID</w:t>
            </w:r>
            <w:r>
              <w:t xml:space="preserve"> </w:t>
            </w:r>
            <w:r>
              <w:rPr>
                <w:rStyle w:val="VerbatimChar"/>
              </w:rPr>
              <w:t xml:space="preserve">VAT-SA-SI-001</w:t>
            </w:r>
            <w:r>
              <w:t xml:space="preserve"> </w:t>
            </w:r>
            <w:r>
              <w:t xml:space="preserve">in VAT Engine.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arabic-ap-spec</w:t>
            </w:r>
            <w:r>
              <w:t xml:space="preserve"> </w:t>
            </w:r>
            <w:r>
              <w:t xml:space="preserve">Ch.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BR-DOI-07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28-state workflow wiring in</w:t>
            </w:r>
            <w:r>
              <w:t xml:space="preserve"> </w:t>
            </w:r>
            <w:r>
              <w:rPr>
                <w:rStyle w:val="VerbatimChar"/>
              </w:rPr>
              <w:t xml:space="preserve">ap.workflow.advance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arabic-ap-spec</w:t>
            </w:r>
            <w:r>
              <w:t xml:space="preserve"> </w:t>
            </w:r>
            <w:r>
              <w:t xml:space="preserve">Ch. 5 &amp;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BR-TRN-01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Arabic–English translation gate calibration.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arabic-ap-spec</w:t>
            </w:r>
            <w:r>
              <w:t xml:space="preserve"> </w:t>
            </w:r>
            <w:r>
              <w:t xml:space="preserve">Ch. 3</w:t>
            </w:r>
          </w:p>
        </w:tc>
      </w:tr>
    </w:tbl>
    <w:bookmarkEnd w:id="17"/>
    <w:bookmarkStart w:id="21" w:name="ch:global-dependencies"/>
    <w:p>
      <w:pPr>
        <w:pStyle w:val="Heading1"/>
      </w:pPr>
      <w:r>
        <w:t xml:space="preserve">Global Wave-Dependency Manifest</w:t>
      </w:r>
    </w:p>
    <w:bookmarkStart w:id="18" w:name="critical-path-visualization-waves-13"/>
    <w:p>
      <w:pPr>
        <w:pStyle w:val="Heading2"/>
      </w:pPr>
      <w:r>
        <w:t xml:space="preserve">Critical Path Visualization (Waves 1–3)</w:t>
      </w:r>
    </w:p>
    <w:p>
      <w:pPr>
        <w:pStyle w:val="FirstParagraph"/>
      </w:pPr>
      <w:r>
        <w:t xml:space="preserve">The following chart defines the normative sequencing for implementation agents. A task in a later wave cannot be marked</w:t>
      </w:r>
      <w:r>
        <w:t xml:space="preserve"> </w:t>
      </w:r>
      <w:r>
        <w:rPr>
          <w:smallCaps/>
        </w:rPr>
        <w:t xml:space="preserve">complete</w:t>
      </w:r>
      <w:r>
        <w:t xml:space="preserve"> </w:t>
      </w:r>
      <w:r>
        <w:t xml:space="preserve">until its prerequisites in an earlier wave are validated.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Cross-specification dependency graph: The blueprint for platform rollout.</w:t>
      </w:r>
    </w:p>
    <w:bookmarkEnd w:id="18"/>
    <w:bookmarkStart w:id="20" w:name="inter-domain-prerequisite-matrix"/>
    <w:p>
      <w:pPr>
        <w:pStyle w:val="Heading2"/>
      </w:pPr>
      <w:r>
        <w:t xml:space="preserve">Inter-Domain Prerequisite Matrix</w:t>
      </w:r>
    </w:p>
    <w:bookmarkStart w:id="19" w:name="tab:prerequisites"/>
    <w:p>
      <w:pPr>
        <w:pStyle w:val="TableCaption"/>
      </w:pPr>
      <w:r>
        <w:t xml:space="preserve">Normative Cross-Domain Prerequisites.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rmative Cross-Domain Prerequisit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Prerequisite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REG-W1 (Identity)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REG-IDENTITY-01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intake must be audit-traced from Day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(Extraction)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SIM-EXTRACT-01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Anomaly detection requires HANA schema metadata.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(Registry)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SIM-REGISTRY-01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monitoring relies on the schema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REG-W2 (Pillar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REG-MGF-P1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release is an HITL gate governed by MAS Pillar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ARA-W2 (Posted Invoices)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ARA-AP-POST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dashboard depends on posted AP data from Arabic domain.</w:t>
            </w:r>
          </w:p>
        </w:tc>
      </w:tr>
    </w:tbl>
    <w:bookmarkEnd w:id="19"/>
    <w:p>
      <w:pPr>
        <w:pStyle w:val="BodyText"/>
      </w:pPr>
      <w:r>
        <w:t xml:space="preserve">Dependency Enforcement</w:t>
      </w:r>
      <w:r>
        <w:t xml:space="preserve"> </w:t>
      </w:r>
      <w:r>
        <w:t xml:space="preserve">Implementation agents are strictly forbidden from "Fast-Forwarding" into Wave 2 if Wave 1 critical prerequisites (marked in</w:t>
      </w:r>
      <w:r>
        <w:t xml:space="preserve"> </w:t>
      </w:r>
      <w:r>
        <w:rPr>
          <w:b/>
          <w:bCs/>
        </w:rPr>
        <w:t xml:space="preserve">Gold</w:t>
      </w:r>
      <w:r>
        <w:t xml:space="preserve">) are in a</w:t>
      </w:r>
      <w:r>
        <w:t xml:space="preserve"> </w:t>
      </w:r>
      <w:r>
        <w:rPr>
          <w:smallCaps/>
        </w:rPr>
        <w:t xml:space="preserve">gap</w:t>
      </w:r>
      <w:r>
        <w:t xml:space="preserve"> </w:t>
      </w:r>
      <w:r>
        <w:t xml:space="preserve">or</w:t>
      </w:r>
      <w:r>
        <w:t xml:space="preserve"> </w:t>
      </w:r>
      <w:r>
        <w:rPr>
          <w:smallCaps/>
        </w:rPr>
        <w:t xml:space="preserve">partial</w:t>
      </w:r>
      <w:r>
        <w:t xml:space="preserve"> </w:t>
      </w:r>
      <w:r>
        <w:t xml:space="preserve">state.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Arabic AP Domain Business Requirements &amp; Lineage HITL Traceability Specification Ref: ARA-REQ-LIN-2026-v1.0</dc:title>
  <dc:creator>SAP-OSS Business Architecture Team</dc:creator>
  <cp:keywords/>
  <dcterms:created xsi:type="dcterms:W3CDTF">2026-04-20T07:02:16Z</dcterms:created>
  <dcterms:modified xsi:type="dcterms:W3CDTF">2026-04-20T07:02:16Z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</Properties>
</file>