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Trial Balance Review</w:t>
      </w:r>
      <w:r>
        <w:br/>
      </w:r>
      <w:r>
        <w:rPr>
          <w:b/>
          <w:bCs/>
        </w:rPr>
        <w:t xml:space="preserve">and AI Augmentation</w:t>
      </w:r>
      <w:r>
        <w:br/>
      </w:r>
      <w:r>
        <w:t xml:space="preserve">Implementation Specification</w:t>
      </w:r>
      <w:r>
        <w:br/>
      </w:r>
      <w:r>
        <w:t xml:space="preserve">Ref:</w:t>
      </w:r>
      <w:r>
        <w:t xml:space="preserve"> </w:t>
      </w:r>
      <w:r>
        <w:rPr>
          <w:rStyle w:val="VerbatimChar"/>
        </w:rPr>
        <w:t xml:space="preserve">TB-REVIEW-2026-v1.2</w:t>
      </w:r>
    </w:p>
    <w:p>
      <w:pPr>
        <w:pStyle w:val="Author"/>
      </w:pPr>
      <w:r>
        <w:t xml:space="preserve">SAP-OSS Financial Review Team</w:t>
      </w:r>
    </w:p>
    <w:p>
      <w:pPr>
        <w:pStyle w:val="Date"/>
      </w:pPr>
      <w:r>
        <w:t xml:space="preserve">April 2026</w:t>
      </w:r>
    </w:p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specification defines the target-state implementation of Standard</w:t>
      </w:r>
      <w:r>
        <w:t xml:space="preserve"> </w:t>
      </w:r>
      <w:r>
        <w:t xml:space="preserve">Chartered Bank’s Trial Balance (TB) review process across all Legal</w:t>
      </w:r>
      <w:r>
        <w:t xml:space="preserve"> </w:t>
      </w:r>
      <w:r>
        <w:t xml:space="preserve">Entities, Segment, and Group, together with the AI-augmented operating</w:t>
      </w:r>
      <w:r>
        <w:t xml:space="preserve"> </w:t>
      </w:r>
      <w:r>
        <w:t xml:space="preserve">model sanctioned under the business case approved on 2025-12-14</w:t>
      </w:r>
      <w:r>
        <w:t xml:space="preserve"> </w:t>
      </w:r>
      <w:r>
        <w:t xml:space="preserve">(requirement</w:t>
      </w:r>
      <w:r>
        <w:t xml:space="preserve"> </w:t>
      </w:r>
      <w:r>
        <w:rPr>
          <w:rStyle w:val="VerbatimChar"/>
        </w:rPr>
        <w:t xml:space="preserve">TB-REQ-001</w:t>
      </w:r>
      <w:r>
        <w:t xml:space="preserve">, author S1 Badrinath). The document</w:t>
      </w:r>
      <w:r>
        <w:t xml:space="preserve"> </w:t>
      </w:r>
      <w:r>
        <w:t xml:space="preserve">captures the process as it is currently executed by the Global Financial</w:t>
      </w:r>
      <w:r>
        <w:t xml:space="preserve"> </w:t>
      </w:r>
      <w:r>
        <w:t xml:space="preserve">Services (GFS) Analyst and the Head of Africa GFS under three governing</w:t>
      </w:r>
      <w:r>
        <w:t xml:space="preserve"> </w:t>
      </w:r>
      <w:r>
        <w:t xml:space="preserve">End User Computing (EUC) controls, and specifies the automation</w:t>
      </w:r>
      <w:r>
        <w:t xml:space="preserve"> </w:t>
      </w:r>
      <w:r>
        <w:t xml:space="preserve">envelope that replaces the manual variance analysis, commentary</w:t>
      </w:r>
      <w:r>
        <w:t xml:space="preserve"> </w:t>
      </w:r>
      <w:r>
        <w:t xml:space="preserve">generation, and FORTM pack assembly.</w:t>
      </w:r>
    </w:p>
    <w:p>
      <w:pPr>
        <w:pStyle w:val="BodyText"/>
      </w:pPr>
      <w:r>
        <w:t xml:space="preserve">Three orthogonal workstreams are specified in full: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canonical TB corpus</w:t>
      </w:r>
      <w:r>
        <w:t xml:space="preserve"> </w:t>
      </w:r>
      <w:r>
        <w:t xml:space="preserve">of workflow, control, decision,</w:t>
      </w:r>
      <w:r>
        <w:t xml:space="preserve"> </w:t>
      </w:r>
      <w:r>
        <w:t xml:space="preserve">requirement, KPI, and glossary records, each validated against</w:t>
      </w:r>
      <w:r>
        <w:t xml:space="preserve"> </w:t>
      </w:r>
      <w:r>
        <w:t xml:space="preserve">a JSON Schema in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AI augmentation pipeline</w:t>
      </w:r>
      <w:r>
        <w:t xml:space="preserve"> </w:t>
      </w:r>
      <w:r>
        <w:t xml:space="preserve">that ingests</w:t>
      </w:r>
      <w:r>
        <w:t xml:space="preserve"> </w:t>
      </w:r>
      <w:r>
        <w:t xml:space="preserve">PSGL / S/4 extracts, performs statistical anomaly and materiality</w:t>
      </w:r>
      <w:r>
        <w:t xml:space="preserve"> </w:t>
      </w:r>
      <w:r>
        <w:t xml:space="preserve">detection (percentile-based rules in v1.0; machine-learning</w:t>
      </w:r>
      <w:r>
        <w:t xml:space="preserve"> </w:t>
      </w:r>
      <w:r>
        <w:t xml:space="preserve">methods scoped for v2.0, see Chapter </w:t>
      </w:r>
      <w:hyperlink w:anchor="ch:future-ml">
        <w:r>
          <w:rPr>
            <w:rStyle w:val="Hyperlink"/>
          </w:rPr>
          <w:t xml:space="preserve">10</w:t>
        </w:r>
      </w:hyperlink>
      <w:r>
        <w:t xml:space="preserve">),</w:t>
      </w:r>
      <w:r>
        <w:t xml:space="preserve"> </w:t>
      </w:r>
      <w:r>
        <w:t xml:space="preserve">drafts variance commentaries with a vLLM-hosted model, and</w:t>
      </w:r>
      <w:r>
        <w:t xml:space="preserve"> </w:t>
      </w:r>
      <w:r>
        <w:t xml:space="preserve">generates the monthly FORTM pack narrative;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workflow and controls engine</w:t>
      </w:r>
      <w:r>
        <w:t xml:space="preserve"> </w:t>
      </w:r>
      <w:r>
        <w:t xml:space="preserve">that formalises the</w:t>
      </w:r>
      <w:r>
        <w:t xml:space="preserve"> </w:t>
      </w:r>
      <w:r>
        <w:t xml:space="preserve">28-state BPMN flow extracted from the GLO control narrative</w:t>
      </w:r>
      <w:r>
        <w:t xml:space="preserve"> </w:t>
      </w:r>
      <w:r>
        <w:t xml:space="preserve">and binds the three EUC controls (</w:t>
      </w:r>
      <w:r>
        <w:rPr>
          <w:rStyle w:val="VerbatimChar"/>
        </w:rPr>
        <w:t xml:space="preserve">EX/200/1353107/0001/000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EX/200/1579702/0001/000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EX/200/1579702/0002/000</w:t>
      </w:r>
      <w:r>
        <w:t xml:space="preserve">)</w:t>
      </w:r>
      <w:r>
        <w:t xml:space="preserve"> </w:t>
      </w:r>
      <w:r>
        <w:t xml:space="preserve">to explicit state transitions.</w:t>
      </w:r>
    </w:p>
    <w:bookmarkStart w:id="9" w:name="reading-order."/>
    <w:p>
      <w:pPr>
        <w:pStyle w:val="Heading5"/>
      </w:pPr>
      <w:r>
        <w:t xml:space="preserve">Reading order.</w:t>
      </w:r>
    </w:p>
    <w:p>
      <w:pPr>
        <w:pStyle w:val="FirstParagraph"/>
      </w:pPr>
      <w:hyperlink w:anchor="ch: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situates the work and</w:t>
      </w:r>
      <w:r>
        <w:t xml:space="preserve"> </w:t>
      </w:r>
      <w:r>
        <w:t xml:space="preserve">names the 234-entity scope;</w:t>
      </w:r>
      <w:r>
        <w:t xml:space="preserve"> 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defines the normalised</w:t>
      </w:r>
      <w:r>
        <w:t xml:space="preserve"> </w:t>
      </w:r>
      <w:r>
        <w:t xml:space="preserve">record types;</w:t>
      </w:r>
      <w:r>
        <w:t xml:space="preserve"> </w:t>
      </w:r>
      <w:hyperlink w:anchor="ch:a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covers the AI pipeline;</w:t>
      </w:r>
      <w:r>
        <w:t xml:space="preserve"> 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covers the variance and commentary engine;</w:t>
      </w:r>
      <w:r>
        <w:t xml:space="preserve"> 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covers</w:t>
      </w:r>
      <w:r>
        <w:t xml:space="preserve"> </w:t>
      </w:r>
      <w:r>
        <w:t xml:space="preserve">the workflow and approval engine;</w:t>
      </w:r>
      <w:r>
        <w:t xml:space="preserve"> 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specifies controls,</w:t>
      </w:r>
      <w:r>
        <w:t xml:space="preserve"> </w:t>
      </w:r>
      <w:r>
        <w:t xml:space="preserve">testing, and acceptance;</w:t>
      </w:r>
      <w:r>
        <w:t xml:space="preserve"> </w:t>
      </w:r>
      <w:hyperlink w:anchor="ch:reference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a traceability</w:t>
      </w:r>
      <w:r>
        <w:t xml:space="preserve"> </w:t>
      </w:r>
      <w:r>
        <w:t xml:space="preserve">appendix linking every requirement to a source document and a structured</w:t>
      </w:r>
      <w:r>
        <w:t xml:space="preserve"> </w:t>
      </w:r>
      <w:r>
        <w:t xml:space="preserve">record in</w:t>
      </w:r>
      <w:r>
        <w:t xml:space="preserve"> </w:t>
      </w:r>
      <w:r>
        <w:rPr>
          <w:rStyle w:val="VerbatimChar"/>
        </w:rPr>
        <w:t xml:space="preserve">structured/</w:t>
      </w:r>
      <w:r>
        <w:t xml:space="preserve">.</w:t>
      </w:r>
    </w:p>
    <w:bookmarkEnd w:id="9"/>
    <w:bookmarkStart w:id="10" w:name="conventions."/>
    <w:p>
      <w:pPr>
        <w:pStyle w:val="Heading5"/>
      </w:pPr>
      <w:r>
        <w:t xml:space="preserve">Conventions.</w:t>
      </w:r>
    </w:p>
    <w:p>
      <w:pPr>
        <w:pStyle w:val="FirstParagraph"/>
      </w:pPr>
      <w:r>
        <w:t xml:space="preserve">Workflow state identifiers appear in</w:t>
      </w:r>
      <w:r>
        <w:t xml:space="preserve"> </w:t>
      </w:r>
      <w:r>
        <w:rPr>
          <w:smallCaps/>
        </w:rPr>
        <w:t xml:space="preserve">small caps</w:t>
      </w:r>
      <w:r>
        <w:t xml:space="preserve">, for example</w:t>
      </w:r>
      <w:r>
        <w:t xml:space="preserve"> </w:t>
      </w:r>
      <w:r>
        <w:rPr>
          <w:smallCaps/>
        </w:rPr>
        <w:t xml:space="preserve">check_material_variances</w:t>
      </w:r>
      <w:r>
        <w:t xml:space="preserve">.</w:t>
      </w:r>
      <w:r>
        <w:t xml:space="preserve"> </w:t>
      </w:r>
      <w:r>
        <w:t xml:space="preserve">File paths are typeset in</w:t>
      </w:r>
      <w:r>
        <w:t xml:space="preserve"> </w:t>
      </w:r>
      <w:r>
        <w:rPr>
          <w:rStyle w:val="VerbatimChar"/>
        </w:rPr>
        <w:t xml:space="preserve">monospace</w:t>
      </w:r>
      <w:r>
        <w:t xml:space="preserve"> </w:t>
      </w:r>
      <w:r>
        <w:t xml:space="preserve">and are relative to the</w:t>
      </w:r>
      <w:r>
        <w:t xml:space="preserve"> </w:t>
      </w:r>
      <w:r>
        <w:t xml:space="preserve">repository root. Enum values in running text also appear in</w:t>
      </w:r>
      <w:r>
        <w:t xml:space="preserve"> </w:t>
      </w:r>
      <w:r>
        <w:rPr>
          <w:smallCaps/>
        </w:rPr>
        <w:t xml:space="preserve">small caps</w:t>
      </w:r>
      <w:r>
        <w:t xml:space="preserve">; they are defined authoritatively in</w:t>
      </w:r>
      <w:r>
        <w:t xml:space="preserve"> </w:t>
      </w:r>
      <w:r>
        <w:rPr>
          <w:rStyle w:val="VerbatimChar"/>
        </w:rPr>
        <w:t xml:space="preserve">structured/enums.yaml</w:t>
      </w:r>
      <w:r>
        <w:t xml:space="preserve">. Month-end-relative timing is</w:t>
      </w:r>
      <w:r>
        <w:t xml:space="preserve"> </w:t>
      </w:r>
      <w:r>
        <w:t xml:space="preserve">expressed as</w:t>
      </w:r>
      <w:r>
        <w:t xml:space="preserve"> </w:t>
      </w:r>
      <w:r>
        <w:rPr>
          <w:rStyle w:val="VerbatimChar"/>
        </w:rPr>
        <w:t xml:space="preserve">M</w:t>
      </w:r>
      <m:oMath>
        <m:r>
          <m:rPr>
            <m:sty m:val="p"/>
          </m:rPr>
          <m:t>±</m:t>
        </m:r>
      </m:oMath>
      <w:r>
        <w:rPr>
          <w:rStyle w:val="VerbatimChar"/>
        </w:rPr>
        <w:t xml:space="preserve">n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 number of working</w:t>
      </w:r>
      <w:r>
        <w:t xml:space="preserve"> </w:t>
      </w:r>
      <w:r>
        <w:t xml:space="preserve">days from period close.</w:t>
      </w:r>
    </w:p>
    <w:bookmarkEnd w:id="10"/>
    <w:bookmarkStart w:id="11" w:name="scope-exclusion."/>
    <w:p>
      <w:pPr>
        <w:pStyle w:val="Heading5"/>
      </w:pPr>
      <w:r>
        <w:t xml:space="preserve">Scope exclusion.</w:t>
      </w:r>
    </w:p>
    <w:p>
      <w:pPr>
        <w:pStyle w:val="FirstParagraph"/>
      </w:pPr>
      <w:r>
        <w:t xml:space="preserve">SAP / PeopleSoft integration detail and the</w:t>
      </w:r>
      <w:r>
        <w:t xml:space="preserve"> </w:t>
      </w:r>
      <w:r>
        <w:t xml:space="preserve">BSS Risk Assessment (a sibling process covered by a separate business</w:t>
      </w:r>
      <w:r>
        <w:t xml:space="preserve"> </w:t>
      </w:r>
      <w:r>
        <w:t xml:space="preserve">case)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specified here. The BSS RA source document is</w:t>
      </w:r>
      <w:r>
        <w:t xml:space="preserve"> </w:t>
      </w:r>
      <w:r>
        <w:t xml:space="preserve">retained in the corpus for context only.</w:t>
      </w:r>
    </w:p>
    <w:bookmarkEnd w:id="11"/>
    <w:bookmarkEnd w:id="12"/>
    <w:bookmarkStart w:id="25" w:name="ch:overview"/>
    <w:p>
      <w:pPr>
        <w:pStyle w:val="Heading1"/>
      </w:pPr>
      <w:r>
        <w:t xml:space="preserve">Overview and Scope</w:t>
      </w:r>
    </w:p>
    <w:bookmarkStart w:id="13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Month-end Trial Balance review at SCB is currently executed as a</w:t>
      </w:r>
      <w:r>
        <w:t xml:space="preserve"> </w:t>
      </w:r>
      <w:r>
        <w:t xml:space="preserve">spreadsheet-driven process. For each of the 234 Legal Entities (LEs)</w:t>
      </w:r>
      <w:r>
        <w:t xml:space="preserve"> </w:t>
      </w:r>
      <w:r>
        <w:t xml:space="preserve">in the Group, a GFS Analyst rolls the prior month working file</w:t>
      </w:r>
      <w:r>
        <w:t xml:space="preserve"> </w:t>
      </w:r>
      <w:r>
        <w:t xml:space="preserve">forward, downloads the PSGL master account extract, runs variance</w:t>
      </w:r>
      <w:r>
        <w:t xml:space="preserve"> </w:t>
      </w:r>
      <w:r>
        <w:t xml:space="preserve">calculations in an EUC-governed Excel workbook, chases country</w:t>
      </w:r>
      <w:r>
        <w:t xml:space="preserve"> </w:t>
      </w:r>
      <w:r>
        <w:t xml:space="preserve">stakeholders for commentary, tracks unposted journals, and hands a</w:t>
      </w:r>
      <w:r>
        <w:t xml:space="preserve"> </w:t>
      </w:r>
      <w:r>
        <w:t xml:space="preserve">signed-off summary to the Head of Africa GFS for inclusion in the</w:t>
      </w:r>
      <w:r>
        <w:t xml:space="preserve"> </w:t>
      </w:r>
      <w:r>
        <w:t xml:space="preserve">monthly FORTM pack. The cycle runs from</w:t>
      </w:r>
      <w:r>
        <w:t xml:space="preserve"> </w:t>
      </w:r>
      <w:r>
        <w:rPr>
          <w:rStyle w:val="VerbatimChar"/>
        </w:rPr>
        <w:t xml:space="preserve">M-3</w:t>
      </w:r>
      <w:r>
        <w:t xml:space="preserve"> </w:t>
      </w:r>
      <w:r>
        <w:t xml:space="preserve">(preparation) to</w:t>
      </w:r>
      <w:r>
        <w:t xml:space="preserve"> </w:t>
      </w:r>
      <w:r>
        <w:rPr>
          <w:rStyle w:val="VerbatimChar"/>
        </w:rPr>
        <w:t xml:space="preserve">M+7</w:t>
      </w:r>
      <w:r>
        <w:t xml:space="preserve"> </w:t>
      </w:r>
      <w:r>
        <w:t xml:space="preserve">(cycle close), with the critical review phase compressed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M-2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M+5</w:t>
      </w:r>
      <w:r>
        <w:t xml:space="preserve">.</w:t>
      </w:r>
    </w:p>
    <w:p>
      <w:pPr>
        <w:pStyle w:val="BodyText"/>
      </w:pPr>
      <w:r>
        <w:t xml:space="preserve">Three problems follow from the current model: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The process consumes 20–25 FTEs at roughly</w:t>
      </w:r>
      <w:r>
        <w:t xml:space="preserve"> </w:t>
      </w:r>
      <w:r>
        <w:t xml:space="preserve">four hours/day during the active review window — an</w:t>
      </w:r>
      <w:r>
        <w:t xml:space="preserve"> </w:t>
      </w:r>
      <w:r>
        <w:t xml:space="preserve">establishment the business case identifies as the largest</w:t>
      </w:r>
      <w:r>
        <w:t xml:space="preserve"> </w:t>
      </w:r>
      <w:r>
        <w:t xml:space="preserve">single automation candidate in the close calendar.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 surface.</w:t>
      </w:r>
      <w:r>
        <w:t xml:space="preserve"> </w:t>
      </w:r>
      <w:r>
        <w:t xml:space="preserve">Three EUC references govern the</w:t>
      </w:r>
      <w:r>
        <w:t xml:space="preserve"> </w:t>
      </w:r>
      <w:r>
        <w:t xml:space="preserve">process (, variance file</w:t>
      </w:r>
      <w:r>
        <w:t xml:space="preserve"> </w:t>
      </w:r>
      <w:r>
        <w:t xml:space="preserve">, and review control</w:t>
      </w:r>
      <w:r>
        <w:t xml:space="preserve"> </w:t>
      </w:r>
      <w:r>
        <w:t xml:space="preserve">). EUCs carry recurring</w:t>
      </w:r>
      <w:r>
        <w:t xml:space="preserve"> </w:t>
      </w:r>
      <w:r>
        <w:t xml:space="preserve">evidencing burden and are misaligned with the UK ACG ambition</w:t>
      </w:r>
      <w:r>
        <w:t xml:space="preserve"> </w:t>
      </w:r>
      <w:r>
        <w:t xml:space="preserve">to eliminate end-user spreadsheets.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Latency.</w:t>
      </w:r>
      <w:r>
        <w:t xml:space="preserve"> </w:t>
      </w:r>
      <w:r>
        <w:t xml:space="preserve">The monthly batch cadence rules out daily</w:t>
      </w:r>
      <w:r>
        <w:t xml:space="preserve"> </w:t>
      </w:r>
      <w:r>
        <w:t xml:space="preserve">monitoring; anomalies surface at month-end rather than when</w:t>
      </w:r>
      <w:r>
        <w:t xml:space="preserve"> </w:t>
      </w:r>
      <w:r>
        <w:t xml:space="preserve">they arise.</w:t>
      </w:r>
    </w:p>
    <w:bookmarkEnd w:id="13"/>
    <w:bookmarkStart w:id="14" w:name="in-scope-workstreams"/>
    <w:p>
      <w:pPr>
        <w:pStyle w:val="Heading2"/>
      </w:pPr>
      <w:r>
        <w:t xml:space="preserve">In-scope workstreams</w:t>
      </w:r>
    </w:p>
    <w:p>
      <w:pPr>
        <w:pStyle w:val="FirstParagraph"/>
      </w:pPr>
      <w:r>
        <w:t xml:space="preserve">This specification covers the three workstreams confirmed with the</w:t>
      </w:r>
      <w:r>
        <w:t xml:space="preserve"> </w:t>
      </w:r>
      <w:r>
        <w:t xml:space="preserve">business sponsor:</w:t>
      </w:r>
    </w:p>
    <w:p>
      <w:pPr>
        <w:pStyle w:val="DefinitionTerm"/>
      </w:pPr>
      <w:r>
        <w:t xml:space="preserve">A. Canonical corpus.</w:t>
      </w:r>
    </w:p>
    <w:p>
      <w:pPr>
        <w:pStyle w:val="Definition"/>
      </w:pPr>
      <w:r>
        <w:t xml:space="preserve">A machine-readable representation of</w:t>
      </w:r>
      <w:r>
        <w:t xml:space="preserve"> </w:t>
      </w:r>
      <w:r>
        <w:t xml:space="preserve">every artefact under review — the 28-state BPMN workflow,</w:t>
      </w:r>
      <w:r>
        <w:t xml:space="preserve"> </w:t>
      </w:r>
      <w:r>
        <w:t xml:space="preserve">five decision points, three EUC controls, six KPIs, eight</w:t>
      </w:r>
      <w:r>
        <w:t xml:space="preserve"> </w:t>
      </w:r>
      <w:r>
        <w:t xml:space="preserve">process steps, and the domain glossary — normalised to JSON</w:t>
      </w:r>
      <w:r>
        <w:t xml:space="preserve"> </w:t>
      </w:r>
      <w:r>
        <w:t xml:space="preserve">and validated against Draft-07 schemas.</w:t>
      </w:r>
    </w:p>
    <w:p>
      <w:pPr>
        <w:pStyle w:val="DefinitionTerm"/>
      </w:pPr>
      <w:r>
        <w:t xml:space="preserve">B. AI augmentation.</w:t>
      </w:r>
    </w:p>
    <w:p>
      <w:pPr>
        <w:pStyle w:val="Definition"/>
      </w:pPr>
      <w:r>
        <w:t xml:space="preserve">An on-premise pipeline hosted on the</w:t>
      </w:r>
      <w:r>
        <w:t xml:space="preserve"> </w:t>
      </w:r>
      <w:r>
        <w:rPr>
          <w:rStyle w:val="VerbatimChar"/>
        </w:rPr>
        <w:t xml:space="preserve">vllm-only</w:t>
      </w:r>
      <w:r>
        <w:t xml:space="preserve"> </w:t>
      </w:r>
      <w:r>
        <w:t xml:space="preserve">policy (</w:t>
      </w:r>
      <w:r>
        <w:rPr>
          <w:rStyle w:val="VerbatimChar"/>
        </w:rPr>
        <w:t xml:space="preserve">data-product.routing = vllm-only</w:t>
      </w:r>
      <w:r>
        <w:t xml:space="preserve">)</w:t>
      </w:r>
      <w:r>
        <w:t xml:space="preserve"> </w:t>
      </w:r>
      <w:r>
        <w:t xml:space="preserve">that ingests the PSGL / S/4 extract, applies</w:t>
      </w:r>
      <w:r>
        <w:t xml:space="preserve"> </w:t>
      </w:r>
      <w:r>
        <w:rPr>
          <w:i/>
          <w:iCs/>
        </w:rPr>
        <w:t xml:space="preserve">statistical</w:t>
      </w:r>
      <w:r>
        <w:t xml:space="preserve"> </w:t>
      </w:r>
      <w:r>
        <w:t xml:space="preserve">anomaly detection (percentile-based</w:t>
      </w:r>
      <w:r>
        <w:t xml:space="preserve"> </w:t>
      </w:r>
      <w:r>
        <w:t xml:space="preserve">thresholds, configurable per account category) at caption,</w:t>
      </w:r>
      <w:r>
        <w:t xml:space="preserve"> </w:t>
      </w:r>
      <w:r>
        <w:t xml:space="preserve">segment, and LE levels, drafts commentary using historical</w:t>
      </w:r>
      <w:r>
        <w:t xml:space="preserve"> </w:t>
      </w:r>
      <w:r>
        <w:t xml:space="preserve">patterns, and emits the FORTM narrative. Machine-learning</w:t>
      </w:r>
      <w:r>
        <w:t xml:space="preserve"> </w:t>
      </w:r>
      <w:r>
        <w:t xml:space="preserve">anomaly detectors (Isolation Forest, autoencoder, Prophet)</w:t>
      </w:r>
      <w:r>
        <w:t xml:space="preserve"> </w:t>
      </w:r>
      <w:r>
        <w:t xml:space="preserve">are scoped for v2.0 (Chapter </w:t>
      </w:r>
      <w:hyperlink w:anchor="ch:future-ml">
        <w:r>
          <w:rPr>
            <w:rStyle w:val="Hyperlink"/>
          </w:rPr>
          <w:t xml:space="preserve">10</w:t>
        </w:r>
      </w:hyperlink>
      <w:r>
        <w:t xml:space="preserve">) and are</w:t>
      </w:r>
      <w:r>
        <w:t xml:space="preserve"> </w:t>
      </w:r>
      <w:r>
        <w:t xml:space="preserve">not part of the v1.0 deliverable.</w:t>
      </w:r>
    </w:p>
    <w:p>
      <w:pPr>
        <w:pStyle w:val="DefinitionTerm"/>
      </w:pPr>
      <w:r>
        <w:t xml:space="preserve">C. Workflow and approval engine.</w:t>
      </w:r>
    </w:p>
    <w:p>
      <w:pPr>
        <w:pStyle w:val="Definition"/>
      </w:pPr>
      <w:r>
        <w:t xml:space="preserve">A formalisation of the seven</w:t>
      </w:r>
      <w:r>
        <w:t xml:space="preserve"> </w:t>
      </w:r>
      <w:r>
        <w:t xml:space="preserve">DOI activities and the gateway logic that decides when</w:t>
      </w:r>
      <w:r>
        <w:t xml:space="preserve"> </w:t>
      </w:r>
      <w:r>
        <w:t xml:space="preserve">material variances require commentary, when journals must be</w:t>
      </w:r>
      <w:r>
        <w:t xml:space="preserve"> </w:t>
      </w:r>
      <w:r>
        <w:t xml:space="preserve">posted, when further investigation is needed, and whether the</w:t>
      </w:r>
      <w:r>
        <w:t xml:space="preserve"> </w:t>
      </w:r>
      <w:r>
        <w:t xml:space="preserve">entry-confirmation deadline at</w:t>
      </w:r>
      <w:r>
        <w:t xml:space="preserve"> </w:t>
      </w:r>
      <w:r>
        <w:rPr>
          <w:rStyle w:val="VerbatimChar"/>
        </w:rPr>
        <w:t xml:space="preserve">M+4</w:t>
      </w:r>
      <w:r>
        <w:t xml:space="preserve"> </w:t>
      </w:r>
      <w:r>
        <w:t xml:space="preserve">has been honoured.</w:t>
      </w:r>
    </w:p>
    <w:bookmarkEnd w:id="14"/>
    <w:bookmarkStart w:id="15" w:name="out-of-scope"/>
    <w:p>
      <w:pPr>
        <w:pStyle w:val="Heading2"/>
      </w:pPr>
      <w:r>
        <w:t xml:space="preserve">Out-of-scope</w:t>
      </w:r>
    </w:p>
    <w:p>
      <w:pPr>
        <w:pStyle w:val="FirstParagraph"/>
      </w:pPr>
      <w:r>
        <w:t xml:space="preserve">The following are referenced but not specified:</w:t>
      </w:r>
    </w:p>
    <w:p>
      <w:pPr>
        <w:numPr>
          <w:ilvl w:val="0"/>
          <w:numId w:val="1003"/>
        </w:numPr>
      </w:pPr>
      <w:r>
        <w:t xml:space="preserve">Country IFRS reporting — handled by local Finance teams.</w:t>
      </w:r>
    </w:p>
    <w:p>
      <w:pPr>
        <w:numPr>
          <w:ilvl w:val="0"/>
          <w:numId w:val="1003"/>
        </w:numPr>
      </w:pPr>
      <w:r>
        <w:t xml:space="preserve">BSS Risk Assessment — sibling process with its own business</w:t>
      </w:r>
      <w:r>
        <w:t xml:space="preserve"> </w:t>
      </w:r>
      <w:r>
        <w:t xml:space="preserve">case. Its source document is retained in the corpus for</w:t>
      </w:r>
      <w:r>
        <w:t xml:space="preserve"> </w:t>
      </w:r>
      <w:r>
        <w:t xml:space="preserve">terminology reuse only.</w:t>
      </w:r>
    </w:p>
    <w:p>
      <w:pPr>
        <w:numPr>
          <w:ilvl w:val="0"/>
          <w:numId w:val="1003"/>
        </w:numPr>
      </w:pPr>
      <w:r>
        <w:t xml:space="preserve">SAP / PeopleSoft integration detail — the AI layer reads</w:t>
      </w:r>
      <w:r>
        <w:t xml:space="preserve"> </w:t>
      </w:r>
      <w:r>
        <w:t xml:space="preserve">data through the same</w:t>
      </w:r>
      <w:r>
        <w:t xml:space="preserve"> </w:t>
      </w:r>
      <w:r>
        <w:rPr>
          <w:rStyle w:val="VerbatimChar"/>
        </w:rPr>
        <w:t xml:space="preserve">SC Bridge</w:t>
      </w:r>
      <w:r>
        <w:t xml:space="preserve"> </w:t>
      </w:r>
      <w:r>
        <w:t xml:space="preserve">interface as the</w:t>
      </w:r>
      <w:r>
        <w:t xml:space="preserve"> </w:t>
      </w:r>
      <w:r>
        <w:t xml:space="preserve">manual process; interface engineering is a separate document.</w:t>
      </w:r>
    </w:p>
    <w:p>
      <w:pPr>
        <w:numPr>
          <w:ilvl w:val="0"/>
          <w:numId w:val="1003"/>
        </w:numPr>
      </w:pPr>
      <w:r>
        <w:t xml:space="preserve">Country expansion beyond the Hong Kong (HK) pilot — the</w:t>
      </w:r>
      <w:r>
        <w:t xml:space="preserve"> </w:t>
      </w:r>
      <w:r>
        <w:t xml:space="preserve">HKG_TB and HKG_PL workbooks are the source of truth for the</w:t>
      </w:r>
      <w:r>
        <w:t xml:space="preserve"> </w:t>
      </w:r>
      <w:r>
        <w:t xml:space="preserve">initial rollout; LE coverage extends to all 234 entities in</w:t>
      </w:r>
      <w:r>
        <w:t xml:space="preserve"> </w:t>
      </w:r>
      <w:r>
        <w:t xml:space="preserve">phase 4 onward.</w:t>
      </w:r>
    </w:p>
    <w:bookmarkEnd w:id="15"/>
    <w:bookmarkStart w:id="17" w:name="stakeholders"/>
    <w:p>
      <w:pPr>
        <w:pStyle w:val="Heading2"/>
      </w:pPr>
      <w:r>
        <w:t xml:space="preserve">Stakeholders</w:t>
      </w:r>
    </w:p>
    <w:p>
      <w:pPr>
        <w:pStyle w:val="FirstParagraph"/>
      </w:pPr>
      <w:hyperlink w:anchor="tab:stakeholder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enumerates the stakeholders named in the</w:t>
      </w:r>
      <w:r>
        <w:t xml:space="preserve"> </w:t>
      </w:r>
      <w:r>
        <w:t xml:space="preserve">business case and the DOI.</w:t>
      </w:r>
    </w:p>
    <w:bookmarkStart w:id="16" w:name="tab:stakeholders"/>
    <w:p>
      <w:pPr>
        <w:pStyle w:val="TableCaption"/>
      </w:pPr>
      <w:r>
        <w:t xml:space="preserve">Stakeholders and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keholders and responsibiliti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Modi, Piyush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BPMN ownership; workflow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of Africa GFS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review; FORTM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executor; variance file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Commentaries;</w:t>
            </w:r>
            <w:r>
              <w:t xml:space="preserve"> </w:t>
            </w:r>
            <w:r>
              <w:rPr>
                <w:rStyle w:val="VerbatimChar"/>
              </w:rPr>
              <w:t xml:space="preserve">M+4</w:t>
            </w:r>
            <w:r>
              <w:t xml:space="preserve"> </w:t>
            </w:r>
            <w:r>
              <w:t xml:space="preserve">entry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GCFO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narrative; decision-making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FORTM recipient; further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PSGL + S/4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PPE / AI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integration assessment</w:t>
            </w:r>
          </w:p>
        </w:tc>
      </w:tr>
    </w:tbl>
    <w:bookmarkEnd w:id="16"/>
    <w:bookmarkEnd w:id="17"/>
    <w:bookmarkStart w:id="19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The process obeys a fixed month-end-relative timeline</w:t>
      </w:r>
      <w:r>
        <w:t xml:space="preserve"> </w:t>
      </w:r>
      <w:r>
        <w:t xml:space="preserve">(</w:t>
      </w:r>
      <w:hyperlink w:anchor="tab:timeline">
        <w:r>
          <w:rPr>
            <w:rStyle w:val="Hyperlink"/>
          </w:rPr>
          <w:t xml:space="preserve">1.2</w:t>
        </w:r>
      </w:hyperlink>
      <w:r>
        <w:t xml:space="preserve">). All state transitions in</w:t>
      </w:r>
      <w:r>
        <w:t xml:space="preserve"> 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timing</w:t>
      </w:r>
      <w:r>
        <w:t xml:space="preserve"> </w:t>
      </w:r>
      <w:r>
        <w:t xml:space="preserve">field that maps to one of these phases.</w:t>
      </w:r>
    </w:p>
    <w:bookmarkStart w:id="18" w:name="tab:timeline"/>
    <w:p>
      <w:pPr>
        <w:pStyle w:val="TableCaption"/>
      </w:pPr>
      <w:r>
        <w:t xml:space="preserve">Month-end-relative timeline phases.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nth-end-relative timeline phas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forward; PSGL download; master refresh; parameter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 to 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Bridge extract into the variance file (</w:t>
            </w:r>
            <w:r>
              <w:rPr>
                <w:rStyle w:val="VerbatimChar"/>
              </w:rPr>
              <w:t xml:space="preserve">EUC-002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 to 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calc; commentary; investigation;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 (</w:t>
            </w:r>
            <w:r>
              <w:rPr>
                <w:rStyle w:val="VerbatimChar"/>
              </w:rPr>
              <w:t xml:space="preserve">EUC-003</w:t>
            </w:r>
            <w:r>
              <w:t xml:space="preserve">); FORTM submission</w:t>
            </w:r>
          </w:p>
        </w:tc>
      </w:tr>
    </w:tbl>
    <w:bookmarkEnd w:id="18"/>
    <w:bookmarkEnd w:id="19"/>
    <w:bookmarkStart w:id="21" w:name="context-diagram"/>
    <w:p>
      <w:pPr>
        <w:pStyle w:val="Heading2"/>
      </w:pPr>
      <w:r>
        <w:t xml:space="preserve">Context diagram</w:t>
      </w:r>
    </w:p>
    <w:bookmarkStart w:id="20" w:name="fig:contex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Context of the TB review process: three systems (blue), three</w:t>
      </w:r>
      <w:r>
        <w:t xml:space="preserve"> </w:t>
      </w:r>
      <w:r>
        <w:t xml:space="preserve">human roles (green), and one downstream output (amber). The</w:t>
      </w:r>
      <w:r>
        <w:t xml:space="preserve"> </w:t>
      </w:r>
      <w:r>
        <w:t xml:space="preserve">variance-analysis workbook is the primary EUC artefact.</w:t>
      </w:r>
    </w:p>
    <w:bookmarkEnd w:id="20"/>
    <w:bookmarkEnd w:id="21"/>
    <w:bookmarkStart w:id="22" w:name="expected-benefits"/>
    <w:p>
      <w:pPr>
        <w:pStyle w:val="Heading2"/>
      </w:pPr>
      <w:r>
        <w:t xml:space="preserve">Expected benefits</w:t>
      </w:r>
    </w:p>
    <w:p>
      <w:pPr>
        <w:numPr>
          <w:ilvl w:val="0"/>
          <w:numId w:val="1004"/>
        </w:numPr>
      </w:pPr>
      <w:r>
        <w:t xml:space="preserve">FTE savings: 5 FTEs redeployed (business-case field</w:t>
      </w:r>
      <w:r>
        <w:t xml:space="preserve"> </w:t>
      </w:r>
      <w:r>
        <w:rPr>
          <w:rStyle w:val="VerbatimChar"/>
        </w:rPr>
        <w:t xml:space="preserve">executiveSummary.fteImpact.expectedSavings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Retirement of three EUCs (Group ACG alignment) on a</w:t>
      </w:r>
      <w:r>
        <w:t xml:space="preserve"> </w:t>
      </w:r>
      <w:r>
        <w:t xml:space="preserve">phased schedule: the three Excel-based EUCs</w:t>
      </w:r>
      <w:r>
        <w:t xml:space="preserve"> </w:t>
      </w:r>
      <w:r>
        <w:t xml:space="preserve">(</w:t>
      </w:r>
      <w:r>
        <w:rPr>
          <w:rStyle w:val="VerbatimChar"/>
        </w:rPr>
        <w:t xml:space="preserve">EUC-001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EUC-002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EUC-003</w:t>
      </w:r>
      <w:r>
        <w:t xml:space="preserve">) are</w:t>
      </w:r>
      <w:r>
        <w:t xml:space="preserve"> </w:t>
      </w:r>
      <w:r>
        <w:t xml:space="preserve">replaced by the rule-firing log plus the review dashboard</w:t>
      </w:r>
      <w:r>
        <w:t xml:space="preserve"> </w:t>
      </w:r>
      <w:r>
        <w:t xml:space="preserve">audit trail (Chapter 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). Shared</w:t>
      </w:r>
      <w:r>
        <w:t xml:space="preserve"> </w:t>
      </w:r>
      <w:r>
        <w:t xml:space="preserve">Drive evidence storage is retained only as a read-only</w:t>
      </w:r>
      <w:r>
        <w:t xml:space="preserve"> </w:t>
      </w:r>
      <w:r>
        <w:t xml:space="preserve">archive for a one-year deprecation window</w:t>
      </w:r>
      <w:r>
        <w:t xml:space="preserve"> </w:t>
      </w:r>
      <w:r>
        <w:t xml:space="preserve">(see Section </w:t>
      </w:r>
      <w:hyperlink w:anchor="sec:euc-retirement-plan">
        <w:r>
          <w:rPr>
            <w:rStyle w:val="Hyperlink"/>
          </w:rPr>
          <w:t xml:space="preserve">1.8</w:t>
        </w:r>
      </w:hyperlink>
      <w:r>
        <w:t xml:space="preserve">); the dashboard</w:t>
      </w:r>
      <w:r>
        <w:t xml:space="preserve"> </w:t>
      </w:r>
      <w:r>
        <w:t xml:space="preserve">audit trail is the authoritative evidence source from</w:t>
      </w:r>
      <w:r>
        <w:t xml:space="preserve"> </w:t>
      </w:r>
      <w:r>
        <w:t xml:space="preserve">v1.0 cutover onwards.</w:t>
      </w:r>
    </w:p>
    <w:p>
      <w:pPr>
        <w:numPr>
          <w:ilvl w:val="0"/>
          <w:numId w:val="1004"/>
        </w:numPr>
      </w:pPr>
      <w:r>
        <w:t xml:space="preserve">Enablement of daily controls (from monthly batch).</w:t>
      </w:r>
    </w:p>
    <w:p>
      <w:pPr>
        <w:numPr>
          <w:ilvl w:val="0"/>
          <w:numId w:val="1004"/>
        </w:numPr>
      </w:pPr>
      <w:r>
        <w:t xml:space="preserve">Foundation for the SCB Finance LLM.</w:t>
      </w:r>
    </w:p>
    <w:bookmarkEnd w:id="22"/>
    <w:bookmarkStart w:id="24" w:name="sec:euc-retirement-plan"/>
    <w:p>
      <w:pPr>
        <w:pStyle w:val="Heading2"/>
      </w:pPr>
      <w:r>
        <w:t xml:space="preserve">EUC retirement plan</w:t>
      </w:r>
    </w:p>
    <w:p>
      <w:pPr>
        <w:pStyle w:val="FirstParagraph"/>
      </w:pPr>
      <w:r>
        <w:t xml:space="preserve">The three EUCs are retired, not merely supplemented, on the</w:t>
      </w:r>
      <w:r>
        <w:t xml:space="preserve"> </w:t>
      </w:r>
      <w:r>
        <w:t xml:space="preserve">following schedule.</w:t>
      </w:r>
      <w:r>
        <w:t xml:space="preserve"> </w:t>
      </w:r>
      <w:r>
        <w:t xml:space="preserve">“Retirement”</w:t>
      </w:r>
      <w:r>
        <w:t xml:space="preserve"> </w:t>
      </w:r>
      <w:r>
        <w:t xml:space="preserve">means the EUC is no longer the</w:t>
      </w:r>
      <w:r>
        <w:t xml:space="preserve"> </w:t>
      </w:r>
      <w:r>
        <w:t xml:space="preserve">authoritative evidence for ACG sampling; the dashboard audit trail</w:t>
      </w:r>
      <w:r>
        <w:t xml:space="preserve"> </w:t>
      </w:r>
      <w:r>
        <w:t xml:space="preserve">(Chapter 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sec:dashboard-audit-trail">
        <w:r>
          <w:rPr>
            <w:rStyle w:val="Hyperlink"/>
          </w:rPr>
          <w:t xml:space="preserve">8.5</w:t>
        </w:r>
      </w:hyperlink>
      <w:r>
        <w:t xml:space="preserve">) is authoritative.</w:t>
      </w:r>
    </w:p>
    <w:bookmarkStart w:id="23" w:name="tab:euc-retirement"/>
    <w:p>
      <w:pPr>
        <w:pStyle w:val="TableCaption"/>
      </w:pPr>
      <w:r>
        <w:t xml:space="preserve">EUC retirement schedule.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UC retirement schedu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Retirement cutover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Successor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PSGL master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of v1.0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t xml:space="preserve">“Master Data”</w:t>
            </w:r>
            <w:r>
              <w:t xml:space="preserve"> </w:t>
            </w:r>
            <w:r>
              <w:t xml:space="preserve">tab; SHA-256 of extract in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of v1.0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t xml:space="preserve">“Variance Review”</w:t>
            </w:r>
            <w:r>
              <w:t xml:space="preserve"> </w:t>
            </w:r>
            <w:r>
              <w:t xml:space="preserve">tab; per-item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FORTM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of v1.0 go-live + 1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t xml:space="preserve">“FORTM Export”</w:t>
            </w:r>
            <w:r>
              <w:t xml:space="preserve"> </w:t>
            </w:r>
            <w:r>
              <w:t xml:space="preserve">with signed PDF snapshot</w:t>
            </w:r>
          </w:p>
        </w:tc>
      </w:tr>
    </w:tbl>
    <w:bookmarkEnd w:id="23"/>
    <w:p>
      <w:pPr>
        <w:pStyle w:val="BodyText"/>
      </w:pPr>
      <w:r>
        <w:t xml:space="preserve">During the deprecation window (12 months from v1.0 go-live), the</w:t>
      </w:r>
      <w:r>
        <w:t xml:space="preserve"> </w:t>
      </w:r>
      <w:r>
        <w:t xml:space="preserve">Shared Drive evidence folder is mirrored automatically from the</w:t>
      </w:r>
      <w:r>
        <w:t xml:space="preserve"> </w:t>
      </w:r>
      <w:r>
        <w:t xml:space="preserve">dashboard export at month-end (read-only, with mismatch alerting).</w:t>
      </w:r>
      <w:r>
        <w:t xml:space="preserve"> </w:t>
      </w:r>
      <w:r>
        <w:t xml:space="preserve">After the deprecation window closes, the Shared Drive location is</w:t>
      </w:r>
      <w:r>
        <w:t xml:space="preserve"> </w:t>
      </w:r>
      <w:r>
        <w:t xml:space="preserve">decommissioned and removed from the ACG sampling procedure.</w:t>
      </w:r>
      <w:r>
        <w:t xml:space="preserve"> </w:t>
      </w:r>
      <w:r>
        <w:t xml:space="preserve">Section </w:t>
      </w:r>
      <w:hyperlink w:anchor="sec:controls-eucs">
        <w:r>
          <w:rPr>
            <w:rStyle w:val="Hyperlink"/>
          </w:rPr>
          <w:t xml:space="preserve">[sec:controls-eucs]</w:t>
        </w:r>
      </w:hyperlink>
      <w:r>
        <w:t xml:space="preserve"> </w:t>
      </w:r>
      <w:r>
        <w:t xml:space="preserve">in Chapter 6 is superseded by this</w:t>
      </w:r>
      <w:r>
        <w:t xml:space="preserve"> </w:t>
      </w:r>
      <w:r>
        <w:t xml:space="preserve">plan for all v1.0 and later cycles; the Chapter 6 text is retained</w:t>
      </w:r>
      <w:r>
        <w:t xml:space="preserve"> </w:t>
      </w:r>
      <w:r>
        <w:t xml:space="preserve">as a historical reference only.</w:t>
      </w:r>
    </w:p>
    <w:bookmarkEnd w:id="24"/>
    <w:bookmarkEnd w:id="25"/>
    <w:bookmarkStart w:id="45" w:name="ch:schema"/>
    <w:p>
      <w:pPr>
        <w:pStyle w:val="Heading1"/>
      </w:pPr>
      <w:r>
        <w:t xml:space="preserve">Canonical Data Schema</w:t>
      </w:r>
    </w:p>
    <w:bookmarkStart w:id="2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Every artefact under review is represented by a JSON record validated</w:t>
      </w:r>
      <w:r>
        <w:t xml:space="preserve"> </w:t>
      </w:r>
      <w:r>
        <w:t xml:space="preserve">against a Draft-07 JSON Schema. Six schemas are defined; collectively</w:t>
      </w:r>
      <w:r>
        <w:t xml:space="preserve"> </w:t>
      </w:r>
      <w:r>
        <w:t xml:space="preserve">they constitute the data contract consumed by the AI pipeline</w:t>
      </w:r>
      <w:r>
        <w:t xml:space="preserve"> </w:t>
      </w:r>
      <w:r>
        <w:t xml:space="preserve">(</w:t>
      </w:r>
      <w:hyperlink w:anchor="ch:ai">
        <w:r>
          <w:rPr>
            <w:rStyle w:val="Hyperlink"/>
          </w:rPr>
          <w:t xml:space="preserve">3</w:t>
        </w:r>
      </w:hyperlink>
      <w:r>
        <w:t xml:space="preserve">) and by the controls engine (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26" w:name="tab:schemas"/>
    <w:p>
      <w:pPr>
        <w:pStyle w:val="TableCaption"/>
      </w:pPr>
      <w:r>
        <w:t xml:space="preserve">Schemas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mas under structured/schema/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EUC and process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Gateway logic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State machine for a TB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Business-case 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KPI definitions (collection file)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Domain glossary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(28 terms)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ODPS 4.1 data-product manifest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6"/>
    <w:bookmarkEnd w:id="27"/>
    <w:bookmarkStart w:id="30" w:name="sec:control-schema"/>
    <w:p>
      <w:pPr>
        <w:pStyle w:val="Heading2"/>
      </w:pPr>
      <w:r>
        <w:t xml:space="preserve">Control record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binds a governance reference (the EUC identifier) to</w:t>
      </w:r>
      <w:r>
        <w:t xml:space="preserve"> </w:t>
      </w:r>
      <w:r>
        <w:t xml:space="preserve">one or more workflow states. It declares type, frequency, owner, and</w:t>
      </w:r>
      <w:r>
        <w:t xml:space="preserve"> </w:t>
      </w:r>
      <w:r>
        <w:t xml:space="preserve">the evidence location examined at audit.</w:t>
      </w:r>
    </w:p>
    <w:bookmarkStart w:id="28" w:name="tab:control-fields"/>
    <w:p>
      <w:pPr>
        <w:pStyle w:val="TableCaption"/>
      </w:pPr>
      <w:r>
        <w:rPr>
          <w:rStyle w:val="VerbatimChar"/>
        </w:rPr>
        <w:t xml:space="preserve">control.schema.json</w:t>
      </w:r>
      <w:r>
        <w:t xml:space="preserve"> </w:t>
      </w:r>
      <w:r>
        <w:t xml:space="preserve">fields.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.schema.json fiel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EUC-</w:t>
            </w:r>
            <w:r>
              <w:rPr>
                <w:rStyle w:val="VerbatimChar"/>
                <w:i/>
                <w:iCs/>
              </w:rPr>
              <w:t xml:space="preserve">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eucReference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EX/nnn/nnnnnnn/nnnn/nnn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preventive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detective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corrective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daily</w:t>
            </w:r>
            <w:r>
              <w:t xml:space="preserve">..</w:t>
            </w:r>
            <w:r>
              <w:rPr>
                <w:smallCaps/>
              </w:rPr>
              <w:t xml:space="preserve">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GFS role or named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audit evidence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stateId</w:t>
            </w:r>
            <w:r>
              <w:t xml:space="preserve">s (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workflowId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Path, optional page and sha256</w:t>
            </w:r>
          </w:p>
        </w:tc>
      </w:tr>
    </w:tbl>
    <w:bookmarkEnd w:id="2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29" w:name="lst:euc-002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"controlId": "EUC-002",</w:t>
            </w:r>
            <w:r>
              <w:br/>
            </w:r>
            <w:r>
              <w:rPr>
                <w:rStyle w:val="VerbatimChar"/>
              </w:rPr>
              <w:t xml:space="preserve">"eucReference": "EX/200/1579702/0001/000",</w:t>
            </w:r>
            <w:r>
              <w:br/>
            </w:r>
            <w:r>
              <w:rPr>
                <w:rStyle w:val="VerbatimChar"/>
              </w:rPr>
              <w:t xml:space="preserve">"controlObjective": "TB Variance Analysis file integrity and calculation accuracy",</w:t>
            </w:r>
            <w:r>
              <w:br/>
            </w:r>
            <w:r>
              <w:rPr>
                <w:rStyle w:val="VerbatimChar"/>
              </w:rPr>
              <w:t xml:space="preserve">"controlType": "detective",</w:t>
            </w:r>
            <w:r>
              <w:br/>
            </w:r>
            <w:r>
              <w:rPr>
                <w:rStyle w:val="VerbatimChar"/>
              </w:rPr>
              <w:t xml:space="preserve">"frequency": "monthly",</w:t>
            </w:r>
            <w:r>
              <w:br/>
            </w:r>
            <w:r>
              <w:rPr>
                <w:rStyle w:val="VerbatimChar"/>
              </w:rPr>
              <w:t xml:space="preserve">"timing": "M-2 to M+5",</w:t>
            </w:r>
            <w:r>
              <w:br/>
            </w:r>
            <w:r>
              <w:rPr>
                <w:rStyle w:val="VerbatimChar"/>
              </w:rPr>
              <w:t xml:space="preserve">"owner": "GFS Analyst",</w:t>
            </w:r>
            <w:r>
              <w:br/>
            </w:r>
            <w:r>
              <w:rPr>
                <w:rStyle w:val="VerbatimChar"/>
              </w:rPr>
              <w:t xml:space="preserve">"evidenceLocation": "Shared Drive",</w:t>
            </w:r>
            <w:r>
              <w:br/>
            </w:r>
            <w:r>
              <w:rPr>
                <w:rStyle w:val="VerbatimChar"/>
              </w:rPr>
              <w:t xml:space="preserve">"relatedStates": ["UPDATE_TB_DETAILS", "CALCULATE_VARIANCE", "FILTER_VARIANCES"],</w:t>
            </w:r>
            <w:r>
              <w:br/>
            </w:r>
            <w:r>
              <w:rPr>
                <w:rStyle w:val="VerbatimChar"/>
              </w:rPr>
              <w:t xml:space="preserve">"description": "Ensures variance calculations in the Excel working file are accurate."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  <w:bookmarkEnd w:id="29"/>
        </w:tc>
      </w:tr>
    </w:tbl>
    <w:bookmarkEnd w:id="30"/>
    <w:bookmarkStart w:id="32" w:name="sec:decision-point-schema"/>
    <w:p>
      <w:pPr>
        <w:pStyle w:val="Heading2"/>
      </w:pPr>
      <w:r>
        <w:t xml:space="preserve">Decision-point record</w:t>
      </w:r>
    </w:p>
    <w:p>
      <w:pPr>
        <w:pStyle w:val="FirstParagraph"/>
      </w:pPr>
      <w:r>
        <w:t xml:space="preserve">A decision point encodes an exclusive gateway: an input metric, an</w:t>
      </w:r>
      <w:r>
        <w:t xml:space="preserve"> </w:t>
      </w:r>
      <w:r>
        <w:t xml:space="preserve">operator, a threshold (where applicable), and an enumerated list of</w:t>
      </w:r>
      <w:r>
        <w:t xml:space="preserve"> </w:t>
      </w:r>
      <w:r>
        <w:t xml:space="preserve">outcomes. Each outcome pairs a human-readable condition with a</w:t>
      </w:r>
      <w:r>
        <w:t xml:space="preserve"> </w:t>
      </w:r>
      <w:r>
        <w:t xml:space="preserve">machine-actionable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verb. The</w:t>
      </w:r>
      <w:r>
        <w:t xml:space="preserve"> </w:t>
      </w:r>
      <w:r>
        <w:rPr>
          <w:rStyle w:val="VerbatimChar"/>
        </w:rPr>
        <w:t xml:space="preserve">aiAugmentation</w:t>
      </w:r>
      <w:r>
        <w:t xml:space="preserve"> </w:t>
      </w:r>
      <w:r>
        <w:t xml:space="preserve">block names the substitution target for the manual judgement.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31" w:name="lst:dp-001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"id": "DP-001",</w:t>
            </w:r>
            <w:r>
              <w:br/>
            </w:r>
            <w:r>
              <w:rPr>
                <w:rStyle w:val="VerbatimChar"/>
              </w:rPr>
              <w:t xml:space="preserve">"name": "Material Variance Check",</w:t>
            </w:r>
            <w:r>
              <w:br/>
            </w:r>
            <w:r>
              <w:rPr>
                <w:rStyle w:val="VerbatimChar"/>
              </w:rPr>
              <w:t xml:space="preserve">"stateRef": "CHECK_MATERIAL_VARIANCES",</w:t>
            </w:r>
            <w:r>
              <w:br/>
            </w:r>
            <w:r>
              <w:rPr>
                <w:rStyle w:val="VerbatimChar"/>
              </w:rPr>
              <w:t xml:space="preserve">"inputMetric": "variance_amount",</w:t>
            </w:r>
            <w:r>
              <w:br/>
            </w:r>
            <w:r>
              <w:rPr>
                <w:rStyle w:val="VerbatimChar"/>
              </w:rPr>
              <w:t xml:space="preserve">"operator": "exceeds_threshold",</w:t>
            </w:r>
            <w:r>
              <w:br/>
            </w:r>
            <w:r>
              <w:rPr>
                <w:rStyle w:val="VerbatimChar"/>
              </w:rPr>
              <w:t xml:space="preserve">"threshold": "materiality_limit",</w:t>
            </w:r>
            <w:r>
              <w:br/>
            </w:r>
            <w:r>
              <w:rPr>
                <w:rStyle w:val="VerbatimChar"/>
              </w:rPr>
              <w:t xml:space="preserve">"outcomes": [</w:t>
            </w:r>
            <w:r>
              <w:br/>
            </w:r>
            <w:r>
              <w:rPr>
                <w:rStyle w:val="VerbatimChar"/>
              </w:rPr>
              <w:t xml:space="preserve">{ "condition": "Variances Are Material",  "action": "seek_commentaries" },</w:t>
            </w:r>
            <w:r>
              <w:br/>
            </w:r>
            <w:r>
              <w:rPr>
                <w:rStyle w:val="VerbatimChar"/>
              </w:rPr>
              <w:t xml:space="preserve">{ "condition": "Variances Not Material",  "action": "proceed_to_unexplained_check" }</w:t>
            </w:r>
            <w:r>
              <w:br/>
            </w:r>
            <w:r>
              <w:rPr>
                <w:rStyle w:val="VerbatimChar"/>
              </w:rPr>
              <w:t xml:space="preserve">],</w:t>
            </w:r>
            <w:r>
              <w:br/>
            </w:r>
            <w:r>
              <w:rPr>
                <w:rStyle w:val="VerbatimChar"/>
              </w:rPr>
              <w:t xml:space="preserve">"aiAugmentation": {</w:t>
            </w:r>
            <w:r>
              <w:br/>
            </w:r>
            <w:r>
              <w:rPr>
                <w:rStyle w:val="VerbatimChar"/>
              </w:rPr>
              <w:t xml:space="preserve">"opportunity": "Auto-classify variance materiality using ML threshold tuning.",</w:t>
            </w:r>
            <w:r>
              <w:br/>
            </w:r>
            <w:r>
              <w:rPr>
                <w:rStyle w:val="VerbatimChar"/>
              </w:rPr>
              <w:t xml:space="preserve">"dataNeeded": ["variance_amount", "account_category", "historical_thresholds"]</w:t>
            </w:r>
            <w:r>
              <w:br/>
            </w:r>
            <w:r>
              <w:rPr>
                <w:rStyle w:val="VerbatimChar"/>
              </w:rPr>
              <w:t xml:space="preserve">}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  <w:bookmarkEnd w:id="31"/>
        </w:tc>
      </w:tr>
    </w:tbl>
    <w:bookmarkEnd w:id="32"/>
    <w:bookmarkStart w:id="34" w:name="sec:workflow-schema"/>
    <w:p>
      <w:pPr>
        <w:pStyle w:val="Heading2"/>
      </w:pPr>
      <w:r>
        <w:t xml:space="preserve">Workflow record</w:t>
      </w:r>
    </w:p>
    <w:p>
      <w:pPr>
        <w:pStyle w:val="FirstParagraph"/>
      </w:pPr>
      <w:r>
        <w:t xml:space="preserve">The workflow record declares a state machine. Valid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values are</w:t>
      </w:r>
      <w:r>
        <w:t xml:space="preserve"> </w:t>
      </w:r>
      <w:r>
        <w:rPr>
          <w:smallCaps/>
        </w:rPr>
        <w:t xml:space="preserve">start_event</w:t>
      </w:r>
      <w:r>
        <w:t xml:space="preserve">,</w:t>
      </w:r>
      <w:r>
        <w:t xml:space="preserve"> </w:t>
      </w:r>
      <w:r>
        <w:rPr>
          <w:smallCaps/>
        </w:rPr>
        <w:t xml:space="preserve">end_event</w:t>
      </w:r>
      <w:r>
        <w:t xml:space="preserve">,</w:t>
      </w:r>
      <w:r>
        <w:t xml:space="preserve"> </w:t>
      </w:r>
      <w:r>
        <w:rPr>
          <w:smallCaps/>
        </w:rPr>
        <w:t xml:space="preserve">task</w:t>
      </w:r>
      <w:r>
        <w:t xml:space="preserve">,</w:t>
      </w:r>
      <w:r>
        <w:t xml:space="preserve"> </w:t>
      </w:r>
      <w:r>
        <w:rPr>
          <w:smallCaps/>
        </w:rPr>
        <w:t xml:space="preserve">gateway_exclusive</w:t>
      </w:r>
      <w:r>
        <w:t xml:space="preserve">,</w:t>
      </w:r>
      <w:r>
        <w:t xml:space="preserve"> </w:t>
      </w:r>
      <w:r>
        <w:rPr>
          <w:smallCaps/>
        </w:rPr>
        <w:t xml:space="preserve">gateway_parallel</w:t>
      </w:r>
      <w:r>
        <w:t xml:space="preserve">, and</w:t>
      </w:r>
      <w:r>
        <w:t xml:space="preserve"> </w:t>
      </w:r>
      <w:r>
        <w:rPr>
          <w:smallCaps/>
        </w:rPr>
        <w:t xml:space="preserve">intermediate_event</w:t>
      </w:r>
      <w:r>
        <w:t xml:space="preserve">. Each state carries optional</w:t>
      </w:r>
      <w:r>
        <w:t xml:space="preserve"> </w:t>
      </w:r>
      <w:r>
        <w:rPr>
          <w:rStyle w:val="VerbatimChar"/>
        </w:rPr>
        <w:t xml:space="preserve">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, a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, and a list of</w:t>
      </w:r>
      <w:r>
        <w:t xml:space="preserve"> </w:t>
      </w:r>
      <w:r>
        <w:rPr>
          <w:rStyle w:val="VerbatimChar"/>
        </w:rPr>
        <w:t xml:space="preserve">transitions</w:t>
      </w:r>
      <w:r>
        <w:t xml:space="preserve">. A transition</w:t>
      </w:r>
      <w:r>
        <w:t xml:space="preserve"> </w:t>
      </w:r>
      <w:r>
        <w:t xml:space="preserve">in a gateway state additionally carries 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string</w:t>
      </w:r>
      <w:r>
        <w:t xml:space="preserve"> </w:t>
      </w:r>
      <w:r>
        <w:t xml:space="preserve">that matches one of the outcome labels in the associated decision</w:t>
      </w:r>
      <w:r>
        <w:t xml:space="preserve"> </w:t>
      </w:r>
      <w:r>
        <w:t xml:space="preserve">point.</w:t>
      </w:r>
    </w:p>
    <w:bookmarkStart w:id="33" w:name="tab:workflow-fields"/>
    <w:p>
      <w:pPr>
        <w:pStyle w:val="TableCaption"/>
      </w:pPr>
      <w:r>
        <w:t xml:space="preserve">Workflow state-machine header fields.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orkflow state-machine header fiel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slug (</w:t>
            </w:r>
            <w:r>
              <w:rPr>
                <w:rStyle w:val="VerbatimChar"/>
              </w:rPr>
              <w:t xml:space="preserve">tb-review-glo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/ timing /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 </w:t>
            </w:r>
            <w:r>
              <w:t xml:space="preserve">states, including one</w:t>
            </w:r>
            <w:r>
              <w:t xml:space="preserve"> </w:t>
            </w:r>
            <w:r>
              <w:rPr>
                <w:smallCaps/>
              </w:rPr>
              <w:t xml:space="preserve">start_event</w:t>
            </w:r>
            <w:r>
              <w:t xml:space="preserve"> </w:t>
            </w:r>
            <w:r>
              <w:t xml:space="preserve">and one</w:t>
            </w:r>
            <w:r>
              <w:t xml:space="preserve"> </w:t>
            </w:r>
            <w:r>
              <w:rPr>
                <w:smallCaps/>
              </w:rPr>
              <w:t xml:space="preserve">end_event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Workflow-scoped artefacts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and groups</w:t>
            </w:r>
          </w:p>
        </w:tc>
      </w:tr>
    </w:tbl>
    <w:bookmarkEnd w:id="33"/>
    <w:bookmarkEnd w:id="34"/>
    <w:bookmarkStart w:id="35" w:name="sec:requirement-schema"/>
    <w:p>
      <w:pPr>
        <w:pStyle w:val="Heading2"/>
      </w:pPr>
      <w:r>
        <w:t xml:space="preserve">Requirement record</w:t>
      </w:r>
    </w:p>
    <w:p>
      <w:pPr>
        <w:pStyle w:val="FirstParagraph"/>
      </w:pPr>
      <w:r>
        <w:t xml:space="preserve">The requirement record captures the business case. It is scoped by a</w:t>
      </w:r>
      <w:r>
        <w:t xml:space="preserve"> </w:t>
      </w:r>
      <w:r>
        <w:t xml:space="preserve">status enum (</w:t>
      </w:r>
      <w:r>
        <w:rPr>
          <w:smallCaps/>
        </w:rPr>
        <w:t xml:space="preserve">draft</w:t>
      </w:r>
      <w:r>
        <w:t xml:space="preserve">,</w:t>
      </w:r>
      <w:r>
        <w:t xml:space="preserve"> </w:t>
      </w:r>
      <w:r>
        <w:rPr>
          <w:smallCaps/>
        </w:rPr>
        <w:t xml:space="preserve">review</w:t>
      </w:r>
      <w:r>
        <w:t xml:space="preserve">,</w:t>
      </w:r>
      <w:r>
        <w:t xml:space="preserve"> </w:t>
      </w:r>
      <w:r>
        <w:rPr>
          <w:smallCaps/>
        </w:rPr>
        <w:t xml:space="preserve">approved</w:t>
      </w:r>
      <w:r>
        <w:t xml:space="preserve">,</w:t>
      </w:r>
      <w:r>
        <w:t xml:space="preserve"> </w:t>
      </w:r>
      <w:r>
        <w:rPr>
          <w:smallCaps/>
        </w:rPr>
        <w:t xml:space="preserve">rejected</w:t>
      </w:r>
      <w:r>
        <w:t xml:space="preserve">,</w:t>
      </w:r>
      <w:r>
        <w:t xml:space="preserve"> </w:t>
      </w:r>
      <w:r>
        <w:rPr>
          <w:smallCaps/>
        </w:rPr>
        <w:t xml:space="preserve">superseded</w:t>
      </w:r>
      <w:r>
        <w:t xml:space="preserve">), contains executive summary,</w:t>
      </w:r>
      <w:r>
        <w:t xml:space="preserve"> </w:t>
      </w:r>
      <w:r>
        <w:t xml:space="preserve">scope, stakeholders, process steps (each with an</w:t>
      </w:r>
      <w:r>
        <w:t xml:space="preserve"> </w:t>
      </w:r>
      <w:r>
        <w:rPr>
          <w:rStyle w:val="VerbatimChar"/>
        </w:rPr>
        <w:t xml:space="preserve">aiPriority</w:t>
      </w:r>
      <w:r>
        <w:t xml:space="preserve"> </w:t>
      </w:r>
      <w:r>
        <w:t xml:space="preserve">enum from</w:t>
      </w:r>
      <w:r>
        <w:t xml:space="preserve"> </w:t>
      </w:r>
      <w:r>
        <w:rPr>
          <w:smallCaps/>
        </w:rPr>
        <w:t xml:space="preserve">low</w:t>
      </w:r>
      <w:r>
        <w:t xml:space="preserve">..</w:t>
      </w:r>
      <w:r>
        <w:rPr>
          <w:smallCaps/>
        </w:rPr>
        <w:t xml:space="preserve">critical</w:t>
      </w:r>
      <w:r>
        <w:t xml:space="preserve">), decision points, KPI</w:t>
      </w:r>
      <w:r>
        <w:t xml:space="preserve"> </w:t>
      </w:r>
      <w:r>
        <w:t xml:space="preserve">references, control references, risk assessment, and a phased</w:t>
      </w:r>
      <w:r>
        <w:t xml:space="preserve"> </w:t>
      </w:r>
      <w:r>
        <w:t xml:space="preserve">implementation plan. The single record populated here is</w:t>
      </w:r>
      <w:r>
        <w:t xml:space="preserve"> </w:t>
      </w:r>
      <w:r>
        <w:rPr>
          <w:rStyle w:val="VerbatimChar"/>
        </w:rPr>
        <w:t xml:space="preserve">TB-REQ-001</w:t>
      </w:r>
      <w:r>
        <w:t xml:space="preserve"> </w:t>
      </w:r>
      <w:r>
        <w:t xml:space="preserve">in state</w:t>
      </w:r>
      <w:r>
        <w:t xml:space="preserve"> </w:t>
      </w:r>
      <w:r>
        <w:rPr>
          <w:smallCaps/>
        </w:rPr>
        <w:t xml:space="preserve">approved</w:t>
      </w:r>
      <w:r>
        <w:t xml:space="preserve">.</w:t>
      </w:r>
    </w:p>
    <w:bookmarkEnd w:id="35"/>
    <w:bookmarkStart w:id="37" w:name="sec:kpi-schema"/>
    <w:p>
      <w:pPr>
        <w:pStyle w:val="Heading2"/>
      </w:pPr>
      <w:r>
        <w:t xml:space="preserve">KPI record</w:t>
      </w:r>
    </w:p>
    <w:p>
      <w:pPr>
        <w:pStyle w:val="FirstParagraph"/>
      </w:pPr>
      <w:r>
        <w:t xml:space="preserve">KPIs are stored as a collection file at</w:t>
      </w:r>
      <w:r>
        <w:t xml:space="preserve"> </w:t>
      </w:r>
      <w:r>
        <w:rPr>
          <w:rStyle w:val="VerbatimChar"/>
        </w:rPr>
        <w:t xml:space="preserve">structured/kpis/tb-kpis.json</w:t>
      </w:r>
      <w:r>
        <w:t xml:space="preserve"> </w:t>
      </w:r>
      <w:r>
        <w:t xml:space="preserve">containing one array</w:t>
      </w:r>
      <w:r>
        <w:t xml:space="preserve"> </w:t>
      </w:r>
      <w:r>
        <w:t xml:space="preserve">entry per KPI (</w:t>
      </w:r>
      <w:hyperlink w:anchor="tab:kpis">
        <w:r>
          <w:rPr>
            <w:rStyle w:val="Hyperlink"/>
          </w:rPr>
          <w:t xml:space="preserve">2.4</w:t>
        </w:r>
      </w:hyperlink>
      <w:r>
        <w:t xml:space="preserve">). Each entry is validated against</w:t>
      </w:r>
      <w:r>
        <w:t xml:space="preserve"> </w:t>
      </w:r>
      <w:r>
        <w:t xml:space="preserve">; the wrapper is checked by</w:t>
      </w:r>
      <w:r>
        <w:t xml:space="preserve"> </w:t>
      </w:r>
      <w:r>
        <w:t xml:space="preserve">.</w:t>
      </w:r>
    </w:p>
    <w:bookmarkStart w:id="36" w:name="tab:kpis"/>
    <w:p>
      <w:pPr>
        <w:pStyle w:val="TableCaption"/>
      </w:pPr>
      <w:r>
        <w:t xml:space="preserve">The six KPIs defined for the TB process.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six KPIs defined for the TB proces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TB-KPI-001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materiality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TB-KPI-002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review cycle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via daily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TB-KPI-003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TB-KPI-004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FTE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 FTEs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TB-KPI-005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Unexplained variance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TB-KPI-006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 control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6"/>
    <w:bookmarkEnd w:id="37"/>
    <w:bookmarkStart w:id="38" w:name="glossary-record"/>
    <w:p>
      <w:pPr>
        <w:pStyle w:val="Heading2"/>
      </w:pPr>
      <w:r>
        <w:t xml:space="preserve">Glossary record</w:t>
      </w:r>
    </w:p>
    <w:p>
      <w:pPr>
        <w:pStyle w:val="FirstParagraph"/>
      </w:pPr>
      <w:r>
        <w:t xml:space="preserve">One glossary record contains 28 terms drawn verbatim from the</w:t>
      </w:r>
      <w:r>
        <w:t xml:space="preserve"> </w:t>
      </w:r>
      <w:r>
        <w:t xml:space="preserve">business case and the DOI. Category membership</w:t>
      </w:r>
      <w:r>
        <w:t xml:space="preserve"> </w:t>
      </w:r>
      <w:r>
        <w:t xml:space="preserve">(</w:t>
      </w:r>
      <w:r>
        <w:rPr>
          <w:smallCaps/>
        </w:rPr>
        <w:t xml:space="preserve">balance_sheet</w:t>
      </w:r>
      <w:r>
        <w:t xml:space="preserve">,</w:t>
      </w:r>
      <w:r>
        <w:t xml:space="preserve"> </w:t>
      </w:r>
      <w:r>
        <w:rPr>
          <w:smallCaps/>
        </w:rPr>
        <w:t xml:space="preserve">income_statement</w:t>
      </w:r>
      <w:r>
        <w:t xml:space="preserve">,</w:t>
      </w:r>
      <w:r>
        <w:t xml:space="preserve"> </w:t>
      </w:r>
      <w:r>
        <w:rPr>
          <w:smallCaps/>
        </w:rPr>
        <w:t xml:space="preserve">general</w:t>
      </w:r>
      <w:r>
        <w:t xml:space="preserve">,</w:t>
      </w:r>
      <w:r>
        <w:t xml:space="preserve"> </w:t>
      </w:r>
      <w:r>
        <w:rPr>
          <w:smallCaps/>
        </w:rPr>
        <w:t xml:space="preserve">regulatory</w:t>
      </w:r>
      <w:r>
        <w:t xml:space="preserve">) is used by the GlossaryService pair-type alias</w:t>
      </w:r>
      <w:r>
        <w:t xml:space="preserve"> </w:t>
      </w:r>
      <w:r>
        <w:t xml:space="preserve">expansion at query time.</w:t>
      </w:r>
    </w:p>
    <w:bookmarkEnd w:id="38"/>
    <w:bookmarkStart w:id="39" w:name="data-product-record"/>
    <w:p>
      <w:pPr>
        <w:pStyle w:val="Heading2"/>
      </w:pPr>
      <w:r>
        <w:t xml:space="preserve">Data-product record</w:t>
      </w:r>
    </w:p>
    <w:p>
      <w:pPr>
        <w:pStyle w:val="FirstParagraph"/>
      </w:pPr>
      <w:r>
        <w:t xml:space="preserve">The data-product record is an ODPS 4.1-conformant manifest. It names</w:t>
      </w:r>
      <w:r>
        <w:t xml:space="preserve"> </w:t>
      </w:r>
      <w:r>
        <w:t xml:space="preserve">the routing policy (</w:t>
      </w:r>
      <w:r>
        <w:rPr>
          <w:rStyle w:val="VerbatimChar"/>
        </w:rPr>
        <w:t xml:space="preserve">vllm-only</w:t>
      </w:r>
      <w:r>
        <w:t xml:space="preserve">), the data security class</w:t>
      </w:r>
      <w:r>
        <w:t xml:space="preserve"> </w:t>
      </w:r>
      <w:r>
        <w:t xml:space="preserve">(</w:t>
      </w:r>
      <w:r>
        <w:rPr>
          <w:smallCaps/>
        </w:rPr>
        <w:t xml:space="preserve">confidential</w:t>
      </w:r>
      <w:r>
        <w:t xml:space="preserve">), the owner, the per-country view for HK, the</w:t>
      </w:r>
      <w:r>
        <w:t xml:space="preserve"> </w:t>
      </w:r>
      <w:r>
        <w:t xml:space="preserve">system prompt, and the RAG source wiring. Consumers read this record</w:t>
      </w:r>
      <w:r>
        <w:t xml:space="preserve"> </w:t>
      </w:r>
      <w:r>
        <w:t xml:space="preserve">to know whether a given user request is permitted to contact external</w:t>
      </w:r>
      <w:r>
        <w:t xml:space="preserve"> </w:t>
      </w:r>
      <w:r>
        <w:t xml:space="preserve">LLM providers — the answer for all TB artefacts is</w:t>
      </w:r>
      <w:r>
        <w:t xml:space="preserve"> </w:t>
      </w:r>
      <w:r>
        <w:rPr>
          <w:i/>
          <w:iCs/>
        </w:rPr>
        <w:t xml:space="preserve">no</w:t>
      </w:r>
      <w:r>
        <w:t xml:space="preserve">.</w:t>
      </w:r>
    </w:p>
    <w:bookmarkEnd w:id="39"/>
    <w:bookmarkStart w:id="41" w:name="enumerations"/>
    <w:p>
      <w:pPr>
        <w:pStyle w:val="Heading2"/>
      </w:pPr>
      <w:r>
        <w:t xml:space="preserve">Enumerations</w:t>
      </w:r>
    </w:p>
    <w:p>
      <w:pPr>
        <w:pStyle w:val="FirstParagraph"/>
      </w:pPr>
      <w:r>
        <w:t xml:space="preserve">All enumerated values used in any schema or record are listed</w:t>
      </w:r>
      <w:r>
        <w:t xml:space="preserve"> </w:t>
      </w:r>
      <w:r>
        <w:t xml:space="preserve">authoritatively in</w:t>
      </w:r>
      <w:r>
        <w:t xml:space="preserve"> </w:t>
      </w:r>
      <w:r>
        <w:rPr>
          <w:rStyle w:val="VerbatimChar"/>
        </w:rPr>
        <w:t xml:space="preserve">structured/enums.yaml</w:t>
      </w:r>
      <w:r>
        <w:t xml:space="preserve">.</w:t>
      </w:r>
      <w:r>
        <w:t xml:space="preserve"> </w:t>
      </w:r>
      <w:hyperlink w:anchor="tab:enums">
        <w:r>
          <w:rPr>
            <w:rStyle w:val="Hyperlink"/>
          </w:rPr>
          <w:t xml:space="preserve">2.5</w:t>
        </w:r>
      </w:hyperlink>
      <w:r>
        <w:t xml:space="preserve"> </w:t>
      </w:r>
      <w:r>
        <w:t xml:space="preserve">summarises the most frequently referenced groups.</w:t>
      </w:r>
    </w:p>
    <w:bookmarkStart w:id="40" w:name="tab:enums"/>
    <w:p>
      <w:pPr>
        <w:pStyle w:val="TableCaption"/>
      </w:pPr>
      <w:r>
        <w:t xml:space="preserve">Frequently referenced enumerations.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equently referenced enumeration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preventive, detective, corrective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workflow_state_type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start_event, end_event, task, gateway_exclusive, gateway_parallel, intermediate_event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equals, not_equals, exceeds_threshold, within_threshold, in_set,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high,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M,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kpi_measure_type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threshold, duration, percentage, effort, count,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data_security_class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internal, confidential, restricted</w:t>
            </w:r>
          </w:p>
        </w:tc>
      </w:tr>
    </w:tbl>
    <w:bookmarkEnd w:id="40"/>
    <w:bookmarkEnd w:id="41"/>
    <w:bookmarkStart w:id="43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A local registry-based validator is provided at</w:t>
      </w:r>
      <w:r>
        <w:t xml:space="preserve"> </w:t>
      </w:r>
      <w:r>
        <w:rPr>
          <w:rStyle w:val="VerbatimChar"/>
        </w:rPr>
        <w:t xml:space="preserve">structured/validate.py</w:t>
      </w:r>
      <w:r>
        <w:t xml:space="preserve">. It walks the record</w:t>
      </w:r>
      <w:r>
        <w:t xml:space="preserve"> </w:t>
      </w:r>
      <w:r>
        <w:t xml:space="preserve">directories, maps each to its schema via</w:t>
      </w:r>
      <w:r>
        <w:t xml:space="preserve"> </w:t>
      </w:r>
      <w:r>
        <w:t xml:space="preserve">, and reports per-file results. The script is</w:t>
      </w:r>
      <w:r>
        <w:t xml:space="preserve"> </w:t>
      </w:r>
      <w:r>
        <w:t xml:space="preserve">offline: it instantiates a</w:t>
      </w:r>
      <w:r>
        <w:t xml:space="preserve"> </w:t>
      </w:r>
      <w:r>
        <w:rPr>
          <w:rStyle w:val="VerbatimChar"/>
        </w:rPr>
        <w:t xml:space="preserve">referencing.Registry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so no network resolution is</w:t>
      </w:r>
      <w:r>
        <w:t xml:space="preserve"> </w:t>
      </w:r>
      <w:r>
        <w:t xml:space="preserve">attempted.</w:t>
      </w:r>
    </w:p>
    <w:bookmarkStart w:id="42" w:name="lst:validate"/>
    <w:p>
      <w:pPr>
        <w:pStyle w:val="SourceCode"/>
      </w:pPr>
      <w:r>
        <w:rPr>
          <w:rStyle w:val="VerbatimChar"/>
        </w:rPr>
        <w:t xml:space="preserve">$ python3 docs/tb/structured/validate.py</w:t>
      </w:r>
      <w:r>
        <w:br/>
      </w:r>
      <w:r>
        <w:rPr>
          <w:rStyle w:val="VerbatimChar"/>
        </w:rPr>
        <w:t xml:space="preserve">[ok]   controls/euc-001-tb-data-extraction.json</w:t>
      </w:r>
      <w:r>
        <w:br/>
      </w:r>
      <w:r>
        <w:rPr>
          <w:rStyle w:val="VerbatimChar"/>
        </w:rPr>
        <w:t xml:space="preserve">[ok]   controls/euc-002-variance-analysis-file.json</w:t>
      </w:r>
      <w:r>
        <w:br/>
      </w:r>
      <w:r>
        <w:rPr>
          <w:rStyle w:val="VerbatimChar"/>
        </w:rPr>
        <w:t xml:space="preserve">[ok]   controls/euc-003-internal-review.json</w:t>
      </w:r>
      <w:r>
        <w:br/>
      </w:r>
      <w:r>
        <w:rPr>
          <w:rStyle w:val="VerbatimChar"/>
        </w:rPr>
        <w:t xml:space="preserve">[ok]   decision-points/dp-001-material-variance.json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[ok]   corpus.json (17 items, all paths resolved)</w:t>
      </w:r>
      <w:r>
        <w:br/>
      </w:r>
      <w:r>
        <w:rPr>
          <w:rStyle w:val="VerbatimChar"/>
        </w:rPr>
        <w:t xml:space="preserve">13/13 records validated, corpus OK</w:t>
      </w:r>
    </w:p>
    <w:bookmarkEnd w:id="42"/>
    <w:bookmarkEnd w:id="43"/>
    <w:bookmarkStart w:id="44" w:name="unified-schema-registry"/>
    <w:p>
      <w:pPr>
        <w:pStyle w:val="Heading2"/>
      </w:pPr>
      <w:r>
        <w:t xml:space="preserve">Unified Schema Registry</w:t>
      </w:r>
    </w:p>
    <w:p>
      <w:pPr>
        <w:pStyle w:val="FirstParagraph"/>
      </w:pPr>
      <w:r>
        <w:t xml:space="preserve">As of 18 April 2026, all schemas in this specification are published in the</w:t>
      </w:r>
      <w:r>
        <w:t xml:space="preserve"> </w:t>
      </w:r>
      <w:r>
        <w:t xml:space="preserve">unified schema registry at . Migration status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(see field</w:t>
      </w:r>
      <w:r>
        <w:t xml:space="preserve"> </w:t>
      </w:r>
      <w:r>
        <w:rPr>
          <w:rStyle w:val="VerbatimChar"/>
        </w:rPr>
        <w:t xml:space="preserve">migration.status</w:t>
      </w:r>
      <w:r>
        <w:t xml:space="preserve">). This consolidation addresses cross-document schema</w:t>
      </w:r>
      <w:r>
        <w:t xml:space="preserve"> </w:t>
      </w:r>
      <w:r>
        <w:t xml:space="preserve">divergence identified in the specification review.</w:t>
      </w:r>
    </w:p>
    <w:p>
      <w:pPr>
        <w:pStyle w:val="DefinitionTerm"/>
      </w:pPr>
      <w:r>
        <w:t xml:space="preserve">Registry index.</w:t>
      </w:r>
    </w:p>
    <w:p>
      <w:pPr>
        <w:pStyle w:val="Definition"/>
      </w:pPr>
      <w:r>
        <w:t xml:space="preserve">— Master index of</w:t>
      </w:r>
      <w:r>
        <w:t xml:space="preserve"> </w:t>
      </w:r>
      <w:r>
        <w:t xml:space="preserve">all schemas across domains.</w:t>
      </w:r>
    </w:p>
    <w:p>
      <w:pPr>
        <w:pStyle w:val="DefinitionTerm"/>
      </w:pPr>
      <w:r>
        <w:t xml:space="preserve">Common types.</w:t>
      </w:r>
    </w:p>
    <w:p>
      <w:pPr>
        <w:pStyle w:val="Definition"/>
      </w:pPr>
      <w:r>
        <w:t xml:space="preserve">—</w:t>
      </w:r>
      <w:r>
        <w:t xml:space="preserve"> </w:t>
      </w:r>
      <w:r>
        <w:t xml:space="preserve">Shared definitions (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DateRange</w:t>
      </w:r>
      <w:r>
        <w:t xml:space="preserve">) referenced via JSON Schema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DefinitionTerm"/>
      </w:pPr>
      <w:r>
        <w:t xml:space="preserve">Consolidated enums.</w:t>
      </w:r>
    </w:p>
    <w:p>
      <w:pPr>
        <w:pStyle w:val="Definition"/>
      </w:pPr>
      <w:r>
        <w:t xml:space="preserve">— Single</w:t>
      </w:r>
      <w:r>
        <w:t xml:space="preserve"> </w:t>
      </w:r>
      <w:r>
        <w:t xml:space="preserve">source of truth for enumeration values including</w:t>
      </w:r>
      <w:r>
        <w:t xml:space="preserve"> </w:t>
      </w:r>
      <w:r>
        <w:rPr>
          <w:rStyle w:val="VerbatimChar"/>
        </w:rPr>
        <w:t xml:space="preserve">account_category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decision_point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.</w:t>
      </w:r>
    </w:p>
    <w:p>
      <w:pPr>
        <w:pStyle w:val="DefinitionTerm"/>
      </w:pPr>
      <w:r>
        <w:t xml:space="preserve">TB schemas.</w:t>
      </w:r>
    </w:p>
    <w:p>
      <w:pPr>
        <w:pStyle w:val="Definition"/>
      </w:pPr>
      <w:r>
        <w:t xml:space="preserve">— Domain-specific schemas:</w:t>
      </w:r>
      <w:r>
        <w:t xml:space="preserve"> </w:t>
      </w:r>
      <w:r>
        <w:rPr>
          <w:rStyle w:val="VerbatimChar"/>
        </w:rPr>
        <w:t xml:space="preserve">tb-extract.schema.json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pl-extract.schema.json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variance-record.schema.json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commentary-draft.schema.json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decision-point.schema.json</w:t>
      </w:r>
      <w:r>
        <w:t xml:space="preserve">. All marked</w:t>
      </w:r>
      <w:r>
        <w:t xml:space="preserve"> </w:t>
      </w:r>
      <w:r>
        <w:rPr>
          <w:rStyle w:val="VerbatimChar"/>
        </w:rPr>
        <w:t xml:space="preserve">status: stable</w:t>
      </w:r>
      <w:r>
        <w:t xml:space="preserve">.</w:t>
      </w:r>
    </w:p>
    <w:p>
      <w:pPr>
        <w:pStyle w:val="FirstParagraph"/>
      </w:pPr>
      <w:r>
        <w:t xml:space="preserve">The legacy YAML schemas at</w:t>
      </w:r>
      <w:r>
        <w:t xml:space="preserve"> </w:t>
      </w:r>
      <w:r>
        <w:t xml:space="preserve">and have been</w:t>
      </w:r>
      <w:r>
        <w:t xml:space="preserve"> </w:t>
      </w:r>
      <w:r>
        <w:t xml:space="preserve">converted to JSON Schema Draft-07 in the unified registry; the registry</w:t>
      </w:r>
      <w:r>
        <w:t xml:space="preserve"> </w:t>
      </w:r>
      <w:r>
        <w:t xml:space="preserve">entries record the</w:t>
      </w:r>
      <w:r>
        <w:t xml:space="preserve"> </w:t>
      </w:r>
      <w:r>
        <w:rPr>
          <w:rStyle w:val="VerbatimChar"/>
        </w:rPr>
        <w:t xml:space="preserve">legacy_path</w:t>
      </w:r>
      <w:r>
        <w:t xml:space="preserve"> </w:t>
      </w:r>
      <w:r>
        <w:t xml:space="preserve">for audit traceability. The legacy</w:t>
      </w:r>
      <w:r>
        <w:t xml:space="preserve"> </w:t>
      </w:r>
      <w:r>
        <w:t xml:space="preserve">files are retained read-only during a one-release deprecation window and</w:t>
      </w:r>
      <w:r>
        <w:t xml:space="preserve"> </w:t>
      </w:r>
      <w:r>
        <w:t xml:space="preserve">will be removed in v1.1. Validation: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--registry-check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docs/schema/validate.py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tb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--schema tb-extract.schema.json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tb-hkg-2026-03.json</w:t>
      </w:r>
    </w:p>
    <w:p>
      <w:pPr>
        <w:pStyle w:val="FirstParagraph"/>
      </w:pPr>
      <w:r>
        <w:t xml:space="preserve">CI runs</w:t>
      </w:r>
      <w:r>
        <w:t xml:space="preserve"> </w:t>
      </w:r>
      <w:r>
        <w:rPr>
          <w:rStyle w:val="VerbatimChar"/>
        </w:rPr>
        <w:t xml:space="preserve">--registry-check</w:t>
      </w:r>
      <w:r>
        <w:t xml:space="preserve"> </w:t>
      </w:r>
      <w:r>
        <w:t xml:space="preserve">on every pull request that touches</w:t>
      </w:r>
      <w:r>
        <w:t xml:space="preserve"> </w:t>
      </w:r>
      <w:r>
        <w:t xml:space="preserve">or any TB pipeline module.</w:t>
      </w:r>
    </w:p>
    <w:bookmarkEnd w:id="44"/>
    <w:bookmarkEnd w:id="45"/>
    <w:bookmarkStart w:id="61" w:name="ch:ai"/>
    <w:p>
      <w:pPr>
        <w:pStyle w:val="Heading1"/>
      </w:pPr>
      <w:r>
        <w:t xml:space="preserve">AI Augmentation Pipeline</w:t>
      </w:r>
    </w:p>
    <w:bookmarkStart w:id="47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AI pipeline is a five-stage request-response chain, hosted on the</w:t>
      </w:r>
      <w:r>
        <w:t xml:space="preserve"> </w:t>
      </w:r>
      <w:r>
        <w:t xml:space="preserve">internal vLLM cluster per the</w:t>
      </w:r>
      <w:r>
        <w:t xml:space="preserve"> </w:t>
      </w:r>
      <w:r>
        <w:rPr>
          <w:rStyle w:val="VerbatimChar"/>
        </w:rPr>
        <w:t xml:space="preserve">vllm-only</w:t>
      </w:r>
      <w:r>
        <w:t xml:space="preserve"> </w:t>
      </w:r>
      <w:r>
        <w:t xml:space="preserve">routing policy in</w:t>
      </w:r>
      <w:r>
        <w:t xml:space="preserve"> </w:t>
      </w:r>
      <w:r>
        <w:t xml:space="preserve">.</w:t>
      </w:r>
      <w:r>
        <w:t xml:space="preserve"> </w:t>
      </w:r>
      <w:r>
        <w:t xml:space="preserve">Every stage reads and writes records validated by</w:t>
      </w:r>
      <w:r>
        <w:t xml:space="preserve"> 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;</w:t>
      </w:r>
      <w:r>
        <w:t xml:space="preserve"> </w:t>
      </w:r>
      <w:r>
        <w:t xml:space="preserve">no blob passes between stages without a schema binding.</w:t>
      </w:r>
    </w:p>
    <w:bookmarkStart w:id="46" w:name="fig:ai-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Five-stage AI pipeline; each stage emits a schema-bound</w:t>
      </w:r>
      <w:r>
        <w:t xml:space="preserve"> </w:t>
      </w:r>
      <w:r>
        <w:t xml:space="preserve">artefact.</w:t>
      </w:r>
    </w:p>
    <w:bookmarkEnd w:id="46"/>
    <w:bookmarkEnd w:id="47"/>
    <w:bookmarkStart w:id="48" w:name="stage-1-ingestion"/>
    <w:p>
      <w:pPr>
        <w:pStyle w:val="Heading2"/>
      </w:pPr>
      <w:r>
        <w:t xml:space="preserve">Stage 1: Ingestion</w:t>
      </w:r>
    </w:p>
    <w:p>
      <w:pPr>
        <w:pStyle w:val="DefinitionTerm"/>
      </w:pPr>
      <w:r>
        <w:t xml:space="preserve">Input.</w:t>
      </w:r>
    </w:p>
    <w:p>
      <w:pPr>
        <w:pStyle w:val="Definition"/>
      </w:pPr>
      <w:r>
        <w:t xml:space="preserve">PSGL master account data and the SC Bridge TB</w:t>
      </w:r>
      <w:r>
        <w:t xml:space="preserve"> </w:t>
      </w:r>
      <w:r>
        <w:t xml:space="preserve">extract, one per LE, keyed on the</w:t>
      </w:r>
      <w:r>
        <w:t xml:space="preserve"> </w:t>
      </w:r>
      <w:r>
        <w:rPr>
          <w:rStyle w:val="VerbatimChar"/>
        </w:rPr>
        <w:t xml:space="preserve">UPDATE_TB_DETAILS</w:t>
      </w:r>
      <w:r>
        <w:t xml:space="preserve"> </w:t>
      </w:r>
      <w:r>
        <w:t xml:space="preserve">workflow state.</w:t>
      </w:r>
    </w:p>
    <w:p>
      <w:pPr>
        <w:pStyle w:val="DefinitionTerm"/>
      </w:pPr>
      <w:r>
        <w:t xml:space="preserve">Transform.</w:t>
      </w:r>
    </w:p>
    <w:p>
      <w:pPr>
        <w:pStyle w:val="Definition"/>
      </w:pPr>
      <w:r>
        <w:t xml:space="preserve">Column normalisation against</w:t>
      </w:r>
      <w:r>
        <w:t xml:space="preserve"> </w:t>
      </w:r>
      <w:r>
        <w:t xml:space="preserve">(13 sheets). Bank CSV samples live in</w:t>
      </w:r>
      <w:r>
        <w:t xml:space="preserve"> </w:t>
      </w:r>
      <w:r>
        <w:t xml:space="preserve">and</w:t>
      </w:r>
      <w:r>
        <w:t xml:space="preserve"> </w:t>
      </w:r>
      <w:r>
        <w:t xml:space="preserve">.</w:t>
      </w:r>
    </w:p>
    <w:p>
      <w:pPr>
        <w:pStyle w:val="DefinitionTerm"/>
      </w:pPr>
      <w:r>
        <w:t xml:space="preserve">Acceptance.</w:t>
      </w:r>
    </w:p>
    <w:p>
      <w:pPr>
        <w:pStyle w:val="Definition"/>
      </w:pPr>
      <w:r>
        <w:rPr>
          <w:rStyle w:val="VerbatimChar"/>
        </w:rPr>
        <w:t xml:space="preserve">EUC-001</w:t>
      </w:r>
      <w:r>
        <w:t xml:space="preserve"> </w:t>
      </w:r>
      <w:r>
        <w:t xml:space="preserve">evidence rules apply: the</w:t>
      </w:r>
      <w:r>
        <w:t xml:space="preserve"> </w:t>
      </w:r>
      <w:r>
        <w:t xml:space="preserve">extraction must preserve debit/credit totals and every row</w:t>
      </w:r>
      <w:r>
        <w:t xml:space="preserve"> </w:t>
      </w:r>
      <w:r>
        <w:t xml:space="preserve">must carry a valid account number from the refreshed master.</w:t>
      </w:r>
    </w:p>
    <w:bookmarkEnd w:id="48"/>
    <w:bookmarkStart w:id="50" w:name="stage-2-anomaly-detection"/>
    <w:p>
      <w:pPr>
        <w:pStyle w:val="Heading2"/>
      </w:pPr>
      <w:r>
        <w:t xml:space="preserve">Stage 2: Anomaly detection</w:t>
      </w:r>
    </w:p>
    <w:p>
      <w:pPr>
        <w:pStyle w:val="FirstParagraph"/>
      </w:pPr>
      <w:r>
        <w:t xml:space="preserve">The anomaly detector performs four orthogonal checks per account</w:t>
      </w:r>
      <w:r>
        <w:t xml:space="preserve"> </w:t>
      </w:r>
      <w:r>
        <w:t xml:space="preserve">(</w:t>
      </w:r>
      <w:hyperlink w:anchor="tab:anomalies">
        <w:r>
          <w:rPr>
            <w:rStyle w:val="Hyperlink"/>
          </w:rPr>
          <w:t xml:space="preserve">3.1</w:t>
        </w:r>
      </w:hyperlink>
      <w:r>
        <w:t xml:space="preserve">). Thresholds are account-category-sensitive and</w:t>
      </w:r>
      <w:r>
        <w:t xml:space="preserve"> </w:t>
      </w:r>
      <w:r>
        <w:t xml:space="preserve">are re-fit monthly from the prior twelve months; the fitted thresholds</w:t>
      </w:r>
      <w:r>
        <w:t xml:space="preserve"> </w:t>
      </w:r>
      <w:r>
        <w:t xml:space="preserve">are persisted to the variance file EUC as audit evidence.</w:t>
      </w:r>
    </w:p>
    <w:bookmarkStart w:id="49" w:name="tab:anomalies"/>
    <w:p>
      <w:pPr>
        <w:pStyle w:val="TableCaption"/>
      </w:pPr>
      <w:r>
        <w:t xml:space="preserve">Anomaly checks run per account.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omaly checks run per accoun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spike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3</m:t>
              </m:r>
              <m:r>
                <m:t>σ</m:t>
              </m:r>
            </m:oMath>
            <w:r>
              <w:t xml:space="preserve"> </w:t>
            </w:r>
            <w:r>
              <w:t xml:space="preserve">over prior 12 months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sign(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sign(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) and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absent from prior-period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balance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 </w:t>
            </w:r>
            <w:r>
              <w:t xml:space="preserve">consecutive periods with prior activity</w:t>
            </w:r>
          </w:p>
        </w:tc>
      </w:tr>
    </w:tbl>
    <w:bookmarkEnd w:id="49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b/>
          <w:bCs/>
        </w:rPr>
        <w:t xml:space="preserve">Assumption caveat: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threshold assumes</w:t>
      </w:r>
      <w:r>
        <w:t xml:space="preserve"> </w:t>
      </w:r>
      <w:r>
        <w:t xml:space="preserve">normally-distributed variance values. This assumption has not been statistically</w:t>
      </w:r>
      <w:r>
        <w:t xml:space="preserve"> </w:t>
      </w:r>
      <w:r>
        <w:t xml:space="preserve">validated against the TB population; financial data often exhibits fat tails</w:t>
      </w:r>
      <w:r>
        <w:t xml:space="preserve"> </w:t>
      </w:r>
      <w:r>
        <w:t xml:space="preserve">(leptokurtosis). The pilot will include a Shapiro-Wilk normality test per account</w:t>
      </w:r>
      <w:r>
        <w:t xml:space="preserve"> </w:t>
      </w:r>
      <w:r>
        <w:t xml:space="preserve">category. Non-normal distributions may require robust alternatives (e.g., MAD-based</w:t>
      </w:r>
      <w:r>
        <w:t xml:space="preserve"> </w:t>
      </w:r>
      <w:r>
        <w:t xml:space="preserve">z-scores or quantile thresholds). Thresholds marked</w:t>
      </w:r>
      <w:r>
        <w:t xml:space="preserve"> </w:t>
      </w:r>
      <w:r>
        <w:t xml:space="preserve">“TBD pending pilot.”</w:t>
      </w:r>
    </w:p>
    <w:p>
      <w:pPr>
        <w:pStyle w:val="BodyText"/>
      </w:pPr>
      <w:r>
        <w:t xml:space="preserve">Only accounts flagged by at least one check enter Stage 3. Accounts</w:t>
      </w:r>
      <w:r>
        <w:t xml:space="preserve"> </w:t>
      </w:r>
      <w:r>
        <w:t xml:space="preserve">below materiality (</w:t>
      </w:r>
      <w:r>
        <w:rPr>
          <w:rStyle w:val="VerbatimChar"/>
        </w:rPr>
        <w:t xml:space="preserve">DP-001</w:t>
      </w:r>
      <w:r>
        <w:t xml:space="preserve">) are still logged for audit but</w:t>
      </w:r>
      <w:r>
        <w:t xml:space="preserve"> </w:t>
      </w:r>
      <w:r>
        <w:t xml:space="preserve">short-circuit to Stage 4.</w:t>
      </w:r>
    </w:p>
    <w:bookmarkEnd w:id="50"/>
    <w:bookmarkStart w:id="54" w:name="stage-3-commentary-drafting"/>
    <w:p>
      <w:pPr>
        <w:pStyle w:val="Heading2"/>
      </w:pPr>
      <w:r>
        <w:t xml:space="preserve">Stage 3: Commentary drafting</w:t>
      </w:r>
    </w:p>
    <w:bookmarkStart w:id="51" w:name="model."/>
    <w:p>
      <w:pPr>
        <w:pStyle w:val="Heading5"/>
      </w:pPr>
      <w:r>
        <w:t xml:space="preserve">Model.</w:t>
      </w:r>
    </w:p>
    <w:p>
      <w:pPr>
        <w:pStyle w:val="FirstParagraph"/>
      </w:pPr>
      <w:r>
        <w:t xml:space="preserve">A vLLM-hosted instruction-tuned model accessed</w:t>
      </w:r>
      <w:r>
        <w:t xml:space="preserve"> </w:t>
      </w:r>
      <w:r>
        <w:t xml:space="preserve">via the internal gateway. The system prompt is the</w:t>
      </w:r>
      <w:r>
        <w:t xml:space="preserve"> </w:t>
      </w:r>
      <w:r>
        <w:rPr>
          <w:rStyle w:val="VerbatimChar"/>
        </w:rPr>
        <w:t xml:space="preserve">x-prompting-policy.systemPrompt</w:t>
      </w:r>
      <w:r>
        <w:t xml:space="preserve"> </w:t>
      </w:r>
      <w:r>
        <w:t xml:space="preserve">field of the data product</w:t>
      </w:r>
      <w:r>
        <w:t xml:space="preserve"> </w:t>
      </w:r>
      <w:r>
        <w:t xml:space="preserve">record;</w:t>
      </w:r>
      <w:r>
        <w:t xml:space="preserve"> </w:t>
      </w:r>
      <w:r>
        <w:rPr>
          <w:rStyle w:val="VerbatimChar"/>
        </w:rPr>
        <w:t xml:space="preserve">maxTokens = 4096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responseFormat = "text"</w:t>
      </w:r>
      <w:r>
        <w:t xml:space="preserve">.</w:t>
      </w:r>
    </w:p>
    <w:bookmarkEnd w:id="51"/>
    <w:bookmarkStart w:id="52" w:name="prompt-structure."/>
    <w:p>
      <w:pPr>
        <w:pStyle w:val="Heading5"/>
      </w:pPr>
      <w:r>
        <w:t xml:space="preserve">Prompt structure.</w:t>
      </w:r>
    </w:p>
    <w:p>
      <w:pPr>
        <w:pStyle w:val="FirstParagraph"/>
      </w:pPr>
      <w:r>
        <w:t xml:space="preserve">Each commentary request carries:</w:t>
      </w:r>
    </w:p>
    <w:p>
      <w:pPr>
        <w:numPr>
          <w:ilvl w:val="0"/>
          <w:numId w:val="1005"/>
        </w:numPr>
      </w:pPr>
      <w:r>
        <w:t xml:space="preserve">The flagged variance record (account, prior, current, delta).</w:t>
      </w:r>
    </w:p>
    <w:p>
      <w:pPr>
        <w:numPr>
          <w:ilvl w:val="0"/>
          <w:numId w:val="1005"/>
        </w:numPr>
      </w:pPr>
      <w:r>
        <w:t xml:space="preserve">The three most similar historical commentaries retrieved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TB_REVIEW_VECTORS</w:t>
      </w:r>
      <w:r>
        <w:t xml:space="preserve"> </w:t>
      </w:r>
      <w:r>
        <w:t xml:space="preserve">table (55 chunks, 220-word</w:t>
      </w:r>
      <w:r>
        <w:t xml:space="preserve"> </w:t>
      </w:r>
      <w:r>
        <w:t xml:space="preserve">chunking with 40-word overlap; see</w:t>
      </w:r>
      <w:r>
        <w:t xml:space="preserve"> </w:t>
      </w:r>
      <w:r>
        <w:rPr>
          <w:rStyle w:val="VerbatimChar"/>
        </w:rPr>
        <w:t xml:space="preserve">machine-readable/rag/rag_embedding_records.jsonl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The account’s finance caption and segment.</w:t>
      </w:r>
    </w:p>
    <w:p>
      <w:pPr>
        <w:numPr>
          <w:ilvl w:val="0"/>
          <w:numId w:val="1005"/>
        </w:numPr>
      </w:pPr>
      <w:r>
        <w:t xml:space="preserve">Any related journal identifiers found in the GL for the period.</w:t>
      </w:r>
    </w:p>
    <w:bookmarkEnd w:id="52"/>
    <w:bookmarkStart w:id="53" w:name="output-contract."/>
    <w:p>
      <w:pPr>
        <w:pStyle w:val="Heading5"/>
      </w:pPr>
      <w:r>
        <w:t xml:space="preserve">Output contract.</w:t>
      </w:r>
    </w:p>
    <w:p>
      <w:pPr>
        <w:pStyle w:val="FirstParagraph"/>
      </w:pPr>
      <w:r>
        <w:t xml:space="preserve">The draft is returned as a</w:t>
      </w:r>
      <w:r>
        <w:t xml:space="preserve"> </w:t>
      </w:r>
      <w:r>
        <w:rPr>
          <w:rStyle w:val="VerbatimChar"/>
        </w:rPr>
        <w:t xml:space="preserve">commentary_draft</w:t>
      </w:r>
      <w:r>
        <w:t xml:space="preserve"> </w:t>
      </w:r>
      <w:r>
        <w:t xml:space="preserve">blob that is paired with the variance</w:t>
      </w:r>
      <w:r>
        <w:t xml:space="preserve"> </w:t>
      </w:r>
      <w:r>
        <w:t xml:space="preserve">record before leaving the stage. Human review by the GFS Analyst is</w:t>
      </w:r>
      <w:r>
        <w:t xml:space="preserve"> </w:t>
      </w:r>
      <w:r>
        <w:t xml:space="preserve">mandatory (per DOI</w:t>
      </w:r>
      <w:r>
        <w:t xml:space="preserve"> </w:t>
      </w:r>
      <w:r>
        <w:rPr>
          <w:rStyle w:val="VerbatimChar"/>
        </w:rPr>
        <w:t xml:space="preserve">REVIEW_INCORPORATE</w:t>
      </w:r>
      <w:r>
        <w:t xml:space="preserve">); the draft is a</w:t>
      </w:r>
      <w:r>
        <w:t xml:space="preserve"> </w:t>
      </w:r>
      <w:r>
        <w:rPr>
          <w:i/>
          <w:iCs/>
        </w:rPr>
        <w:t xml:space="preserve">suggestion</w:t>
      </w:r>
      <w:r>
        <w:t xml:space="preserve">, never a final artefact.</w:t>
      </w:r>
    </w:p>
    <w:bookmarkEnd w:id="53"/>
    <w:bookmarkEnd w:id="54"/>
    <w:bookmarkStart w:id="56" w:name="stage-4-validation-and-routing"/>
    <w:p>
      <w:pPr>
        <w:pStyle w:val="Heading2"/>
      </w:pPr>
      <w:r>
        <w:t xml:space="preserve">Stage 4: Validation and routing</w:t>
      </w:r>
    </w:p>
    <w:p>
      <w:pPr>
        <w:pStyle w:val="FirstParagraph"/>
      </w:pPr>
      <w:r>
        <w:t xml:space="preserve">The gateway logic defined in</w:t>
      </w:r>
      <w:r>
        <w:t xml:space="preserve"> 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evaluated here.</w:t>
      </w:r>
      <w:r>
        <w:t xml:space="preserve"> </w:t>
      </w:r>
      <w:hyperlink w:anchor="tab:routing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maps each decision point to the record fields the</w:t>
      </w:r>
      <w:r>
        <w:t xml:space="preserve"> </w:t>
      </w:r>
      <w:r>
        <w:t xml:space="preserve">engine reads.</w:t>
      </w:r>
    </w:p>
    <w:bookmarkStart w:id="55" w:name="tab:routing"/>
    <w:p>
      <w:pPr>
        <w:pStyle w:val="TableCaption"/>
      </w:pPr>
      <w:r>
        <w:t xml:space="preserve">Decision-point routing.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cision-point routing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Gateway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CHECK_MATERIAL_VARIANCES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variance_amount, account_category, materiality_limit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IS_JOURNAL_POSTED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journal_status, posting_date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CHECK_FURTHER_INVESTIGATION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investigation_status, entry_age_days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confirmation_received, days_to_deadline (M+4)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CHECK_UNEXPLAINED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unexplained_variance_count</w:t>
            </w:r>
          </w:p>
        </w:tc>
      </w:tr>
    </w:tbl>
    <w:bookmarkEnd w:id="55"/>
    <w:bookmarkEnd w:id="56"/>
    <w:bookmarkStart w:id="57" w:name="stage-5-fortm-narrative-generation"/>
    <w:p>
      <w:pPr>
        <w:pStyle w:val="Heading2"/>
      </w:pPr>
      <w:r>
        <w:t xml:space="preserve">Stage 5: FORTM narrative generation</w:t>
      </w:r>
    </w:p>
    <w:p>
      <w:pPr>
        <w:pStyle w:val="FirstParagraph"/>
      </w:pPr>
      <w:r>
        <w:t xml:space="preserve">The final stage composes the FORTM pack section. It consumes the</w:t>
      </w:r>
      <w:r>
        <w:t xml:space="preserve"> </w:t>
      </w:r>
      <w:r>
        <w:t xml:space="preserve">routed summary plus the KPI telemetry (</w:t>
      </w:r>
      <w:hyperlink w:anchor="tab:kpis">
        <w:r>
          <w:rPr>
            <w:rStyle w:val="Hyperlink"/>
          </w:rPr>
          <w:t xml:space="preserve">2.4</w:t>
        </w:r>
      </w:hyperlink>
      <w:r>
        <w:t xml:space="preserve">) and emits a</w:t>
      </w:r>
      <w:r>
        <w:t xml:space="preserve"> </w:t>
      </w:r>
      <w:r>
        <w:t xml:space="preserve">structured narrative containing: executive summary, material variance</w:t>
      </w:r>
      <w:r>
        <w:t xml:space="preserve"> </w:t>
      </w:r>
      <w:r>
        <w:t xml:space="preserve">table, unexplained items, risk register update, and the list of</w:t>
      </w:r>
      <w:r>
        <w:t xml:space="preserve"> </w:t>
      </w:r>
      <w:r>
        <w:t xml:space="preserve">outstanding journal postings. The narrative goes to</w:t>
      </w:r>
      <w:r>
        <w:t xml:space="preserve"> </w:t>
      </w:r>
      <w:r>
        <w:rPr>
          <w:smallCaps/>
        </w:rPr>
        <w:t xml:space="preserve">review_incorporate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EUC-003</w:t>
      </w:r>
      <w:r>
        <w:t xml:space="preserve"> </w:t>
      </w:r>
      <w:r>
        <w:t xml:space="preserve">sign-off before</w:t>
      </w:r>
      <w:r>
        <w:t xml:space="preserve"> </w:t>
      </w:r>
      <w:r>
        <w:rPr>
          <w:smallCaps/>
        </w:rPr>
        <w:t xml:space="preserve">send_fortm</w:t>
      </w:r>
      <w:r>
        <w:t xml:space="preserve">.</w:t>
      </w:r>
    </w:p>
    <w:bookmarkEnd w:id="57"/>
    <w:bookmarkStart w:id="59" w:name="controls-posture-of-the-pipeline"/>
    <w:p>
      <w:pPr>
        <w:pStyle w:val="Heading2"/>
      </w:pPr>
      <w:r>
        <w:t xml:space="preserve">Controls posture of the pipeline</w:t>
      </w:r>
    </w:p>
    <w:p>
      <w:pPr>
        <w:pStyle w:val="FirstParagraph"/>
      </w:pPr>
      <w:r>
        <w:t xml:space="preserve">Every stage is in-scope of the UK ACG automated-controls regime. The</w:t>
      </w:r>
      <w:r>
        <w:t xml:space="preserve"> </w:t>
      </w:r>
      <w:r>
        <w:t xml:space="preserve">per-stage control posture is summarised in</w:t>
      </w:r>
      <w:r>
        <w:t xml:space="preserve"> </w:t>
      </w:r>
      <w:hyperlink w:anchor="tab:ai-controls">
        <w:r>
          <w:rPr>
            <w:rStyle w:val="Hyperlink"/>
          </w:rPr>
          <w:t xml:space="preserve">3.3</w:t>
        </w:r>
      </w:hyperlink>
      <w:r>
        <w:t xml:space="preserve">.</w:t>
      </w:r>
    </w:p>
    <w:bookmarkStart w:id="58" w:name="tab:ai-controls"/>
    <w:p>
      <w:pPr>
        <w:pStyle w:val="TableCaption"/>
      </w:pPr>
      <w:r>
        <w:t xml:space="preserve">Per-stage controls posture.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tage controls postur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 reconciliation vs PSGL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log + human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human review (DOI)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gateway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EUC-003 senior sign-off</w:t>
            </w:r>
          </w:p>
        </w:tc>
      </w:tr>
    </w:tbl>
    <w:bookmarkEnd w:id="58"/>
    <w:bookmarkEnd w:id="59"/>
    <w:bookmarkStart w:id="60" w:name="evaluation-harness"/>
    <w:p>
      <w:pPr>
        <w:pStyle w:val="Heading2"/>
      </w:pPr>
      <w:r>
        <w:t xml:space="preserve">Evaluation harness</w:t>
      </w:r>
    </w:p>
    <w:p>
      <w:pPr>
        <w:pStyle w:val="DefinitionTerm"/>
      </w:pPr>
      <w:r>
        <w:t xml:space="preserve">Golden set.</w:t>
      </w:r>
    </w:p>
    <w:p>
      <w:pPr>
        <w:pStyle w:val="Definition"/>
      </w:pPr>
      <w:r>
        <w:t xml:space="preserve">The HK Nov 2025 workbooks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source/HKG_TB review Nov’25.xlsm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source/HKG_PL review Nov’25.xlsm</w:t>
      </w:r>
      <w:r>
        <w:t xml:space="preserve">) serve as</w:t>
      </w:r>
      <w:r>
        <w:t xml:space="preserve"> </w:t>
      </w:r>
      <w:r>
        <w:t xml:space="preserve">regression data. All 234 LEs enter at phase 4 of the</w:t>
      </w:r>
      <w:r>
        <w:t xml:space="preserve"> </w:t>
      </w:r>
      <w:r>
        <w:t xml:space="preserve">implementation plan.</w:t>
      </w:r>
    </w:p>
    <w:p>
      <w:pPr>
        <w:pStyle w:val="DefinitionTerm"/>
      </w:pPr>
      <w:r>
        <w:t xml:space="preserve">Commentary metric.</w:t>
      </w:r>
    </w:p>
    <w:p>
      <w:pPr>
        <w:pStyle w:val="Definition"/>
      </w:pPr>
      <w:r>
        <w:t xml:space="preserve">Draft quality is scored against analyst</w:t>
      </w:r>
      <w:r>
        <w:t xml:space="preserve"> </w:t>
      </w:r>
      <w:r>
        <w:t xml:space="preserve">accepts in the DOI review phase; target accept-without-edit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70%, accept-with-edit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95%.</w:t>
      </w:r>
    </w:p>
    <w:p>
      <w:pPr>
        <w:pStyle w:val="DefinitionTerm"/>
      </w:pPr>
      <w:r>
        <w:t xml:space="preserve">Anomaly metric.</w:t>
      </w:r>
    </w:p>
    <w:p>
      <w:pPr>
        <w:pStyle w:val="Definition"/>
      </w:pPr>
      <w:r>
        <w:t xml:space="preserve">Per-check precision/recall against analyst</w:t>
      </w:r>
      <w:r>
        <w:t xml:space="preserve"> </w:t>
      </w:r>
      <w:r>
        <w:t xml:space="preserve">flags in a held-out period.</w:t>
      </w:r>
    </w:p>
    <w:p>
      <w:pPr>
        <w:pStyle w:val="DefinitionTerm"/>
      </w:pPr>
      <w:r>
        <w:t xml:space="preserve">Cycle time.</w:t>
      </w:r>
    </w:p>
    <w:p>
      <w:pPr>
        <w:pStyle w:val="Definition"/>
      </w:pPr>
      <w:r>
        <w:t xml:space="preserve">Measured as</w:t>
      </w:r>
      <w:r>
        <w:t xml:space="preserve"> </w:t>
      </w:r>
      <w:r>
        <w:rPr>
          <w:rStyle w:val="VerbatimChar"/>
        </w:rPr>
        <w:t xml:space="preserve">TB-KPI-002</w:t>
      </w:r>
      <w:r>
        <w:t xml:space="preserve">; target is the</w:t>
      </w:r>
      <w:r>
        <w:t xml:space="preserve"> </w:t>
      </w:r>
      <w:r>
        <w:t xml:space="preserve">enablement of a daily cadence, which collapses the cycle from</w:t>
      </w:r>
      <w:r>
        <w:t xml:space="preserve"> </w:t>
      </w:r>
      <w:r>
        <w:rPr>
          <w:rStyle w:val="VerbatimChar"/>
        </w:rPr>
        <w:t xml:space="preserve">M+1..M+7</w:t>
      </w:r>
      <w:r>
        <w:t xml:space="preserve"> </w:t>
      </w:r>
      <w:r>
        <w:t xml:space="preserve">to a rolling one-day delay.</w:t>
      </w:r>
    </w:p>
    <w:bookmarkEnd w:id="60"/>
    <w:bookmarkEnd w:id="61"/>
    <w:bookmarkStart w:id="75" w:name="ch:controls-engine"/>
    <w:p>
      <w:pPr>
        <w:pStyle w:val="Heading1"/>
      </w:pPr>
      <w:r>
        <w:t xml:space="preserve">Controls and Commentary Engine</w:t>
      </w:r>
    </w:p>
    <w:bookmarkStart w:id="62" w:name="role-of-the-engine"/>
    <w:p>
      <w:pPr>
        <w:pStyle w:val="Heading2"/>
      </w:pPr>
      <w:r>
        <w:t xml:space="preserve">Role of the engine</w:t>
      </w:r>
    </w:p>
    <w:p>
      <w:pPr>
        <w:pStyle w:val="FirstParagraph"/>
      </w:pPr>
      <w:r>
        <w:t xml:space="preserve">The controls engine is the declarative layer that turns the five</w:t>
      </w:r>
      <w:r>
        <w:t xml:space="preserve"> </w:t>
      </w:r>
      <w:r>
        <w:t xml:space="preserve">decision-point records of</w:t>
      </w:r>
      <w:r>
        <w:t xml:space="preserve"> </w:t>
      </w:r>
      <w:hyperlink w:anchor="sec:decision-point-schema">
        <w:r>
          <w:rPr>
            <w:rStyle w:val="Hyperlink"/>
          </w:rPr>
          <w:t xml:space="preserve">2.3</w:t>
        </w:r>
      </w:hyperlink>
      <w:r>
        <w:t xml:space="preserve"> </w:t>
      </w:r>
      <w:r>
        <w:t xml:space="preserve">into</w:t>
      </w:r>
      <w:r>
        <w:t xml:space="preserve"> </w:t>
      </w:r>
      <w:r>
        <w:t xml:space="preserve">executable rules. It sits between Stage 2 (anomaly detection) and</w:t>
      </w:r>
      <w:r>
        <w:t xml:space="preserve"> </w:t>
      </w:r>
      <w:r>
        <w:t xml:space="preserve">Stage 5 (FORTM narrative) of the AI pipeline. Its inputs are the</w:t>
      </w:r>
      <w:r>
        <w:t xml:space="preserve"> </w:t>
      </w:r>
      <w:r>
        <w:t xml:space="preserve">variance records, the GL journal extract, and the stakeholder</w:t>
      </w:r>
      <w:r>
        <w:t xml:space="preserve"> </w:t>
      </w:r>
      <w:r>
        <w:t xml:space="preserve">commentary responses; its outputs are routing actions and a</w:t>
      </w:r>
      <w:r>
        <w:t xml:space="preserve"> </w:t>
      </w:r>
      <w:r>
        <w:t xml:space="preserve">commentary register.</w:t>
      </w:r>
    </w:p>
    <w:bookmarkEnd w:id="62"/>
    <w:bookmarkStart w:id="64" w:name="decision-tree"/>
    <w:p>
      <w:pPr>
        <w:pStyle w:val="Heading2"/>
      </w:pPr>
      <w:r>
        <w:t xml:space="preserve">Decision tree</w:t>
      </w:r>
    </w:p>
    <w:p>
      <w:pPr>
        <w:pStyle w:val="FirstParagraph"/>
      </w:pPr>
      <w:hyperlink w:anchor="fig:decision-tree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collapses the five gateways into a single</w:t>
      </w:r>
      <w:r>
        <w:t xml:space="preserve"> </w:t>
      </w:r>
      <w:r>
        <w:t xml:space="preserve">cascade. The tree is identical to the workflow in</w:t>
      </w:r>
      <w:r>
        <w:t xml:space="preserve"> 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but omits task nodes; each leaf is a terminal action in the gateway</w:t>
      </w:r>
      <w:r>
        <w:t xml:space="preserve"> </w:t>
      </w:r>
      <w:r>
        <w:t xml:space="preserve">vocabulary.</w:t>
      </w:r>
    </w:p>
    <w:bookmarkStart w:id="63" w:name="fig:decision-tre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Decision cascade encoded by the five decision-point</w:t>
      </w:r>
      <w:r>
        <w:t xml:space="preserve"> </w:t>
      </w:r>
      <w:r>
        <w:t xml:space="preserve">records.</w:t>
      </w:r>
    </w:p>
    <w:bookmarkEnd w:id="63"/>
    <w:bookmarkEnd w:id="64"/>
    <w:bookmarkStart w:id="65" w:name="rule-format"/>
    <w:p>
      <w:pPr>
        <w:pStyle w:val="Heading2"/>
      </w:pPr>
      <w:r>
        <w:t xml:space="preserve">Rule format</w:t>
      </w:r>
    </w:p>
    <w:p>
      <w:pPr>
        <w:pStyle w:val="FirstParagraph"/>
      </w:pPr>
      <w:r>
        <w:t xml:space="preserve">Each rule is a record with five fields: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         "&lt;DP-nnn&gt;",</w:t>
      </w:r>
      <w:r>
        <w:br/>
      </w:r>
      <w:r>
        <w:rPr>
          <w:rStyle w:val="VerbatimChar"/>
        </w:rPr>
        <w:t xml:space="preserve">"state":       "&lt;workflow stateId&gt;",</w:t>
      </w:r>
      <w:r>
        <w:br/>
      </w:r>
      <w:r>
        <w:rPr>
          <w:rStyle w:val="VerbatimChar"/>
        </w:rPr>
        <w:t xml:space="preserve">"input":       "&lt;record field path&gt;",</w:t>
      </w:r>
      <w:r>
        <w:br/>
      </w:r>
      <w:r>
        <w:rPr>
          <w:rStyle w:val="VerbatimChar"/>
        </w:rPr>
        <w:t xml:space="preserve">"operator":    "&lt;exceeds_threshold|boolean|in_set|...&gt;",</w:t>
      </w:r>
      <w:r>
        <w:br/>
      </w:r>
      <w:r>
        <w:rPr>
          <w:rStyle w:val="VerbatimChar"/>
        </w:rPr>
        <w:t xml:space="preserve">"threshold":   "&lt;value or parameter name&gt;",</w:t>
      </w:r>
      <w:r>
        <w:br/>
      </w:r>
      <w:r>
        <w:rPr>
          <w:rStyle w:val="VerbatimChar"/>
        </w:rPr>
        <w:t xml:space="preserve">"branches":    [ {"condition":"...","action":"..."} ...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Rule evaluation is deterministic. When a record enters a gateway</w:t>
      </w:r>
      <w:r>
        <w:t xml:space="preserve"> </w:t>
      </w:r>
      <w:r>
        <w:t xml:space="preserve">state, the engine reads the named input field, applies the operator,</w:t>
      </w:r>
      <w:r>
        <w:t xml:space="preserve"> </w:t>
      </w:r>
      <w:r>
        <w:t xml:space="preserve">and dispatches the matching branch’s action. Actions reference</w:t>
      </w:r>
      <w:r>
        <w:t xml:space="preserve"> </w:t>
      </w:r>
      <w:r>
        <w:t xml:space="preserve">downstream tasks in the workflow (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65"/>
    <w:bookmarkStart w:id="66" w:name="materiality-thresholds"/>
    <w:p>
      <w:pPr>
        <w:pStyle w:val="Heading2"/>
      </w:pPr>
      <w:r>
        <w:t xml:space="preserve">Materiality thresholds</w:t>
      </w:r>
    </w:p>
    <w:p>
      <w:pPr>
        <w:pStyle w:val="FirstParagraph"/>
      </w:pPr>
      <w:r>
        <w:rPr>
          <w:rStyle w:val="VerbatimChar"/>
        </w:rPr>
        <w:t xml:space="preserve">DP-001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materiality_limit</w:t>
      </w:r>
      <w:r>
        <w:t xml:space="preserve"> </w:t>
      </w:r>
      <w:r>
        <w:t xml:space="preserve">from the country</w:t>
      </w:r>
      <w:r>
        <w:t xml:space="preserve"> </w:t>
      </w:r>
      <w:r>
        <w:t xml:space="preserve">parameters sheet. During the AI rollout, the fitted ML threshold</w:t>
      </w:r>
      <w:r>
        <w:t xml:space="preserve"> </w:t>
      </w:r>
      <w:r>
        <w:t xml:space="preserve">(Stage 2) is compared side-by-side with the manual limit for six</w:t>
      </w:r>
      <w:r>
        <w:t xml:space="preserve"> </w:t>
      </w:r>
      <w:r>
        <w:t xml:space="preserve">months; divergences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surface to the Head of Africa GFS for</w:t>
      </w:r>
      <w:r>
        <w:t xml:space="preserve"> </w:t>
      </w:r>
      <w:r>
        <w:t xml:space="preserve">review. Only after six clean cycles does the fitted threshold</w:t>
      </w:r>
      <w:r>
        <w:t xml:space="preserve"> </w:t>
      </w:r>
      <w:r>
        <w:t xml:space="preserve">replace the manual one in the parameter sheet.</w:t>
      </w:r>
    </w:p>
    <w:bookmarkEnd w:id="66"/>
    <w:bookmarkStart w:id="67" w:name="journal-posting"/>
    <w:p>
      <w:pPr>
        <w:pStyle w:val="Heading2"/>
      </w:pPr>
      <w:r>
        <w:t xml:space="preserve">Journal posting</w:t>
      </w:r>
    </w:p>
    <w:p>
      <w:pPr>
        <w:pStyle w:val="FirstParagraph"/>
      </w:pPr>
      <w:r>
        <w:rPr>
          <w:rStyle w:val="VerbatimChar"/>
        </w:rPr>
        <w:t xml:space="preserve">DP-002</w:t>
      </w:r>
      <w:r>
        <w:t xml:space="preserve"> </w:t>
      </w:r>
      <w:r>
        <w:t xml:space="preserve">has three branches. The engine first reads</w:t>
      </w:r>
      <w:r>
        <w:t xml:space="preserve"> </w:t>
      </w:r>
      <w:r>
        <w:rPr>
          <w:rStyle w:val="VerbatimChar"/>
        </w:rPr>
        <w:t xml:space="preserve">journal_status</w:t>
      </w:r>
      <w:r>
        <w:t xml:space="preserve"> </w:t>
      </w:r>
      <w:r>
        <w:t xml:space="preserve">from the GL extract. If the status is</w:t>
      </w:r>
      <w:r>
        <w:t xml:space="preserve"> </w:t>
      </w:r>
      <w:r>
        <w:rPr>
          <w:smallCaps/>
        </w:rPr>
        <w:t xml:space="preserve">posted</w:t>
      </w:r>
      <w:r>
        <w:t xml:space="preserve">, the routing short-circuits to</w:t>
      </w:r>
      <w:r>
        <w:t xml:space="preserve"> </w:t>
      </w:r>
      <w:r>
        <w:rPr>
          <w:smallCaps/>
        </w:rPr>
        <w:t xml:space="preserve">check_unexplained</w:t>
      </w:r>
      <w:r>
        <w:t xml:space="preserve">. If</w:t>
      </w:r>
      <w:r>
        <w:t xml:space="preserve"> </w:t>
      </w:r>
      <w:r>
        <w:rPr>
          <w:smallCaps/>
        </w:rPr>
        <w:t xml:space="preserve">posting_required</w:t>
      </w:r>
      <w:r>
        <w:t xml:space="preserve">, the</w:t>
      </w:r>
      <w:r>
        <w:t xml:space="preserve"> </w:t>
      </w:r>
      <w:r>
        <w:t xml:space="preserve">engine emits a posting request via</w:t>
      </w:r>
      <w:r>
        <w:t xml:space="preserve"> </w:t>
      </w:r>
      <w:r>
        <w:rPr>
          <w:smallCaps/>
        </w:rPr>
        <w:t xml:space="preserve">send_journal_request</w:t>
      </w:r>
      <w:r>
        <w:t xml:space="preserve"> </w:t>
      </w:r>
      <w:r>
        <w:t xml:space="preserve">and returns to</w:t>
      </w:r>
      <w:r>
        <w:t xml:space="preserve"> </w:t>
      </w:r>
      <w:r>
        <w:rPr>
          <w:smallCaps/>
        </w:rPr>
        <w:t xml:space="preserve">check_further_investigation</w:t>
      </w:r>
      <w:r>
        <w:t xml:space="preserve">. If</w:t>
      </w:r>
      <w:r>
        <w:t xml:space="preserve"> </w:t>
      </w:r>
      <w:r>
        <w:rPr>
          <w:smallCaps/>
        </w:rPr>
        <w:t xml:space="preserve">not_posted</w:t>
      </w:r>
      <w:r>
        <w:t xml:space="preserve"> </w:t>
      </w:r>
      <w:r>
        <w:t xml:space="preserve">(stuck), the path proceeds directly to</w:t>
      </w:r>
      <w:r>
        <w:t xml:space="preserve"> </w:t>
      </w:r>
      <w:r>
        <w:rPr>
          <w:smallCaps/>
        </w:rPr>
        <w:t xml:space="preserve">check_further_investigation</w:t>
      </w:r>
      <w:r>
        <w:t xml:space="preserve">, skipping the request.</w:t>
      </w:r>
    </w:p>
    <w:bookmarkEnd w:id="67"/>
    <w:bookmarkStart w:id="68" w:name="investigation-and-deadlines"/>
    <w:p>
      <w:pPr>
        <w:pStyle w:val="Heading2"/>
      </w:pPr>
      <w:r>
        <w:t xml:space="preserve">Investigation and deadlines</w:t>
      </w:r>
    </w:p>
    <w:p>
      <w:pPr>
        <w:pStyle w:val="FirstParagraph"/>
      </w:pPr>
      <w:r>
        <w:rPr>
          <w:rStyle w:val="VerbatimChar"/>
        </w:rPr>
        <w:t xml:space="preserve">DP-003</w:t>
      </w:r>
      <w:r>
        <w:t xml:space="preserve"> </w:t>
      </w:r>
      <w:r>
        <w:t xml:space="preserve">is a boolean gateway controlled by the</w:t>
      </w:r>
      <w:r>
        <w:t xml:space="preserve"> </w:t>
      </w:r>
      <w:r>
        <w:rPr>
          <w:rStyle w:val="VerbatimChar"/>
        </w:rPr>
        <w:t xml:space="preserve">investigation_status</w:t>
      </w:r>
      <w:r>
        <w:t xml:space="preserve"> </w:t>
      </w:r>
      <w:r>
        <w:t xml:space="preserve">field.</w:t>
      </w:r>
      <w:r>
        <w:t xml:space="preserve"> </w:t>
      </w:r>
      <w:r>
        <w:rPr>
          <w:rStyle w:val="VerbatimChar"/>
        </w:rPr>
        <w:t xml:space="preserve">DP-004</w:t>
      </w:r>
      <w:r>
        <w:t xml:space="preserve"> </w:t>
      </w:r>
      <w:r>
        <w:t xml:space="preserve">enforces the</w:t>
      </w:r>
      <w:r>
        <w:t xml:space="preserve"> </w:t>
      </w:r>
      <w:r>
        <w:rPr>
          <w:rStyle w:val="VerbatimChar"/>
        </w:rPr>
        <w:t xml:space="preserve">M+4</w:t>
      </w:r>
      <w:r>
        <w:t xml:space="preserve"> </w:t>
      </w:r>
      <w:r>
        <w:t xml:space="preserve">deadline by reading</w:t>
      </w:r>
      <w:r>
        <w:t xml:space="preserve"> </w:t>
      </w:r>
      <w:r>
        <w:rPr>
          <w:rStyle w:val="VerbatimChar"/>
        </w:rPr>
        <w:t xml:space="preserve">days_to_deadline</w:t>
      </w:r>
      <w:r>
        <w:t xml:space="preserve"> </w:t>
      </w:r>
      <w:r>
        <w:t xml:space="preserve">from the</w:t>
      </w:r>
      <w:r>
        <w:t xml:space="preserve"> </w:t>
      </w:r>
      <w:r>
        <w:t xml:space="preserve">variance record. Crossing the deadline triggers the</w:t>
      </w:r>
      <w:r>
        <w:t xml:space="preserve"> </w:t>
      </w:r>
      <w:r>
        <w:rPr>
          <w:smallCaps/>
        </w:rPr>
        <w:t xml:space="preserve">track_entries</w:t>
      </w:r>
      <w:r>
        <w:t xml:space="preserve"> </w:t>
      </w:r>
      <w:r>
        <w:t xml:space="preserve">branch and the risk-assessment update in</w:t>
      </w:r>
      <w:r>
        <w:t xml:space="preserve"> </w:t>
      </w:r>
      <w:r>
        <w:rPr>
          <w:smallCaps/>
        </w:rPr>
        <w:t xml:space="preserve">update_risk</w:t>
      </w:r>
      <w:r>
        <w:t xml:space="preserve">.</w:t>
      </w:r>
    </w:p>
    <w:bookmarkEnd w:id="68"/>
    <w:bookmarkStart w:id="69" w:name="unexplained-variance-handling"/>
    <w:p>
      <w:pPr>
        <w:pStyle w:val="Heading2"/>
      </w:pPr>
      <w:r>
        <w:t xml:space="preserve">Unexplained-variance handling</w:t>
      </w:r>
    </w:p>
    <w:p>
      <w:pPr>
        <w:pStyle w:val="FirstParagraph"/>
      </w:pPr>
      <w:r>
        <w:rPr>
          <w:rStyle w:val="VerbatimChar"/>
        </w:rPr>
        <w:t xml:space="preserve">DP-005</w:t>
      </w:r>
      <w:r>
        <w:t xml:space="preserve"> </w:t>
      </w:r>
      <w:r>
        <w:t xml:space="preserve">is the final gate before summary. If</w:t>
      </w:r>
      <w:r>
        <w:t xml:space="preserve"> </w:t>
      </w:r>
      <w:r>
        <w:rPr>
          <w:rStyle w:val="VerbatimChar"/>
        </w:rPr>
        <w:t xml:space="preserve">unexplained_variance_count </w:t>
      </w:r>
      <m:oMath>
        <m:r>
          <m:rPr>
            <m:sty m:val="p"/>
          </m:rPr>
          <m:t>=</m:t>
        </m:r>
        <m:r>
          <m:t>0</m:t>
        </m:r>
      </m:oMath>
      <w:r>
        <w:t xml:space="preserve">, the engine transitions to</w:t>
      </w:r>
      <w:r>
        <w:t xml:space="preserve"> </w:t>
      </w:r>
      <w:r>
        <w:rPr>
          <w:smallCaps/>
        </w:rPr>
        <w:t xml:space="preserve">prepare_summary</w:t>
      </w:r>
      <w:r>
        <w:t xml:space="preserve">. Otherwise, the unexplained items are</w:t>
      </w:r>
      <w:r>
        <w:t xml:space="preserve"> </w:t>
      </w:r>
      <w:r>
        <w:t xml:space="preserve">passed to</w:t>
      </w:r>
      <w:r>
        <w:t xml:space="preserve"> </w:t>
      </w:r>
      <w:r>
        <w:rPr>
          <w:smallCaps/>
        </w:rPr>
        <w:t xml:space="preserve">categorize_unexplained</w:t>
      </w:r>
      <w:r>
        <w:t xml:space="preserve">, where each item is</w:t>
      </w:r>
      <w:r>
        <w:t xml:space="preserve"> </w:t>
      </w:r>
      <w:r>
        <w:t xml:space="preserve">tagged against the BSS risk vocabulary (</w:t>
      </w:r>
      <w:r>
        <w:rPr>
          <w:smallCaps/>
        </w:rPr>
        <w:t xml:space="preserve">substantiated at risk</w:t>
      </w:r>
      <w:r>
        <w:t xml:space="preserve">,</w:t>
      </w:r>
      <w:r>
        <w:t xml:space="preserve"> </w:t>
      </w:r>
      <w:r>
        <w:rPr>
          <w:smallCaps/>
        </w:rPr>
        <w:t xml:space="preserve">unsubstantiated unowned</w:t>
      </w:r>
      <w:r>
        <w:t xml:space="preserve">,</w:t>
      </w:r>
      <w:r>
        <w:t xml:space="preserve"> </w:t>
      </w:r>
      <w:r>
        <w:rPr>
          <w:smallCaps/>
        </w:rPr>
        <w:t xml:space="preserve">unsubstantiated owned</w:t>
      </w:r>
      <w:r>
        <w:t xml:space="preserve">) and</w:t>
      </w:r>
      <w:r>
        <w:t xml:space="preserve"> </w:t>
      </w:r>
      <w:r>
        <w:t xml:space="preserve">a commentary draft is requested.</w:t>
      </w:r>
    </w:p>
    <w:bookmarkEnd w:id="69"/>
    <w:bookmarkStart w:id="71" w:name="commentary-register"/>
    <w:p>
      <w:pPr>
        <w:pStyle w:val="Heading2"/>
      </w:pPr>
      <w:r>
        <w:t xml:space="preserve">Commentary register</w:t>
      </w:r>
    </w:p>
    <w:p>
      <w:pPr>
        <w:pStyle w:val="FirstParagraph"/>
      </w:pPr>
      <w:r>
        <w:t xml:space="preserve">All drafts produced by Stage 3 of the AI pipeline, together with the</w:t>
      </w:r>
      <w:r>
        <w:t xml:space="preserve"> </w:t>
      </w:r>
      <w:r>
        <w:t xml:space="preserve">analyst accept/edit decision, are persisted to the commentary</w:t>
      </w:r>
      <w:r>
        <w:t xml:space="preserve"> </w:t>
      </w:r>
      <w:r>
        <w:t xml:space="preserve">register. The register is the primary evidence artefact for</w:t>
      </w:r>
      <w:r>
        <w:t xml:space="preserve"> </w:t>
      </w:r>
      <w:r>
        <w:rPr>
          <w:rStyle w:val="VerbatimChar"/>
        </w:rPr>
        <w:t xml:space="preserve">EUC-002</w:t>
      </w:r>
      <w:r>
        <w:t xml:space="preserve">: the register row count must equal the flagged</w:t>
      </w:r>
      <w:r>
        <w:t xml:space="preserve"> </w:t>
      </w:r>
      <w:r>
        <w:t xml:space="preserve">variance row count at the end of</w:t>
      </w:r>
      <w:r>
        <w:t xml:space="preserve"> </w:t>
      </w:r>
      <w:r>
        <w:rPr>
          <w:smallCaps/>
        </w:rPr>
        <w:t xml:space="preserve">update_variance_commentaries</w:t>
      </w:r>
      <w:r>
        <w:t xml:space="preserve">.</w:t>
      </w:r>
    </w:p>
    <w:bookmarkStart w:id="70" w:name="tab:commentary-register"/>
    <w:p>
      <w:pPr>
        <w:pStyle w:val="TableCaption"/>
      </w:pPr>
      <w:r>
        <w:t xml:space="preserve">Commentary register schema (derived from the variance</w:t>
      </w:r>
      <w:r>
        <w:t xml:space="preserve"> </w:t>
      </w:r>
      <w:r>
        <w:t xml:space="preserve">record).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mentary register schema (derived from the variance recor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 account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yyyy-mm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current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LLM-generated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Post-review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as-is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edited</w:t>
            </w:r>
            <w:r>
              <w:t xml:space="preserve">,</w:t>
            </w:r>
            <w:r>
              <w:t xml:space="preserve"> </w:t>
            </w:r>
            <w:r>
              <w:rPr>
                <w:smallCaps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GFS Analyst name or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ISO-8601</w:t>
            </w:r>
          </w:p>
        </w:tc>
      </w:tr>
    </w:tbl>
    <w:bookmarkEnd w:id="70"/>
    <w:bookmarkEnd w:id="71"/>
    <w:bookmarkStart w:id="73" w:name="sec:per-country-views"/>
    <w:p>
      <w:pPr>
        <w:pStyle w:val="Heading2"/>
      </w:pPr>
      <w:r>
        <w:t xml:space="preserve">Per-country parameter views</w:t>
      </w:r>
    </w:p>
    <w:p>
      <w:pPr>
        <w:pStyle w:val="FirstParagraph"/>
      </w:pPr>
      <w:r>
        <w:t xml:space="preserve">The data product record carries a</w:t>
      </w:r>
      <w:r>
        <w:t xml:space="preserve"> </w:t>
      </w:r>
      <w:r>
        <w:rPr>
          <w:rStyle w:val="VerbatimChar"/>
        </w:rPr>
        <w:t xml:space="preserve">x-country-views.HK</w:t>
      </w:r>
      <w:r>
        <w:t xml:space="preserve"> </w:t>
      </w:r>
      <w:r>
        <w:t xml:space="preserve">block</w:t>
      </w:r>
      <w:r>
        <w:t xml:space="preserve"> </w:t>
      </w:r>
      <w:r>
        <w:t xml:space="preserve">that injects an HKMA-aware vocabulary and sets</w:t>
      </w:r>
      <w:r>
        <w:t xml:space="preserve"> </w:t>
      </w:r>
      <w:r>
        <w:rPr>
          <w:rStyle w:val="VerbatimChar"/>
        </w:rPr>
        <w:t xml:space="preserve">defaultFilters.entity = "HKG"</w:t>
      </w:r>
      <w:r>
        <w:t xml:space="preserve">. Adding a new country is a</w:t>
      </w:r>
      <w:r>
        <w:t xml:space="preserve"> </w:t>
      </w:r>
      <w:r>
        <w:t xml:space="preserve">matter of adding another view; no schema change is needed. Until</w:t>
      </w:r>
      <w:r>
        <w:t xml:space="preserve"> </w:t>
      </w:r>
      <w:r>
        <w:t xml:space="preserve">additional views exist, Hong Kong is the only LE with a fitted</w:t>
      </w:r>
      <w:r>
        <w:t xml:space="preserve"> </w:t>
      </w:r>
      <w:r>
        <w:t xml:space="preserve">threshold history.</w:t>
      </w:r>
    </w:p>
    <w:bookmarkStart w:id="72" w:name="sec:params-234"/>
    <w:p>
      <w:pPr>
        <w:pStyle w:val="Heading3"/>
      </w:pPr>
      <w:r>
        <w:t xml:space="preserve">Parameter loading and validation for 234 entities</w:t>
      </w:r>
    </w:p>
    <w:p>
      <w:pPr>
        <w:pStyle w:val="FirstParagraph"/>
      </w:pPr>
      <w:r>
        <w:t xml:space="preserve">Full Group rollout to all 234 Legal Entities (LEs) is gated on the</w:t>
      </w:r>
      <w:r>
        <w:t xml:space="preserve"> </w:t>
      </w:r>
      <w:r>
        <w:t xml:space="preserve">availability of a per-entity parameter file, not on model capacity.</w:t>
      </w:r>
      <w:r>
        <w:t xml:space="preserve"> </w:t>
      </w:r>
      <w:r>
        <w:t xml:space="preserve">This section specifies how those parameters are loaded, validated,</w:t>
      </w:r>
      <w:r>
        <w:t xml:space="preserve"> </w:t>
      </w:r>
      <w:r>
        <w:t xml:space="preserve">and versioned so that entities can be on-boarded without schema or</w:t>
      </w:r>
      <w:r>
        <w:t xml:space="preserve"> </w:t>
      </w:r>
      <w:r>
        <w:t xml:space="preserve">code changes.</w:t>
      </w:r>
    </w:p>
    <w:p>
      <w:pPr>
        <w:pStyle w:val="DefinitionTerm"/>
      </w:pPr>
      <w:r>
        <w:t xml:space="preserve">Parameter file layout.</w:t>
      </w:r>
    </w:p>
    <w:p>
      <w:pPr>
        <w:pStyle w:val="Definition"/>
      </w:pPr>
      <w:r>
        <w:t xml:space="preserve">Per-entity parameters live at</w:t>
      </w:r>
      <w:r>
        <w:t xml:space="preserve"> </w:t>
      </w:r>
      <w:r>
        <w:t xml:space="preserve">(one file per LE;</w:t>
      </w:r>
      <w:r>
        <w:t xml:space="preserve"> </w:t>
      </w:r>
      <w:r>
        <w:rPr>
          <w:rStyle w:val="VerbatimChar"/>
        </w:rPr>
        <w:t xml:space="preserve">le-code</w:t>
      </w:r>
      <w:r>
        <w:t xml:space="preserve"> </w:t>
      </w:r>
      <w:r>
        <w:t xml:space="preserve">matches the three-letter</w:t>
      </w:r>
      <w:r>
        <w:t xml:space="preserve"> </w:t>
      </w:r>
      <w:r>
        <w:t xml:space="preserve">ISO-ish LE code used by PSGL, e.g. </w:t>
      </w:r>
      <w:r>
        <w:rPr>
          <w:rStyle w:val="VerbatimChar"/>
        </w:rPr>
        <w:t xml:space="preserve">HKG</w:t>
      </w:r>
      <w:r>
        <w:t xml:space="preserve">,</w:t>
      </w:r>
      <w:r>
        <w:t xml:space="preserve"> </w:t>
      </w:r>
      <w:r>
        <w:rPr>
          <w:rStyle w:val="VerbatimChar"/>
        </w:rPr>
        <w:t xml:space="preserve">SGP</w:t>
      </w:r>
      <w:r>
        <w:t xml:space="preserve">). Each file is a dictionary with keys</w:t>
      </w:r>
      <w:r>
        <w:t xml:space="preserve"> </w:t>
      </w:r>
      <w:r>
        <w:rPr>
          <w:rStyle w:val="VerbatimChar"/>
        </w:rPr>
        <w:t xml:space="preserve">materiality_threshold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variance_bands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account_category_overrides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fx_reporting_currency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regulator_vocabulary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commentary_style_exemplars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last_calibration_date</w:t>
      </w:r>
      <w:r>
        <w:t xml:space="preserve">.</w:t>
      </w:r>
    </w:p>
    <w:p>
      <w:pPr>
        <w:pStyle w:val="DefinitionTerm"/>
      </w:pPr>
      <w:r>
        <w:t xml:space="preserve">Schema.</w:t>
      </w:r>
    </w:p>
    <w:p>
      <w:pPr>
        <w:pStyle w:val="Definition"/>
      </w:pPr>
      <w:r>
        <w:t xml:space="preserve">All entity parameter files validate against</w:t>
      </w:r>
      <w:r>
        <w:t xml:space="preserve"> </w:t>
      </w:r>
      <w:r>
        <w:t xml:space="preserve">(new,</w:t>
      </w:r>
      <w:r>
        <w:t xml:space="preserve"> </w:t>
      </w:r>
      <w:r>
        <w:t xml:space="preserve">registered in under the</w:t>
      </w:r>
      <w:r>
        <w:t xml:space="preserve"> </w:t>
      </w:r>
      <w:r>
        <w:rPr>
          <w:rStyle w:val="VerbatimChar"/>
        </w:rPr>
        <w:t xml:space="preserve">tb</w:t>
      </w:r>
      <w:r>
        <w:t xml:space="preserve"> </w:t>
      </w:r>
      <w:r>
        <w:t xml:space="preserve">domain). The CI</w:t>
      </w:r>
      <w:r>
        <w:t xml:space="preserve"> </w:t>
      </w:r>
      <w:r>
        <w:rPr>
          <w:rStyle w:val="VerbatimChar"/>
        </w:rPr>
        <w:t xml:space="preserve">--registry-check</w:t>
      </w:r>
      <w:r>
        <w:t xml:space="preserve"> </w:t>
      </w:r>
      <w:r>
        <w:t xml:space="preserve">command fails if any file deviates.</w:t>
      </w:r>
    </w:p>
    <w:p>
      <w:pPr>
        <w:pStyle w:val="DefinitionTerm"/>
      </w:pPr>
      <w:r>
        <w:t xml:space="preserve">Loading.</w:t>
      </w:r>
    </w:p>
    <w:p>
      <w:pPr>
        <w:pStyle w:val="Definition"/>
      </w:pPr>
      <w:r>
        <w:t xml:space="preserve">The TB pipeline loads parameters at batch start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EntityParamsRegistry.load_all()</w:t>
      </w:r>
      <w:r>
        <w:t xml:space="preserve"> </w:t>
      </w:r>
      <w:r>
        <w:t xml:space="preserve">() which reads every file in</w:t>
      </w:r>
      <w:r>
        <w:t xml:space="preserve"> </w:t>
      </w:r>
      <w:r>
        <w:t xml:space="preserve">the directory, validates it against the schema, and caches</w:t>
      </w:r>
      <w:r>
        <w:t xml:space="preserve"> </w:t>
      </w:r>
      <w:r>
        <w:t xml:space="preserve">the result. Missing LE codes are logged as</w:t>
      </w:r>
      <w:r>
        <w:t xml:space="preserve"> </w:t>
      </w:r>
      <w:r>
        <w:rPr>
          <w:rStyle w:val="VerbatimChar"/>
        </w:rPr>
        <w:t xml:space="preserve">warn</w:t>
      </w:r>
      <w:r>
        <w:t xml:space="preserve">; a missing code does not block the pipeline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entities, but processing for the missing</w:t>
      </w:r>
      <w:r>
        <w:t xml:space="preserve"> </w:t>
      </w:r>
      <w:r>
        <w:t xml:space="preserve">LE is skipped with an audit record.</w:t>
      </w:r>
    </w:p>
    <w:p>
      <w:pPr>
        <w:pStyle w:val="DefinitionTerm"/>
      </w:pPr>
      <w:r>
        <w:t xml:space="preserve">Onboarding a new LE.</w:t>
      </w:r>
    </w:p>
    <w:p>
      <w:pPr>
        <w:pStyle w:val="Definition"/>
      </w:pPr>
      <w:r>
        <w:t xml:space="preserve">The runbook is</w:t>
      </w:r>
      <w:r>
        <w:t xml:space="preserve"> </w:t>
      </w:r>
      <w:r>
        <w:t xml:space="preserve">: (1) copy</w:t>
      </w:r>
      <w:r>
        <w:t xml:space="preserve"> </w:t>
      </w:r>
      <w:r>
        <w:rPr>
          <w:rStyle w:val="VerbatimChar"/>
        </w:rPr>
        <w:t xml:space="preserve">HKG.yaml</w:t>
      </w:r>
      <w:r>
        <w:t xml:space="preserve"> </w:t>
      </w:r>
      <w:r>
        <w:t xml:space="preserve">as a template, (2) fit a threshold</w:t>
      </w:r>
      <w:r>
        <w:t xml:space="preserve"> </w:t>
      </w:r>
      <w:r>
        <w:t xml:space="preserve">history against 12 months of TB data, (3) open a pull</w:t>
      </w:r>
      <w:r>
        <w:t xml:space="preserve"> </w:t>
      </w:r>
      <w:r>
        <w:t xml:space="preserve">request with the new file, (4) CI validates the file and</w:t>
      </w:r>
      <w:r>
        <w:t xml:space="preserve"> </w:t>
      </w:r>
      <w:r>
        <w:t xml:space="preserve">runs a dry-run cycle on the new LE, (5) reviewer sign-off</w:t>
      </w:r>
      <w:r>
        <w:t xml:space="preserve"> </w:t>
      </w:r>
      <w:r>
        <w:t xml:space="preserve">(senior analyst + controller).</w:t>
      </w:r>
    </w:p>
    <w:p>
      <w:pPr>
        <w:pStyle w:val="DefinitionTerm"/>
      </w:pPr>
      <w:r>
        <w:t xml:space="preserve">Roll-forward safety.</w:t>
      </w:r>
    </w:p>
    <w:p>
      <w:pPr>
        <w:pStyle w:val="Definition"/>
      </w:pPr>
      <w:r>
        <w:t xml:space="preserve">Parameter files are versioned in</w:t>
      </w:r>
      <w:r>
        <w:t xml:space="preserve"> </w:t>
      </w:r>
      <w:r>
        <w:t xml:space="preserve">git; the data product record records the git SHA of the</w:t>
      </w:r>
      <w:r>
        <w:t xml:space="preserve"> </w:t>
      </w:r>
      <w:r>
        <w:t xml:space="preserve">entity-params directory at run 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runMetadata.entityParamsSha</w:t>
      </w:r>
      <w:r>
        <w:t xml:space="preserve">). Retrospective</w:t>
      </w:r>
      <w:r>
        <w:t xml:space="preserve"> </w:t>
      </w:r>
      <w:r>
        <w:t xml:space="preserve">ACG queries reconstruct parameters at the historical run</w:t>
      </w:r>
      <w:r>
        <w:t xml:space="preserve"> </w:t>
      </w:r>
      <w:r>
        <w:t xml:space="preserve">time.</w:t>
      </w:r>
    </w:p>
    <w:p>
      <w:pPr>
        <w:pStyle w:val="FirstParagraph"/>
      </w:pPr>
      <w:r>
        <w:t xml:space="preserve">Rollout readiness (see Chapter </w:t>
      </w:r>
      <w:hyperlink w:anchor="ch:overview">
        <w:r>
          <w:rPr>
            <w:rStyle w:val="Hyperlink"/>
          </w:rPr>
          <w:t xml:space="preserve">1</w:t>
        </w:r>
      </w:hyperlink>
      <w:r>
        <w:t xml:space="preserve">, Section on</w:t>
      </w:r>
      <w:r>
        <w:t xml:space="preserve"> </w:t>
      </w:r>
      <w:r>
        <w:t xml:space="preserve">Timeline): HKG is fully onboarded; a wave of 8–10 LEs is added in</w:t>
      </w:r>
      <w:r>
        <w:t xml:space="preserve"> </w:t>
      </w:r>
      <w:r>
        <w:t xml:space="preserve">phase 4 (quarter after v1.0 go-live), with the remaining 220+</w:t>
      </w:r>
      <w:r>
        <w:t xml:space="preserve"> </w:t>
      </w:r>
      <w:r>
        <w:t xml:space="preserve">on-boarded over 12–18 months. The dashboard</w:t>
      </w:r>
      <w:r>
        <w:t xml:space="preserve"> </w:t>
      </w:r>
      <w:r>
        <w:t xml:space="preserve">(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) surfaces per-LE coverage so that</w:t>
      </w:r>
      <w:r>
        <w:t xml:space="preserve"> </w:t>
      </w:r>
      <w:r>
        <w:t xml:space="preserve">operations can prioritise LEs by review volume and regulator risk.</w:t>
      </w:r>
    </w:p>
    <w:bookmarkEnd w:id="72"/>
    <w:bookmarkEnd w:id="73"/>
    <w:bookmarkStart w:id="74" w:name="observability"/>
    <w:p>
      <w:pPr>
        <w:pStyle w:val="Heading2"/>
      </w:pPr>
      <w:r>
        <w:t xml:space="preserve">Observability</w:t>
      </w:r>
    </w:p>
    <w:p>
      <w:pPr>
        <w:pStyle w:val="FirstParagraph"/>
      </w:pPr>
      <w:r>
        <w:t xml:space="preserve">Every rule firing is logged with input, branch taken, timestamp, and</w:t>
      </w:r>
      <w:r>
        <w:t xml:space="preserve"> </w:t>
      </w:r>
      <w:r>
        <w:t xml:space="preserve">the version of the ruleset. Logs are aggregated into the</w:t>
      </w:r>
      <w:r>
        <w:t xml:space="preserve"> </w:t>
      </w:r>
      <w:r>
        <w:rPr>
          <w:rStyle w:val="VerbatimChar"/>
        </w:rPr>
        <w:t xml:space="preserve">TB_REVIEW_VECTORS</w:t>
      </w:r>
      <w:r>
        <w:t xml:space="preserve"> </w:t>
      </w:r>
      <w:r>
        <w:t xml:space="preserve">table’s metadata index so that prior</w:t>
      </w:r>
      <w:r>
        <w:t xml:space="preserve"> </w:t>
      </w:r>
      <w:r>
        <w:t xml:space="preserve">decisions are retrievable by account and period.</w:t>
      </w:r>
    </w:p>
    <w:bookmarkEnd w:id="74"/>
    <w:bookmarkEnd w:id="75"/>
    <w:bookmarkStart w:id="90" w:name="ch:workflow"/>
    <w:p>
      <w:pPr>
        <w:pStyle w:val="Heading1"/>
      </w:pPr>
      <w:r>
        <w:t xml:space="preserve">Workflow and Approval Engine</w:t>
      </w:r>
    </w:p>
    <w:bookmarkStart w:id="76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The workflow engine formalises the 28-state BPMN diagram captured in</w:t>
      </w:r>
      <w:r>
        <w:t xml:space="preserve"> </w:t>
      </w:r>
      <w:r>
        <w:rPr>
          <w:rStyle w:val="VerbatimChar"/>
        </w:rPr>
        <w:t xml:space="preserve">structured/workflows/tb-review-glo.json</w:t>
      </w:r>
      <w:r>
        <w:t xml:space="preserve">. The diagram</w:t>
      </w:r>
      <w:r>
        <w:t xml:space="preserve"> </w:t>
      </w:r>
      <w:r>
        <w:t xml:space="preserve">is derived from two source artefacts: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source/Operation of Month End Close Controls  - Trial Balance Review - GLO (1).pdf</w:t>
      </w:r>
      <w:r>
        <w:t xml:space="preserve"> </w:t>
      </w:r>
      <w:r>
        <w:t xml:space="preserve">— the control narrative that defines the seven DOI activities,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source/Business case - Trial Balance (2).doc</w:t>
      </w:r>
      <w:r>
        <w:t xml:space="preserve"> </w:t>
      </w:r>
      <w:r>
        <w:t xml:space="preserve">— the business case that expands the activities into the</w:t>
      </w:r>
      <w:r>
        <w:t xml:space="preserve"> </w:t>
      </w:r>
      <w:r>
        <w:t xml:space="preserve">eight process steps of</w:t>
      </w:r>
      <w:r>
        <w:t xml:space="preserve"> </w:t>
      </w:r>
      <w:r>
        <w:rPr>
          <w:rStyle w:val="VerbatimChar"/>
        </w:rPr>
        <w:t xml:space="preserve">TB-REQ-001</w:t>
      </w:r>
      <w:r>
        <w:t xml:space="preserve">.</w:t>
      </w:r>
    </w:p>
    <w:bookmarkEnd w:id="76"/>
    <w:bookmarkStart w:id="78" w:name="state-inventory"/>
    <w:p>
      <w:pPr>
        <w:pStyle w:val="Heading2"/>
      </w:pPr>
      <w:r>
        <w:t xml:space="preserve">State inventory</w:t>
      </w:r>
    </w:p>
    <w:p>
      <w:pPr>
        <w:pStyle w:val="FirstParagraph"/>
      </w:pPr>
      <w:hyperlink w:anchor="tab:state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enumerates the 28 states. Tasks are numbered</w:t>
      </w:r>
      <w:r>
        <w:t xml:space="preserve"> </w:t>
      </w:r>
      <w:r>
        <w:t xml:space="preserve">sequentially; gateways and events are marked in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column.</w:t>
      </w:r>
    </w:p>
    <w:bookmarkStart w:id="77" w:name="tab:states"/>
    <w:p>
      <w:pPr>
        <w:pStyle w:val="TableCaption"/>
      </w:pPr>
      <w:r>
        <w:t xml:space="preserve">States in</w:t>
      </w:r>
      <w:r>
        <w:t xml:space="preserve"> </w:t>
      </w:r>
      <w:r>
        <w:rPr>
          <w:rStyle w:val="VerbatimChar"/>
        </w:rPr>
        <w:t xml:space="preserve">tb-review-glo</w:t>
      </w:r>
      <w:r>
        <w:t xml:space="preserve"> </w:t>
      </w:r>
      <w:r>
        <w:t xml:space="preserve">(28 in total).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es in tb-review-glo (28 in total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Schedule Work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ROLL_FORWARD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Forward Prior Month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DOWNLOAD_PSGL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PSGL Master Account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UPDATE_ACCOUNTS_MASTER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Accounts Master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Parameters and Comparatives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EXTRACT_TB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M-3..M+5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Trial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UPDATE_TB_DETAILS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TB Details (EUC-002)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FILTER_VARIANCES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Variances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CHECK_MATERIAL_VARIANCES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gw-excl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variance? (DP-001)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SEEK_COMMENTARIES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Commentaries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RECEIVE_COMMENTARIES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Commentaries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Commentaries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UPDATE_VARIANCE_COMMENTARIES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 Commentaries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IS_JOURNAL_POSTED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gw-excl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posted? (DP-002)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SEND_JOURNAL_REQUEST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Posting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CHECK_FURTHER_INVESTIGATION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gw-excl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Investigate? (DP-003)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CHECK_ENTRIES_STATUS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with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gw-excl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M+4 received? (DP-004)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and Risk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CHECK_UNEXPLAINED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gw-excl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Unexplained? (DP-005)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CATEGORIZE_UNEXPLAINED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Categorise Unexplained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M-2..M+5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SEND_INTERNAL_REVIEW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for Internal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REVIEW_INCORPORATE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(EUC-003)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SEND_FORTM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FORTM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Review Completed</w:t>
            </w:r>
          </w:p>
        </w:tc>
      </w:tr>
    </w:tbl>
    <w:bookmarkEnd w:id="77"/>
    <w:bookmarkEnd w:id="78"/>
    <w:bookmarkStart w:id="80" w:name="preparation-phase-m-3"/>
    <w:p>
      <w:pPr>
        <w:pStyle w:val="Heading2"/>
      </w:pPr>
      <w:r>
        <w:t xml:space="preserve">Preparation phase (M-3)</w:t>
      </w:r>
    </w:p>
    <w:p>
      <w:pPr>
        <w:pStyle w:val="FirstParagraph"/>
      </w:pPr>
      <w:hyperlink w:anchor="fig:prep-phase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shows states 1–6. Execution is strictly</w:t>
      </w:r>
      <w:r>
        <w:t xml:space="preserve"> </w:t>
      </w:r>
      <w:r>
        <w:t xml:space="preserve">sequential; every state has exactly one outgoing transition.</w:t>
      </w:r>
    </w:p>
    <w:bookmarkStart w:id="79" w:name="fig:prep-phas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Preparation phase (states 1–6). EUC-001 governs the PSGL</w:t>
      </w:r>
      <w:r>
        <w:t xml:space="preserve"> </w:t>
      </w:r>
      <w:r>
        <w:t xml:space="preserve">download and TB extraction steps.</w:t>
      </w:r>
    </w:p>
    <w:bookmarkEnd w:id="79"/>
    <w:bookmarkEnd w:id="80"/>
    <w:bookmarkStart w:id="82" w:name="analysis-phase-m-2-to-m5"/>
    <w:p>
      <w:pPr>
        <w:pStyle w:val="Heading2"/>
      </w:pPr>
      <w:r>
        <w:t xml:space="preserve">Analysis phase (M-2 to M+5)</w:t>
      </w:r>
    </w:p>
    <w:p>
      <w:pPr>
        <w:pStyle w:val="FirstParagraph"/>
      </w:pPr>
      <w:r>
        <w:t xml:space="preserve">The analysis phase is the control-rich core of the process. It holds</w:t>
      </w:r>
      <w:r>
        <w:t xml:space="preserve"> </w:t>
      </w:r>
      <w:r>
        <w:t xml:space="preserve">all five gateways, all commentary handling, and the journal-posting</w:t>
      </w:r>
      <w:r>
        <w:t xml:space="preserve"> </w:t>
      </w:r>
      <w:r>
        <w:t xml:space="preserve">cycle.</w:t>
      </w:r>
      <w:r>
        <w:t xml:space="preserve"> </w:t>
      </w:r>
      <w:hyperlink w:anchor="fig:analysis-phase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shows states 7–24.</w:t>
      </w:r>
    </w:p>
    <w:bookmarkStart w:id="81" w:name="fig:analysis-phas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Analysis phase. Gateways DP-001..DP-005 are diamond nodes;</w:t>
      </w:r>
      <w:r>
        <w:t xml:space="preserve"> </w:t>
      </w:r>
      <w:r>
        <w:t xml:space="preserve">commentary loop sits to the right of DP-001; journal-posting loop sits</w:t>
      </w:r>
      <w:r>
        <w:t xml:space="preserve"> </w:t>
      </w:r>
      <w:r>
        <w:t xml:space="preserve">below DP-002. Not all transitions are drawn; see the full JSON for</w:t>
      </w:r>
      <w:r>
        <w:t xml:space="preserve"> </w:t>
      </w:r>
      <w:r>
        <w:t xml:space="preserve">completeness.</w:t>
      </w:r>
    </w:p>
    <w:bookmarkEnd w:id="81"/>
    <w:bookmarkEnd w:id="82"/>
    <w:bookmarkStart w:id="84" w:name="review-phase-m5"/>
    <w:p>
      <w:pPr>
        <w:pStyle w:val="Heading2"/>
      </w:pPr>
      <w:r>
        <w:t xml:space="preserve">Review phase (M+5)</w:t>
      </w:r>
    </w:p>
    <w:bookmarkStart w:id="83" w:name="fig:review-phas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Review phase: senior sign-off (EUC-003) gates the FORTM</w:t>
      </w:r>
      <w:r>
        <w:t xml:space="preserve"> </w:t>
      </w:r>
      <w:r>
        <w:t xml:space="preserve">submission.</w:t>
      </w:r>
    </w:p>
    <w:bookmarkEnd w:id="83"/>
    <w:bookmarkEnd w:id="84"/>
    <w:bookmarkStart w:id="86" w:name="approval-matrix"/>
    <w:p>
      <w:pPr>
        <w:pStyle w:val="Heading2"/>
      </w:pPr>
      <w:r>
        <w:t xml:space="preserve">Approval matrix</w:t>
      </w:r>
    </w:p>
    <w:bookmarkStart w:id="85" w:name="tab:approval"/>
    <w:p>
      <w:pPr>
        <w:pStyle w:val="TableCaption"/>
      </w:pPr>
      <w:r>
        <w:t xml:space="preserve">Approval and review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roval and review responsibilit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UPDATE_TB_DETAILS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UPDATE_COMMENTARIES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accept/edit/reject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REVIEW_INCORPORATE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Africa GFS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SEND_FORTM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Africa GFS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to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5"/>
    <w:bookmarkEnd w:id="86"/>
    <w:bookmarkStart w:id="88" w:name="data-objects"/>
    <w:p>
      <w:pPr>
        <w:pStyle w:val="Heading2"/>
      </w:pPr>
      <w:r>
        <w:t xml:space="preserve">Data objects</w:t>
      </w:r>
    </w:p>
    <w:p>
      <w:pPr>
        <w:pStyle w:val="FirstParagraph"/>
      </w:pPr>
      <w:r>
        <w:t xml:space="preserve">The five data objects declared on the workflow are listed in</w:t>
      </w:r>
      <w:r>
        <w:t xml:space="preserve"> </w:t>
      </w:r>
      <w:hyperlink w:anchor="tab:dataobjects">
        <w:r>
          <w:rPr>
            <w:rStyle w:val="Hyperlink"/>
          </w:rPr>
          <w:t xml:space="preserve">5.3</w:t>
        </w:r>
      </w:hyperlink>
      <w:r>
        <w:t xml:space="preserve">.</w:t>
      </w:r>
    </w:p>
    <w:bookmarkStart w:id="87" w:name="tab:dataobjects"/>
    <w:p>
      <w:pPr>
        <w:pStyle w:val="TableCaption"/>
      </w:pPr>
      <w:r>
        <w:t xml:space="preserve">Workflow data objects.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orkflow data objec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Analysis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working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PSGL Master Account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FORTM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Group-level reporting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EUC-003</w:t>
            </w:r>
          </w:p>
        </w:tc>
      </w:tr>
    </w:tbl>
    <w:bookmarkEnd w:id="87"/>
    <w:bookmarkEnd w:id="88"/>
    <w:bookmarkStart w:id="89" w:name="exception-paths"/>
    <w:p>
      <w:pPr>
        <w:pStyle w:val="Heading2"/>
      </w:pPr>
      <w:r>
        <w:t xml:space="preserve">Exception paths</w:t>
      </w:r>
    </w:p>
    <w:p>
      <w:pPr>
        <w:pStyle w:val="FirstParagraph"/>
      </w:pPr>
      <w:r>
        <w:t xml:space="preserve">The workflow diagram encodes the happy path and the four</w:t>
      </w:r>
      <w:r>
        <w:t xml:space="preserve"> </w:t>
      </w:r>
      <w:r>
        <w:t xml:space="preserve">gateway-driven loops. Two operational exceptions are not drawn but</w:t>
      </w:r>
      <w:r>
        <w:t xml:space="preserve"> </w:t>
      </w:r>
      <w:r>
        <w:t xml:space="preserve">are handled by the engine: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SC Bridge failure.</w:t>
      </w:r>
      <w:r>
        <w:t xml:space="preserve"> </w:t>
      </w:r>
      <w:r>
        <w:t xml:space="preserve">If</w:t>
      </w:r>
      <w:r>
        <w:t xml:space="preserve"> </w:t>
      </w:r>
      <w:r>
        <w:rPr>
          <w:smallCaps/>
        </w:rPr>
        <w:t xml:space="preserve">extract_tb</w:t>
      </w:r>
      <w:r>
        <w:t xml:space="preserve"> </w:t>
      </w:r>
      <w:r>
        <w:t xml:space="preserve">cannot</w:t>
      </w:r>
      <w:r>
        <w:t xml:space="preserve"> </w:t>
      </w:r>
      <w:r>
        <w:t xml:space="preserve">read from the bridge, the state is parked and a human</w:t>
      </w:r>
      <w:r>
        <w:t xml:space="preserve"> </w:t>
      </w:r>
      <w:r>
        <w:t xml:space="preserve">notification is emitted. Re-entry resumes from</w:t>
      </w:r>
      <w:r>
        <w:t xml:space="preserve"> </w:t>
      </w:r>
      <w:r>
        <w:rPr>
          <w:smallCaps/>
        </w:rPr>
        <w:t xml:space="preserve">extract_tb</w:t>
      </w:r>
      <w:r>
        <w:t xml:space="preserve">; earlier states are not replayed.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Late FORTM change.</w:t>
      </w:r>
      <w:r>
        <w:t xml:space="preserve"> </w:t>
      </w:r>
      <w:r>
        <w:t xml:space="preserve">If Group requests a revision after</w:t>
      </w:r>
      <w:r>
        <w:t xml:space="preserve"> </w:t>
      </w:r>
      <w:r>
        <w:rPr>
          <w:smallCaps/>
        </w:rPr>
        <w:t xml:space="preserve">end</w:t>
      </w:r>
      <w:r>
        <w:t xml:space="preserve">, a new run is created with a suffix</w:t>
      </w:r>
      <w:r>
        <w:t xml:space="preserve"> </w:t>
      </w:r>
      <w:r>
        <w:rPr>
          <w:rStyle w:val="VerbatimChar"/>
        </w:rPr>
        <w:t xml:space="preserve">-revN</w:t>
      </w:r>
      <w:r>
        <w:t xml:space="preserve">; evidence for the original run is retained.</w:t>
      </w:r>
    </w:p>
    <w:bookmarkEnd w:id="89"/>
    <w:bookmarkEnd w:id="90"/>
    <w:bookmarkStart w:id="103" w:name="ch:controls"/>
    <w:p>
      <w:pPr>
        <w:pStyle w:val="Heading1"/>
      </w:pPr>
      <w:r>
        <w:t xml:space="preserve">Controls, Testing, and Acceptance</w:t>
      </w:r>
    </w:p>
    <w:bookmarkStart w:id="92" w:name="control-enforcement-map"/>
    <w:p>
      <w:pPr>
        <w:pStyle w:val="Heading2"/>
      </w:pPr>
      <w:r>
        <w:t xml:space="preserve">Control enforcement map</w:t>
      </w:r>
    </w:p>
    <w:p>
      <w:pPr>
        <w:pStyle w:val="FirstParagraph"/>
      </w:pPr>
      <w:hyperlink w:anchor="fig:controls-map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binds each EUC control to the workflow states</w:t>
      </w:r>
      <w:r>
        <w:t xml:space="preserve"> </w:t>
      </w:r>
      <w:r>
        <w:t xml:space="preserve">it governs. The binding is authoritative: the</w:t>
      </w:r>
      <w:r>
        <w:t xml:space="preserve"> </w:t>
      </w:r>
      <w:r>
        <w:rPr>
          <w:rStyle w:val="VerbatimChar"/>
        </w:rPr>
        <w:t xml:space="preserve">relatedStates</w:t>
      </w:r>
      <w:r>
        <w:t xml:space="preserve"> </w:t>
      </w:r>
      <w:r>
        <w:t xml:space="preserve">array of each control record is the source of</w:t>
      </w:r>
      <w:r>
        <w:t xml:space="preserve"> </w:t>
      </w:r>
      <w:r>
        <w:t xml:space="preserve">truth.</w:t>
      </w:r>
    </w:p>
    <w:bookmarkStart w:id="91" w:name="fig:controls-map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Control-to-state binding. Dashed lines denote the</w:t>
      </w:r>
      <w:r>
        <w:t xml:space="preserve"> </w:t>
      </w:r>
      <w:r>
        <w:rPr>
          <w:rStyle w:val="VerbatimChar"/>
        </w:rPr>
        <w:t xml:space="preserve">relatedStates</w:t>
      </w:r>
      <w:r>
        <w:t xml:space="preserve"> </w:t>
      </w:r>
      <w:r>
        <w:t xml:space="preserve">relation.</w:t>
      </w:r>
    </w:p>
    <w:bookmarkEnd w:id="91"/>
    <w:bookmarkEnd w:id="92"/>
    <w:bookmarkStart w:id="94" w:name="risk-register"/>
    <w:p>
      <w:pPr>
        <w:pStyle w:val="Heading2"/>
      </w:pPr>
      <w:r>
        <w:t xml:space="preserve">Risk register</w:t>
      </w:r>
    </w:p>
    <w:p>
      <w:pPr>
        <w:pStyle w:val="FirstParagraph"/>
      </w:pPr>
      <w:hyperlink w:anchor="tab:risks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lists the four control risks enumerated in</w:t>
      </w:r>
      <w:r>
        <w:t xml:space="preserve"> </w:t>
      </w:r>
      <w:r>
        <w:t xml:space="preserve">and</w:t>
      </w:r>
      <w:r>
        <w:t xml:space="preserve"> </w:t>
      </w:r>
      <w:r>
        <w:t xml:space="preserve">the two business-case risks in</w:t>
      </w:r>
      <w:r>
        <w:t xml:space="preserve"> </w:t>
      </w:r>
      <w:r>
        <w:t xml:space="preserve">.</w:t>
      </w:r>
    </w:p>
    <w:bookmarkStart w:id="93" w:name="tab:risks"/>
    <w:p>
      <w:pPr>
        <w:pStyle w:val="TableCaption"/>
      </w:pPr>
      <w:r>
        <w:t xml:space="preserve">Risks and mitigations.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s and mitiga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extraction, EUC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EUCs 001/002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automated 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commentary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M+4 chasing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Auto-drafts remove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analysis under time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20–25 FTEs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anomaly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scalable to daily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for daily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TB-RISK-001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PSGL-only coverage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PSGL adapters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S/4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TB-RISK-002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integration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assessment</w:t>
            </w:r>
          </w:p>
        </w:tc>
      </w:tr>
    </w:tbl>
    <w:bookmarkEnd w:id="93"/>
    <w:bookmarkEnd w:id="94"/>
    <w:bookmarkStart w:id="96" w:name="test-strategy"/>
    <w:p>
      <w:pPr>
        <w:pStyle w:val="Heading2"/>
      </w:pPr>
      <w:r>
        <w:t xml:space="preserve">Test strategy</w:t>
      </w:r>
    </w:p>
    <w:p>
      <w:pPr>
        <w:pStyle w:val="FirstParagraph"/>
      </w:pPr>
      <w:r>
        <w:t xml:space="preserve">Testing is layered; each layer has a named artefact.</w:t>
      </w:r>
    </w:p>
    <w:p>
      <w:pPr>
        <w:pStyle w:val="DefinitionTerm"/>
      </w:pPr>
      <w:r>
        <w:t xml:space="preserve">Schema tests.</w:t>
      </w:r>
    </w:p>
    <w:p>
      <w:pPr>
        <w:pStyle w:val="Definition"/>
      </w:pPr>
      <w:r>
        <w:rPr>
          <w:rStyle w:val="VerbatimChar"/>
        </w:rPr>
        <w:t xml:space="preserve">structured/validate.py</w:t>
      </w:r>
      <w:r>
        <w:t xml:space="preserve"> </w:t>
      </w:r>
      <w:r>
        <w:t xml:space="preserve">runs</w:t>
      </w:r>
      <w:r>
        <w:t xml:space="preserve"> </w:t>
      </w:r>
      <w:r>
        <w:t xml:space="preserve">over every record on CI. Exit code non-zero on validation</w:t>
      </w:r>
      <w:r>
        <w:t xml:space="preserve"> </w:t>
      </w:r>
      <w:r>
        <w:t xml:space="preserve">failure; the script also verifies that every</w:t>
      </w:r>
      <w:r>
        <w:t xml:space="preserve"> </w:t>
      </w:r>
      <w:r>
        <w:rPr>
          <w:rStyle w:val="VerbatimChar"/>
        </w:rPr>
        <w:t xml:space="preserve">source_path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text_path</w:t>
      </w:r>
      <w:r>
        <w:t xml:space="preserve"> </w:t>
      </w:r>
      <w:r>
        <w:t xml:space="preserve">in resolves.</w:t>
      </w:r>
    </w:p>
    <w:p>
      <w:pPr>
        <w:pStyle w:val="DefinitionTerm"/>
      </w:pPr>
      <w:r>
        <w:t xml:space="preserve">Rule tests.</w:t>
      </w:r>
    </w:p>
    <w:p>
      <w:pPr>
        <w:pStyle w:val="Definition"/>
      </w:pPr>
      <w:r>
        <w:t xml:space="preserve">A fixture set lives at</w:t>
      </w:r>
      <w:r>
        <w:t xml:space="preserve"> </w:t>
      </w:r>
      <w:r>
        <w:rPr>
          <w:rStyle w:val="VerbatimChar"/>
        </w:rPr>
        <w:t xml:space="preserve">machine-readable/training-data/</w:t>
      </w:r>
      <w:r>
        <w:t xml:space="preserve"> </w:t>
      </w:r>
      <w:r>
        <w:t xml:space="preserve">(two CSVs are</w:t>
      </w:r>
      <w:r>
        <w:t xml:space="preserve"> </w:t>
      </w:r>
      <w:r>
        <w:t xml:space="preserve">checked in as the HK golden sample). Every rule in</w:t>
      </w:r>
      <w:r>
        <w:t xml:space="preserve"> 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exercised against at least one</w:t>
      </w:r>
      <w:r>
        <w:t xml:space="preserve"> </w:t>
      </w:r>
      <w:r>
        <w:t xml:space="preserve">positive and one negative fixture row; the expected branch is</w:t>
      </w:r>
      <w:r>
        <w:t xml:space="preserve"> </w:t>
      </w:r>
      <w:r>
        <w:t xml:space="preserve">asserted.</w:t>
      </w:r>
    </w:p>
    <w:p>
      <w:pPr>
        <w:pStyle w:val="DefinitionTerm"/>
      </w:pPr>
      <w:r>
        <w:t xml:space="preserve">Workflow tests.</w:t>
      </w:r>
    </w:p>
    <w:p>
      <w:pPr>
        <w:pStyle w:val="Definition"/>
      </w:pPr>
      <w:r>
        <w:t xml:space="preserve">The state machine is walked dry in CI: every</w:t>
      </w:r>
      <w:r>
        <w:t xml:space="preserve"> </w:t>
      </w:r>
      <w:r>
        <w:t xml:space="preserve">transition in must reach</w:t>
      </w:r>
      <w:r>
        <w:t xml:space="preserve"> </w:t>
      </w:r>
      <w:r>
        <w:rPr>
          <w:smallCaps/>
        </w:rPr>
        <w:t xml:space="preserve">end</w:t>
      </w:r>
      <w:r>
        <w:t xml:space="preserve"> </w:t>
      </w:r>
      <w:r>
        <w:t xml:space="preserve">in at least one simulated path.</w:t>
      </w:r>
    </w:p>
    <w:p>
      <w:pPr>
        <w:pStyle w:val="DefinitionTerm"/>
      </w:pPr>
      <w:r>
        <w:t xml:space="preserve">Commentary quality tests.</w:t>
      </w:r>
    </w:p>
    <w:p>
      <w:pPr>
        <w:pStyle w:val="Definition"/>
      </w:pPr>
      <w:r>
        <w:t xml:space="preserve">The accept-without-edit rate</w:t>
      </w:r>
      <w:r>
        <w:t xml:space="preserve"> </w:t>
      </w:r>
      <w:r>
        <w:t xml:space="preserve">(</w:t>
      </w:r>
      <w:hyperlink w:anchor="ch:ai">
        <w:r>
          <w:rPr>
            <w:rStyle w:val="Hyperlink"/>
          </w:rPr>
          <w:t xml:space="preserve">3</w:t>
        </w:r>
      </w:hyperlink>
      <w:r>
        <w:t xml:space="preserve">) is tracked as a monthly KPI. Drops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 pp</w:t>
      </w:r>
      <w:r>
        <w:t xml:space="preserve"> </w:t>
      </w:r>
      <w:r>
        <w:t xml:space="preserve">month-on-month raise a governance ticket.</w:t>
      </w:r>
    </w:p>
    <w:p>
      <w:pPr>
        <w:pStyle w:val="DefinitionTerm"/>
      </w:pPr>
      <w:r>
        <w:t xml:space="preserve">EUC evidencing.</w:t>
      </w:r>
    </w:p>
    <w:p>
      <w:pPr>
        <w:pStyle w:val="Definition"/>
      </w:pPr>
      <w:bookmarkStart w:id="95" w:name="sec:controls-eucs"/>
      <w:bookmarkEnd w:id="95"/>
      <w:r>
        <w:t xml:space="preserve"> </w:t>
      </w:r>
      <w:r>
        <w:rPr>
          <w:i/>
          <w:iCs/>
        </w:rPr>
        <w:t xml:space="preserve">Superseded by the EUC retirement plan</w:t>
      </w:r>
      <w:r>
        <w:t xml:space="preserve"> </w:t>
      </w:r>
      <w:r>
        <w:t xml:space="preserve">(</w:t>
      </w:r>
      <w:hyperlink w:anchor="sec:euc-retirement-plan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Chapter </w:t>
      </w:r>
      <w:hyperlink w:anchor="ch:overview">
        <w:r>
          <w:rPr>
            <w:rStyle w:val="Hyperlink"/>
          </w:rPr>
          <w:t xml:space="preserve">1</w:t>
        </w:r>
      </w:hyperlink>
      <w:r>
        <w:t xml:space="preserve">). From v1.0 go-live onwards, the</w:t>
      </w:r>
      <w:r>
        <w:t xml:space="preserve"> </w:t>
      </w:r>
      <w:r>
        <w:t xml:space="preserve">dashboard audit trail</w:t>
      </w:r>
      <w:r>
        <w:t xml:space="preserve"> </w:t>
      </w:r>
      <w:r>
        <w:t xml:space="preserve">(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sec:dashboard-audit-trail">
        <w:r>
          <w:rPr>
            <w:rStyle w:val="Hyperlink"/>
          </w:rPr>
          <w:t xml:space="preserve">8.5</w:t>
        </w:r>
      </w:hyperlink>
      <w:r>
        <w:t xml:space="preserve">) is the</w:t>
      </w:r>
      <w:r>
        <w:t xml:space="preserve"> </w:t>
      </w:r>
      <w:r>
        <w:t xml:space="preserve">authoritative evidence for ACG sampling. During the 12-month</w:t>
      </w:r>
      <w:r>
        <w:t xml:space="preserve"> </w:t>
      </w:r>
      <w:r>
        <w:t xml:space="preserve">deprecation window, the Shared Drive mirror of the dashboard</w:t>
      </w:r>
      <w:r>
        <w:t xml:space="preserve"> </w:t>
      </w:r>
      <w:r>
        <w:t xml:space="preserve">export is retained read-only; ACG samplers may consume either</w:t>
      </w:r>
      <w:r>
        <w:t xml:space="preserve"> </w:t>
      </w:r>
      <w:r>
        <w:t xml:space="preserve">source during that window, but the dashboard audit trail is</w:t>
      </w:r>
      <w:r>
        <w:t xml:space="preserve"> </w:t>
      </w:r>
      <w:r>
        <w:t xml:space="preserve">normative if the two diverge. The historical text of this</w:t>
      </w:r>
      <w:r>
        <w:t xml:space="preserve"> </w:t>
      </w:r>
      <w:r>
        <w:t xml:space="preserve">paragraph (</w:t>
      </w:r>
      <w:r>
        <w:t xml:space="preserve">“For each of</w:t>
      </w:r>
      <w:r>
        <w:t xml:space="preserve"> </w:t>
      </w:r>
      <w:r>
        <w:rPr>
          <w:rStyle w:val="VerbatimChar"/>
        </w:rPr>
        <w:t xml:space="preserve">EUC-001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EUC-002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EUC-003</w:t>
      </w:r>
      <w:r>
        <w:t xml:space="preserve">, the evidence folder on Shared Drive must</w:t>
      </w:r>
      <w:r>
        <w:t xml:space="preserve"> </w:t>
      </w:r>
      <w:r>
        <w:t xml:space="preserve">contain the rule-firing log and the reviewer signature”</w:t>
      </w:r>
      <w:r>
        <w:t xml:space="preserve">)</w:t>
      </w:r>
      <w:r>
        <w:t xml:space="preserve"> </w:t>
      </w:r>
      <w:r>
        <w:t xml:space="preserve">applied to pre-v1.0 cycles only.</w:t>
      </w:r>
    </w:p>
    <w:bookmarkEnd w:id="96"/>
    <w:bookmarkStart w:id="97" w:name="acceptance-criteria"/>
    <w:p>
      <w:pPr>
        <w:pStyle w:val="Heading2"/>
      </w:pPr>
      <w:r>
        <w:t xml:space="preserve">Acceptance criteria</w:t>
      </w:r>
    </w:p>
    <w:p>
      <w:pPr>
        <w:numPr>
          <w:ilvl w:val="0"/>
          <w:numId w:val="1008"/>
        </w:numPr>
      </w:pPr>
      <w:r>
        <w:t xml:space="preserve">All 13 structured records validate against their schemas</w:t>
      </w:r>
      <w:r>
        <w:t xml:space="preserve"> </w:t>
      </w:r>
      <w:r>
        <w:t xml:space="preserve">(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lst:validate">
        <w:r>
          <w:rPr>
            <w:rStyle w:val="Hyperlink"/>
          </w:rPr>
          <w:t xml:space="preserve">[lst:validate]</w:t>
        </w:r>
      </w:hyperlink>
      <w:r>
        <w:t xml:space="preserve">).</w:t>
      </w:r>
    </w:p>
    <w:p>
      <w:pPr>
        <w:numPr>
          <w:ilvl w:val="0"/>
          <w:numId w:val="1008"/>
        </w:numPr>
      </w:pPr>
      <w:r>
        <w:t xml:space="preserve">The HK golden workbook produces a draft FORTM section that</w:t>
      </w:r>
      <w:r>
        <w:t xml:space="preserve"> </w:t>
      </w:r>
      <w:r>
        <w:t xml:space="preserve">the Head of Africa GFS accepts with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20% of the</w:t>
      </w:r>
      <w:r>
        <w:t xml:space="preserve"> </w:t>
      </w:r>
      <w:r>
        <w:t xml:space="preserve">material-variance commentaries edited.</w:t>
      </w:r>
    </w:p>
    <w:p>
      <w:pPr>
        <w:numPr>
          <w:ilvl w:val="0"/>
          <w:numId w:val="1008"/>
        </w:numPr>
      </w:pPr>
      <w:r>
        <w:t xml:space="preserve">The cycle time from</w:t>
      </w:r>
      <w:r>
        <w:t xml:space="preserve"> </w:t>
      </w:r>
      <w:r>
        <w:rPr>
          <w:smallCaps/>
        </w:rPr>
        <w:t xml:space="preserve">extract_tb</w:t>
      </w:r>
      <w:r>
        <w:t xml:space="preserve"> </w:t>
      </w:r>
      <w:r>
        <w:t xml:space="preserve">to</w:t>
      </w:r>
      <w:r>
        <w:t xml:space="preserve"> </w:t>
      </w:r>
      <w:r>
        <w:rPr>
          <w:smallCaps/>
        </w:rPr>
        <w:t xml:space="preserve">send_fortm</w:t>
      </w:r>
      <w:r>
        <w:t xml:space="preserve"> </w:t>
      </w:r>
      <w:r>
        <w:t xml:space="preserve">on the HK workbook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5 working</w:t>
      </w:r>
      <w:r>
        <w:t xml:space="preserve"> </w:t>
      </w:r>
      <w:r>
        <w:t xml:space="preserve">days (parity with today, a precondition for extending to daily</w:t>
      </w:r>
      <w:r>
        <w:t xml:space="preserve"> </w:t>
      </w:r>
      <w:r>
        <w:t xml:space="preserve">cadence).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TB-KPI-005</w:t>
      </w:r>
      <w:r>
        <w:t xml:space="preserve"> </w:t>
      </w:r>
      <w:r>
        <w:t xml:space="preserve">(unexplained variance rate) is zero at</w:t>
      </w:r>
      <w:r>
        <w:t xml:space="preserve"> </w:t>
      </w:r>
      <w:r>
        <w:rPr>
          <w:smallCaps/>
        </w:rPr>
        <w:t xml:space="preserve">send_fortm</w:t>
      </w:r>
      <w:r>
        <w:t xml:space="preserve"> </w:t>
      </w:r>
      <w:r>
        <w:t xml:space="preserve">for the HK golden run.</w:t>
      </w:r>
    </w:p>
    <w:p>
      <w:pPr>
        <w:numPr>
          <w:ilvl w:val="0"/>
          <w:numId w:val="1008"/>
        </w:numPr>
      </w:pPr>
      <w:r>
        <w:t xml:space="preserve">ACG evidence for all three EUCs is reproducible by the rule</w:t>
      </w:r>
      <w:r>
        <w:t xml:space="preserve"> </w:t>
      </w:r>
      <w:r>
        <w:t xml:space="preserve">log alone, without access to the underlying Excel workbook.</w:t>
      </w:r>
    </w:p>
    <w:bookmarkEnd w:id="97"/>
    <w:bookmarkStart w:id="99" w:name="deployment-and-rollback"/>
    <w:p>
      <w:pPr>
        <w:pStyle w:val="Heading2"/>
      </w:pPr>
      <w:r>
        <w:t xml:space="preserve">Deployment and rollback</w:t>
      </w:r>
    </w:p>
    <w:p>
      <w:pPr>
        <w:pStyle w:val="FirstParagraph"/>
      </w:pPr>
      <w:hyperlink w:anchor="tab:deployment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specifies the sign-off matrix and rollback</w:t>
      </w:r>
      <w:r>
        <w:t xml:space="preserve"> </w:t>
      </w:r>
      <w:r>
        <w:t xml:space="preserve">behaviour for each environment.</w:t>
      </w:r>
    </w:p>
    <w:bookmarkStart w:id="98" w:name="tab:deployment"/>
    <w:p>
      <w:pPr>
        <w:pStyle w:val="TableCaption"/>
      </w:pPr>
      <w:r>
        <w:t xml:space="preserve">Deployment sign-off and rollback.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ployment sign-off and rollback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force-push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green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 workbook reproduces on each 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Africa GFS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ruleset runs parallel to manual for one close cycle before switchover.</w:t>
            </w:r>
          </w:p>
        </w:tc>
      </w:tr>
    </w:tbl>
    <w:bookmarkEnd w:id="98"/>
    <w:bookmarkEnd w:id="99"/>
    <w:bookmarkStart w:id="100" w:name="training-and-change-management"/>
    <w:p>
      <w:pPr>
        <w:pStyle w:val="Heading2"/>
      </w:pPr>
      <w:r>
        <w:t xml:space="preserve">Training and change management</w:t>
      </w:r>
    </w:p>
    <w:p>
      <w:pPr>
        <w:pStyle w:val="FirstParagraph"/>
      </w:pPr>
      <w:r>
        <w:t xml:space="preserve">The 20–25 FTEs currently executing the process are trained as</w:t>
      </w:r>
      <w:r>
        <w:t xml:space="preserve"> </w:t>
      </w:r>
      <w:r>
        <w:t xml:space="preserve">exception handlers and rule reviewers. The operating model shifts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analyst produces commentary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analyst accepts,</w:t>
      </w:r>
      <w:r>
        <w:rPr>
          <w:i/>
          <w:iCs/>
        </w:rPr>
        <w:t xml:space="preserve"> </w:t>
      </w:r>
      <w:r>
        <w:rPr>
          <w:i/>
          <w:iCs/>
        </w:rPr>
        <w:t xml:space="preserve">edits, or rejects a draft</w:t>
      </w:r>
      <w:r>
        <w:t xml:space="preserve">. Accept/edit telemetry is used to retrain</w:t>
      </w:r>
      <w:r>
        <w:t xml:space="preserve"> </w:t>
      </w:r>
      <w:r>
        <w:t xml:space="preserve">the draft-generation prompts once per quarter.</w:t>
      </w:r>
    </w:p>
    <w:bookmarkEnd w:id="100"/>
    <w:bookmarkStart w:id="102" w:name="traceability-matrix"/>
    <w:p>
      <w:pPr>
        <w:pStyle w:val="Heading2"/>
      </w:pPr>
      <w:r>
        <w:t xml:space="preserve">Traceability matrix</w:t>
      </w:r>
    </w:p>
    <w:p>
      <w:pPr>
        <w:pStyle w:val="FirstParagraph"/>
      </w:pPr>
      <w:hyperlink w:anchor="tab:traceability">
        <w:r>
          <w:rPr>
            <w:rStyle w:val="Hyperlink"/>
          </w:rPr>
          <w:t xml:space="preserve">6.3</w:t>
        </w:r>
      </w:hyperlink>
      <w:r>
        <w:t xml:space="preserve"> </w:t>
      </w:r>
      <w:r>
        <w:t xml:space="preserve">links every numbered process step from</w:t>
      </w:r>
      <w:r>
        <w:t xml:space="preserve"> </w:t>
      </w:r>
      <w:r>
        <w:rPr>
          <w:rStyle w:val="VerbatimChar"/>
        </w:rPr>
        <w:t xml:space="preserve">TB-REQ-001</w:t>
      </w:r>
      <w:r>
        <w:t xml:space="preserve"> </w:t>
      </w:r>
      <w:r>
        <w:t xml:space="preserve">to the workflow states and controls that realise</w:t>
      </w:r>
      <w:r>
        <w:t xml:space="preserve"> </w:t>
      </w:r>
      <w:r>
        <w:t xml:space="preserve">it.</w:t>
      </w:r>
    </w:p>
    <w:bookmarkStart w:id="101" w:name="tab:traceability"/>
    <w:p>
      <w:pPr>
        <w:pStyle w:val="TableCaption"/>
      </w:pPr>
      <w:r>
        <w:t xml:space="preserve">Process step traceability.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cess step traceabilit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Forward Prior Month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ROLL_FORWARD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PSGL, update master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DOWNLOAD_PSGL, UPDATE_ACCOUNTS_MASTER, UPDATE_PARAMETERS (EUC-001)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EXTRACT_TB (EUC-001)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filter variances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UPDATE_TB_DETAILS, CALCULATE_VARIANCE, FILTER_VARIANCES, DP-001 (EUC-002)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and update 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SEEK_COMMENTARIES through UPDATE_VARIANCE_COMMENTARIES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posting and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DP-002, SEND_JOURNAL_REQUEST, DP-003, CHECK_ENTRIES_STATUS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entries and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DP-004, TRACK_ENTRIES, UPDATE_RISK, DP-005, CATEGORIZE_UNEXPLAINED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TB-STEP-008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summary and internal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PREPARE_SUMMARY through SEND_FORTM (EUC-003)</w:t>
            </w:r>
          </w:p>
        </w:tc>
      </w:tr>
    </w:tbl>
    <w:bookmarkEnd w:id="101"/>
    <w:bookmarkEnd w:id="102"/>
    <w:bookmarkEnd w:id="103"/>
    <w:bookmarkStart w:id="111" w:name="ch: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This appendix lists every file that backs a normative statement in the</w:t>
      </w:r>
      <w:r>
        <w:t xml:space="preserve"> </w:t>
      </w:r>
      <w:r>
        <w:t xml:space="preserve">specification. Paths are relative to the repository root. SHA-256</w:t>
      </w:r>
      <w:r>
        <w:t xml:space="preserve"> </w:t>
      </w:r>
      <w:r>
        <w:t xml:space="preserve">hashes are taken from</w:t>
      </w:r>
      <w:r>
        <w:t xml:space="preserve"> </w:t>
      </w:r>
      <w:r>
        <w:rPr>
          <w:rStyle w:val="VerbatimChar"/>
        </w:rPr>
        <w:t xml:space="preserve">structured/corpus.json</w:t>
      </w:r>
      <w:r>
        <w:t xml:space="preserve"> </w:t>
      </w:r>
      <w:r>
        <w:t xml:space="preserve">and are</w:t>
      </w:r>
      <w:r>
        <w:t xml:space="preserve"> </w:t>
      </w:r>
      <w:r>
        <w:t xml:space="preserve">the ground truth for the provenance check of</w:t>
      </w:r>
      <w:r>
        <w:t xml:space="preserve"> 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104" w:name="source-documents"/>
    <w:p>
      <w:pPr>
        <w:pStyle w:val="Heading2"/>
      </w:pPr>
      <w:r>
        <w:t xml:space="preserve">Source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(prefix)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(prefix)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 GLO control narrative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71a4524b9ec7…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 Business Case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32744df8ea13…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BSS RA Business Case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dab433cecf59…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for TB Process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b9d52d365b6b…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HKG TB Workbook (Nov’25)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69f5da1f4c71…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HKG PL Workbook (Nov’25)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47716e8c107b…</w:t>
            </w:r>
          </w:p>
        </w:tc>
      </w:tr>
    </w:tbl>
    <w:bookmarkEnd w:id="104"/>
    <w:bookmarkStart w:id="105" w:name="derived-text"/>
    <w:p>
      <w:pPr>
        <w:pStyle w:val="Heading2"/>
      </w:pPr>
      <w:r>
        <w:t xml:space="preserve">Derived text</w:t>
      </w:r>
    </w:p>
    <w:p>
      <w:pPr>
        <w:pStyle w:val="FirstParagraph"/>
      </w:pPr>
      <w:r>
        <w:t xml:space="preserve">Extracted text for each source document lives at</w:t>
      </w:r>
      <w:r>
        <w:t xml:space="preserve"> </w:t>
      </w:r>
      <w:r>
        <w:rPr>
          <w:rStyle w:val="VerbatimChar"/>
        </w:rPr>
        <w:t xml:space="preserve">extracted-text/</w:t>
      </w:r>
      <w:r>
        <w:t xml:space="preserve">. The Word and PDF files are converted</w:t>
      </w:r>
      <w:r>
        <w:t xml:space="preserve"> </w:t>
      </w:r>
      <w:r>
        <w:t xml:space="preserve">to Markdown; the macro-enabled workbooks produce CSV samples (one per</w:t>
      </w:r>
      <w:r>
        <w:t xml:space="preserve"> </w:t>
      </w:r>
      <w:r>
        <w:t xml:space="preserve">book) that are sufficient to seed downstream joins without carrying</w:t>
      </w:r>
      <w:r>
        <w:t xml:space="preserve"> </w:t>
      </w:r>
      <w:r>
        <w:t xml:space="preserve">the macro payload. Extraction uses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pdftotext -layout</w:t>
      </w:r>
      <w:r>
        <w:t xml:space="preserve"> </w:t>
      </w:r>
      <w:r>
        <w:t xml:space="preserve">for born-digital PDFs, and a small Python</w:t>
      </w:r>
      <w:r>
        <w:t xml:space="preserve"> </w:t>
      </w:r>
      <w:r>
        <w:t xml:space="preserve">pipeline for the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sheets.</w:t>
      </w:r>
    </w:p>
    <w:bookmarkEnd w:id="105"/>
    <w:bookmarkStart w:id="106" w:name="structured-records"/>
    <w:p>
      <w:pPr>
        <w:pStyle w:val="Heading2"/>
      </w:pPr>
      <w:r>
        <w:t xml:space="preserve">Structured records</w:t>
      </w:r>
    </w:p>
    <w:p>
      <w:pPr>
        <w:pStyle w:val="FirstParagraph"/>
      </w:pPr>
      <w:r>
        <w:t xml:space="preserve">All of the following are JSON records validated by</w:t>
      </w:r>
      <w:r>
        <w:t xml:space="preserve"> </w:t>
      </w:r>
      <w:r>
        <w:rPr>
          <w:rStyle w:val="VerbatimChar"/>
        </w:rPr>
        <w:t xml:space="preserve">structured/validate.py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collection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product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Enumerations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tools"/>
    <w:p>
      <w:pPr>
        <w:pStyle w:val="Heading2"/>
      </w:pPr>
      <w:r>
        <w:t xml:space="preserve">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Markdown.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pdftotext</w:t>
            </w:r>
            <w:r>
              <w:t xml:space="preserve"> </w:t>
            </w:r>
            <w:r>
              <w:t xml:space="preserve">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extraction from the GLO control PDF.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+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rows out of</w:t>
            </w:r>
            <w:r>
              <w:t xml:space="preserve"> </w:t>
            </w:r>
            <w:r>
              <w:rPr>
                <w:rStyle w:val="VerbatimChar"/>
              </w:rPr>
              <w:t xml:space="preserve">.xlsm</w:t>
            </w:r>
            <w:r>
              <w:t xml:space="preserve"> </w:t>
            </w:r>
            <w:r>
              <w:t xml:space="preserve">workbooks.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and cross-check</w:t>
            </w:r>
            <w:r>
              <w:t xml:space="preserve"> </w:t>
            </w:r>
            <w:r>
              <w:rPr>
                <w:rStyle w:val="VerbatimChar"/>
              </w:rPr>
              <w:t xml:space="preserve">corpus.json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jsonschema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referencing</w:t>
            </w:r>
            <w:r>
              <w:t xml:space="preserve"> </w:t>
            </w:r>
            <w:r>
              <w:t xml:space="preserve">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schema validation with a local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xelatex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tectonic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this document.</w:t>
            </w:r>
          </w:p>
        </w:tc>
      </w:tr>
    </w:tbl>
    <w:bookmarkEnd w:id="107"/>
    <w:bookmarkStart w:id="109" w:name="minimal-corpus-excerpt"/>
    <w:p>
      <w:pPr>
        <w:pStyle w:val="Heading2"/>
      </w:pPr>
      <w:r>
        <w:t xml:space="preserve">Minimal corpus excerpt</w:t>
      </w:r>
    </w:p>
    <w:p>
      <w:pPr>
        <w:pStyle w:val="FirstParagraph"/>
      </w:pPr>
      <w:r>
        <w:t xml:space="preserve">The entire corpus is in-tree under . For readers without access</w:t>
      </w:r>
      <w:r>
        <w:t xml:space="preserve"> </w:t>
      </w:r>
      <w:r>
        <w:t xml:space="preserve">to the Git repository,</w:t>
      </w:r>
      <w:r>
        <w:t xml:space="preserve"> </w:t>
      </w:r>
      <w:hyperlink w:anchor="lst:corpus-excerpt">
        <w:r>
          <w:rPr>
            <w:rStyle w:val="Hyperlink"/>
          </w:rPr>
          <w:t xml:space="preserve">[lst:corpus-excerpt]</w:t>
        </w:r>
      </w:hyperlink>
      <w:r>
        <w:t xml:space="preserve"> </w:t>
      </w:r>
      <w:r>
        <w:t xml:space="preserve">reproduces the first</w:t>
      </w:r>
      <w:r>
        <w:t xml:space="preserve"> </w:t>
      </w:r>
      <w:r>
        <w:t xml:space="preserve">three items of</w:t>
      </w:r>
      <w:r>
        <w:t xml:space="preserve"> </w:t>
      </w:r>
      <w:r>
        <w:rPr>
          <w:rStyle w:val="VerbatimChar"/>
        </w:rPr>
        <w:t xml:space="preserve">structured/corpus.json</w:t>
      </w:r>
      <w:r>
        <w:t xml:space="preserve"> </w:t>
      </w:r>
      <w:r>
        <w:t xml:space="preserve">verbatim.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108" w:name="lst:corpus-excerpt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"schema_version": "1.0",</w:t>
            </w:r>
            <w:r>
              <w:br/>
            </w:r>
            <w:r>
              <w:rPr>
                <w:rStyle w:val="VerbatimChar"/>
              </w:rPr>
              <w:t xml:space="preserve">"items": [</w:t>
            </w:r>
            <w:r>
              <w:br/>
            </w: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"id": "tb-glo-control-operation",</w:t>
            </w:r>
            <w:r>
              <w:br/>
            </w:r>
            <w:r>
              <w:rPr>
                <w:rStyle w:val="VerbatimChar"/>
              </w:rPr>
              <w:t xml:space="preserve">"type": "control_narrative",</w:t>
            </w:r>
            <w:r>
              <w:br/>
            </w:r>
            <w:r>
              <w:rPr>
                <w:rStyle w:val="VerbatimChar"/>
              </w:rPr>
              <w:t xml:space="preserve">"country": "GLO",</w:t>
            </w:r>
            <w:r>
              <w:br/>
            </w:r>
            <w:r>
              <w:rPr>
                <w:rStyle w:val="VerbatimChar"/>
              </w:rPr>
              <w:t xml:space="preserve">"language": "en",</w:t>
            </w:r>
            <w:r>
              <w:br/>
            </w:r>
            <w:r>
              <w:rPr>
                <w:rStyle w:val="VerbatimChar"/>
              </w:rPr>
              <w:t xml:space="preserve">"sha256": "71a4524b9ec7c6701a7137579ef6c8730eb53fcde2fe5a50515a4b870b560afc",</w:t>
            </w:r>
            <w:r>
              <w:br/>
            </w:r>
            <w:r>
              <w:rPr>
                <w:rStyle w:val="VerbatimChar"/>
              </w:rPr>
              <w:t xml:space="preserve">"source_path":     "docs/tb/source/Operation of Month End Close Controls ...GLO (1).pdf",</w:t>
            </w:r>
            <w:r>
              <w:br/>
            </w:r>
            <w:r>
              <w:rPr>
                <w:rStyle w:val="VerbatimChar"/>
              </w:rPr>
              <w:t xml:space="preserve">"text_path":       "docs/tb/extracted-text/bpmn-tb-review-glo.md",</w:t>
            </w:r>
            <w:r>
              <w:br/>
            </w:r>
            <w:r>
              <w:rPr>
                <w:rStyle w:val="VerbatimChar"/>
              </w:rPr>
              <w:t xml:space="preserve">"structured_path": "docs/tb/structured/workflows/tb-review-glo.json"</w:t>
            </w:r>
            <w:r>
              <w:br/>
            </w:r>
            <w:r>
              <w:rPr>
                <w:rStyle w:val="VerbatimChar"/>
              </w:rPr>
              <w:t xml:space="preserve">},</w:t>
            </w:r>
            <w:r>
              <w:br/>
            </w: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"id": "tb-business-case",</w:t>
            </w:r>
            <w:r>
              <w:br/>
            </w:r>
            <w:r>
              <w:rPr>
                <w:rStyle w:val="VerbatimChar"/>
              </w:rPr>
              <w:t xml:space="preserve">"type": "business_case",</w:t>
            </w:r>
            <w:r>
              <w:br/>
            </w:r>
            <w:r>
              <w:rPr>
                <w:rStyle w:val="VerbatimChar"/>
              </w:rPr>
              <w:t xml:space="preserve">"country": "GLO",</w:t>
            </w:r>
            <w:r>
              <w:br/>
            </w:r>
            <w:r>
              <w:rPr>
                <w:rStyle w:val="VerbatimChar"/>
              </w:rPr>
              <w:t xml:space="preserve">"language": "en",</w:t>
            </w:r>
            <w:r>
              <w:br/>
            </w:r>
            <w:r>
              <w:rPr>
                <w:rStyle w:val="VerbatimChar"/>
              </w:rPr>
              <w:t xml:space="preserve">"sha256": "32744df8ea13f12a36f6117f18874e578c627be6fbc3c48d2f73d32dcfa0c689",</w:t>
            </w:r>
            <w:r>
              <w:br/>
            </w:r>
            <w:r>
              <w:rPr>
                <w:rStyle w:val="VerbatimChar"/>
              </w:rPr>
              <w:t xml:space="preserve">"source_path":     "docs/tb/source/Business case - Trial Balance (2).doc",</w:t>
            </w:r>
            <w:r>
              <w:br/>
            </w:r>
            <w:r>
              <w:rPr>
                <w:rStyle w:val="VerbatimChar"/>
              </w:rPr>
              <w:t xml:space="preserve">"text_path":       "docs/tb/extracted-text/business-case-trial-balance.md",</w:t>
            </w:r>
            <w:r>
              <w:br/>
            </w:r>
            <w:r>
              <w:rPr>
                <w:rStyle w:val="VerbatimChar"/>
              </w:rPr>
              <w:t xml:space="preserve">"structured_path": "docs/tb/structured/requirements/tb-business-requirements.json"</w:t>
            </w:r>
            <w:r>
              <w:br/>
            </w:r>
            <w:r>
              <w:rPr>
                <w:rStyle w:val="VerbatimChar"/>
              </w:rPr>
              <w:t xml:space="preserve">},</w:t>
            </w:r>
            <w:r>
              <w:br/>
            </w:r>
            <w:r>
              <w:rPr>
                <w:rStyle w:val="VerbatimChar"/>
              </w:rPr>
              <w:t xml:space="preserve">{</w:t>
            </w:r>
            <w:r>
              <w:br/>
            </w:r>
            <w:r>
              <w:rPr>
                <w:rStyle w:val="VerbatimChar"/>
              </w:rPr>
              <w:t xml:space="preserve">"id": "bss-ra-business-case",</w:t>
            </w:r>
            <w:r>
              <w:br/>
            </w:r>
            <w:r>
              <w:rPr>
                <w:rStyle w:val="VerbatimChar"/>
              </w:rPr>
              <w:t xml:space="preserve">"type": "business_case",</w:t>
            </w:r>
            <w:r>
              <w:br/>
            </w:r>
            <w:r>
              <w:rPr>
                <w:rStyle w:val="VerbatimChar"/>
              </w:rPr>
              <w:t xml:space="preserve">"country": "GLO",</w:t>
            </w:r>
            <w:r>
              <w:br/>
            </w:r>
            <w:r>
              <w:rPr>
                <w:rStyle w:val="VerbatimChar"/>
              </w:rPr>
              <w:t xml:space="preserve">"language": "en",</w:t>
            </w:r>
            <w:r>
              <w:br/>
            </w:r>
            <w:r>
              <w:rPr>
                <w:rStyle w:val="VerbatimChar"/>
              </w:rPr>
              <w:t xml:space="preserve">"sha256": "dab433cecf598b908d070e2ebfd6f285565b7b3e1102cd2496e639dee1d0c28c",</w:t>
            </w:r>
            <w:r>
              <w:br/>
            </w:r>
            <w:r>
              <w:rPr>
                <w:rStyle w:val="VerbatimChar"/>
              </w:rPr>
              <w:t xml:space="preserve">"source_path": "docs/tb/source/Business case - BSS Risk Assessment (2).doc"</w:t>
            </w:r>
            <w:r>
              <w:br/>
            </w:r>
            <w:r>
              <w:rPr>
                <w:rStyle w:val="VerbatimChar"/>
              </w:rPr>
              <w:t xml:space="preserve">}</w:t>
            </w:r>
            <w:r>
              <w:br/>
            </w:r>
            <w:r>
              <w:rPr>
                <w:rStyle w:val="VerbatimChar"/>
              </w:rPr>
              <w:t xml:space="preserve">]</w:t>
            </w:r>
            <w:r>
              <w:br/>
            </w:r>
            <w:r>
              <w:rPr>
                <w:rStyle w:val="VerbatimChar"/>
              </w:rPr>
              <w:t xml:space="preserve">}</w:t>
            </w:r>
          </w:p>
          <w:bookmarkEnd w:id="108"/>
        </w:tc>
      </w:tr>
    </w:tbl>
    <w:bookmarkEnd w:id="109"/>
    <w:bookmarkStart w:id="110" w:name="out-of-scope-assets"/>
    <w:p>
      <w:pPr>
        <w:pStyle w:val="Heading2"/>
      </w:pPr>
      <w:r>
        <w:t xml:space="preserve">Out-of-scope assets</w:t>
      </w:r>
    </w:p>
    <w:p>
      <w:pPr>
        <w:pStyle w:val="FirstParagraph"/>
      </w:pPr>
      <w:r>
        <w:t xml:space="preserve">The BSS Risk Assessment business case</w:t>
      </w:r>
      <w:r>
        <w:t xml:space="preserve"> </w:t>
      </w:r>
      <w:r>
        <w:t xml:space="preserve">()</w:t>
      </w:r>
      <w:r>
        <w:t xml:space="preserve"> </w:t>
      </w:r>
      <w:r>
        <w:t xml:space="preserve">is kept in the corpus for terminology alignment but is out of scope</w:t>
      </w:r>
      <w:r>
        <w:t xml:space="preserve"> </w:t>
      </w:r>
      <w:r>
        <w:t xml:space="preserve">for this specification; it is covered by a sibling business case with</w:t>
      </w:r>
      <w:r>
        <w:t xml:space="preserve"> </w:t>
      </w:r>
      <w:r>
        <w:t xml:space="preserve">its own lifecycle.</w:t>
      </w:r>
    </w:p>
    <w:bookmarkEnd w:id="110"/>
    <w:bookmarkEnd w:id="111"/>
    <w:bookmarkStart w:id="144" w:name="ch:review-dashboard"/>
    <w:p>
      <w:pPr>
        <w:pStyle w:val="Heading1"/>
      </w:pPr>
      <w:r>
        <w:t xml:space="preserve">Human Review Dashboard Specification</w:t>
      </w:r>
    </w:p>
    <w:p>
      <w:pPr>
        <w:pStyle w:val="FirstParagraph"/>
      </w:pPr>
      <w:r>
        <w:t xml:space="preserve">This chapter specifies the human-in-the-loop review interface, addressing the</w:t>
      </w:r>
      <w:r>
        <w:t xml:space="preserve"> </w:t>
      </w:r>
      <w:r>
        <w:t xml:space="preserve">review finding that</w:t>
      </w:r>
      <w:r>
        <w:t xml:space="preserve"> </w:t>
      </w:r>
      <w:r>
        <w:t xml:space="preserve">“human-in-the-loop is still a black box.”</w:t>
      </w:r>
      <w:r>
        <w:t xml:space="preserve"> </w:t>
      </w:r>
      <w:r>
        <w:t xml:space="preserve">The</w:t>
      </w:r>
      <w:r>
        <w:t xml:space="preserve"> </w:t>
      </w:r>
      <w:r>
        <w:t xml:space="preserve">specification applies to both Trial Balance review and Arabic AP workflows.</w:t>
      </w:r>
    </w:p>
    <w:bookmarkStart w:id="112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review dashboard provides a unified interface for human reviewers to:</w:t>
      </w:r>
    </w:p>
    <w:p>
      <w:pPr>
        <w:numPr>
          <w:ilvl w:val="0"/>
          <w:numId w:val="1009"/>
        </w:numPr>
      </w:pPr>
      <w:r>
        <w:t xml:space="preserve">View items queued for review (from AI-generated outputs requiring</w:t>
      </w:r>
      <w:r>
        <w:t xml:space="preserve"> </w:t>
      </w:r>
      <w:r>
        <w:t xml:space="preserve">human validation)</w:t>
      </w:r>
    </w:p>
    <w:p>
      <w:pPr>
        <w:numPr>
          <w:ilvl w:val="0"/>
          <w:numId w:val="1009"/>
        </w:numPr>
      </w:pPr>
      <w:r>
        <w:t xml:space="preserve">Accept, edit, or reject AI-produced content</w:t>
      </w:r>
    </w:p>
    <w:p>
      <w:pPr>
        <w:numPr>
          <w:ilvl w:val="0"/>
          <w:numId w:val="1009"/>
        </w:numPr>
      </w:pPr>
      <w:r>
        <w:t xml:space="preserve">Track review metrics and team performance</w:t>
      </w:r>
    </w:p>
    <w:p>
      <w:pPr>
        <w:numPr>
          <w:ilvl w:val="0"/>
          <w:numId w:val="1009"/>
        </w:numPr>
      </w:pPr>
      <w:r>
        <w:t xml:space="preserve">Generate audit trails for compliance</w:t>
      </w:r>
    </w:p>
    <w:bookmarkEnd w:id="112"/>
    <w:bookmarkStart w:id="123" w:name="interface-requirements"/>
    <w:p>
      <w:pPr>
        <w:pStyle w:val="Heading2"/>
      </w:pPr>
      <w:r>
        <w:t xml:space="preserve">Interface requirements</w:t>
      </w:r>
    </w:p>
    <w:bookmarkStart w:id="116" w:name="queue-view"/>
    <w:p>
      <w:pPr>
        <w:pStyle w:val="Heading3"/>
      </w:pPr>
      <w:r>
        <w:t xml:space="preserve">Queue view</w:t>
      </w:r>
    </w:p>
    <w:p>
      <w:pPr>
        <w:pStyle w:val="FirstParagraph"/>
      </w:pPr>
      <w:r>
        <w:t xml:space="preserve">The queue view displays all items pending human review.</w:t>
      </w:r>
    </w:p>
    <w:bookmarkStart w:id="113" w:name="tab:queue-fields"/>
    <w:p>
      <w:pPr>
        <w:pStyle w:val="TableCaption"/>
      </w:pPr>
      <w:r>
        <w:t xml:space="preserve">Queue view required fields.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eue view required field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the review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CRITICAL, HIGH, NORMAL,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TB, ARABIC, SIMULA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item entered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confidence score (0–1)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review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reviewer (if 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IN_PROGRESS, COMPLETED</w:t>
            </w:r>
          </w:p>
        </w:tc>
      </w:tr>
    </w:tbl>
    <w:bookmarkEnd w:id="113"/>
    <w:bookmarkStart w:id="114" w:name="sorting-and-filtering"/>
    <w:p>
      <w:pPr>
        <w:pStyle w:val="Heading4"/>
      </w:pPr>
      <w:r>
        <w:t xml:space="preserve">Sorting and filtering</w:t>
      </w:r>
    </w:p>
    <w:p>
      <w:pPr>
        <w:pStyle w:val="FirstParagraph"/>
      </w:pPr>
      <w:r>
        <w:t xml:space="preserve">The queue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support:</w:t>
      </w:r>
    </w:p>
    <w:p>
      <w:pPr>
        <w:numPr>
          <w:ilvl w:val="0"/>
          <w:numId w:val="1010"/>
        </w:numPr>
      </w:pPr>
      <w:r>
        <w:t xml:space="preserve">Sort by priority (default), due date, confidence, queued time</w:t>
      </w:r>
    </w:p>
    <w:p>
      <w:pPr>
        <w:numPr>
          <w:ilvl w:val="0"/>
          <w:numId w:val="1010"/>
        </w:numPr>
      </w:pPr>
      <w:r>
        <w:t xml:space="preserve">Filter by domain, priority, status, assigned reviewer</w:t>
      </w:r>
    </w:p>
    <w:p>
      <w:pPr>
        <w:numPr>
          <w:ilvl w:val="0"/>
          <w:numId w:val="1010"/>
        </w:numPr>
      </w:pPr>
      <w:r>
        <w:t xml:space="preserve">Search by item ID or related entity (invoice number, account code)</w:t>
      </w:r>
    </w:p>
    <w:bookmarkEnd w:id="114"/>
    <w:bookmarkStart w:id="115" w:name="bulk-operations"/>
    <w:p>
      <w:pPr>
        <w:pStyle w:val="Heading4"/>
      </w:pPr>
      <w:r>
        <w:t xml:space="preserve">Bulk operations</w:t>
      </w:r>
    </w:p>
    <w:p>
      <w:pPr>
        <w:pStyle w:val="FirstParagraph"/>
      </w:pPr>
      <w:r>
        <w:t xml:space="preserve">For efficiency, the queue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support:</w:t>
      </w:r>
    </w:p>
    <w:p>
      <w:pPr>
        <w:numPr>
          <w:ilvl w:val="0"/>
          <w:numId w:val="1011"/>
        </w:numPr>
      </w:pPr>
      <w:r>
        <w:t xml:space="preserve">Bulk assignment to reviewer</w:t>
      </w:r>
    </w:p>
    <w:p>
      <w:pPr>
        <w:numPr>
          <w:ilvl w:val="0"/>
          <w:numId w:val="1011"/>
        </w:numPr>
      </w:pPr>
      <w:r>
        <w:t xml:space="preserve">Bulk priority change</w:t>
      </w:r>
    </w:p>
    <w:p>
      <w:pPr>
        <w:numPr>
          <w:ilvl w:val="0"/>
          <w:numId w:val="1011"/>
        </w:numPr>
      </w:pPr>
      <w:r>
        <w:t xml:space="preserve">Bulk re-queue (return to pool)</w:t>
      </w:r>
    </w:p>
    <w:bookmarkEnd w:id="115"/>
    <w:bookmarkEnd w:id="116"/>
    <w:bookmarkStart w:id="120" w:name="review-view"/>
    <w:p>
      <w:pPr>
        <w:pStyle w:val="Heading3"/>
      </w:pPr>
      <w:r>
        <w:t xml:space="preserve">Review view</w:t>
      </w:r>
    </w:p>
    <w:p>
      <w:pPr>
        <w:pStyle w:val="FirstParagraph"/>
      </w:pPr>
      <w:r>
        <w:t xml:space="preserve">The review view presents a single item for detailed examination.</w:t>
      </w:r>
    </w:p>
    <w:bookmarkStart w:id="117" w:name="fig:review-wirefram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Conceptual wireframe for review view layout.</w:t>
      </w:r>
    </w:p>
    <w:bookmarkEnd w:id="117"/>
    <w:bookmarkStart w:id="118" w:name="required-components"/>
    <w:p>
      <w:pPr>
        <w:pStyle w:val="Heading4"/>
      </w:pPr>
      <w:r>
        <w:t xml:space="preserve">Required components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Source panel</w:t>
      </w:r>
      <w:r>
        <w:t xml:space="preserve">: Display original input (scanned image, OCR text,</w:t>
      </w:r>
      <w:r>
        <w:t xml:space="preserve"> </w:t>
      </w:r>
      <w:r>
        <w:t xml:space="preserve">TB extract)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AI output panel</w:t>
      </w:r>
      <w:r>
        <w:t xml:space="preserve">: Display AI-generated content with</w:t>
      </w:r>
      <w:r>
        <w:t xml:space="preserve"> </w:t>
      </w:r>
      <w:r>
        <w:t xml:space="preserve">field-level confidence indicators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Comparison highlights</w:t>
      </w:r>
      <w:r>
        <w:t xml:space="preserve">: Visual diff between source and extraction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Action buttons</w:t>
      </w:r>
      <w:r>
        <w:t xml:space="preserve">: Accept, Edit, Reject, Escalate, Skip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Comment field</w:t>
      </w:r>
      <w:r>
        <w:t xml:space="preserve">: Free-text for reviewer notes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History panel</w:t>
      </w:r>
      <w:r>
        <w:t xml:space="preserve">: Previous review actions on this item</w:t>
      </w:r>
    </w:p>
    <w:bookmarkEnd w:id="118"/>
    <w:bookmarkStart w:id="119" w:name="field-level-editing"/>
    <w:p>
      <w:pPr>
        <w:pStyle w:val="Heading4"/>
      </w:pPr>
      <w:r>
        <w:t xml:space="preserve">Field-level editing</w:t>
      </w:r>
    </w:p>
    <w:p>
      <w:pPr>
        <w:pStyle w:val="FirstParagraph"/>
      </w:pPr>
      <w:r>
        <w:t xml:space="preserve">When reviewer selects</w:t>
      </w:r>
      <w:r>
        <w:t xml:space="preserve"> </w:t>
      </w:r>
      <w:r>
        <w:t xml:space="preserve">“Edit”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Each extracted field becomes editable</w:t>
      </w:r>
    </w:p>
    <w:p>
      <w:pPr>
        <w:numPr>
          <w:ilvl w:val="0"/>
          <w:numId w:val="1013"/>
        </w:numPr>
      </w:pPr>
      <w:r>
        <w:t xml:space="preserve">Original AI value shown alongside edit field</w:t>
      </w:r>
    </w:p>
    <w:p>
      <w:pPr>
        <w:numPr>
          <w:ilvl w:val="0"/>
          <w:numId w:val="1013"/>
        </w:numPr>
      </w:pPr>
      <w:r>
        <w:t xml:space="preserve">Change tracking records before/after values</w:t>
      </w:r>
    </w:p>
    <w:p>
      <w:pPr>
        <w:numPr>
          <w:ilvl w:val="0"/>
          <w:numId w:val="1013"/>
        </w:numPr>
      </w:pPr>
      <w:r>
        <w:t xml:space="preserve">Validation runs on edited values before save</w:t>
      </w:r>
    </w:p>
    <w:bookmarkEnd w:id="119"/>
    <w:bookmarkEnd w:id="120"/>
    <w:bookmarkStart w:id="122" w:name="analytics-view"/>
    <w:p>
      <w:pPr>
        <w:pStyle w:val="Heading3"/>
      </w:pPr>
      <w:r>
        <w:t xml:space="preserve">Analytics view</w:t>
      </w:r>
    </w:p>
    <w:p>
      <w:pPr>
        <w:pStyle w:val="FirstParagraph"/>
      </w:pPr>
      <w:r>
        <w:t xml:space="preserve">The analytics view provides management visibility into review operations.</w:t>
      </w:r>
    </w:p>
    <w:bookmarkStart w:id="121" w:name="tab:analytics-metrics"/>
    <w:p>
      <w:pPr>
        <w:pStyle w:val="TableCaption"/>
      </w:pPr>
      <w:r>
        <w:t xml:space="preserve">Required analytics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analytics metric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by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review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Mean, p50,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quality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rate by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per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Field-specific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on-time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balancing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needs indicator</w:t>
            </w:r>
          </w:p>
        </w:tc>
      </w:tr>
    </w:tbl>
    <w:bookmarkEnd w:id="121"/>
    <w:bookmarkEnd w:id="122"/>
    <w:bookmarkEnd w:id="123"/>
    <w:bookmarkStart w:id="126" w:name="user-workflow-specification"/>
    <w:p>
      <w:pPr>
        <w:pStyle w:val="Heading2"/>
      </w:pPr>
      <w:r>
        <w:t xml:space="preserve">User workflow specification</w:t>
      </w:r>
    </w:p>
    <w:bookmarkStart w:id="124" w:name="standard-review-flow"/>
    <w:p>
      <w:pPr>
        <w:pStyle w:val="Heading3"/>
      </w:pPr>
      <w:r>
        <w:t xml:space="preserve">Standard review flow</w:t>
      </w:r>
    </w:p>
    <w:p>
      <w:pPr>
        <w:numPr>
          <w:ilvl w:val="0"/>
          <w:numId w:val="1014"/>
        </w:numPr>
      </w:pPr>
      <w:r>
        <w:t xml:space="preserve">Reviewer logs in and views queue (filtered by assignment or domain)</w:t>
      </w:r>
    </w:p>
    <w:p>
      <w:pPr>
        <w:numPr>
          <w:ilvl w:val="0"/>
          <w:numId w:val="1014"/>
        </w:numPr>
      </w:pPr>
      <w:r>
        <w:t xml:space="preserve">Reviewer claims or is assigned an item</w:t>
      </w:r>
    </w:p>
    <w:p>
      <w:pPr>
        <w:numPr>
          <w:ilvl w:val="0"/>
          <w:numId w:val="1014"/>
        </w:numPr>
      </w:pPr>
      <w:r>
        <w:t xml:space="preserve">System displays review view with source and AI output</w:t>
      </w:r>
    </w:p>
    <w:p>
      <w:pPr>
        <w:numPr>
          <w:ilvl w:val="0"/>
          <w:numId w:val="1014"/>
        </w:numPr>
      </w:pPr>
      <w:r>
        <w:t xml:space="preserve">Reviewer examines content and selects action: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Accept</w:t>
      </w:r>
      <w:r>
        <w:t xml:space="preserve">: AI output is correct, proceed to next step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Edit</w:t>
      </w:r>
      <w:r>
        <w:t xml:space="preserve">: Make corrections, then accept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Reject</w:t>
      </w:r>
      <w:r>
        <w:t xml:space="preserve">: AI output is fundamentally wrong, return for reprocessing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Escalate</w:t>
      </w:r>
      <w:r>
        <w:t xml:space="preserve">: Beyond reviewer authority, route to supervisor</w:t>
      </w:r>
    </w:p>
    <w:p>
      <w:pPr>
        <w:numPr>
          <w:ilvl w:val="0"/>
          <w:numId w:val="1014"/>
        </w:numPr>
      </w:pPr>
      <w:r>
        <w:t xml:space="preserve">System records decision with timestamp and reviewer ID</w:t>
      </w:r>
    </w:p>
    <w:p>
      <w:pPr>
        <w:numPr>
          <w:ilvl w:val="0"/>
          <w:numId w:val="1014"/>
        </w:numPr>
      </w:pPr>
      <w:r>
        <w:t xml:space="preserve">Item moves to next workflow stage or back to queue</w:t>
      </w:r>
    </w:p>
    <w:bookmarkEnd w:id="124"/>
    <w:bookmarkStart w:id="125" w:name="escalation-flow"/>
    <w:p>
      <w:pPr>
        <w:pStyle w:val="Heading3"/>
      </w:pPr>
      <w:r>
        <w:t xml:space="preserve">Escalation flow</w:t>
      </w:r>
    </w:p>
    <w:p>
      <w:pPr>
        <w:pStyle w:val="SourceCode"/>
      </w:pPr>
      <w:r>
        <w:rPr>
          <w:rStyle w:val="VerbatimChar"/>
        </w:rPr>
        <w:t xml:space="preserve">if item.amount &gt; reviewer.doa_limit:</w:t>
      </w:r>
      <w:r>
        <w:br/>
      </w:r>
      <w:r>
        <w:rPr>
          <w:rStyle w:val="VerbatimChar"/>
        </w:rPr>
        <w:t xml:space="preserve">escalate_to = reviewer.supervisor</w:t>
      </w:r>
      <w:r>
        <w:br/>
      </w:r>
      <w:r>
        <w:rPr>
          <w:rStyle w:val="VerbatimChar"/>
        </w:rPr>
        <w:t xml:space="preserve">elif item.ai_confidence &lt; 0.3:</w:t>
      </w:r>
      <w:r>
        <w:br/>
      </w:r>
      <w:r>
        <w:rPr>
          <w:rStyle w:val="VerbatimChar"/>
        </w:rPr>
        <w:t xml:space="preserve">escalate_to = domain_expert</w:t>
      </w:r>
      <w:r>
        <w:br/>
      </w:r>
      <w:r>
        <w:rPr>
          <w:rStyle w:val="VerbatimChar"/>
        </w:rPr>
        <w:t xml:space="preserve">elif item.has_flag("regulatory_review"):</w:t>
      </w:r>
      <w:r>
        <w:br/>
      </w:r>
      <w:r>
        <w:rPr>
          <w:rStyle w:val="VerbatimChar"/>
        </w:rPr>
        <w:t xml:space="preserve">escalate_to = compliance_team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escalate_to = team_lead</w:t>
      </w:r>
    </w:p>
    <w:bookmarkEnd w:id="125"/>
    <w:bookmarkEnd w:id="126"/>
    <w:bookmarkStart w:id="128" w:name="sla-specification"/>
    <w:p>
      <w:pPr>
        <w:pStyle w:val="Heading2"/>
      </w:pPr>
      <w:r>
        <w:t xml:space="preserve">SLA specification</w:t>
      </w:r>
    </w:p>
    <w:bookmarkStart w:id="127" w:name="tab:review-sla"/>
    <w:p>
      <w:pPr>
        <w:pStyle w:val="TableCaption"/>
      </w:pPr>
      <w:r>
        <w:t xml:space="preserve">Review SLA targets by priority.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view SLA targets by priorit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deadline or high-value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$1M)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Month-end close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 or non-urgent</w:t>
            </w:r>
          </w:p>
        </w:tc>
      </w:tr>
    </w:tbl>
    <w:bookmarkEnd w:id="127"/>
    <w:p>
      <w:pPr>
        <w:pStyle w:val="BodyText"/>
      </w:pPr>
      <w:r>
        <w:t xml:space="preserve">SLA countdown</w:t>
      </w:r>
      <w:r>
        <w:t xml:space="preserve"> </w:t>
      </w:r>
      <w:r>
        <w:rPr>
          <w:b/>
          <w:bCs/>
        </w:rPr>
        <w:t xml:space="preserve">must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Exclude non-business hours (configurable by region)</w:t>
      </w:r>
    </w:p>
    <w:p>
      <w:pPr>
        <w:numPr>
          <w:ilvl w:val="0"/>
          <w:numId w:val="1016"/>
        </w:numPr>
      </w:pPr>
      <w:r>
        <w:t xml:space="preserve">Pause when item is actively being reviewed</w:t>
      </w:r>
    </w:p>
    <w:p>
      <w:pPr>
        <w:numPr>
          <w:ilvl w:val="0"/>
          <w:numId w:val="1016"/>
        </w:numPr>
      </w:pPr>
      <w:r>
        <w:t xml:space="preserve">Trigger alerts at 75% and 90% of time elapsed</w:t>
      </w:r>
    </w:p>
    <w:bookmarkEnd w:id="128"/>
    <w:bookmarkStart w:id="132" w:name="sec:dashboard-audit-trail"/>
    <w:p>
      <w:pPr>
        <w:pStyle w:val="Heading2"/>
      </w:pPr>
      <w:r>
        <w:t xml:space="preserve">Audit trail specification</w:t>
      </w:r>
    </w:p>
    <w:p>
      <w:pPr>
        <w:pStyle w:val="FirstParagraph"/>
      </w:pPr>
      <w:r>
        <w:t xml:space="preserve">Every user action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logged to the audit trail.</w:t>
      </w:r>
    </w:p>
    <w:bookmarkStart w:id="130" w:name="required-audit-events"/>
    <w:p>
      <w:pPr>
        <w:pStyle w:val="Heading3"/>
      </w:pPr>
      <w:r>
        <w:t xml:space="preserve">Required audit events</w:t>
      </w:r>
    </w:p>
    <w:bookmarkStart w:id="129" w:name="tab:audit-events"/>
    <w:p>
      <w:pPr>
        <w:pStyle w:val="TableCaption"/>
      </w:pPr>
      <w:r>
        <w:t xml:space="preserve">Audit events to be captured.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dit events to be captured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Captured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source, queued_by,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reviewer_id,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reviewer_id,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field_name, old_value, new_value, reviewer_id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decision (accept/reject/escalate), reviewer_id,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ITEM_ESCALATED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from_reviewer, to_reviewer,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item_id, final_decision, duration, reviewer_id</w:t>
            </w:r>
          </w:p>
        </w:tc>
      </w:tr>
    </w:tbl>
    <w:bookmarkEnd w:id="129"/>
    <w:bookmarkEnd w:id="130"/>
    <w:bookmarkStart w:id="131" w:name="retention-and-access"/>
    <w:p>
      <w:pPr>
        <w:pStyle w:val="Heading3"/>
      </w:pPr>
      <w:r>
        <w:t xml:space="preserve">Retention and access</w:t>
      </w:r>
    </w:p>
    <w:p>
      <w:pPr>
        <w:numPr>
          <w:ilvl w:val="0"/>
          <w:numId w:val="1017"/>
        </w:numPr>
      </w:pPr>
      <w:r>
        <w:t xml:space="preserve">Audit logs retained for 7 years (regulatory requirement)</w:t>
      </w:r>
    </w:p>
    <w:p>
      <w:pPr>
        <w:numPr>
          <w:ilvl w:val="0"/>
          <w:numId w:val="1017"/>
        </w:numPr>
      </w:pPr>
      <w:r>
        <w:t xml:space="preserve">Stored in append-only table</w:t>
      </w:r>
      <w:r>
        <w:t xml:space="preserve"> </w:t>
      </w:r>
      <w:r>
        <w:rPr>
          <w:rStyle w:val="VerbatimChar"/>
        </w:rPr>
        <w:t xml:space="preserve">REVIEW_AUDIT_LOG</w:t>
      </w:r>
    </w:p>
    <w:p>
      <w:pPr>
        <w:numPr>
          <w:ilvl w:val="0"/>
          <w:numId w:val="1017"/>
        </w:numPr>
      </w:pPr>
      <w:r>
        <w:t xml:space="preserve">Read access: Reviewers (own records), Managers (team), Auditors (all)</w:t>
      </w:r>
    </w:p>
    <w:p>
      <w:pPr>
        <w:numPr>
          <w:ilvl w:val="0"/>
          <w:numId w:val="1017"/>
        </w:numPr>
      </w:pPr>
      <w:r>
        <w:t xml:space="preserve">Write access: System only (no manual edits permitted)</w:t>
      </w:r>
    </w:p>
    <w:bookmarkEnd w:id="131"/>
    <w:bookmarkEnd w:id="132"/>
    <w:bookmarkStart w:id="133" w:name="accessibility-requirements"/>
    <w:p>
      <w:pPr>
        <w:pStyle w:val="Heading2"/>
      </w:pPr>
      <w:r>
        <w:t xml:space="preserve">Accessibility requirements</w:t>
      </w:r>
    </w:p>
    <w:p>
      <w:pPr>
        <w:pStyle w:val="FirstParagraph"/>
      </w:pPr>
      <w:r>
        <w:t xml:space="preserve">The dashboard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comply with WCAG 2.1 Level AA:</w:t>
      </w:r>
    </w:p>
    <w:p>
      <w:pPr>
        <w:numPr>
          <w:ilvl w:val="0"/>
          <w:numId w:val="1018"/>
        </w:numPr>
      </w:pPr>
      <w:r>
        <w:t xml:space="preserve">Keyboard navigation for all functions</w:t>
      </w:r>
    </w:p>
    <w:p>
      <w:pPr>
        <w:numPr>
          <w:ilvl w:val="0"/>
          <w:numId w:val="1018"/>
        </w:numPr>
      </w:pPr>
      <w:r>
        <w:t xml:space="preserve">Screen reader compatibility (ARIA labels)</w:t>
      </w:r>
    </w:p>
    <w:p>
      <w:pPr>
        <w:numPr>
          <w:ilvl w:val="0"/>
          <w:numId w:val="1018"/>
        </w:numPr>
      </w:pPr>
      <w:r>
        <w:t xml:space="preserve">Minimum contrast ratio 4.5:1 for text</w:t>
      </w:r>
    </w:p>
    <w:p>
      <w:pPr>
        <w:numPr>
          <w:ilvl w:val="0"/>
          <w:numId w:val="1018"/>
        </w:numPr>
      </w:pPr>
      <w:r>
        <w:t xml:space="preserve">Focus indicators visible on all interactive elements</w:t>
      </w:r>
    </w:p>
    <w:p>
      <w:pPr>
        <w:numPr>
          <w:ilvl w:val="0"/>
          <w:numId w:val="1018"/>
        </w:numPr>
      </w:pPr>
      <w:r>
        <w:t xml:space="preserve">No time-limited actions without extension option</w:t>
      </w:r>
    </w:p>
    <w:bookmarkEnd w:id="133"/>
    <w:bookmarkStart w:id="137" w:name="reviewer-training-requirements"/>
    <w:p>
      <w:pPr>
        <w:pStyle w:val="Heading2"/>
      </w:pPr>
      <w:r>
        <w:t xml:space="preserve">Reviewer training requirements</w:t>
      </w:r>
    </w:p>
    <w:bookmarkStart w:id="135" w:name="certification-program"/>
    <w:p>
      <w:pPr>
        <w:pStyle w:val="Heading3"/>
      </w:pPr>
      <w:r>
        <w:t xml:space="preserve">Certification program</w:t>
      </w:r>
    </w:p>
    <w:bookmarkStart w:id="134" w:name="tab:certification"/>
    <w:p>
      <w:pPr>
        <w:pStyle w:val="TableCaption"/>
      </w:pPr>
      <w:r>
        <w:t xml:space="preserve">Reviewer certification requirements by domain.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viewer certification requirements by domai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Basics, Invoice Structure, AI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 Basics, Variance Analysis, Commentary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Navigation, Escalation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</w:tr>
    </w:tbl>
    <w:bookmarkEnd w:id="134"/>
    <w:bookmarkEnd w:id="135"/>
    <w:bookmarkStart w:id="136" w:name="competency-assessment"/>
    <w:p>
      <w:pPr>
        <w:pStyle w:val="Heading3"/>
      </w:pPr>
      <w:r>
        <w:t xml:space="preserve">Competency assessment</w:t>
      </w:r>
    </w:p>
    <w:p>
      <w:pPr>
        <w:numPr>
          <w:ilvl w:val="0"/>
          <w:numId w:val="1019"/>
        </w:numPr>
      </w:pPr>
      <w:r>
        <w:t xml:space="preserve">Practical test with 20 known-answer items</w:t>
      </w:r>
    </w:p>
    <w:p>
      <w:pPr>
        <w:numPr>
          <w:ilvl w:val="0"/>
          <w:numId w:val="1019"/>
        </w:numPr>
      </w:pPr>
      <w:r>
        <w:t xml:space="preserve">Passing score: 85%</w:t>
      </w:r>
    </w:p>
    <w:p>
      <w:pPr>
        <w:numPr>
          <w:ilvl w:val="0"/>
          <w:numId w:val="1019"/>
        </w:numPr>
      </w:pPr>
      <w:r>
        <w:t xml:space="preserve">Failed items reviewed with trainer</w:t>
      </w:r>
    </w:p>
    <w:p>
      <w:pPr>
        <w:numPr>
          <w:ilvl w:val="0"/>
          <w:numId w:val="1019"/>
        </w:numPr>
      </w:pPr>
      <w:r>
        <w:t xml:space="preserve">Re-test permitted after 7-day waiting period</w:t>
      </w:r>
    </w:p>
    <w:bookmarkEnd w:id="136"/>
    <w:bookmarkEnd w:id="137"/>
    <w:bookmarkStart w:id="138" w:name="inter-rater-agreement"/>
    <w:p>
      <w:pPr>
        <w:pStyle w:val="Heading2"/>
      </w:pPr>
      <w:r>
        <w:t xml:space="preserve">Inter-rater agreement</w:t>
      </w:r>
    </w:p>
    <w:p>
      <w:pPr>
        <w:pStyle w:val="FirstParagraph"/>
      </w:pPr>
      <w:r>
        <w:t xml:space="preserve">To ensure consistency, monthly measurement of inter-rater agreement is required.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Metric</w:t>
      </w:r>
      <w:r>
        <w:t xml:space="preserve">: Cohen’s Kappa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Target</w:t>
      </w:r>
      <w:r>
        <w:t xml:space="preserve">: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(substantial agreement)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Sample size</w:t>
      </w:r>
      <w:r>
        <w:t xml:space="preserve">: 50 items reviewed by multiple reviewers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Action if below target</w:t>
      </w:r>
      <w:r>
        <w:t xml:space="preserve">: Training refresh, guideline clarification</w:t>
      </w:r>
    </w:p>
    <w:bookmarkEnd w:id="138"/>
    <w:bookmarkStart w:id="142" w:name="api-specification"/>
    <w:p>
      <w:pPr>
        <w:pStyle w:val="Heading2"/>
      </w:pPr>
      <w:r>
        <w:t xml:space="preserve">API specification</w:t>
      </w:r>
    </w:p>
    <w:bookmarkStart w:id="140" w:name="sec:dashboard-api-auth"/>
    <w:p>
      <w:pPr>
        <w:pStyle w:val="Heading3"/>
      </w:pPr>
      <w:r>
        <w:t xml:space="preserve">Authentication and authorization</w:t>
      </w:r>
    </w:p>
    <w:p>
      <w:pPr>
        <w:pStyle w:val="FirstParagraph"/>
      </w:pPr>
      <w:r>
        <w:t xml:space="preserve">All endpoints enforce OAuth 2.0 bearer-token authentication, with</w:t>
      </w:r>
      <w:r>
        <w:t xml:space="preserve"> </w:t>
      </w:r>
      <w:r>
        <w:t xml:space="preserve">tokens issued by the SAP IAS (Identity Authentication Service)</w:t>
      </w:r>
      <w:r>
        <w:t xml:space="preserve"> </w:t>
      </w:r>
      <w:r>
        <w:t xml:space="preserve">tenant configured for the Finance estate. Requests without a valid</w:t>
      </w:r>
      <w:r>
        <w:t xml:space="preserve"> </w:t>
      </w:r>
      <w:r>
        <w:rPr>
          <w:rStyle w:val="VerbatimChar"/>
        </w:rPr>
        <w:t xml:space="preserve">Authorization: Bearer &lt;token&gt;</w:t>
      </w:r>
      <w:r>
        <w:t xml:space="preserve"> </w:t>
      </w:r>
      <w:r>
        <w:t xml:space="preserve">header MUST be rejected</w:t>
      </w:r>
      <w:r>
        <w:t xml:space="preserve"> </w:t>
      </w:r>
      <w:r>
        <w:t xml:space="preserve">with HTTP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The reviewer identity is derived from the</w:t>
      </w:r>
      <w:r>
        <w:t xml:space="preserve"> </w:t>
      </w:r>
      <w:r>
        <w:t xml:space="preserve">token’s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claim; the</w:t>
      </w:r>
      <w:r>
        <w:t xml:space="preserve"> </w:t>
      </w:r>
      <w:r>
        <w:rPr>
          <w:rStyle w:val="VerbatimChar"/>
        </w:rPr>
        <w:t xml:space="preserve">reviewer_id</w:t>
      </w:r>
      <w:r>
        <w:t xml:space="preserve"> </w:t>
      </w:r>
      <w:r>
        <w:t xml:space="preserve">request body</w:t>
      </w:r>
      <w:r>
        <w:t xml:space="preserve"> </w:t>
      </w:r>
      <w:r>
        <w:t xml:space="preserve">field is removed from all endpoints — servers that see it MUST</w:t>
      </w:r>
      <w:r>
        <w:t xml:space="preserve"> </w:t>
      </w:r>
      <w:r>
        <w:t xml:space="preserve">ignore the client-supplied value and use the token subject instead</w:t>
      </w:r>
      <w:r>
        <w:t xml:space="preserve"> </w:t>
      </w:r>
      <w:r>
        <w:t xml:space="preserve">(rationale: client-supplied</w:t>
      </w:r>
      <w:r>
        <w:t xml:space="preserve"> </w:t>
      </w:r>
      <w:r>
        <w:rPr>
          <w:rStyle w:val="VerbatimChar"/>
        </w:rPr>
        <w:t xml:space="preserve">reviewer_id</w:t>
      </w:r>
      <w:r>
        <w:t xml:space="preserve"> </w:t>
      </w:r>
      <w:r>
        <w:t xml:space="preserve">was trivially</w:t>
      </w:r>
      <w:r>
        <w:t xml:space="preserve"> </w:t>
      </w:r>
      <w:r>
        <w:t xml:space="preserve">spoofable). Role-based access control is enforced via the</w:t>
      </w:r>
      <w:r>
        <w:t xml:space="preserve"> </w:t>
      </w:r>
      <w:r>
        <w:t xml:space="preserve">following scopes embedded in the token:</w:t>
      </w:r>
    </w:p>
    <w:bookmarkStart w:id="139" w:name="tab:dashboard-api-scopes"/>
    <w:p>
      <w:pPr>
        <w:pStyle w:val="TableCaption"/>
      </w:pPr>
      <w:r>
        <w:t xml:space="preserve">OAuth scopes for dashboard API.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Auth scopes for dashboard API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review.queue.read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/items/{id}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signed-in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review.item.claim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/items/{id}/claim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review.item.decide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(claimant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action in decision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reviewer /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review.analytics.read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Manager,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queue assignments, reopen audit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admin</w:t>
            </w:r>
          </w:p>
        </w:tc>
      </w:tr>
    </w:tbl>
    <w:bookmarkEnd w:id="139"/>
    <w:p>
      <w:pPr>
        <w:pStyle w:val="BodyText"/>
      </w:pPr>
      <w:r>
        <w:t xml:space="preserve">Additional constraints:</w:t>
      </w:r>
    </w:p>
    <w:p>
      <w:pPr>
        <w:numPr>
          <w:ilvl w:val="0"/>
          <w:numId w:val="1021"/>
        </w:numPr>
      </w:pPr>
      <w:r>
        <w:t xml:space="preserve">Claim-to-decide ownership:</w:t>
      </w:r>
      <w:r>
        <w:t xml:space="preserve"> </w:t>
      </w:r>
      <w:r>
        <w:rPr>
          <w:rStyle w:val="VerbatimChar"/>
        </w:rPr>
        <w:t xml:space="preserve">POST /items/{id}/decision</w:t>
      </w:r>
      <w:r>
        <w:t xml:space="preserve"> </w:t>
      </w:r>
      <w:r>
        <w:t xml:space="preserve">MUST verify the token subject equals</w:t>
      </w:r>
      <w:r>
        <w:t xml:space="preserve"> </w:t>
      </w:r>
      <w:r>
        <w:t xml:space="preserve">the current claimant. Otherwise return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Rate limits: 600 req/min per subject, 60 burst; exceeded</w:t>
      </w:r>
      <w:r>
        <w:t xml:space="preserve"> </w:t>
      </w:r>
      <w:r>
        <w:t xml:space="preserve">limits return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Audit: every authenticated request writes an immutable</w:t>
      </w:r>
      <w:r>
        <w:t xml:space="preserve"> </w:t>
      </w:r>
      <w:r>
        <w:t xml:space="preserve">row to</w:t>
      </w:r>
      <w:r>
        <w:t xml:space="preserve"> </w:t>
      </w:r>
      <w:r>
        <w:t xml:space="preserve">(</w:t>
      </w:r>
      <w:hyperlink w:anchor="sec:dashboard-audit-trail">
        <w:r>
          <w:rPr>
            <w:rStyle w:val="Hyperlink"/>
          </w:rPr>
          <w:t xml:space="preserve">8.5</w:t>
        </w:r>
      </w:hyperlink>
      <w:r>
        <w:t xml:space="preserve">) including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IP, and user-agent.</w:t>
      </w:r>
    </w:p>
    <w:p>
      <w:pPr>
        <w:numPr>
          <w:ilvl w:val="0"/>
          <w:numId w:val="1021"/>
        </w:numPr>
      </w:pPr>
      <w:r>
        <w:t xml:space="preserve">Break-glass: service-to-service calls (e.g. nightly</w:t>
      </w:r>
      <w:r>
        <w:t xml:space="preserve"> </w:t>
      </w:r>
      <w:r>
        <w:t xml:space="preserve">exports) use mTLS with a short-lived client credentials</w:t>
      </w:r>
      <w:r>
        <w:t xml:space="preserve"> </w:t>
      </w:r>
      <w:r>
        <w:t xml:space="preserve">grant; they MUST NOT issue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calls.</w:t>
      </w:r>
    </w:p>
    <w:bookmarkEnd w:id="140"/>
    <w:bookmarkStart w:id="141" w:name="rest-endpoints"/>
    <w:p>
      <w:pPr>
        <w:pStyle w:val="Heading3"/>
      </w:pPr>
      <w:r>
        <w:t xml:space="preserve">REST endpoints</w:t>
      </w:r>
    </w:p>
    <w:p>
      <w:pPr>
        <w:pStyle w:val="SourceCode"/>
      </w:pPr>
      <w:r>
        <w:rPr>
          <w:rStyle w:val="VerbatimChar"/>
        </w:rPr>
        <w:t xml:space="preserve">Authorization: Bearer &lt;jwt&gt;     # required on every endpoint below</w:t>
      </w:r>
      <w:r>
        <w:br/>
      </w:r>
      <w:r>
        <w:br/>
      </w:r>
      <w:r>
        <w:rPr>
          <w:rStyle w:val="VerbatimChar"/>
        </w:rPr>
        <w:t xml:space="preserve">GET    /api/v1/review/queue</w:t>
      </w:r>
      <w:r>
        <w:br/>
      </w:r>
      <w:r>
        <w:rPr>
          <w:rStyle w:val="VerbatimChar"/>
        </w:rPr>
        <w:t xml:space="preserve">?domain={tb|arabic}&amp;status={pending|in_progress}</w:t>
      </w:r>
      <w:r>
        <w:br/>
      </w:r>
      <w:r>
        <w:rPr>
          <w:rStyle w:val="VerbatimChar"/>
        </w:rPr>
        <w:t xml:space="preserve">&amp;priority={critical|high|normal|low}</w:t>
      </w:r>
      <w:r>
        <w:br/>
      </w:r>
      <w:r>
        <w:rPr>
          <w:rStyle w:val="VerbatimChar"/>
        </w:rPr>
        <w:t xml:space="preserve">&amp;assigned_to={me|user-id|*}    # "me" resolves to token sub</w:t>
      </w:r>
      <w:r>
        <w:br/>
      </w:r>
      <w:r>
        <w:br/>
      </w:r>
      <w:r>
        <w:rPr>
          <w:rStyle w:val="VerbatimChar"/>
        </w:rPr>
        <w:t xml:space="preserve">GET    /api/v1/review/items/{item_id}</w:t>
      </w:r>
      <w:r>
        <w:br/>
      </w:r>
      <w:r>
        <w:br/>
      </w:r>
      <w:r>
        <w:rPr>
          <w:rStyle w:val="VerbatimChar"/>
        </w:rPr>
        <w:t xml:space="preserve">POST   /api/v1/review/items/{item_id}/claim</w:t>
      </w:r>
      <w:r>
        <w:br/>
      </w:r>
      <w:r>
        <w:rPr>
          <w:rStyle w:val="VerbatimChar"/>
        </w:rPr>
        <w:t xml:space="preserve"># no body -- claimant is the token subject</w:t>
      </w:r>
      <w:r>
        <w:br/>
      </w:r>
      <w:r>
        <w:br/>
      </w:r>
      <w:r>
        <w:rPr>
          <w:rStyle w:val="VerbatimChar"/>
        </w:rPr>
        <w:t xml:space="preserve">POST   /api/v1/review/items/{item_id}/decision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"decision": "accept|reject|escalate",</w:t>
      </w:r>
      <w:r>
        <w:br/>
      </w:r>
      <w:r>
        <w:rPr>
          <w:rStyle w:val="VerbatimChar"/>
        </w:rPr>
        <w:t xml:space="preserve">"edits": { "field": "new_value", ... },</w:t>
      </w:r>
      <w:r>
        <w:br/>
      </w:r>
      <w:r>
        <w:rPr>
          <w:rStyle w:val="VerbatimChar"/>
        </w:rPr>
        <w:t xml:space="preserve">"comment": "..."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actor is the token subject; 403 if not the claimant</w:t>
      </w:r>
      <w:r>
        <w:br/>
      </w:r>
      <w:r>
        <w:br/>
      </w:r>
      <w:r>
        <w:rPr>
          <w:rStyle w:val="VerbatimChar"/>
        </w:rPr>
        <w:t xml:space="preserve">GET    /api/v1/review/analytics</w:t>
      </w:r>
      <w:r>
        <w:br/>
      </w:r>
      <w:r>
        <w:rPr>
          <w:rStyle w:val="VerbatimChar"/>
        </w:rPr>
        <w:t xml:space="preserve">?start_date={date}&amp;end_date={date}&amp;domain={...}</w:t>
      </w:r>
      <w:r>
        <w:br/>
      </w:r>
      <w:r>
        <w:rPr>
          <w:rStyle w:val="VerbatimChar"/>
        </w:rPr>
        <w:t xml:space="preserve"># requires review.analytics.read scope</w:t>
      </w:r>
    </w:p>
    <w:bookmarkEnd w:id="141"/>
    <w:bookmarkEnd w:id="142"/>
    <w:bookmarkStart w:id="143" w:name="implementation-checklist"/>
    <w:p>
      <w:pPr>
        <w:pStyle w:val="Heading2"/>
      </w:pPr>
      <w:r>
        <w:t xml:space="preserve">Implementation checklist</w:t>
      </w:r>
    </w:p>
    <w:p>
      <w:pPr>
        <w:numPr>
          <w:ilvl w:val="0"/>
          <w:numId w:val="1022"/>
        </w:numPr>
      </w:pPr>
      <w:r>
        <w:t xml:space="preserve">Queue view with all required fields and filters</w:t>
      </w:r>
    </w:p>
    <w:p>
      <w:pPr>
        <w:numPr>
          <w:ilvl w:val="0"/>
          <w:numId w:val="1022"/>
        </w:numPr>
      </w:pPr>
      <w:r>
        <w:t xml:space="preserve">Review view with source/AI side-by-side display</w:t>
      </w:r>
    </w:p>
    <w:p>
      <w:pPr>
        <w:numPr>
          <w:ilvl w:val="0"/>
          <w:numId w:val="1022"/>
        </w:numPr>
      </w:pPr>
      <w:r>
        <w:t xml:space="preserve">Field-level editing with change tracking</w:t>
      </w:r>
    </w:p>
    <w:p>
      <w:pPr>
        <w:numPr>
          <w:ilvl w:val="0"/>
          <w:numId w:val="1022"/>
        </w:numPr>
      </w:pPr>
      <w:r>
        <w:t xml:space="preserve">All four action buttons functional (Accept/Edit/Reject/Escalate)</w:t>
      </w:r>
    </w:p>
    <w:p>
      <w:pPr>
        <w:numPr>
          <w:ilvl w:val="0"/>
          <w:numId w:val="1022"/>
        </w:numPr>
      </w:pPr>
      <w:r>
        <w:t xml:space="preserve">Audit trail logging all events in</w:t>
      </w:r>
      <w:r>
        <w:t xml:space="preserve"> </w:t>
      </w:r>
      <w:hyperlink w:anchor="tab:audit-events">
        <w:r>
          <w:rPr>
            <w:rStyle w:val="Hyperlink"/>
          </w:rPr>
          <w:t xml:space="preserve">8.4</w:t>
        </w:r>
      </w:hyperlink>
    </w:p>
    <w:p>
      <w:pPr>
        <w:numPr>
          <w:ilvl w:val="0"/>
          <w:numId w:val="1022"/>
        </w:numPr>
      </w:pPr>
      <w:r>
        <w:t xml:space="preserve">Analytics dashboard with metrics from</w:t>
      </w:r>
      <w:r>
        <w:t xml:space="preserve"> </w:t>
      </w:r>
      <w:hyperlink w:anchor="tab:analytics-metrics">
        <w:r>
          <w:rPr>
            <w:rStyle w:val="Hyperlink"/>
          </w:rPr>
          <w:t xml:space="preserve">8.2</w:t>
        </w:r>
      </w:hyperlink>
    </w:p>
    <w:p>
      <w:pPr>
        <w:numPr>
          <w:ilvl w:val="0"/>
          <w:numId w:val="1022"/>
        </w:numPr>
      </w:pPr>
      <w:r>
        <w:t xml:space="preserve">SLA countdown with business hours support</w:t>
      </w:r>
    </w:p>
    <w:p>
      <w:pPr>
        <w:numPr>
          <w:ilvl w:val="0"/>
          <w:numId w:val="1022"/>
        </w:numPr>
      </w:pPr>
      <w:r>
        <w:t xml:space="preserve">WCAG 2.1 AA compliance verified</w:t>
      </w:r>
    </w:p>
    <w:p>
      <w:pPr>
        <w:numPr>
          <w:ilvl w:val="0"/>
          <w:numId w:val="1022"/>
        </w:numPr>
      </w:pPr>
      <w:r>
        <w:t xml:space="preserve">REST API endpoints implemented and documented</w:t>
      </w:r>
    </w:p>
    <w:p>
      <w:pPr>
        <w:numPr>
          <w:ilvl w:val="0"/>
          <w:numId w:val="1022"/>
        </w:numPr>
      </w:pPr>
      <w:r>
        <w:t xml:space="preserve">OAuth 2.0 authentication and scope enforcement</w:t>
      </w:r>
      <w:r>
        <w:t xml:space="preserve"> </w:t>
      </w:r>
      <w:r>
        <w:t xml:space="preserve">(</w:t>
      </w:r>
      <w:hyperlink w:anchor="sec:dashboard-api-auth">
        <w:r>
          <w:rPr>
            <w:rStyle w:val="Hyperlink"/>
          </w:rPr>
          <w:t xml:space="preserve">8.9.1</w:t>
        </w:r>
      </w:hyperlink>
      <w:r>
        <w:t xml:space="preserve">) verified in integration tests</w:t>
      </w:r>
    </w:p>
    <w:p>
      <w:pPr>
        <w:numPr>
          <w:ilvl w:val="0"/>
          <w:numId w:val="1022"/>
        </w:numPr>
      </w:pPr>
      <w:r>
        <w:t xml:space="preserve">Integration tests with mock review scenarios</w:t>
      </w:r>
    </w:p>
    <w:bookmarkEnd w:id="143"/>
    <w:bookmarkEnd w:id="144"/>
    <w:bookmarkStart w:id="160" w:name="ch:testing"/>
    <w:p>
      <w:pPr>
        <w:pStyle w:val="Heading1"/>
      </w:pPr>
      <w:r>
        <w:t xml:space="preserve">Testing Specification</w:t>
      </w:r>
    </w:p>
    <w:p>
      <w:pPr>
        <w:pStyle w:val="FirstParagraph"/>
      </w:pPr>
      <w:r>
        <w:t xml:space="preserve">This chapter specifies the testing requirements for the Trial Balance review</w:t>
      </w:r>
      <w:r>
        <w:t xml:space="preserve"> </w:t>
      </w:r>
      <w:r>
        <w:t xml:space="preserve">pipeline, including test cases, coverage targets, and CI/CD integration.</w:t>
      </w:r>
    </w:p>
    <w:bookmarkStart w:id="146" w:name="test-coverage-requirements"/>
    <w:p>
      <w:pPr>
        <w:pStyle w:val="Heading2"/>
      </w:pPr>
      <w:r>
        <w:t xml:space="preserve">Test coverage requirements</w:t>
      </w:r>
    </w:p>
    <w:bookmarkStart w:id="145" w:name="tab:tb-coverage"/>
    <w:p>
      <w:pPr>
        <w:pStyle w:val="TableCaption"/>
      </w:pPr>
      <w:r>
        <w:t xml:space="preserve">Trial Balance test coverage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 Balance test coverage targe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Branch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calculator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accuracy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Materiality 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Commentary generator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 minimum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CI</w:t>
            </w:r>
          </w:p>
        </w:tc>
      </w:tr>
    </w:tbl>
    <w:bookmarkEnd w:id="145"/>
    <w:bookmarkEnd w:id="146"/>
    <w:bookmarkStart w:id="149" w:name="test-fixtures"/>
    <w:p>
      <w:pPr>
        <w:pStyle w:val="Heading2"/>
      </w:pPr>
      <w:r>
        <w:t xml:space="preserve">Test fixtures</w:t>
      </w:r>
    </w:p>
    <w:p>
      <w:pPr>
        <w:pStyle w:val="FirstParagraph"/>
      </w:pPr>
      <w:r>
        <w:t xml:space="preserve">Fixtures are located in</w:t>
      </w:r>
      <w:r>
        <w:t xml:space="preserve"> </w:t>
      </w:r>
      <w:r>
        <w:rPr>
          <w:rStyle w:val="VerbatimChar"/>
        </w:rPr>
        <w:t xml:space="preserve">tests/fixtures/tb/</w:t>
      </w:r>
      <w:r>
        <w:t xml:space="preserve">.</w:t>
      </w:r>
    </w:p>
    <w:bookmarkStart w:id="147" w:name="tb-extract-fixtures"/>
    <w:p>
      <w:pPr>
        <w:pStyle w:val="Heading3"/>
      </w:pPr>
      <w:r>
        <w:t xml:space="preserve">TB extract fixtures</w:t>
      </w:r>
    </w:p>
    <w:p>
      <w:pPr>
        <w:pStyle w:val="TableCaption"/>
      </w:pPr>
      <w:r>
        <w:t xml:space="preserve">Required TB extract fixture categories.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TB extract fixture categori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account types, normal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Inter-company, consolidation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variations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Month-end, quarter-end, year-end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10K, 50K, 100K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anomaly types</w:t>
            </w:r>
          </w:p>
        </w:tc>
      </w:tr>
    </w:tbl>
    <w:bookmarkEnd w:id="147"/>
    <w:bookmarkStart w:id="148" w:name="variance-fixtures"/>
    <w:p>
      <w:pPr>
        <w:pStyle w:val="Heading3"/>
      </w:pPr>
      <w:r>
        <w:t xml:space="preserve">Variance fixtures</w:t>
      </w:r>
    </w:p>
    <w:p>
      <w:pPr>
        <w:pStyle w:val="FirstParagraph"/>
      </w:pPr>
      <w:r>
        <w:t xml:space="preserve">Each variance fixture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cover:</w:t>
      </w:r>
    </w:p>
    <w:p>
      <w:pPr>
        <w:numPr>
          <w:ilvl w:val="0"/>
          <w:numId w:val="1023"/>
        </w:numPr>
      </w:pPr>
      <w:r>
        <w:t xml:space="preserve">Normal variance (within materiality threshold)</w:t>
      </w:r>
    </w:p>
    <w:p>
      <w:pPr>
        <w:numPr>
          <w:ilvl w:val="0"/>
          <w:numId w:val="1023"/>
        </w:numPr>
      </w:pPr>
      <w:r>
        <w:t xml:space="preserve">Material variance (exceeds threshold, no anomaly)</w:t>
      </w:r>
    </w:p>
    <w:p>
      <w:pPr>
        <w:numPr>
          <w:ilvl w:val="0"/>
          <w:numId w:val="1023"/>
        </w:numPr>
      </w:pPr>
      <w:r>
        <w:t xml:space="preserve">Spike anomaly (period-over-period</w:t>
      </w:r>
      <w:r>
        <w:t xml:space="preserve"> </w:t>
      </w:r>
      <m:oMath>
        <m:r>
          <m:rPr>
            <m:sty m:val="p"/>
          </m:rPr>
          <m:t>&gt;</m:t>
        </m:r>
        <m:r>
          <m:t>3</m:t>
        </m:r>
        <m:r>
          <m:t>σ</m:t>
        </m:r>
      </m:oMath>
      <w:r>
        <w:t xml:space="preserve">)</w:t>
      </w:r>
    </w:p>
    <w:p>
      <w:pPr>
        <w:numPr>
          <w:ilvl w:val="0"/>
          <w:numId w:val="1023"/>
        </w:numPr>
      </w:pPr>
      <w:r>
        <w:t xml:space="preserve">Sign flip (balance sign reversal)</w:t>
      </w:r>
    </w:p>
    <w:p>
      <w:pPr>
        <w:numPr>
          <w:ilvl w:val="0"/>
          <w:numId w:val="1023"/>
        </w:numPr>
      </w:pPr>
      <w:r>
        <w:t xml:space="preserve">New account (appearing for first time)</w:t>
      </w:r>
    </w:p>
    <w:p>
      <w:pPr>
        <w:numPr>
          <w:ilvl w:val="0"/>
          <w:numId w:val="1023"/>
        </w:numPr>
      </w:pPr>
      <w:r>
        <w:t xml:space="preserve">Stale balance (unchanged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6 months)</w:t>
      </w:r>
    </w:p>
    <w:bookmarkEnd w:id="148"/>
    <w:bookmarkEnd w:id="149"/>
    <w:bookmarkStart w:id="153" w:name="unit-test-cases"/>
    <w:p>
      <w:pPr>
        <w:pStyle w:val="Heading2"/>
      </w:pPr>
      <w:r>
        <w:t xml:space="preserve">Unit test cases</w:t>
      </w:r>
    </w:p>
    <w:bookmarkStart w:id="150" w:name="variance-detection"/>
    <w:p>
      <w:pPr>
        <w:pStyle w:val="Heading3"/>
      </w:pPr>
      <w:r>
        <w:t xml:space="preserve">Variance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period-over-period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materiality threshold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spike anomaly (</w:t>
            </w:r>
            <m:oMath>
              <m:r>
                <m:rPr>
                  <m:sty m:val="p"/>
                </m:rPr>
                <m:t>&gt;</m:t>
              </m:r>
              <m:r>
                <m:t>3</m:t>
              </m:r>
              <m:r>
                <m:t>σ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sign flip 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new account 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stale balance 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missing prior period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multi-currency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inter-company eliminations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TB-VAR-010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MAD fallback when normality fails</w:t>
            </w:r>
          </w:p>
        </w:tc>
      </w:tr>
    </w:tbl>
    <w:bookmarkEnd w:id="150"/>
    <w:bookmarkStart w:id="151" w:name="materiality-threshold"/>
    <w:p>
      <w:pPr>
        <w:pStyle w:val="Heading3"/>
      </w:pPr>
      <w:r>
        <w:t xml:space="preserve">Materiality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TB-MAT-001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hybrid percentile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TB-MAT-002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rolling average smoothing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TB-MAT-003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minimum threshold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TB-MAT-004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insufficient historical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TB-MAT-005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entity-specific override</w:t>
            </w:r>
          </w:p>
        </w:tc>
      </w:tr>
    </w:tbl>
    <w:bookmarkEnd w:id="151"/>
    <w:bookmarkStart w:id="152" w:name="robust-statistics"/>
    <w:p>
      <w:pPr>
        <w:pStyle w:val="Heading3"/>
      </w:pPr>
      <w:r>
        <w:t xml:space="preserve">Robust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TB-STAT-001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MAD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TB-STAT-002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non-normality via Shapiro-Wilk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TB-STAT-003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MAD when non-normal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TB-STAT-004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IQR-based threshold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TB-STAT-005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Percentile-based threshold</w:t>
            </w:r>
          </w:p>
        </w:tc>
      </w:tr>
    </w:tbl>
    <w:bookmarkEnd w:id="152"/>
    <w:bookmarkEnd w:id="153"/>
    <w:bookmarkStart w:id="155" w:name="integration-test-suite"/>
    <w:p>
      <w:pPr>
        <w:pStyle w:val="Heading2"/>
      </w:pPr>
      <w:r>
        <w:t xml:space="preserve">Integration test suite</w:t>
      </w:r>
    </w:p>
    <w:p>
      <w:pPr>
        <w:pStyle w:val="SourceCode"/>
      </w:pPr>
      <w:r>
        <w:rPr>
          <w:rStyle w:val="VerbatimChar"/>
        </w:rPr>
        <w:t xml:space="preserve">pytest tests/integration/tb/ -v --tb=short</w:t>
      </w:r>
    </w:p>
    <w:p>
      <w:pPr>
        <w:pStyle w:val="FirstParagraph"/>
      </w:pPr>
      <w:r>
        <w:t xml:space="preserve">Expected duration: 10 minutes.</w:t>
      </w:r>
    </w:p>
    <w:bookmarkStart w:id="154" w:name="end-to-end-scenarios"/>
    <w:p>
      <w:pPr>
        <w:pStyle w:val="Heading3"/>
      </w:pPr>
      <w:r>
        <w:t xml:space="preserve">End-to-end scenarios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Happy path</w:t>
      </w:r>
      <w:r>
        <w:t xml:space="preserve">: TB extract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variance calculation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anomaly detection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commentary generation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Anomaly review</w:t>
      </w:r>
      <w:r>
        <w:t xml:space="preserve">: Detected anomaly triggers human review queue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Multi-entity</w:t>
      </w:r>
      <w:r>
        <w:t xml:space="preserve">: Process 234 entities with correct parameters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Historical trend</w:t>
      </w:r>
      <w:r>
        <w:t xml:space="preserve">: 12-month historical analysis</w:t>
      </w:r>
    </w:p>
    <w:bookmarkEnd w:id="154"/>
    <w:bookmarkEnd w:id="155"/>
    <w:bookmarkStart w:id="156" w:name="performance-benchmarks"/>
    <w:p>
      <w:pPr>
        <w:pStyle w:val="Heading2"/>
      </w:pPr>
      <w:r>
        <w:t xml:space="preserve">Performance benchmarks</w:t>
      </w:r>
    </w:p>
    <w:p>
      <w:pPr>
        <w:pStyle w:val="TableCaption"/>
      </w:pPr>
      <w:r>
        <w:t xml:space="preserve">Trial Balance performance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 Balance performance target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p95 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Commentary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entity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accounts</w:t>
            </w:r>
          </w:p>
        </w:tc>
      </w:tr>
    </w:tbl>
    <w:bookmarkEnd w:id="156"/>
    <w:bookmarkStart w:id="157" w:name="data-quality-tests"/>
    <w:p>
      <w:pPr>
        <w:pStyle w:val="Heading2"/>
      </w:pPr>
      <w:r>
        <w:t xml:space="preserve">Data quality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TB-DQ-001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TB balances sum to zero (balanced)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TB-DQ-002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account codes match chart of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TB-DQ-003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currency codes are valid ISO 4217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TB-DQ-004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period dates are consistent</w:t>
            </w:r>
          </w:p>
        </w:tc>
      </w:tr>
    </w:tbl>
    <w:bookmarkEnd w:id="157"/>
    <w:bookmarkStart w:id="158" w:name="cicd-integration"/>
    <w:p>
      <w:pPr>
        <w:pStyle w:val="Heading2"/>
      </w:pPr>
      <w:r>
        <w:t xml:space="preserve">CI/CD integration</w:t>
      </w:r>
    </w:p>
    <w:p>
      <w:pPr>
        <w:pStyle w:val="SourceCode"/>
      </w:pPr>
      <w:r>
        <w:rPr>
          <w:rStyle w:val="VerbatimChar"/>
        </w:rPr>
        <w:t xml:space="preserve">tb-tests:</w:t>
      </w:r>
      <w:r>
        <w:br/>
      </w:r>
      <w:r>
        <w:rPr>
          <w:rStyle w:val="VerbatimChar"/>
        </w:rPr>
        <w:t xml:space="preserve">runs-on: ubuntu-latest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- uses: actions/checkout@v4</w:t>
      </w:r>
      <w:r>
        <w:br/>
      </w:r>
      <w:r>
        <w:rPr>
          <w:rStyle w:val="VerbatimChar"/>
        </w:rPr>
        <w:t xml:space="preserve">- name: Run TB tests</w:t>
      </w:r>
      <w:r>
        <w:br/>
      </w:r>
      <w:r>
        <w:rPr>
          <w:rStyle w:val="VerbatimChar"/>
        </w:rPr>
        <w:t xml:space="preserve">run: |</w:t>
      </w:r>
      <w:r>
        <w:br/>
      </w:r>
      <w:r>
        <w:rPr>
          <w:rStyle w:val="VerbatimChar"/>
        </w:rPr>
        <w:t xml:space="preserve">pytest tests/unit/tb/ -v --cov=src/tb</w:t>
      </w:r>
      <w:r>
        <w:br/>
      </w:r>
      <w:r>
        <w:rPr>
          <w:rStyle w:val="VerbatimChar"/>
        </w:rPr>
        <w:t xml:space="preserve">pytest tests/integration/tb/ -v</w:t>
      </w:r>
      <w:r>
        <w:br/>
      </w:r>
      <w:r>
        <w:rPr>
          <w:rStyle w:val="VerbatimChar"/>
        </w:rPr>
        <w:t xml:space="preserve">- name: Check coverage</w:t>
      </w:r>
      <w:r>
        <w:br/>
      </w:r>
      <w:r>
        <w:rPr>
          <w:rStyle w:val="VerbatimChar"/>
        </w:rPr>
        <w:t xml:space="preserve">run: |</w:t>
      </w:r>
      <w:r>
        <w:br/>
      </w:r>
      <w:r>
        <w:rPr>
          <w:rStyle w:val="VerbatimChar"/>
        </w:rPr>
        <w:t xml:space="preserve">coverage report --fail-under=85</w:t>
      </w:r>
    </w:p>
    <w:bookmarkEnd w:id="158"/>
    <w:bookmarkStart w:id="159" w:name="acceptance-criteria-1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Tests pass when:</w:t>
      </w:r>
    </w:p>
    <w:p>
      <w:pPr>
        <w:numPr>
          <w:ilvl w:val="0"/>
          <w:numId w:val="1025"/>
        </w:numPr>
      </w:pPr>
      <w:r>
        <w:t xml:space="preserve">All P1 test cases pass (100%)</w:t>
      </w:r>
    </w:p>
    <w:p>
      <w:pPr>
        <w:numPr>
          <w:ilvl w:val="0"/>
          <w:numId w:val="1025"/>
        </w:numPr>
      </w:pPr>
      <w:r>
        <w:t xml:space="preserve">P2 test cases pass (</w:t>
      </w:r>
      <m:oMath>
        <m:r>
          <m:rPr>
            <m:sty m:val="p"/>
          </m:rPr>
          <m:t>≥</m:t>
        </m:r>
      </m:oMath>
      <w:r>
        <w:t xml:space="preserve">95%)</w:t>
      </w:r>
    </w:p>
    <w:p>
      <w:pPr>
        <w:numPr>
          <w:ilvl w:val="0"/>
          <w:numId w:val="1025"/>
        </w:numPr>
      </w:pPr>
      <w:r>
        <w:t xml:space="preserve">P3 test cases pass (</w:t>
      </w:r>
      <m:oMath>
        <m:r>
          <m:rPr>
            <m:sty m:val="p"/>
          </m:rPr>
          <m:t>≥</m:t>
        </m:r>
      </m:oMath>
      <w:r>
        <w:t xml:space="preserve">90%)</w:t>
      </w:r>
    </w:p>
    <w:p>
      <w:pPr>
        <w:numPr>
          <w:ilvl w:val="0"/>
          <w:numId w:val="1025"/>
        </w:numPr>
      </w:pPr>
      <w:r>
        <w:t xml:space="preserve">Line coverage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85%</w:t>
      </w:r>
    </w:p>
    <w:p>
      <w:pPr>
        <w:numPr>
          <w:ilvl w:val="0"/>
          <w:numId w:val="1025"/>
        </w:numPr>
      </w:pPr>
      <w:r>
        <w:t xml:space="preserve">Variance calculations accurate to 2 decimal places</w:t>
      </w:r>
    </w:p>
    <w:p>
      <w:pPr>
        <w:numPr>
          <w:ilvl w:val="0"/>
          <w:numId w:val="1025"/>
        </w:numPr>
      </w:pPr>
      <w:r>
        <w:t xml:space="preserve">All statistical methods validated against reference implementations</w:t>
      </w:r>
    </w:p>
    <w:bookmarkEnd w:id="159"/>
    <w:bookmarkEnd w:id="160"/>
    <w:bookmarkStart w:id="175" w:name="ch:future-ml"/>
    <w:p>
      <w:pPr>
        <w:pStyle w:val="Heading1"/>
      </w:pPr>
      <w:r>
        <w:t xml:space="preserve">Future Work: ML-Based Anomaly Detection</w:t>
      </w:r>
    </w:p>
    <w:p>
      <w:pPr>
        <w:pStyle w:val="FirstParagraph"/>
      </w:pPr>
      <w:r>
        <w:t xml:space="preserve">This chapter documents the roadmap for transitioning from the current</w:t>
      </w:r>
      <w:r>
        <w:t xml:space="preserve"> </w:t>
      </w:r>
      <w:r>
        <w:rPr>
          <w:b/>
          <w:bCs/>
        </w:rPr>
        <w:t xml:space="preserve">statistical anomaly detection</w:t>
      </w:r>
      <w:r>
        <w:t xml:space="preserve"> </w:t>
      </w:r>
      <w:r>
        <w:t xml:space="preserve">methods (3</w:t>
      </w:r>
      <m:oMath>
        <m:r>
          <m:t>σ</m:t>
        </m:r>
      </m:oMath>
      <w:r>
        <w:t xml:space="preserve"> </w:t>
      </w:r>
      <w:r>
        <w:t xml:space="preserve">thresholds, MAD,</w:t>
      </w:r>
      <w:r>
        <w:t xml:space="preserve"> </w:t>
      </w:r>
      <w:r>
        <w:t xml:space="preserve">percentile-based rules) to</w:t>
      </w:r>
      <w:r>
        <w:t xml:space="preserve"> </w:t>
      </w:r>
      <w:r>
        <w:rPr>
          <w:b/>
          <w:bCs/>
        </w:rPr>
        <w:t xml:space="preserve">machine learning-based</w:t>
      </w:r>
      <w:r>
        <w:t xml:space="preserve"> </w:t>
      </w:r>
      <w:r>
        <w:t xml:space="preserve">approaches.</w:t>
      </w:r>
    </w:p>
    <w:p>
      <w:pPr>
        <w:pStyle w:val="BodyText"/>
      </w:pPr>
      <w:r>
        <w:rPr>
          <w:i/>
          <w:iCs/>
        </w:rPr>
        <w:t xml:space="preserve">Note: The current implementation uses statistical process control</w:t>
      </w:r>
      <w:r>
        <w:rPr>
          <w:i/>
          <w:iCs/>
        </w:rPr>
        <w:t xml:space="preserve"> </w:t>
      </w:r>
      <w:r>
        <w:rPr>
          <w:i/>
          <w:iCs/>
        </w:rPr>
        <w:t xml:space="preserve">techniques. The term</w:t>
      </w:r>
      <w:r>
        <w:rPr>
          <w:i/>
          <w:iCs/>
        </w:rPr>
        <w:t xml:space="preserve"> </w:t>
      </w:r>
      <w:r>
        <w:rPr>
          <w:i/>
          <w:iCs/>
        </w:rPr>
        <w:t xml:space="preserve">“ML-based”</w:t>
      </w:r>
      <w:r>
        <w:rPr>
          <w:i/>
          <w:iCs/>
        </w:rPr>
        <w:t xml:space="preserve"> </w:t>
      </w:r>
      <w:r>
        <w:rPr>
          <w:i/>
          <w:iCs/>
        </w:rPr>
        <w:t xml:space="preserve">has been removed from the main specification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to accurately reflect the current state. This chapter describes v2.0 plans.</w:t>
      </w:r>
    </w:p>
    <w:bookmarkStart w:id="161" w:name="current-state-statistical-detection"/>
    <w:p>
      <w:pPr>
        <w:pStyle w:val="Heading2"/>
      </w:pPr>
      <w:r>
        <w:t xml:space="preserve">Current state: Statistical detection</w:t>
      </w:r>
    </w:p>
    <w:p>
      <w:pPr>
        <w:pStyle w:val="FirstParagraph"/>
      </w:pPr>
      <w:r>
        <w:t xml:space="preserve">The v1.0 implementation uses four statistical checks (see Chapter 3):</w:t>
      </w:r>
    </w:p>
    <w:p>
      <w:pPr>
        <w:numPr>
          <w:ilvl w:val="0"/>
          <w:numId w:val="1026"/>
        </w:numPr>
      </w:pPr>
      <w:r>
        <w:t xml:space="preserve">Period spike detection (</w:t>
      </w:r>
      <m:oMath>
        <m:r>
          <m:rPr>
            <m:sty m:val="p"/>
          </m:rPr>
          <m:t>&gt;</m:t>
        </m:r>
        <m:r>
          <m:t>3</m:t>
        </m:r>
        <m:r>
          <m:t>σ</m:t>
        </m:r>
      </m:oMath>
      <w:r>
        <w:t xml:space="preserve"> </w:t>
      </w:r>
      <w:r>
        <w:t xml:space="preserve">from 12-month rolling mean)</w:t>
      </w:r>
    </w:p>
    <w:p>
      <w:pPr>
        <w:numPr>
          <w:ilvl w:val="0"/>
          <w:numId w:val="1026"/>
        </w:numPr>
      </w:pPr>
      <w:r>
        <w:t xml:space="preserve">Sign flip detection (balance sign reversal)</w:t>
      </w:r>
    </w:p>
    <w:p>
      <w:pPr>
        <w:numPr>
          <w:ilvl w:val="0"/>
          <w:numId w:val="1026"/>
        </w:numPr>
      </w:pPr>
      <w:r>
        <w:t xml:space="preserve">New account detection (no prior history)</w:t>
      </w:r>
    </w:p>
    <w:p>
      <w:pPr>
        <w:numPr>
          <w:ilvl w:val="0"/>
          <w:numId w:val="1026"/>
        </w:numPr>
      </w:pPr>
      <w:r>
        <w:t xml:space="preserve">Stale balance detection (unchanged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6 months)</w:t>
      </w:r>
    </w:p>
    <w:p>
      <w:pPr>
        <w:pStyle w:val="FirstParagraph"/>
      </w:pPr>
      <w:r>
        <w:t xml:space="preserve">These methods are effective for</w:t>
      </w:r>
      <w:r>
        <w:t xml:space="preserve"> </w:t>
      </w:r>
      <w:r>
        <w:rPr>
          <w:b/>
          <w:bCs/>
        </w:rPr>
        <w:t xml:space="preserve">known anomaly patterns</w:t>
      </w:r>
      <w:r>
        <w:t xml:space="preserve"> </w:t>
      </w:r>
      <w:r>
        <w:t xml:space="preserve">but have</w:t>
      </w:r>
      <w:r>
        <w:t xml:space="preserve"> </w:t>
      </w:r>
      <w:r>
        <w:t xml:space="preserve">limitations:</w:t>
      </w:r>
    </w:p>
    <w:p>
      <w:pPr>
        <w:numPr>
          <w:ilvl w:val="0"/>
          <w:numId w:val="1027"/>
        </w:numPr>
      </w:pPr>
      <w:r>
        <w:t xml:space="preserve">Cannot learn new anomaly patterns from historical data</w:t>
      </w:r>
    </w:p>
    <w:p>
      <w:pPr>
        <w:numPr>
          <w:ilvl w:val="0"/>
          <w:numId w:val="1027"/>
        </w:numPr>
      </w:pPr>
      <w:r>
        <w:t xml:space="preserve">Require manual threshold tuning per entity</w:t>
      </w:r>
    </w:p>
    <w:p>
      <w:pPr>
        <w:numPr>
          <w:ilvl w:val="0"/>
          <w:numId w:val="1027"/>
        </w:numPr>
      </w:pPr>
      <w:r>
        <w:t xml:space="preserve">Assume statistical stationarity (violated during restructuring)</w:t>
      </w:r>
    </w:p>
    <w:p>
      <w:pPr>
        <w:numPr>
          <w:ilvl w:val="0"/>
          <w:numId w:val="1027"/>
        </w:numPr>
      </w:pPr>
      <w:r>
        <w:t xml:space="preserve">Cannot capture multi-variate correlations</w:t>
      </w:r>
    </w:p>
    <w:bookmarkEnd w:id="161"/>
    <w:bookmarkStart w:id="165" w:name="v2.0-roadmap-machine-learning-approaches"/>
    <w:p>
      <w:pPr>
        <w:pStyle w:val="Heading2"/>
      </w:pPr>
      <w:r>
        <w:t xml:space="preserve">v2.0 roadmap: Machine learning approaches</w:t>
      </w:r>
    </w:p>
    <w:bookmarkStart w:id="162" w:name="isolation-forest"/>
    <w:p>
      <w:pPr>
        <w:pStyle w:val="Heading3"/>
      </w:pPr>
      <w:r>
        <w:t xml:space="preserve">Isolation Forest</w:t>
      </w:r>
    </w:p>
    <w:p>
      <w:pPr>
        <w:pStyle w:val="TableCaption"/>
      </w:pPr>
      <w:r>
        <w:t xml:space="preserve">Isolation Forest specification.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solation Forest specification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Forest (scikit-learn)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balance history, variance ratios, sign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historical TB data per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Contamination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(5% expected anomaly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Retraining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bookmarkEnd w:id="162"/>
    <w:bookmarkStart w:id="163" w:name="autoencoder"/>
    <w:p>
      <w:pPr>
        <w:pStyle w:val="Heading3"/>
      </w:pPr>
      <w:r>
        <w:t xml:space="preserve">Autoencoder</w:t>
      </w:r>
    </w:p>
    <w:p>
      <w:pPr>
        <w:pStyle w:val="TableCaption"/>
      </w:pPr>
      <w:r>
        <w:t xml:space="preserve">Autoencoder specification.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toencoder specification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autoencoder (128-64-32-64-128)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balance vectors (12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historical TB data, anomalies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squared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 error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95th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Retraining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bookmarkEnd w:id="163"/>
    <w:bookmarkStart w:id="164" w:name="time-series-forecasting"/>
    <w:p>
      <w:pPr>
        <w:pStyle w:val="Heading3"/>
      </w:pPr>
      <w:r>
        <w:t xml:space="preserve">Time-series forecasting</w:t>
      </w:r>
    </w:p>
    <w:p>
      <w:pPr>
        <w:pStyle w:val="FirstParagraph"/>
      </w:pPr>
      <w:r>
        <w:t xml:space="preserve">For accounts with seasonal patterns:</w:t>
      </w:r>
    </w:p>
    <w:p>
      <w:pPr>
        <w:numPr>
          <w:ilvl w:val="0"/>
          <w:numId w:val="1028"/>
        </w:numPr>
      </w:pPr>
      <w:r>
        <w:t xml:space="preserve">Prophet model for trend + seasonality decomposition</w:t>
      </w:r>
    </w:p>
    <w:p>
      <w:pPr>
        <w:numPr>
          <w:ilvl w:val="0"/>
          <w:numId w:val="1028"/>
        </w:numPr>
      </w:pPr>
      <w:r>
        <w:t xml:space="preserve">Anomaly = actual deviates from forecast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2</w:t>
      </w:r>
      <m:oMath>
        <m:r>
          <m:t>σ</m:t>
        </m:r>
      </m:oMath>
    </w:p>
    <w:p>
      <w:pPr>
        <w:numPr>
          <w:ilvl w:val="0"/>
          <w:numId w:val="1028"/>
        </w:numPr>
      </w:pPr>
      <w:r>
        <w:t xml:space="preserve">Requires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24 months history</w:t>
      </w:r>
    </w:p>
    <w:bookmarkEnd w:id="164"/>
    <w:bookmarkEnd w:id="165"/>
    <w:bookmarkStart w:id="169" w:name="transition-plan"/>
    <w:p>
      <w:pPr>
        <w:pStyle w:val="Heading2"/>
      </w:pPr>
      <w:r>
        <w:t xml:space="preserve">Transition plan</w:t>
      </w:r>
    </w:p>
    <w:bookmarkStart w:id="166" w:name="phase-1-shadow-mode-months-13"/>
    <w:p>
      <w:pPr>
        <w:pStyle w:val="Heading3"/>
      </w:pPr>
      <w:r>
        <w:t xml:space="preserve">Phase 1: Shadow mode (Months 1–3)</w:t>
      </w:r>
    </w:p>
    <w:p>
      <w:pPr>
        <w:numPr>
          <w:ilvl w:val="0"/>
          <w:numId w:val="1029"/>
        </w:numPr>
      </w:pPr>
      <w:r>
        <w:t xml:space="preserve">Deploy ML models alongside statistical checks</w:t>
      </w:r>
    </w:p>
    <w:p>
      <w:pPr>
        <w:numPr>
          <w:ilvl w:val="0"/>
          <w:numId w:val="1029"/>
        </w:numPr>
      </w:pPr>
      <w:r>
        <w:t xml:space="preserve">Log ML predictions without surfacing to users</w:t>
      </w:r>
    </w:p>
    <w:p>
      <w:pPr>
        <w:numPr>
          <w:ilvl w:val="0"/>
          <w:numId w:val="1029"/>
        </w:numPr>
      </w:pPr>
      <w:r>
        <w:t xml:space="preserve">Compare ML vs. statistical detection rates</w:t>
      </w:r>
    </w:p>
    <w:p>
      <w:pPr>
        <w:numPr>
          <w:ilvl w:val="0"/>
          <w:numId w:val="1029"/>
        </w:numPr>
      </w:pPr>
      <w:r>
        <w:t xml:space="preserve">Measure precision/recall on human-labelled anomalies</w:t>
      </w:r>
    </w:p>
    <w:bookmarkEnd w:id="166"/>
    <w:bookmarkStart w:id="167" w:name="phase-2-hybrid-mode-months-46"/>
    <w:p>
      <w:pPr>
        <w:pStyle w:val="Heading3"/>
      </w:pPr>
      <w:r>
        <w:t xml:space="preserve">Phase 2: Hybrid mode (Months 4–6)</w:t>
      </w:r>
    </w:p>
    <w:p>
      <w:pPr>
        <w:numPr>
          <w:ilvl w:val="0"/>
          <w:numId w:val="1030"/>
        </w:numPr>
      </w:pPr>
      <w:r>
        <w:t xml:space="preserve">Use statistical checks as primary</w:t>
      </w:r>
    </w:p>
    <w:p>
      <w:pPr>
        <w:numPr>
          <w:ilvl w:val="0"/>
          <w:numId w:val="1030"/>
        </w:numPr>
      </w:pPr>
      <w:r>
        <w:t xml:space="preserve">Add ML-detected anomalies as</w:t>
      </w:r>
      <w:r>
        <w:t xml:space="preserve"> </w:t>
      </w:r>
      <w:r>
        <w:t xml:space="preserve">“additional flags”</w:t>
      </w:r>
    </w:p>
    <w:p>
      <w:pPr>
        <w:numPr>
          <w:ilvl w:val="0"/>
          <w:numId w:val="1030"/>
        </w:numPr>
      </w:pPr>
      <w:r>
        <w:t xml:space="preserve">Collect user feedback on ML-only detections</w:t>
      </w:r>
    </w:p>
    <w:p>
      <w:pPr>
        <w:numPr>
          <w:ilvl w:val="0"/>
          <w:numId w:val="1030"/>
        </w:numPr>
      </w:pPr>
      <w:r>
        <w:t xml:space="preserve">Tune thresholds based on feedback</w:t>
      </w:r>
    </w:p>
    <w:bookmarkEnd w:id="167"/>
    <w:bookmarkStart w:id="168" w:name="phase-3-ml-primary-month-7"/>
    <w:p>
      <w:pPr>
        <w:pStyle w:val="Heading3"/>
      </w:pPr>
      <w:r>
        <w:t xml:space="preserve">Phase 3: ML primary (Month 7+)</w:t>
      </w:r>
    </w:p>
    <w:p>
      <w:pPr>
        <w:numPr>
          <w:ilvl w:val="0"/>
          <w:numId w:val="1031"/>
        </w:numPr>
      </w:pPr>
      <w:r>
        <w:t xml:space="preserve">Switch to ML as primary detection</w:t>
      </w:r>
    </w:p>
    <w:p>
      <w:pPr>
        <w:numPr>
          <w:ilvl w:val="0"/>
          <w:numId w:val="1031"/>
        </w:numPr>
      </w:pPr>
      <w:r>
        <w:t xml:space="preserve">Keep statistical checks as fallback</w:t>
      </w:r>
    </w:p>
    <w:p>
      <w:pPr>
        <w:numPr>
          <w:ilvl w:val="0"/>
          <w:numId w:val="1031"/>
        </w:numPr>
      </w:pPr>
      <w:r>
        <w:t xml:space="preserve">Establish continuous monitoring of model drift</w:t>
      </w:r>
    </w:p>
    <w:p>
      <w:pPr>
        <w:numPr>
          <w:ilvl w:val="0"/>
          <w:numId w:val="1031"/>
        </w:numPr>
      </w:pPr>
      <w:r>
        <w:t xml:space="preserve">Quarterly model retraining and validation</w:t>
      </w:r>
    </w:p>
    <w:bookmarkEnd w:id="168"/>
    <w:bookmarkEnd w:id="169"/>
    <w:bookmarkStart w:id="170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transition is complete when:</w:t>
      </w:r>
    </w:p>
    <w:p>
      <w:pPr>
        <w:numPr>
          <w:ilvl w:val="0"/>
          <w:numId w:val="1032"/>
        </w:numPr>
      </w:pPr>
      <w:r>
        <w:t xml:space="preserve">ML precision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85% (verified anomalies / flagged anomalies)</w:t>
      </w:r>
    </w:p>
    <w:p>
      <w:pPr>
        <w:numPr>
          <w:ilvl w:val="0"/>
          <w:numId w:val="1032"/>
        </w:numPr>
      </w:pPr>
      <w:r>
        <w:t xml:space="preserve">ML recall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90% (detected anomalies / actual anomalies)</w:t>
      </w:r>
    </w:p>
    <w:p>
      <w:pPr>
        <w:numPr>
          <w:ilvl w:val="0"/>
          <w:numId w:val="1032"/>
        </w:numPr>
      </w:pPr>
      <w:r>
        <w:t xml:space="preserve">False positive rate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10%</w:t>
      </w:r>
    </w:p>
    <w:p>
      <w:pPr>
        <w:numPr>
          <w:ilvl w:val="0"/>
          <w:numId w:val="1032"/>
        </w:numPr>
      </w:pPr>
      <w:r>
        <w:t xml:space="preserve">Human review load reduced by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20%</w:t>
      </w:r>
    </w:p>
    <w:p>
      <w:pPr>
        <w:numPr>
          <w:ilvl w:val="0"/>
          <w:numId w:val="1032"/>
        </w:numPr>
      </w:pPr>
      <w:r>
        <w:t xml:space="preserve">Model retraining automated and validated</w:t>
      </w:r>
    </w:p>
    <w:bookmarkEnd w:id="170"/>
    <w:bookmarkStart w:id="171" w:name="data-requirements"/>
    <w:p>
      <w:pPr>
        <w:pStyle w:val="Heading2"/>
      </w:pPr>
      <w:r>
        <w:t xml:space="preserve">Data requirements</w:t>
      </w:r>
    </w:p>
    <w:p>
      <w:pPr>
        <w:pStyle w:val="TableCaption"/>
      </w:pPr>
      <w:r>
        <w:t xml:space="preserve">Training data requirements for ML models.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ing data requirements for ML model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TB extracts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Labelled anomalies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500+ per 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 patterns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Prophet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234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</w:t>
            </w:r>
          </w:p>
        </w:tc>
      </w:tr>
    </w:tbl>
    <w:bookmarkEnd w:id="171"/>
    <w:bookmarkStart w:id="174" w:name="timeline-1"/>
    <w:p>
      <w:pPr>
        <w:pStyle w:val="Heading2"/>
      </w:pPr>
      <w:r>
        <w:t xml:space="preserve">Timeline</w:t>
      </w:r>
    </w:p>
    <w:bookmarkStart w:id="172" w:name="tab:ml-timeline"/>
    <w:p>
      <w:pPr>
        <w:pStyle w:val="TableCaption"/>
      </w:pPr>
      <w:r>
        <w:t xml:space="preserve">ML transition timeline (conditional, not committed).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L transition timeline (conditional, not committe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Gating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collection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Q3–Q4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data extraction; labelled anomaly backlog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500/entity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Forest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2+ quarters of dashboard audit trail (for labels)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mode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passes offline validation on held-out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mode pilot (HKG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mode shows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90% agreement with statistical checks on true positives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primary (limited rollout)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2027–Q1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success on HKG + 2 additional 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Q2–Q4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onboarded entities validated (paced by LE onboarding in </w:t>
            </w:r>
            <w:hyperlink w:anchor="sec:params-234">
              <w:r>
                <w:rPr>
                  <w:rStyle w:val="Hyperlink"/>
                </w:rPr>
                <w:t xml:space="preserve">4.9.1</w:t>
              </w:r>
            </w:hyperlink>
            <w:r>
              <w:t xml:space="preserve">)</w:t>
            </w:r>
          </w:p>
        </w:tc>
      </w:tr>
    </w:tbl>
    <w:bookmarkEnd w:id="172"/>
    <w:bookmarkStart w:id="173" w:name="schedule-realism."/>
    <w:p>
      <w:pPr>
        <w:pStyle w:val="Heading5"/>
      </w:pPr>
      <w:r>
        <w:t xml:space="preserve">Schedule realism.</w:t>
      </w:r>
    </w:p>
    <w:p>
      <w:pPr>
        <w:pStyle w:val="FirstParagraph"/>
      </w:pPr>
      <w:r>
        <w:t xml:space="preserve">The dates in Table </w:t>
      </w:r>
      <w:hyperlink w:anchor="tab:ml-timeline">
        <w:r>
          <w:rPr>
            <w:rStyle w:val="Hyperlink"/>
          </w:rPr>
          <w:t xml:space="preserve">10.1</w:t>
        </w:r>
      </w:hyperlink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target windows</w:t>
      </w:r>
      <w:r>
        <w:t xml:space="preserve">,</w:t>
      </w:r>
      <w:r>
        <w:t xml:space="preserve"> </w:t>
      </w:r>
      <w:r>
        <w:t xml:space="preserve">not committed dates. The v1.0 implementation has no ML model today</w:t>
      </w:r>
      <w:r>
        <w:t xml:space="preserve"> </w:t>
      </w:r>
      <w:r>
        <w:t xml:space="preserve">and no labelled anomaly corpus; the earliest honest shadow-mode</w:t>
      </w:r>
      <w:r>
        <w:t xml:space="preserve"> </w:t>
      </w:r>
      <w:r>
        <w:t xml:space="preserve">deployment is therefore gated on accumulating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2 quarters of</w:t>
      </w:r>
      <w:r>
        <w:t xml:space="preserve"> </w:t>
      </w:r>
      <w:r>
        <w:t xml:space="preserve">production dashboard decisions (start of the corpus coincides with</w:t>
      </w:r>
      <w:r>
        <w:t xml:space="preserve"> </w:t>
      </w:r>
      <w:r>
        <w:t xml:space="preserve">v1.0 go-live). Each milestone’s entry is a</w:t>
      </w:r>
      <w:r>
        <w:t xml:space="preserve"> </w:t>
      </w:r>
      <w:r>
        <w:rPr>
          <w:b/>
          <w:bCs/>
        </w:rPr>
        <w:t xml:space="preserve">target</w:t>
      </w:r>
      <w:r>
        <w:t xml:space="preserve">; missing</w:t>
      </w:r>
      <w:r>
        <w:t xml:space="preserve"> </w:t>
      </w:r>
      <w:r>
        <w:t xml:space="preserve">a target by one quarter does not block the v1.0 programme and does</w:t>
      </w:r>
      <w:r>
        <w:t xml:space="preserve"> </w:t>
      </w:r>
      <w:r>
        <w:t xml:space="preserve">not downgrade the v1.0 statistical methods. The programme</w:t>
      </w:r>
      <w:r>
        <w:t xml:space="preserve"> </w:t>
      </w:r>
      <w:r>
        <w:t xml:space="preserve">management office reviews this table quarterly and revises windows</w:t>
      </w:r>
      <w:r>
        <w:t xml:space="preserve"> </w:t>
      </w:r>
      <w:r>
        <w:t xml:space="preserve">based on: (a) labelled corpus volume, (b) LE onboarding pace</w:t>
      </w:r>
      <w:r>
        <w:t xml:space="preserve"> </w:t>
      </w:r>
      <w:r>
        <w:t xml:space="preserve">(</w:t>
      </w:r>
      <w:hyperlink w:anchor="sec:params-234">
        <w:r>
          <w:rPr>
            <w:rStyle w:val="Hyperlink"/>
          </w:rPr>
          <w:t xml:space="preserve">4.9.1</w:t>
        </w:r>
      </w:hyperlink>
      <w:r>
        <w:t xml:space="preserve">), and (c) controller feedback on</w:t>
      </w:r>
      <w:r>
        <w:t xml:space="preserve"> </w:t>
      </w:r>
      <w:r>
        <w:t xml:space="preserve">statistical detection false-positive rate. A formal decision to</w:t>
      </w:r>
      <w:r>
        <w:t xml:space="preserve"> </w:t>
      </w:r>
      <w:r>
        <w:t xml:space="preserve">commit to shadow-mode deployment is taken by the TB programme</w:t>
      </w:r>
      <w:r>
        <w:t xml:space="preserve"> </w:t>
      </w:r>
      <w:r>
        <w:t xml:space="preserve">board one quarter before the target.</w:t>
      </w:r>
    </w:p>
    <w:bookmarkEnd w:id="173"/>
    <w:bookmarkEnd w:id="174"/>
    <w:bookmarkEnd w:id="175"/>
    <w:bookmarkStart w:id="193" w:name="ch:tb-roadmap"/>
    <w:p>
      <w:pPr>
        <w:pStyle w:val="Heading1"/>
      </w:pPr>
      <w:r>
        <w:t xml:space="preserve">Project Roadmap</w:t>
      </w:r>
    </w:p>
    <w:bookmarkStart w:id="177" w:name="scope-of-this-chapter"/>
    <w:p>
      <w:pPr>
        <w:pStyle w:val="Heading2"/>
      </w:pPr>
      <w:r>
        <w:t xml:space="preserve">Scope of this chapter</w:t>
      </w:r>
    </w:p>
    <w:p>
      <w:pPr>
        <w:pStyle w:val="FirstParagraph"/>
      </w:pPr>
      <w:r>
        <w:t xml:space="preserve">This chapter is the roadmap for the</w:t>
      </w:r>
      <w:r>
        <w:t xml:space="preserve"> </w:t>
      </w:r>
      <w:r>
        <w:rPr>
          <w:b/>
          <w:bCs/>
        </w:rPr>
        <w:t xml:space="preserve">Trial Balance review and AI</w:t>
      </w:r>
      <w:r>
        <w:rPr>
          <w:b/>
          <w:bCs/>
        </w:rPr>
        <w:t xml:space="preserve"> </w:t>
      </w:r>
      <w:r>
        <w:rPr>
          <w:b/>
          <w:bCs/>
        </w:rPr>
        <w:t xml:space="preserve">augmentation</w:t>
      </w:r>
      <w:r>
        <w:t xml:space="preserve"> </w:t>
      </w:r>
      <w:r>
        <w:t xml:space="preserve">project. It is a project-level artefact, not a programme</w:t>
      </w:r>
      <w:r>
        <w:t xml:space="preserve"> </w:t>
      </w:r>
      <w:r>
        <w:t xml:space="preserve">plan. Other SAP OSS Finance projects (Simula, Arabic AP, Regulations)</w:t>
      </w:r>
      <w:r>
        <w:t xml:space="preserve"> </w:t>
      </w:r>
      <w:r>
        <w:t xml:space="preserve">run on the same platform, workspaces, and backends, but each owns its</w:t>
      </w:r>
      <w:r>
        <w:t xml:space="preserve"> </w:t>
      </w:r>
      <w:r>
        <w:t xml:space="preserve">own roadmap, business case, and go/no-go decision. This chapter adopts</w:t>
      </w:r>
      <w:r>
        <w:t xml:space="preserve"> </w:t>
      </w:r>
      <w:r>
        <w:t xml:space="preserve">the MoSCoW prioritisation and sequence-based critical path that the</w:t>
      </w:r>
      <w:r>
        <w:t xml:space="preserve"> </w:t>
      </w:r>
      <w:r>
        <w:t xml:space="preserve">four projects share so that artefacts can be compared at a glance; it</w:t>
      </w:r>
      <w:r>
        <w:t xml:space="preserve"> </w:t>
      </w:r>
      <w:r>
        <w:t xml:space="preserve">does not assert coupling between their go-live moments.</w:t>
      </w:r>
    </w:p>
    <w:bookmarkStart w:id="176" w:name="sequence-not-dates."/>
    <w:p>
      <w:pPr>
        <w:pStyle w:val="Heading5"/>
      </w:pPr>
      <w:r>
        <w:t xml:space="preserve">Sequence, not dates.</w:t>
      </w:r>
    </w:p>
    <w:p>
      <w:pPr>
        <w:pStyle w:val="FirstParagraph"/>
      </w:pPr>
      <w:r>
        <w:t xml:space="preserve">The milestones and dependency graph below express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relationships, not calendar dates. This is</w:t>
      </w:r>
      <w:r>
        <w:t xml:space="preserve"> </w:t>
      </w:r>
      <w:r>
        <w:t xml:space="preserve">deliberate. Implementation teams must know what depends on what, and</w:t>
      </w:r>
      <w:r>
        <w:t xml:space="preserve"> </w:t>
      </w:r>
      <w:r>
        <w:t xml:space="preserve">where the schedule can absorb slippage (the Should/Could items); a</w:t>
      </w:r>
      <w:r>
        <w:t xml:space="preserve"> </w:t>
      </w:r>
      <w:r>
        <w:t xml:space="preserve">date column would harden targets into commitments they were never</w:t>
      </w:r>
      <w:r>
        <w:t xml:space="preserve"> </w:t>
      </w:r>
      <w:r>
        <w:t xml:space="preserve">meant to be. Dates, when set, live in the project steering packet and</w:t>
      </w:r>
      <w:r>
        <w:t xml:space="preserve"> </w:t>
      </w:r>
      <w:r>
        <w:t xml:space="preserve">the ticketing system, not in this specification.</w:t>
      </w:r>
    </w:p>
    <w:bookmarkEnd w:id="176"/>
    <w:bookmarkEnd w:id="177"/>
    <w:bookmarkStart w:id="179" w:name="sec:tb-moscow"/>
    <w:p>
      <w:pPr>
        <w:pStyle w:val="Heading2"/>
      </w:pPr>
      <w:r>
        <w:t xml:space="preserve">MoSCoW classification</w:t>
      </w:r>
    </w:p>
    <w:p>
      <w:pPr>
        <w:pStyle w:val="FirstParagraph"/>
      </w:pPr>
      <w:r>
        <w:t xml:space="preserve">Every milestone below carries one of four priorities. The mapping is</w:t>
      </w:r>
      <w:r>
        <w:t xml:space="preserve"> </w:t>
      </w:r>
      <w:r>
        <w:t xml:space="preserve">contractual: a milestone’s priority determines what happens when it is</w:t>
      </w:r>
      <w:r>
        <w:t xml:space="preserve"> </w:t>
      </w:r>
      <w:r>
        <w:t xml:space="preserve">dropped, de-scoped, or slips.</w:t>
      </w:r>
    </w:p>
    <w:bookmarkStart w:id="178" w:name="tab:tb-moscow"/>
    <w:p>
      <w:pPr>
        <w:pStyle w:val="TableCaption"/>
      </w:pPr>
      <w:r>
        <w:t xml:space="preserve">MoSCoW prioritisation (shared across the four SAP OSS Finance</w:t>
      </w:r>
      <w:r>
        <w:t xml:space="preserve"> </w:t>
      </w:r>
      <w:r>
        <w:t xml:space="preserve">projects).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SCoW prioritisation (shared across the four SAP OSS Finance project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 for v1.0. Without this milestone, the release does not 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Missing a Must halts the release; see the kill-switch in</w:t>
            </w:r>
            <w:r>
              <w:t xml:space="preserve"> </w:t>
            </w:r>
            <w:hyperlink w:anchor="sec:tb-kill-switch">
              <w:r>
                <w:rPr>
                  <w:rStyle w:val="Hyperlink"/>
                </w:rPr>
                <w:t xml:space="preserve">11.5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but not vital. Ship without it only with sponsor sign-off; document the deviation in the business-case refresh.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slip by one rollout wave; two consecutive slips escalate to GFAIC.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Desirable enhancement. Included if Must and Should items are on track.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dropped to v1.1 at project steering’s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out of v1.0 scope. Listed so the boundary is legible.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 for v1.0 planning at all.</w:t>
            </w:r>
          </w:p>
        </w:tc>
      </w:tr>
    </w:tbl>
    <w:bookmarkEnd w:id="178"/>
    <w:p>
      <w:pPr>
        <w:pStyle w:val="BodyText"/>
      </w:pPr>
      <w:r>
        <w:t xml:space="preserve">The critical path of this project is the chain of Must items in</w:t>
      </w:r>
      <w:r>
        <w:t xml:space="preserve"> </w:t>
      </w:r>
      <w:hyperlink w:anchor="tab:tb-milestones">
        <w:r>
          <w:rPr>
            <w:rStyle w:val="Hyperlink"/>
          </w:rPr>
          <w:t xml:space="preserve">11.2</w:t>
        </w:r>
      </w:hyperlink>
      <w:r>
        <w:t xml:space="preserve">; the Should and Could items are where the</w:t>
      </w:r>
      <w:r>
        <w:t xml:space="preserve"> </w:t>
      </w:r>
      <w:r>
        <w:t xml:space="preserve">schedule and scope can absorb delivery risk without a release slip.</w:t>
      </w:r>
    </w:p>
    <w:bookmarkEnd w:id="179"/>
    <w:bookmarkStart w:id="181" w:name="sec:tb-dependency-graph"/>
    <w:p>
      <w:pPr>
        <w:pStyle w:val="Heading2"/>
      </w:pPr>
      <w:r>
        <w:t xml:space="preserve">Dependency graph</w:t>
      </w:r>
    </w:p>
    <w:bookmarkStart w:id="180" w:name="fig:tb-dependency-grap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Trial Balance dependency graph. Amber nodes are Must</w:t>
      </w:r>
      <w:r>
        <w:t xml:space="preserve"> </w:t>
      </w:r>
      <w:r>
        <w:t xml:space="preserve">(critical path); blue are Should (allowance); dotted green are Could</w:t>
      </w:r>
      <w:r>
        <w:t xml:space="preserve"> </w:t>
      </w:r>
      <w:r>
        <w:t xml:space="preserve">(discretionary). Solid arrows are hard prerequisites; dashed arrows</w:t>
      </w:r>
      <w:r>
        <w:t xml:space="preserve"> </w:t>
      </w:r>
      <w:r>
        <w:t xml:space="preserve">indicate conditional starts (the target is unlocked when the upstream</w:t>
      </w:r>
      <w:r>
        <w:t xml:space="preserve"> </w:t>
      </w:r>
      <w:r>
        <w:t xml:space="preserve">completes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v2.0 trigger fires).</w:t>
      </w:r>
    </w:p>
    <w:bookmarkEnd w:id="180"/>
    <w:bookmarkEnd w:id="181"/>
    <w:bookmarkStart w:id="183" w:name="sec:tb-milestones"/>
    <w:p>
      <w:pPr>
        <w:pStyle w:val="Heading2"/>
      </w:pPr>
      <w:r>
        <w:t xml:space="preserve">Project milestones</w:t>
      </w:r>
    </w:p>
    <w:bookmarkStart w:id="182" w:name="tab:tb-milestones"/>
    <w:p>
      <w:pPr>
        <w:pStyle w:val="TableCaption"/>
      </w:pPr>
      <w:r>
        <w:t xml:space="preserve">Trial Balance v1.0 project milestones in dependency order.</w:t>
      </w:r>
      <w:r>
        <w:t xml:space="preserve"> </w:t>
      </w:r>
      <w:r>
        <w:t xml:space="preserve">Priority: M=Must (critical path), S=Should, C=Could, W=Won’t.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 Balance v1.0 project milestones in dependency order. Priority: M=Must (critical path), S=Should, C=Could, W=Won’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TB-ENG-001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shell in UAT; all 28 workflow states reachable on the HK fixture.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TB-ENG-002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anomaly engine passes the fixtures in</w:t>
            </w:r>
            <w:r>
              <w:t xml:space="preserve"> </w:t>
            </w:r>
            <w:hyperlink w:anchor="ch:controls-engine">
              <w:r>
                <w:rPr>
                  <w:rStyle w:val="Hyperlink"/>
                </w:rPr>
                <w:t xml:space="preserve">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TB-ENG-003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scopes enforced end-to-end (</w:t>
            </w:r>
            <w:hyperlink w:anchor="sec:dashboard-api-auth">
              <w:r>
                <w:rPr>
                  <w:rStyle w:val="Hyperlink"/>
                </w:rPr>
                <w:t xml:space="preserve">8.9.1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M02, 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REG-INTG-TB-001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Identity-attribution wiring (reserve/complete) live in UAT.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TB-BETA-001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cycle: HK LE only, AI parallel to manual, no business users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TB-PARALLEL-001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parallel-run gate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TB-GA-001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sign-off by Head of Africa GFS; HK goes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TB-BC-REFRESH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Business-case refresh and compliance attestation (first cycle after GA; then annual).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TB-WAVE-002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wave 2: three further LEs onboarded via entity-params (</w:t>
            </w:r>
            <w:hyperlink w:anchor="sec:params-234">
              <w:r>
                <w:rPr>
                  <w:rStyle w:val="Hyperlink"/>
                </w:rPr>
                <w:t xml:space="preserve">4.9.1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TB-WAVE-003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wave 3: cumulative 12 LEs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TB-WAVE-N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Subsequent waves through full 234-LE coverage (repeated application of the onboarding runbook).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 + v2.0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TB-V2-KICKOFF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ML anomaly programme kickoff (Chapter </w:t>
            </w:r>
            <w:hyperlink w:anchor="ch:future-ml">
              <w:r>
                <w:rPr>
                  <w:rStyle w:val="Hyperlink"/>
                </w:rPr>
                <w:t xml:space="preserve">10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TB-COMMENTARY-TUNE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commentary-prompt retraining from accept/edit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TB-V1-ML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ML-based anomaly detection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 (see</w:t>
            </w:r>
            <w:r>
              <w:t xml:space="preserve"> </w:t>
            </w:r>
            <w:hyperlink w:anchor="ch:future-ml">
              <w:r>
                <w:rPr>
                  <w:rStyle w:val="Hyperlink"/>
                </w:rPr>
                <w:t xml:space="preserve">10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TB-V1-FULL-234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234-LE rollout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 v1.0 scope; scope for v1.0 ends at wave 3.</w:t>
            </w:r>
          </w:p>
        </w:tc>
      </w:tr>
    </w:tbl>
    <w:bookmarkEnd w:id="182"/>
    <w:p>
      <w:pPr>
        <w:pStyle w:val="BodyText"/>
      </w:pPr>
      <w:r>
        <w:t xml:space="preserve">The Must chain (M01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M02/M03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M08) is the critical path. The Should items (S01–S03) are</w:t>
      </w:r>
      <w:r>
        <w:t xml:space="preserve"> </w:t>
      </w:r>
      <w:r>
        <w:t xml:space="preserve">the primary</w:t>
      </w:r>
      <w:r>
        <w:t xml:space="preserve"> </w:t>
      </w:r>
      <w:r>
        <w:rPr>
          <w:i/>
          <w:iCs/>
        </w:rPr>
        <w:t xml:space="preserve">schedule allowance</w:t>
      </w:r>
      <w:r>
        <w:t xml:space="preserve">: if Must items run hot, rollout</w:t>
      </w:r>
      <w:r>
        <w:t xml:space="preserve"> </w:t>
      </w:r>
      <w:r>
        <w:t xml:space="preserve">waves can slip without affecting v1.0 sign-off. The Could items are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scope allowance</w:t>
      </w:r>
      <w:r>
        <w:t xml:space="preserve">: they may be cut to v1.1 without renegotiation.</w:t>
      </w:r>
    </w:p>
    <w:bookmarkEnd w:id="183"/>
    <w:bookmarkStart w:id="185" w:name="sec:tb-launch-tiers"/>
    <w:p>
      <w:pPr>
        <w:pStyle w:val="Heading2"/>
      </w:pPr>
      <w:r>
        <w:t xml:space="preserve">Launch tiers and exit gates</w:t>
      </w:r>
    </w:p>
    <w:p>
      <w:pPr>
        <w:pStyle w:val="FirstParagraph"/>
      </w:pPr>
      <w:r>
        <w:t xml:space="preserve">The project walks the four-tier ladder shared across SAP OSS Finance</w:t>
      </w:r>
      <w:r>
        <w:t xml:space="preserve"> </w:t>
      </w:r>
      <w:r>
        <w:t xml:space="preserve">projects. A tier is exited only when the named exit gate is satisfied;</w:t>
      </w:r>
      <w:r>
        <w:t xml:space="preserve"> </w:t>
      </w:r>
      <w:r>
        <w:t xml:space="preserve">slippage requires sponsor sign-off.</w:t>
      </w:r>
    </w:p>
    <w:bookmarkStart w:id="184" w:name="tab:tb-launch-tiers"/>
    <w:p>
      <w:pPr>
        <w:pStyle w:val="TableCaption"/>
      </w:pPr>
      <w:r>
        <w:t xml:space="preserve">Trial Balance launch tiers. The exit gate defines the MoSCoW</w:t>
      </w:r>
      <w:r>
        <w:t xml:space="preserve"> </w:t>
      </w:r>
      <w:r>
        <w:t xml:space="preserve">items that must be closed to exit the tier.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 Balance launch tiers. The exit gate defines the MoSCoW items that must be closed to exit the ti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gate (references MoSCoW 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only, DEV + UAT environments, no business users.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M01, M02, M03 closed; all acceptance criteria in</w:t>
            </w:r>
            <w:r>
              <w:t xml:space="preserve"> </w:t>
            </w:r>
            <w:hyperlink w:anchor="ch:controls">
              <w:r>
                <w:rPr>
                  <w:rStyle w:val="Hyperlink"/>
                </w:rPr>
                <w:t xml:space="preserve">6</w:t>
              </w:r>
            </w:hyperlink>
            <w:r>
              <w:t xml:space="preserve"> </w:t>
            </w:r>
            <w:r>
              <w:t xml:space="preserve">pass on the HK golden fixture; reproducibility of the variance engine confirmed on two consecutive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LE (Hong Kong), parallel to the manual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M04, M05, M06 closed; parallel-run comparison meets thresholds for one full cycle; no open SEV1/SEV2; audit coverage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100 % of in-scope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LEs (HK plus wave 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M07 closed; Beta gate sustained for two consecutive cycles; S01 closed; entity-params onboarding runbook exercised end-to-end; kill-switch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LEs in scope for v1.0 (through wave 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 closed; two quarterly reviews sustained; M08 complete; business-case refresh complete; EUC retirement plan (</w:t>
            </w:r>
            <w:hyperlink w:anchor="sec:euc-retirement-plan">
              <w:r>
                <w:rPr>
                  <w:rStyle w:val="Hyperlink"/>
                </w:rPr>
                <w:t xml:space="preserve">1.8</w:t>
              </w:r>
            </w:hyperlink>
            <w:r>
              <w:t xml:space="preserve">) at</w:t>
            </w:r>
            <w:r>
              <w:t xml:space="preserve"> </w:t>
            </w:r>
            <w:r>
              <w:t xml:space="preserve">“dashboard authoritative”</w:t>
            </w:r>
            <w:r>
              <w:t xml:space="preserve"> </w:t>
            </w:r>
            <w:r>
              <w:t xml:space="preserve">for all three EUCs.</w:t>
            </w:r>
          </w:p>
        </w:tc>
      </w:tr>
    </w:tbl>
    <w:bookmarkEnd w:id="184"/>
    <w:bookmarkEnd w:id="185"/>
    <w:bookmarkStart w:id="187" w:name="sec:tb-kill-switch"/>
    <w:p>
      <w:pPr>
        <w:pStyle w:val="Heading2"/>
      </w:pPr>
      <w:r>
        <w:t xml:space="preserve">Kill-switch conditions</w:t>
      </w:r>
    </w:p>
    <w:p>
      <w:pPr>
        <w:pStyle w:val="FirstParagraph"/>
      </w:pPr>
      <w:r>
        <w:t xml:space="preserve">The kill-switch is a pre-committed rulebook: a tripped condition enters</w:t>
      </w:r>
      <w:r>
        <w:t xml:space="preserve"> </w:t>
      </w:r>
      <w:r>
        <w:t xml:space="preserve">the action column without further debate. GFAIC and sponsor are</w:t>
      </w:r>
      <w:r>
        <w:t xml:space="preserve"> </w:t>
      </w:r>
      <w:r>
        <w:t xml:space="preserve">notified within 24 hours. The conditions are evaluated continuously</w:t>
      </w:r>
      <w:r>
        <w:t xml:space="preserve"> </w:t>
      </w:r>
      <w:r>
        <w:t xml:space="preserve">(on every cycle) and do not carry dates.</w:t>
      </w:r>
    </w:p>
    <w:bookmarkStart w:id="186" w:name="tab:tb-kill-switch"/>
    <w:p>
      <w:pPr>
        <w:pStyle w:val="TableCaption"/>
      </w:pPr>
      <w:r>
        <w:t xml:space="preserve">Trial Balance kill-switch.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 Balance kill-switch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Parallel-run disagreement rate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 10 % on three consecutive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Abandon v1.0</w:t>
            </w:r>
            <w:r>
              <w:t xml:space="preserve">; fall back to manual; re-scope v1.1.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time from</w:t>
            </w:r>
            <w:r>
              <w:t xml:space="preserve"> </w:t>
            </w:r>
            <w:r>
              <w:rPr>
                <w:smallCaps/>
              </w:rPr>
              <w:t xml:space="preserve">extract_tb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smallCaps/>
              </w:rPr>
              <w:t xml:space="preserve">send_fortm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 manual baseline for two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Redesign</w:t>
            </w:r>
            <w:r>
              <w:t xml:space="preserve">: halt rollout, fix latency, re-enter Beta.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Accept-without-edit rate of AI commentary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 40 % for two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Redesign prompt layer</w:t>
            </w:r>
            <w:r>
              <w:t xml:space="preserve">; commentary drafts gated behind a feature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Audit-coverage gap (missed</w:t>
            </w:r>
            <w:r>
              <w:t xml:space="preserve"> </w:t>
            </w:r>
            <w:r>
              <w:rPr>
                <w:rStyle w:val="VerbatimChar"/>
              </w:rPr>
              <w:t xml:space="preserve">reserve/complete</w:t>
            </w:r>
            <w:r>
              <w:t xml:space="preserve"> </w:t>
            </w:r>
            <w:r>
              <w:t xml:space="preserve">pair) detected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GA onboarding</w:t>
            </w:r>
            <w:r>
              <w:t xml:space="preserve">; incident-review before next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MAS MGF finding attributable to TB specifically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Halt rollout</w:t>
            </w:r>
            <w:r>
              <w:t xml:space="preserve">; remediate before next 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Shared-platform dependency in</w:t>
            </w:r>
            <w:r>
              <w:t xml:space="preserve"> </w:t>
            </w:r>
            <w:hyperlink w:anchor="tab:tb-shared-deps">
              <w:r>
                <w:rPr>
                  <w:rStyle w:val="Hyperlink"/>
                </w:rPr>
                <w:t xml:space="preserve">11.5</w:t>
              </w:r>
            </w:hyperlink>
            <w:r>
              <w:t xml:space="preserve"> </w:t>
            </w:r>
            <w:r>
              <w:t xml:space="preserve">declared red by its owner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Pause downstream Must</w:t>
            </w:r>
            <w:r>
              <w:t xml:space="preserve">; re-plan at next steering.</w:t>
            </w:r>
          </w:p>
        </w:tc>
      </w:tr>
    </w:tbl>
    <w:bookmarkEnd w:id="186"/>
    <w:bookmarkEnd w:id="187"/>
    <w:bookmarkStart w:id="189" w:name="sec:tb-shared-deps"/>
    <w:p>
      <w:pPr>
        <w:pStyle w:val="Heading2"/>
      </w:pPr>
      <w:r>
        <w:t xml:space="preserve">Shared-platform dependencies</w:t>
      </w:r>
    </w:p>
    <w:p>
      <w:pPr>
        <w:pStyle w:val="FirstParagraph"/>
      </w:pPr>
      <w:r>
        <w:t xml:space="preserve">This project depends on four shared-platform components. Each is owned</w:t>
      </w:r>
      <w:r>
        <w:t xml:space="preserve"> </w:t>
      </w:r>
      <w:r>
        <w:t xml:space="preserve">by a sibling project (Regulations) or by shared infra, and is tracked</w:t>
      </w:r>
      <w:r>
        <w:t xml:space="preserve"> </w:t>
      </w:r>
      <w:r>
        <w:t xml:space="preserve">here only as a dependency, not a commitment this project can</w:t>
      </w:r>
      <w:r>
        <w:t xml:space="preserve"> </w:t>
      </w:r>
      <w:r>
        <w:t xml:space="preserve">unilaterally adjust. Sequence is expressed in terms of the Must item</w:t>
      </w:r>
      <w:r>
        <w:t xml:space="preserve"> </w:t>
      </w:r>
      <w:r>
        <w:t xml:space="preserve">that first consumes the dependency, not in calendar time.</w:t>
      </w:r>
    </w:p>
    <w:bookmarkStart w:id="188" w:name="tab:tb-shared-deps"/>
    <w:p>
      <w:pPr>
        <w:pStyle w:val="TableCaption"/>
      </w:pPr>
      <w:r>
        <w:t xml:space="preserve">Shared-platform dependencies.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hared-platform dependenc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consumed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 if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service (reserve/complete, immutable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M04 (REG-INTG-TB-001)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Beta gate possible without this; TB GA slips in lockstep with the audit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schema registry 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</w:t>
            </w:r>
            <w:r>
              <w:t xml:space="preserve"> </w:t>
            </w:r>
            <w:r>
              <w:rPr>
                <w:rStyle w:val="VerbatimChar"/>
              </w:rPr>
              <w:t xml:space="preserve">migration.status=complete</w:t>
            </w:r>
            <w:r>
              <w:t xml:space="preserve">; no remaining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 hosting (</w:t>
            </w:r>
            <w:r>
              <w:rPr>
                <w:rStyle w:val="VerbatimChar"/>
              </w:rPr>
              <w:t xml:space="preserve">vllm-only</w:t>
            </w:r>
            <w:r>
              <w:t xml:space="preserve"> </w:t>
            </w:r>
            <w:r>
              <w:t xml:space="preserve">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Graceful-degradation ladder defined in the Regulations spec provides fallback; slip tolerable.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dashboard infra (SAPUI5 + BTP destination)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 to read-only evidence mirror on Shared Drive; EUC retirement timeline reopens.</w:t>
            </w:r>
          </w:p>
        </w:tc>
      </w:tr>
    </w:tbl>
    <w:bookmarkEnd w:id="188"/>
    <w:p>
      <w:pPr>
        <w:pStyle w:val="BodyText"/>
      </w:pPr>
      <w:r>
        <w:t xml:space="preserve">Shared-platform dependencies are surfaced at monthly steering. If any</w:t>
      </w:r>
      <w:r>
        <w:t xml:space="preserve"> </w:t>
      </w:r>
      <w:r>
        <w:t xml:space="preserve">upstream owner declares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on a component</w:t>
      </w:r>
      <w:r>
        <w:t xml:space="preserve"> </w:t>
      </w:r>
      <w:r>
        <w:t xml:space="preserve">in</w:t>
      </w:r>
      <w:r>
        <w:t xml:space="preserve"> </w:t>
      </w:r>
      <w:hyperlink w:anchor="tab:tb-shared-deps">
        <w:r>
          <w:rPr>
            <w:rStyle w:val="Hyperlink"/>
          </w:rPr>
          <w:t xml:space="preserve">11.5</w:t>
        </w:r>
      </w:hyperlink>
      <w:r>
        <w:t xml:space="preserve">, the affected downstream Must milestone</w:t>
      </w:r>
      <w:r>
        <w:t xml:space="preserve"> </w:t>
      </w:r>
      <w:r>
        <w:t xml:space="preserve">is re-planned at the following steering.</w:t>
      </w:r>
    </w:p>
    <w:bookmarkEnd w:id="189"/>
    <w:bookmarkStart w:id="192" w:name="sec:tb-governance"/>
    <w:p>
      <w:pPr>
        <w:pStyle w:val="Heading2"/>
      </w:pPr>
      <w:r>
        <w:t xml:space="preserve">Governance and business-case cadence</w:t>
      </w:r>
    </w:p>
    <w:bookmarkStart w:id="190" w:name="project-governance."/>
    <w:p>
      <w:pPr>
        <w:pStyle w:val="Heading5"/>
      </w:pPr>
      <w:r>
        <w:t xml:space="preserve">Project governance.</w:t>
      </w:r>
    </w:p>
    <w:p>
      <w:pPr>
        <w:pStyle w:val="FirstParagraph"/>
      </w:pPr>
      <w:r>
        <w:t xml:space="preserve">The Trial Balance project reports monthly to a project steering</w:t>
      </w:r>
      <w:r>
        <w:t xml:space="preserve"> </w:t>
      </w:r>
      <w:r>
        <w:t xml:space="preserve">(Process Owner, Head of Africa GFS, AI Engineer) and quarterly to the</w:t>
      </w:r>
      <w:r>
        <w:t xml:space="preserve"> </w:t>
      </w:r>
      <w:r>
        <w:t xml:space="preserve">cross-project GFAIC (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). Monthly steering accepts or</w:t>
      </w:r>
      <w:r>
        <w:t xml:space="preserve"> </w:t>
      </w:r>
      <w:r>
        <w:t xml:space="preserve">rejects amber/red signals on Must items; GFAIC reviews compliance</w:t>
      </w:r>
      <w:r>
        <w:t xml:space="preserve"> </w:t>
      </w:r>
      <w:r>
        <w:t xml:space="preserve">posture and any cross-project dependencies.</w:t>
      </w:r>
    </w:p>
    <w:bookmarkEnd w:id="190"/>
    <w:bookmarkStart w:id="191" w:name="business-case-refresh-m08."/>
    <w:p>
      <w:pPr>
        <w:pStyle w:val="Heading5"/>
      </w:pPr>
      <w:r>
        <w:t xml:space="preserve">Business-case refresh (M08).</w:t>
      </w:r>
    </w:p>
    <w:p>
      <w:pPr>
        <w:pStyle w:val="FirstParagraph"/>
      </w:pPr>
      <w:r>
        <w:t xml:space="preserve">The 2025-12-14 business case that authorises this project is refreshed</w:t>
      </w:r>
      <w:r>
        <w:t xml:space="preserve"> </w:t>
      </w:r>
      <w:r>
        <w:t xml:space="preserve">on the following rhythm: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Mandatory refresh</w:t>
      </w:r>
      <w:r>
        <w:t xml:space="preserve">: at the first cycle after GA, and</w:t>
      </w:r>
      <w:r>
        <w:t xml:space="preserve"> </w:t>
      </w:r>
      <w:r>
        <w:t xml:space="preserve">annually thereafter (ticket TB-BC-REFRESH, priority M in</w:t>
      </w:r>
      <w:r>
        <w:t xml:space="preserve"> </w:t>
      </w:r>
      <w:hyperlink w:anchor="tab:tb-milestones">
        <w:r>
          <w:rPr>
            <w:rStyle w:val="Hyperlink"/>
          </w:rPr>
          <w:t xml:space="preserve">11.2</w:t>
        </w:r>
      </w:hyperlink>
      <w:r>
        <w:t xml:space="preserve">). Refresh packet includes volume</w:t>
      </w:r>
      <w:r>
        <w:t xml:space="preserve"> </w:t>
      </w:r>
      <w:r>
        <w:t xml:space="preserve">assumptions, unit economics,</w:t>
      </w:r>
      <w:r>
        <w:t xml:space="preserve"> </w:t>
      </w:r>
      <w:r>
        <w:t xml:space="preserve">FTE leverage realised vs. forecast, and a deviation statement</w:t>
      </w:r>
      <w:r>
        <w:t xml:space="preserve"> </w:t>
      </w:r>
      <w:r>
        <w:t xml:space="preserve">against the 2025-12-14 baseline.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Trigger-based refresh</w:t>
      </w:r>
      <w:r>
        <w:t xml:space="preserve">: any of</w:t>
      </w:r>
    </w:p>
    <w:p>
      <w:pPr>
        <w:numPr>
          <w:ilvl w:val="1"/>
          <w:numId w:val="1034"/>
        </w:numPr>
      </w:pPr>
      <w:r>
        <w:t xml:space="preserve">LE count in scope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20</m:t>
        </m:r>
      </m:oMath>
      <w:r>
        <w:t xml:space="preserve"> % from forecast</w:t>
      </w:r>
      <w:r>
        <w:t xml:space="preserve"> </w:t>
      </w:r>
      <w:r>
        <w:t xml:space="preserve">(either direction);</w:t>
      </w:r>
    </w:p>
    <w:p>
      <w:pPr>
        <w:numPr>
          <w:ilvl w:val="1"/>
          <w:numId w:val="1034"/>
        </w:numPr>
      </w:pPr>
      <w:r>
        <w:t xml:space="preserve">per-cycle run cost changes by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30</m:t>
        </m:r>
      </m:oMath>
      <w:r>
        <w:t xml:space="preserve"> % (vLLM</w:t>
      </w:r>
      <w:r>
        <w:t xml:space="preserve"> </w:t>
      </w:r>
      <w:r>
        <w:t xml:space="preserve">licensing, GPU price, variance-engine throughput);</w:t>
      </w:r>
    </w:p>
    <w:p>
      <w:pPr>
        <w:numPr>
          <w:ilvl w:val="1"/>
          <w:numId w:val="1034"/>
        </w:numPr>
      </w:pPr>
      <w:r>
        <w:t xml:space="preserve">new regulatory obligation materially affecting scope</w:t>
      </w:r>
      <w:r>
        <w:t xml:space="preserve"> </w:t>
      </w:r>
      <w:r>
        <w:t xml:space="preserve">(e.g. new MAS MGF pillar, additional jurisdiction);</w:t>
      </w:r>
    </w:p>
    <w:p>
      <w:pPr>
        <w:numPr>
          <w:ilvl w:val="1"/>
          <w:numId w:val="1034"/>
        </w:numPr>
      </w:pPr>
      <w:r>
        <w:t xml:space="preserve">any kill-switch in</w:t>
      </w:r>
      <w:r>
        <w:t xml:space="preserve"> </w:t>
      </w:r>
      <w:hyperlink w:anchor="tab:tb-kill-switch">
        <w:r>
          <w:rPr>
            <w:rStyle w:val="Hyperlink"/>
          </w:rPr>
          <w:t xml:space="preserve">11.4</w:t>
        </w:r>
      </w:hyperlink>
      <w:r>
        <w:t xml:space="preserve"> </w:t>
      </w:r>
      <w:r>
        <w:t xml:space="preserve">is tripped.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Owner</w:t>
      </w:r>
      <w:r>
        <w:t xml:space="preserve">: business sponsor (TB-REQ-001 author,</w:t>
      </w:r>
      <w:r>
        <w:t xml:space="preserve"> </w:t>
      </w:r>
      <w:r>
        <w:t xml:space="preserve">S. Badrinath, or delegate). Approval routed through the</w:t>
      </w:r>
      <w:r>
        <w:t xml:space="preserve"> </w:t>
      </w:r>
      <w:r>
        <w:t xml:space="preserve">project steering and filed at</w:t>
      </w:r>
      <w:r>
        <w:t xml:space="preserve"> </w:t>
      </w:r>
      <w:r>
        <w:t xml:space="preserve">.</w:t>
      </w:r>
    </w:p>
    <w:bookmarkEnd w:id="191"/>
    <w:bookmarkEnd w:id="192"/>
    <w:bookmarkEnd w:id="193"/>
    <w:bookmarkStart w:id="231" w:name="ch:agent-impl"/>
    <w:p>
      <w:pPr>
        <w:pStyle w:val="Heading1"/>
      </w:pPr>
      <w:r>
        <w:t xml:space="preserve">Agent Implementation Instructions</w:t>
      </w:r>
    </w:p>
    <w:bookmarkStart w:id="194" w:name="purpose-and-audience"/>
    <w:p>
      <w:pPr>
        <w:pStyle w:val="Heading2"/>
      </w:pPr>
      <w:r>
        <w:t xml:space="preserve">Purpose and audience</w:t>
      </w:r>
    </w:p>
    <w:p>
      <w:pPr>
        <w:pStyle w:val="FirstParagraph"/>
      </w:pPr>
      <w:r>
        <w:t xml:space="preserve">This chapter is the self-contained, intent-based instruction set for</w:t>
      </w:r>
      <w:r>
        <w:t xml:space="preserve"> </w:t>
      </w:r>
      <w:r>
        <w:t xml:space="preserve">implementing the</w:t>
      </w:r>
      <w:r>
        <w:t xml:space="preserve"> </w:t>
      </w:r>
      <w:r>
        <w:rPr>
          <w:i/>
          <w:iCs/>
        </w:rPr>
        <w:t xml:space="preserve">Trial Balance review</w:t>
      </w:r>
      <w:r>
        <w:t xml:space="preserve"> </w:t>
      </w:r>
      <w:r>
        <w:t xml:space="preserve">domain inside the</w:t>
      </w:r>
      <w:r>
        <w:t xml:space="preserve"> </w:t>
      </w:r>
      <w:r>
        <w:t xml:space="preserve">unified SAP OSS platform. It is written for LLM-driven and human</w:t>
      </w:r>
      <w:r>
        <w:t xml:space="preserve"> </w:t>
      </w:r>
      <w:r>
        <w:t xml:space="preserve">implementation agents who will extend existing services to realise</w:t>
      </w:r>
      <w:r>
        <w:t xml:space="preserve"> </w:t>
      </w:r>
      <w:r>
        <w:t xml:space="preserve">the specification. It assumes only this PDF; every platform</w:t>
      </w:r>
      <w:r>
        <w:t xml:space="preserve"> </w:t>
      </w:r>
      <w:r>
        <w:t xml:space="preserve">decision, integration contract, and governance obligation the TB</w:t>
      </w:r>
      <w:r>
        <w:t xml:space="preserve"> </w:t>
      </w:r>
      <w:r>
        <w:t xml:space="preserve">workstream depends on is restated here so that no companion document</w:t>
      </w:r>
      <w:r>
        <w:t xml:space="preserve"> </w:t>
      </w:r>
      <w:r>
        <w:t xml:space="preserve">is required. Existing chapters </w:t>
      </w:r>
      <w:hyperlink w:anchor="ch:overview">
        <w:r>
          <w:rPr>
            <w:rStyle w:val="Hyperlink"/>
          </w:rPr>
          <w:t xml:space="preserve">1</w:t>
        </w:r>
      </w:hyperlink>
      <w:r>
        <w:t xml:space="preserve">–</w:t>
      </w:r>
      <w:hyperlink w:anchor="ch:tb-roadmap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remain the normative source for the TB domain itself; this chapter</w:t>
      </w:r>
      <w:r>
        <w:t xml:space="preserve"> </w:t>
      </w:r>
      <w:r>
        <w:t xml:space="preserve">tells future agents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what those chapters</w:t>
      </w:r>
      <w:r>
        <w:t xml:space="preserve"> </w:t>
      </w:r>
      <w:r>
        <w:t xml:space="preserve">describe,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put it in the codebase, 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plugs into the wider platform.</w:t>
      </w:r>
    </w:p>
    <w:bookmarkEnd w:id="194"/>
    <w:bookmarkStart w:id="195" w:name="sec:agent-rules"/>
    <w:p>
      <w:pPr>
        <w:pStyle w:val="Heading2"/>
      </w:pPr>
      <w:r>
        <w:t xml:space="preserve">Rules of Engagement for AI Agents</w:t>
      </w:r>
    </w:p>
    <w:p>
      <w:pPr>
        <w:pStyle w:val="FirstParagraph"/>
      </w:pPr>
      <w:r>
        <w:t xml:space="preserve">To ensure safety and architectural integrity, all implementation agents must adhere to the following Prime Directives: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Credential Protection.</w:t>
      </w:r>
      <w:r>
        <w:t xml:space="preserve"> </w:t>
      </w:r>
      <w:r>
        <w:t xml:space="preserve">Never log, print, or commit secrets. Use the</w:t>
      </w:r>
      <w:r>
        <w:t xml:space="preserve"> </w:t>
      </w:r>
      <w:r>
        <w:rPr>
          <w:rStyle w:val="VerbatimChar"/>
        </w:rPr>
        <w:t xml:space="preserve">.secrets.example</w:t>
      </w:r>
      <w:r>
        <w:t xml:space="preserve"> </w:t>
      </w:r>
      <w:r>
        <w:t xml:space="preserve">pattern for all new integrations.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Context Efficiency.</w:t>
      </w:r>
      <w:r>
        <w:t xml:space="preserve"> </w:t>
      </w:r>
      <w:r>
        <w:t xml:space="preserve">Prioritize surgical edits. Request only the minimum required file ranges to satisfy the task intent.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Test-Driven Implementation.</w:t>
      </w:r>
      <w:r>
        <w:t xml:space="preserve"> </w:t>
      </w:r>
      <w:r>
        <w:t xml:space="preserve">No code is complete without a corresponding fixture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and a passing validation run.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Self-Correction.</w:t>
      </w:r>
      <w:r>
        <w:t xml:space="preserve"> </w:t>
      </w:r>
      <w:r>
        <w:t xml:space="preserve">If a schema validation fails, the agent must diagnose the root cause (hallucination vs. schema drift) before re-attempting implementation.</w:t>
      </w:r>
    </w:p>
    <w:bookmarkEnd w:id="195"/>
    <w:bookmarkStart w:id="198" w:name="sec:agent-platform-overview"/>
    <w:p>
      <w:pPr>
        <w:pStyle w:val="Heading2"/>
      </w:pPr>
      <w:r>
        <w:t xml:space="preserve">Platform Overview — One Codebase, One Instance</w:t>
      </w:r>
    </w:p>
    <w:bookmarkStart w:id="196" w:name="integration-stance"/>
    <w:p>
      <w:pPr>
        <w:pStyle w:val="Heading3"/>
      </w:pPr>
      <w:r>
        <w:t xml:space="preserve">Integration Stance</w:t>
      </w:r>
    </w:p>
    <w:p>
      <w:pPr>
        <w:pStyle w:val="FirstParagraph"/>
      </w:pPr>
      <w:r>
        <w:t xml:space="preserve">The SAP OSS platform is delivered as a single codebase that runs as a single logical instance. All cross-cutting concerns are hosted by existing services.</w:t>
      </w:r>
    </w:p>
    <w:p>
      <w:pPr>
        <w:pStyle w:val="BodyText"/>
      </w:pPr>
      <w:r>
        <w:t xml:space="preserve">One Codebase, One Instance</w:t>
      </w:r>
      <w:r>
        <w:t xml:space="preserve"> </w:t>
      </w:r>
      <w:r>
        <w:t xml:space="preserve">To minimize integration latency and eliminate distributed-system failure modes (e.g., partial partitions), we mandate a single logical instance. All cross-domain orchestration happens via the MCP Gateway layer.</w:t>
      </w:r>
    </w:p>
    <w:bookmarkEnd w:id="196"/>
    <w:bookmarkStart w:id="197" w:name="sec:platform-map"/>
    <w:p>
      <w:pPr>
        <w:pStyle w:val="Heading3"/>
      </w:pPr>
      <w:r>
        <w:t xml:space="preserve">Platform Integration Map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Cross-domain interaction and unified data flow map. Detailed governance logic is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197"/>
    <w:bookmarkEnd w:id="198"/>
    <w:bookmarkStart w:id="201" w:name="sec:agent-sequences"/>
    <w:p>
      <w:pPr>
        <w:pStyle w:val="Heading2"/>
      </w:pPr>
      <w:r>
        <w:t xml:space="preserve">Transactional Sequence Diagrams</w:t>
      </w:r>
    </w:p>
    <w:p>
      <w:pPr>
        <w:pStyle w:val="FirstParagraph"/>
      </w:pPr>
      <w:r>
        <w:t xml:space="preserve">Implementation agents must adhere to the temporal logic defined below. Every cross-domain request MUST be brokered by the Regulations Wrapper.</w:t>
      </w:r>
    </w:p>
    <w:bookmarkStart w:id="199" w:name="universal-governance-handshake"/>
    <w:p>
      <w:pPr>
        <w:pStyle w:val="Heading3"/>
      </w:pPr>
      <w:r>
        <w:t xml:space="preserve">Universal Governance Handshake</w:t>
      </w:r>
    </w:p>
    <w:p>
      <w:pPr>
        <w:pStyle w:val="FirstParagraph"/>
      </w:pPr>
      <w:r>
        <w:t xml:space="preserve">This sequence applies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platform service calls.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Standard platform handshake for governed tool execution. Audit schemas are detailed in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199"/>
    <w:bookmarkStart w:id="200" w:name="arabic-ap-golden-path"/>
    <w:p>
      <w:pPr>
        <w:pStyle w:val="Heading3"/>
      </w:pPr>
      <w:r>
        <w:t xml:space="preserve">Arabic AP Golden Path</w:t>
      </w:r>
    </w:p>
    <w:p>
      <w:pPr>
        <w:pStyle w:val="FirstParagraph"/>
      </w:pPr>
      <w:r>
        <w:t xml:space="preserve">Temporal flow for invoice processing with Arabic context.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Arabic AP sequence: Scanned PDF to Release. VAT rules are specified in</w:t>
      </w:r>
      <w:r>
        <w:t xml:space="preserve"> </w:t>
      </w:r>
      <w:hyperlink w:anchor="ar:ch:vat">
        <w:r>
          <w:rPr>
            <w:rStyle w:val="Hyperlink"/>
          </w:rPr>
          <w:t xml:space="preserve">[ar:ch:vat]</w:t>
        </w:r>
      </w:hyperlink>
      <w:r>
        <w:t xml:space="preserve">.</w:t>
      </w:r>
    </w:p>
    <w:bookmarkEnd w:id="200"/>
    <w:bookmarkEnd w:id="201"/>
    <w:bookmarkStart w:id="203" w:name="sec:hardware-profiles"/>
    <w:p>
      <w:pPr>
        <w:pStyle w:val="Heading2"/>
      </w:pPr>
      <w:r>
        <w:t xml:space="preserve">Compute and Resource Alignment</w:t>
      </w:r>
    </w:p>
    <w:p>
      <w:pPr>
        <w:pStyle w:val="FirstParagraph"/>
      </w:pPr>
      <w:r>
        <w:t xml:space="preserve">AI algorithms are calibrated for the reference infrastructure established in the domain chapters:</w:t>
      </w:r>
    </w:p>
    <w:bookmarkStart w:id="202" w:name="tab:hardware-profiles"/>
    <w:p>
      <w:pPr>
        <w:pStyle w:val="TableCaption"/>
      </w:pPr>
      <w:r>
        <w:t xml:space="preserve">Infrastructure Reference Profiles.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frastructure Reference Profi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L40S (48GB)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AWQ 4-bit / p95 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(40/80GB)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/ p99 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SXM4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throughput parity</w:t>
            </w:r>
          </w:p>
        </w:tc>
      </w:tr>
    </w:tbl>
    <w:bookmarkEnd w:id="202"/>
    <w:bookmarkEnd w:id="203"/>
    <w:bookmarkStart w:id="204" w:name="sec:hitl-gates"/>
    <w:p>
      <w:pPr>
        <w:pStyle w:val="Heading2"/>
      </w:pPr>
      <w:r>
        <w:t xml:space="preserve">Human-in-the-Loop (HITL) Critical Gates</w:t>
      </w:r>
    </w:p>
    <w:p>
      <w:pPr>
        <w:pStyle w:val="FirstParagraph"/>
      </w:pPr>
      <w:r>
        <w:t xml:space="preserve">The following "Four-Eyes" gates are mandatory. AI agents must implement the "Awaiting Sign-off" state for these actions: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VAT Release:</w:t>
      </w:r>
      <w:r>
        <w:t xml:space="preserve"> </w:t>
      </w:r>
      <w:r>
        <w:t xml:space="preserve">No invoice marked as</w:t>
      </w:r>
      <w:r>
        <w:t xml:space="preserve"> </w:t>
      </w:r>
      <w:r>
        <w:rPr>
          <w:smallCaps/>
        </w:rPr>
        <w:t xml:space="preserve">hold</w:t>
      </w:r>
      <w:r>
        <w:t xml:space="preserve"> </w:t>
      </w:r>
      <w:r>
        <w:t xml:space="preserve">can be released without human review (see</w:t>
      </w:r>
      <w:r>
        <w:t xml:space="preserve"> </w:t>
      </w:r>
      <w:hyperlink w:anchor="ar:ch:ap">
        <w:r>
          <w:rPr>
            <w:rStyle w:val="Hyperlink"/>
          </w:rPr>
          <w:t xml:space="preserve">[ar:ch:ap]</w:t>
        </w:r>
      </w:hyperlink>
      <w:r>
        <w:t xml:space="preserve">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Anomaly Override:</w:t>
      </w:r>
      <w:r>
        <w:t xml:space="preserve"> </w:t>
      </w:r>
      <w:r>
        <w:t xml:space="preserve">Statistical outliers (</w:t>
      </w:r>
      <m:oMath>
        <m:r>
          <m:t>3</m:t>
        </m:r>
        <m:r>
          <m:t>σ</m:t>
        </m:r>
      </m:oMath>
      <w:r>
        <w:t xml:space="preserve">) cannot be dismissed by AI; only "Confirmed" or "Triaged" by human (see</w:t>
      </w:r>
      <w:r>
        <w:t xml:space="preserve"> </w:t>
      </w:r>
      <w:hyperlink w:anchor="tb:ch:controls">
        <w:r>
          <w:rPr>
            <w:rStyle w:val="Hyperlink"/>
          </w:rPr>
          <w:t xml:space="preserve">[tb:ch:controls]</w:t>
        </w:r>
      </w:hyperlink>
      <w:r>
        <w:t xml:space="preserve">).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Journal Posting:</w:t>
      </w:r>
      <w:r>
        <w:t xml:space="preserve"> </w:t>
      </w:r>
      <w:r>
        <w:t xml:space="preserve">Agents may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journal entries, but only the Financial Controller persona can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to S/4HANA (see</w:t>
      </w:r>
      <w:r>
        <w:t xml:space="preserve"> </w:t>
      </w:r>
      <w:hyperlink w:anchor="tb:ch:controls-engine">
        <w:r>
          <w:rPr>
            <w:rStyle w:val="Hyperlink"/>
          </w:rPr>
          <w:t xml:space="preserve">[tb:ch:controls-engine]</w:t>
        </w:r>
      </w:hyperlink>
      <w:r>
        <w:t xml:space="preserve">).</w:t>
      </w:r>
    </w:p>
    <w:bookmarkEnd w:id="204"/>
    <w:bookmarkStart w:id="205" w:name="sec:registry-integrity"/>
    <w:p>
      <w:pPr>
        <w:pStyle w:val="Heading2"/>
      </w:pPr>
      <w:r>
        <w:t xml:space="preserve">Registry Integrity &amp; Live Status</w:t>
      </w:r>
    </w:p>
    <w:p>
      <w:pPr>
        <w:pStyle w:val="FirstParagraph"/>
      </w:pPr>
      <w:r>
        <w:t xml:space="preserve">Before initiating any schema-dependent task, implementation agents must verify the live status of the Unified Schema Registry (see</w:t>
      </w:r>
      <w:r>
        <w:t xml:space="preserve"> </w:t>
      </w:r>
      <w:hyperlink w:anchor="sim:chap:schema">
        <w:r>
          <w:rPr>
            <w:rStyle w:val="Hyperlink"/>
          </w:rPr>
          <w:t xml:space="preserve">[sim:chap:schema]</w:t>
        </w:r>
      </w:hyperlink>
      <w:r>
        <w:t xml:space="preserve">).</w:t>
      </w:r>
    </w:p>
    <w:p>
      <w:pPr>
        <w:pStyle w:val="BodyText"/>
      </w:pPr>
      <w:r>
        <w:t xml:space="preserve">Registry First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docs/schema/registry.json</w:t>
      </w:r>
      <w:r>
        <w:t xml:space="preserve"> </w:t>
      </w:r>
      <w:r>
        <w:t xml:space="preserve">is out of sync with the codebase, the agent must halt and emit a</w:t>
      </w:r>
      <w:r>
        <w:t xml:space="preserve"> </w:t>
      </w:r>
      <w:r>
        <w:rPr>
          <w:smallCaps/>
        </w:rPr>
        <w:t xml:space="preserve">schema-mismatch</w:t>
      </w:r>
      <w:r>
        <w:t xml:space="preserve"> </w:t>
      </w:r>
      <w:r>
        <w:t xml:space="preserve">event.</w:t>
      </w:r>
    </w:p>
    <w:bookmarkEnd w:id="205"/>
    <w:bookmarkStart w:id="209" w:name="master-implementation-manifest-union"/>
    <w:p>
      <w:pPr>
        <w:pStyle w:val="Heading2"/>
      </w:pPr>
      <w:r>
        <w:t xml:space="preserve">Master Implementation Manifest (Union)</w:t>
      </w:r>
    </w:p>
    <w:p>
      <w:pPr>
        <w:pStyle w:val="FirstParagraph"/>
      </w:pPr>
      <w:r>
        <w:t xml:space="preserve">Implementation runs in three waves across the entire platform.</w:t>
      </w:r>
    </w:p>
    <w:bookmarkStart w:id="206" w:name="wave-1-foundations"/>
    <w:p>
      <w:pPr>
        <w:pStyle w:val="Heading3"/>
      </w:pPr>
      <w:r>
        <w:t xml:space="preserve">Wave 1 — Foundations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HANA schema extraction pipeline (MCP discovery). See</w:t>
      </w:r>
      <w:r>
        <w:t xml:space="preserve"> </w:t>
      </w:r>
      <w:hyperlink w:anchor="sim:chap:extraction">
        <w:r>
          <w:rPr>
            <w:rStyle w:val="Hyperlink"/>
          </w:rPr>
          <w:t xml:space="preserve">[sim:chap:extraction]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MAS MGF Pillar 1 logic (Tool allow-list). See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Invoice Intake &amp; OCR Gateway. See</w:t>
      </w:r>
      <w:r>
        <w:t xml:space="preserve"> </w:t>
      </w:r>
      <w:hyperlink w:anchor="ar:ch:ai">
        <w:r>
          <w:rPr>
            <w:rStyle w:val="Hyperlink"/>
          </w:rPr>
          <w:t xml:space="preserve">[ar:ch:ai]</w:t>
        </w:r>
      </w:hyperlink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identity-attribution wiring.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bookmarkEnd w:id="206"/>
    <w:bookmarkStart w:id="207" w:name="wave-2-core-domain-build-out"/>
    <w:p>
      <w:pPr>
        <w:pStyle w:val="Heading3"/>
      </w:pPr>
      <w:r>
        <w:t xml:space="preserve">Wave 2 — Core Domain Build-out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Implement Controls &amp; Commentary Engine (3</w:t>
      </w:r>
      <m:oMath>
        <m:r>
          <m:t>σ</m:t>
        </m:r>
      </m:oMath>
      <w:r>
        <w:t xml:space="preserve"> </w:t>
      </w:r>
      <w:r>
        <w:t xml:space="preserve">anomaly logic). See</w:t>
      </w:r>
      <w:r>
        <w:t xml:space="preserve"> </w:t>
      </w:r>
      <w:hyperlink w:anchor="tb:ch:ai,tb:ch:controls-engine">
        <w:r>
          <w:rPr>
            <w:rStyle w:val="Hyperlink"/>
          </w:rPr>
          <w:t xml:space="preserve">[tb:ch:ai,tb:ch:controls-engine]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Arabic:</w:t>
      </w:r>
      <w:r>
        <w:t xml:space="preserve"> </w:t>
      </w:r>
      <w:r>
        <w:t xml:space="preserve">Implement multi-country VAT Engine (Saudi, UAE, Bahrain, Oman). See</w:t>
      </w:r>
      <w:r>
        <w:t xml:space="preserve"> </w:t>
      </w:r>
      <w:hyperlink w:anchor="ar:ch:vat,ar:ch:vat-impl">
        <w:r>
          <w:rPr>
            <w:rStyle w:val="Hyperlink"/>
          </w:rPr>
          <w:t xml:space="preserve">[ar:ch:vat,ar:ch:vat-impl]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Implement Taxonomy Generation &amp; Agentic Data Synthesis. See</w:t>
      </w:r>
      <w:r>
        <w:t xml:space="preserve"> </w:t>
      </w:r>
      <w:hyperlink w:anchor="sim:chap:taxonomy,sim:chap:generator">
        <w:r>
          <w:rPr>
            <w:rStyle w:val="Hyperlink"/>
          </w:rPr>
          <w:t xml:space="preserve">[sim:chap:taxonomy,sim:chap:generator]</w:t>
        </w:r>
      </w:hyperlink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Realise 28-state BPMN workflow (</w:t>
      </w:r>
      <w:r>
        <w:rPr>
          <w:rStyle w:val="VerbatimChar"/>
        </w:rPr>
        <w:t xml:space="preserve">tb-review-glo</w:t>
      </w:r>
      <w:r>
        <w:t xml:space="preserve">). See</w:t>
      </w:r>
      <w:r>
        <w:t xml:space="preserve"> </w:t>
      </w:r>
      <w:hyperlink w:anchor="tb:ch:workflow">
        <w:r>
          <w:rPr>
            <w:rStyle w:val="Hyperlink"/>
          </w:rPr>
          <w:t xml:space="preserve">[tb:ch:workflow]</w:t>
        </w:r>
      </w:hyperlink>
      <w:r>
        <w:t xml:space="preserve">.</w:t>
      </w:r>
    </w:p>
    <w:bookmarkEnd w:id="207"/>
    <w:bookmarkStart w:id="208" w:name="wave-3-hardening"/>
    <w:p>
      <w:pPr>
        <w:pStyle w:val="Heading3"/>
      </w:pPr>
      <w:r>
        <w:t xml:space="preserve">Wave 3 — Hardening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Implement Per-Request Identity Attribution. See</w:t>
      </w:r>
      <w:r>
        <w:t xml:space="preserve"> </w:t>
      </w:r>
      <w:hyperlink w:anchor="reg:ch:identity">
        <w:r>
          <w:rPr>
            <w:rStyle w:val="Hyperlink"/>
          </w:rPr>
          <w:t xml:space="preserve">[reg:ch:identity]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Trial Balance:</w:t>
      </w:r>
      <w:r>
        <w:t xml:space="preserve"> </w:t>
      </w:r>
      <w:r>
        <w:t xml:space="preserve">Deliver Human Review Dashboard. See</w:t>
      </w:r>
      <w:r>
        <w:t xml:space="preserve"> </w:t>
      </w:r>
      <w:hyperlink w:anchor="tb:ch:review-dashboard">
        <w:r>
          <w:rPr>
            <w:rStyle w:val="Hyperlink"/>
          </w:rPr>
          <w:t xml:space="preserve">[tb:ch:review-dashboard]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Simula:</w:t>
      </w:r>
      <w:r>
        <w:t xml:space="preserve"> </w:t>
      </w:r>
      <w:r>
        <w:t xml:space="preserve">Deliver test fixtures and testing at 85% coverage. See</w:t>
      </w:r>
      <w:r>
        <w:t xml:space="preserve"> </w:t>
      </w:r>
      <w:hyperlink w:anchor="sim:ch:test-fixtures,sim:ch:testing">
        <w:r>
          <w:rPr>
            <w:rStyle w:val="Hyperlink"/>
          </w:rPr>
          <w:t xml:space="preserve">[sim:ch:test-fixtures,sim:ch:testing]</w:t>
        </w:r>
      </w:hyperlink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Regulations:</w:t>
      </w:r>
      <w:r>
        <w:t xml:space="preserve"> </w:t>
      </w:r>
      <w:r>
        <w:t xml:space="preserve">Wire Emergent-Capability monitoring. See</w:t>
      </w:r>
      <w:r>
        <w:t xml:space="preserve"> </w:t>
      </w:r>
      <w:hyperlink w:anchor="reg:ch:monitoring">
        <w:r>
          <w:rPr>
            <w:rStyle w:val="Hyperlink"/>
          </w:rPr>
          <w:t xml:space="preserve">[reg:ch:monitoring]</w:t>
        </w:r>
      </w:hyperlink>
      <w:r>
        <w:t xml:space="preserve">.</w:t>
      </w:r>
    </w:p>
    <w:bookmarkEnd w:id="208"/>
    <w:bookmarkEnd w:id="209"/>
    <w:bookmarkStart w:id="210" w:name="governance-obligations-mas-mgf"/>
    <w:p>
      <w:pPr>
        <w:pStyle w:val="Heading2"/>
      </w:pPr>
      <w:r>
        <w:t xml:space="preserve">Governance Obligations (MAS MGF)</w:t>
      </w:r>
    </w:p>
    <w:p>
      <w:pPr>
        <w:pStyle w:val="FirstParagraph"/>
      </w:pPr>
      <w:r>
        <w:t xml:space="preserve">The regulations domain wraps all service calls at runtime. Agents must implement the following hooks in every domain: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1:</w:t>
      </w:r>
      <w:r>
        <w:t xml:space="preserve"> </w:t>
      </w:r>
      <w:r>
        <w:t xml:space="preserve">Tool allow-list enforcement (deny-by-default).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2:</w:t>
      </w:r>
      <w:r>
        <w:t xml:space="preserve"> </w:t>
      </w:r>
      <w:r>
        <w:t xml:space="preserve">Traceability via the identity attribution envelope.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Pillar 3:</w:t>
      </w:r>
      <w:r>
        <w:t xml:space="preserve"> </w:t>
      </w:r>
      <w:r>
        <w:t xml:space="preserve">Metric emission to the monitoring sink.</w:t>
      </w:r>
    </w:p>
    <w:p>
      <w:pPr>
        <w:pStyle w:val="FirstParagraph"/>
      </w:pPr>
      <w:r>
        <w:t xml:space="preserve">Detailed pillar requirements are defined in</w:t>
      </w:r>
      <w:r>
        <w:t xml:space="preserve"> </w:t>
      </w:r>
      <w:hyperlink w:anchor="reg:ch:mgf">
        <w:r>
          <w:rPr>
            <w:rStyle w:val="Hyperlink"/>
          </w:rPr>
          <w:t xml:space="preserve">[reg:ch:mgf]</w:t>
        </w:r>
      </w:hyperlink>
      <w:r>
        <w:t xml:space="preserve">.</w:t>
      </w:r>
    </w:p>
    <w:bookmarkEnd w:id="210"/>
    <w:bookmarkStart w:id="212" w:name="sec:fmea-ai"/>
    <w:p>
      <w:pPr>
        <w:pStyle w:val="Heading2"/>
      </w:pPr>
      <w:r>
        <w:t xml:space="preserve">FMEA: Failure Mode and Effects Analysis for AI</w:t>
      </w:r>
    </w:p>
    <w:p>
      <w:pPr>
        <w:pStyle w:val="FirstParagraph"/>
      </w:pPr>
      <w:r>
        <w:t xml:space="preserve">The following analysis identifies critical AI failure modes within the TB pipeline and their deterministic mitigations.</w:t>
      </w:r>
    </w:p>
    <w:bookmarkStart w:id="211" w:name="tab:tb-fmea"/>
    <w:p>
      <w:pPr>
        <w:pStyle w:val="TableCaption"/>
      </w:pPr>
      <w:r>
        <w:t xml:space="preserve">FMEA for Trial Balance AI Pipeline.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MEA for Trial Balance AI Pipelin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Commentary references accounts not in the input TB.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(Inaccuracy)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extracted accounts against the input TB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Normality Drift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σ</m:t>
              </m:r>
            </m:oMath>
            <w:r>
              <w:t xml:space="preserve"> </w:t>
            </w:r>
            <w:r>
              <w:t xml:space="preserve">fails due to non-normal variance distribution.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(False Neg.)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MAD (Median Absolute Deviation)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input triggers unverified journal posting.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rule-check gate on all POST endpoints.</w:t>
            </w:r>
          </w:p>
        </w:tc>
      </w:tr>
    </w:tbl>
    <w:bookmarkEnd w:id="211"/>
    <w:bookmarkEnd w:id="212"/>
    <w:bookmarkStart w:id="213" w:name="sec:agent-domain-context"/>
    <w:p>
      <w:pPr>
        <w:pStyle w:val="Heading2"/>
      </w:pPr>
      <w:r>
        <w:t xml:space="preserve">This domain in context</w:t>
      </w:r>
    </w:p>
    <w:p>
      <w:pPr>
        <w:pStyle w:val="FirstParagraph"/>
      </w:pPr>
      <w:r>
        <w:t xml:space="preserve">Trial Balance review is the finance close workstream among the four</w:t>
      </w:r>
      <w:r>
        <w:t xml:space="preserve"> </w:t>
      </w:r>
      <w:r>
        <w:t xml:space="preserve">domains. Its primary persona is the Financial Controller, whose</w:t>
      </w:r>
      <w:r>
        <w:t xml:space="preserve"> </w:t>
      </w:r>
      <w:r>
        <w:t xml:space="preserve">working view is the review dashboard surfaced through the shared</w:t>
      </w:r>
      <w:r>
        <w:t xml:space="preserve"> </w:t>
      </w:r>
      <w:r>
        <w:t xml:space="preserve">workspace shell and gated by TB entitlements. The domain’s entry</w:t>
      </w:r>
      <w:r>
        <w:t xml:space="preserve"> </w:t>
      </w:r>
      <w:r>
        <w:t xml:space="preserve">points are the TB extract feed and the upstream AP postings</w:t>
      </w:r>
      <w:r>
        <w:t xml:space="preserve"> </w:t>
      </w:r>
      <w:r>
        <w:t xml:space="preserve">(including those produced by the Arabic domain); its exit points are</w:t>
      </w:r>
      <w:r>
        <w:t xml:space="preserve"> </w:t>
      </w:r>
      <w:r>
        <w:t xml:space="preserve">(a) signed-off commentary records, (b) evidenced controls for the</w:t>
      </w:r>
      <w:r>
        <w:t xml:space="preserve"> </w:t>
      </w:r>
      <w:r>
        <w:t xml:space="preserve">month-end close, and (c) any journal corrections posted back to SAP</w:t>
      </w:r>
      <w:r>
        <w:t xml:space="preserve"> </w:t>
      </w:r>
      <w:r>
        <w:t xml:space="preserve">S/4HANA. Every artefact is validated against the TB-owned schemas in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before it leaves the service. The domain</w:t>
      </w:r>
      <w:r>
        <w:t xml:space="preserve"> </w:t>
      </w:r>
      <w:r>
        <w:t xml:space="preserve">depends on the horizontal regulations wrapper for runtime governance</w:t>
      </w:r>
      <w:r>
        <w:t xml:space="preserve"> </w:t>
      </w:r>
      <w:r>
        <w:t xml:space="preserve">and on Simula for the training corpus used by the anomaly-detection</w:t>
      </w:r>
      <w:r>
        <w:t xml:space="preserve"> </w:t>
      </w:r>
      <w:r>
        <w:t xml:space="preserve">and commentary models described in chapter </w:t>
      </w:r>
      <w:hyperlink w:anchor="ch:ai">
        <w:r>
          <w:rPr>
            <w:rStyle w:val="Hyperlink"/>
          </w:rPr>
          <w:t xml:space="preserve">3</w:t>
        </w:r>
      </w:hyperlink>
      <w:r>
        <w:t xml:space="preserve">.</w:t>
      </w:r>
    </w:p>
    <w:bookmarkEnd w:id="213"/>
    <w:bookmarkStart w:id="214" w:name="sec:agent-schema-contrib"/>
    <w:p>
      <w:pPr>
        <w:pStyle w:val="Heading2"/>
      </w:pPr>
      <w:r>
        <w:t xml:space="preserve">Schema contribution</w:t>
      </w:r>
    </w:p>
    <w:p>
      <w:pPr>
        <w:pStyle w:val="FirstParagraph"/>
      </w:pPr>
      <w:r>
        <w:t xml:space="preserve">TB owns the schemas catalogued in chapter 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listed</w:t>
      </w:r>
      <w:r>
        <w:t xml:space="preserve"> </w:t>
      </w:r>
      <w:r>
        <w:t xml:space="preserve">in </w:t>
      </w:r>
      <w:hyperlink w:anchor="tab:schemas">
        <w:r>
          <w:rPr>
            <w:rStyle w:val="Hyperlink"/>
          </w:rPr>
          <w:t xml:space="preserve">2.1</w:t>
        </w:r>
      </w:hyperlink>
      <w:r>
        <w:t xml:space="preserve">. The canonical set is the control record</w:t>
      </w:r>
      <w:r>
        <w:t xml:space="preserve"> </w:t>
      </w:r>
      <w:r>
        <w:t xml:space="preserve">(§</w:t>
      </w:r>
      <w:hyperlink w:anchor="sec:control-schema">
        <w:r>
          <w:rPr>
            <w:rStyle w:val="Hyperlink"/>
          </w:rPr>
          <w:t xml:space="preserve">2.2</w:t>
        </w:r>
      </w:hyperlink>
      <w:r>
        <w:t xml:space="preserve">, fields in </w:t>
      </w:r>
      <w:hyperlink w:anchor="tab:control-fields">
        <w:r>
          <w:rPr>
            <w:rStyle w:val="Hyperlink"/>
          </w:rPr>
          <w:t xml:space="preserve">2.2</w:t>
        </w:r>
      </w:hyperlink>
      <w:r>
        <w:t xml:space="preserve">), the</w:t>
      </w:r>
      <w:r>
        <w:t xml:space="preserve"> </w:t>
      </w:r>
      <w:r>
        <w:t xml:space="preserve">decision-point record (§</w:t>
      </w:r>
      <w:hyperlink w:anchor="sec:decision-point-schema">
        <w:r>
          <w:rPr>
            <w:rStyle w:val="Hyperlink"/>
          </w:rPr>
          <w:t xml:space="preserve">2.3</w:t>
        </w:r>
      </w:hyperlink>
      <w:r>
        <w:t xml:space="preserve">), the</w:t>
      </w:r>
      <w:r>
        <w:t xml:space="preserve"> </w:t>
      </w:r>
      <w:r>
        <w:t xml:space="preserve">workflow record (§</w:t>
      </w:r>
      <w:hyperlink w:anchor="sec:workflow-schema">
        <w:r>
          <w:rPr>
            <w:rStyle w:val="Hyperlink"/>
          </w:rPr>
          <w:t xml:space="preserve">2.4</w:t>
        </w:r>
      </w:hyperlink>
      <w:r>
        <w:t xml:space="preserve">,</w:t>
      </w:r>
      <w:r>
        <w:t xml:space="preserve"> </w:t>
      </w:r>
      <w:r>
        <w:t xml:space="preserve">header fields in </w:t>
      </w:r>
      <w:hyperlink w:anchor="tab:workflow-fields">
        <w:r>
          <w:rPr>
            <w:rStyle w:val="Hyperlink"/>
          </w:rPr>
          <w:t xml:space="preserve">2.3</w:t>
        </w:r>
      </w:hyperlink>
      <w:r>
        <w:t xml:space="preserve">), and TB’s own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. These schemas live under</w:t>
      </w:r>
      <w:r>
        <w:t xml:space="preserve"> </w:t>
      </w:r>
      <w:r>
        <w:rPr>
          <w:rStyle w:val="VerbatimChar"/>
        </w:rPr>
        <w:t xml:space="preserve">docs/latex/specs/tb/</w:t>
      </w:r>
      <w:r>
        <w:t xml:space="preserve"> </w:t>
      </w:r>
      <w:r>
        <w:t xml:space="preserve">as normative text and 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as the JSON Schema artefacts consumed at</w:t>
      </w:r>
      <w:r>
        <w:t xml:space="preserve"> </w:t>
      </w:r>
      <w:r>
        <w:t xml:space="preserve">runtime. Registration in the unified registry is additive: each</w:t>
      </w:r>
      <w:r>
        <w:t xml:space="preserve"> </w:t>
      </w:r>
      <w:r>
        <w:t xml:space="preserve">schema is listed in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 </w:t>
      </w:r>
      <w:r>
        <w:t xml:space="preserve">with its URI, owning domain (</w:t>
      </w:r>
      <w:r>
        <w:rPr>
          <w:rStyle w:val="VerbatimChar"/>
        </w:rPr>
        <w:t xml:space="preserve">tb</w:t>
      </w:r>
      <w:r>
        <w:t xml:space="preserve">), security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confidential</w:t>
      </w:r>
      <w:r>
        <w:t xml:space="preserve">), and LLM routing (</w:t>
      </w:r>
      <w:r>
        <w:rPr>
          <w:rStyle w:val="VerbatimChar"/>
        </w:rPr>
        <w:t xml:space="preserve">vllm-only</w:t>
      </w:r>
      <w:r>
        <w:t xml:space="preserve">),</w:t>
      </w:r>
      <w:r>
        <w:t xml:space="preserve"> </w:t>
      </w:r>
      <w:r>
        <w:t xml:space="preserve">following the ODPS 4.1 pattern. Simula consumes these schemas</w:t>
      </w:r>
      <w:r>
        <w:t xml:space="preserve"> </w:t>
      </w:r>
      <w:r>
        <w:t xml:space="preserve">directly as inputs to its extraction pipeline; it does not transform</w:t>
      </w:r>
      <w:r>
        <w:t xml:space="preserve"> </w:t>
      </w:r>
      <w:r>
        <w:t xml:space="preserve">them. TB’s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is a distinct URI from</w:t>
      </w:r>
      <w:r>
        <w:t xml:space="preserve"> </w:t>
      </w:r>
      <w:r>
        <w:t xml:space="preserve">regulations’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; the two files are not</w:t>
      </w:r>
      <w:r>
        <w:t xml:space="preserve"> </w:t>
      </w:r>
      <w:r>
        <w:t xml:space="preserve">merged.</w:t>
      </w:r>
    </w:p>
    <w:bookmarkEnd w:id="214"/>
    <w:bookmarkStart w:id="215" w:name="sec:agent-persona"/>
    <w:p>
      <w:pPr>
        <w:pStyle w:val="Heading2"/>
      </w:pPr>
      <w:r>
        <w:t xml:space="preserve">Persona and MCP allow-list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Persona id:</w:t>
      </w:r>
      <w:r>
        <w:t xml:space="preserve"> </w:t>
      </w:r>
      <w:r>
        <w:rPr>
          <w:rStyle w:val="VerbatimChar"/>
        </w:rPr>
        <w:t xml:space="preserve">financial-controller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TB ingestion and validation, anomaly triage,</w:t>
      </w:r>
      <w:r>
        <w:t xml:space="preserve"> </w:t>
      </w:r>
      <w:r>
        <w:t xml:space="preserve">commentary drafting and review, control evidencing, close</w:t>
      </w:r>
      <w:r>
        <w:t xml:space="preserve"> </w:t>
      </w:r>
      <w:r>
        <w:t xml:space="preserve">sign-off.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Entitlements:</w:t>
      </w:r>
      <w:r>
        <w:t xml:space="preserve"> </w:t>
      </w:r>
      <w:r>
        <w:t xml:space="preserve">read/write on the TB control record,</w:t>
      </w:r>
      <w:r>
        <w:t xml:space="preserve"> </w:t>
      </w:r>
      <w:r>
        <w:t xml:space="preserve">decision-point record, and workflow record; advance transitions</w:t>
      </w:r>
      <w:r>
        <w:t xml:space="preserve"> </w:t>
      </w:r>
      <w:r>
        <w:t xml:space="preserve">on the 28 states of</w:t>
      </w:r>
      <w:r>
        <w:t xml:space="preserve"> </w:t>
      </w:r>
      <w:r>
        <w:rPr>
          <w:rStyle w:val="VerbatimChar"/>
        </w:rPr>
        <w:t xml:space="preserve">tb-review-glo</w:t>
      </w:r>
      <w:r>
        <w:t xml:space="preserve"> </w:t>
      </w:r>
      <w:r>
        <w:t xml:space="preserve">(chapter 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, </w:t>
      </w:r>
      <w:hyperlink w:anchor="tab:states">
        <w:r>
          <w:rPr>
            <w:rStyle w:val="Hyperlink"/>
          </w:rPr>
          <w:t xml:space="preserve">5.1</w:t>
        </w:r>
      </w:hyperlink>
      <w:r>
        <w:t xml:space="preserve">); evidence-write on</w:t>
      </w:r>
      <w:r>
        <w:t xml:space="preserve"> </w:t>
      </w:r>
      <w:r>
        <w:t xml:space="preserve">the control enforcement map in </w:t>
      </w:r>
      <w:hyperlink w:anchor="fig:controls-map">
        <w:r>
          <w:rPr>
            <w:rStyle w:val="Hyperlink"/>
          </w:rPr>
          <w:t xml:space="preserve">6.1</w:t>
        </w:r>
      </w:hyperlink>
      <w:r>
        <w:t xml:space="preserve">; journal</w:t>
      </w:r>
      <w:r>
        <w:t xml:space="preserve"> </w:t>
      </w:r>
      <w:r>
        <w:t xml:space="preserve">posting on corrected entries (chapter 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UI route:</w:t>
      </w:r>
      <w:r>
        <w:t xml:space="preserve"> </w:t>
      </w:r>
      <w:r>
        <w:rPr>
          <w:rStyle w:val="VerbatimChar"/>
        </w:rPr>
        <w:t xml:space="preserve">/tb/{tenant}/review</w:t>
      </w:r>
      <w:r>
        <w:t xml:space="preserve"> </w:t>
      </w:r>
      <w:r>
        <w:t xml:space="preserve">on the</w:t>
      </w:r>
      <w:r>
        <w:t xml:space="preserve"> </w:t>
      </w:r>
      <w:r>
        <w:t xml:space="preserve">shared workspace shell; surfaced only to callers whose</w:t>
      </w:r>
      <w:r>
        <w:t xml:space="preserve"> </w:t>
      </w:r>
      <w:r>
        <w:t xml:space="preserve">entitlement set includes</w:t>
      </w:r>
      <w:r>
        <w:t xml:space="preserve"> </w:t>
      </w:r>
      <w:r>
        <w:rPr>
          <w:rStyle w:val="VerbatimChar"/>
        </w:rPr>
        <w:t xml:space="preserve">financial-controller</w:t>
      </w:r>
      <w:r>
        <w:t xml:space="preserve">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MCP tool allow-list:</w:t>
      </w:r>
      <w:r>
        <w:t xml:space="preserve"> </w:t>
      </w:r>
      <w:r>
        <w:rPr>
          <w:rStyle w:val="VerbatimChar"/>
        </w:rPr>
        <w:t xml:space="preserve">tb.ingest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tb.anomaly.detect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tb.commentary.draft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tb.commentary.validate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tb.workflow.advance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tb.control.evidence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tb.journal.post</w:t>
      </w:r>
      <w:r>
        <w:t xml:space="preserve">. All other MCP tools are denied by</w:t>
      </w:r>
      <w:r>
        <w:t xml:space="preserve"> </w:t>
      </w:r>
      <w:r>
        <w:t xml:space="preserve">default per MAS MGF pillar 1.</w:t>
      </w:r>
    </w:p>
    <w:bookmarkEnd w:id="215"/>
    <w:bookmarkStart w:id="221" w:name="sec:agent-tasks"/>
    <w:p>
      <w:pPr>
        <w:pStyle w:val="Heading2"/>
      </w:pPr>
      <w:r>
        <w:t xml:space="preserve">Implementation tasks for this domain</w:t>
      </w:r>
    </w:p>
    <w:p>
      <w:pPr>
        <w:pStyle w:val="FirstParagraph"/>
      </w:pPr>
      <w:r>
        <w:t xml:space="preserve">The tasks below are intent-based: each task states the outcome a</w:t>
      </w:r>
      <w:r>
        <w:t xml:space="preserve"> </w:t>
      </w:r>
      <w:r>
        <w:t xml:space="preserve">future agent must achieve and the location in the existing codebase</w:t>
      </w:r>
      <w:r>
        <w:t xml:space="preserve"> </w:t>
      </w:r>
      <w:r>
        <w:t xml:space="preserve">where the work belongs. None of them contains code; each task binds</w:t>
      </w:r>
      <w:r>
        <w:t xml:space="preserve"> </w:t>
      </w:r>
      <w:r>
        <w:t xml:space="preserve">to the TB chapters that define the required behaviour.</w:t>
      </w:r>
    </w:p>
    <w:bookmarkStart w:id="216" w:name="task-t1-controls-and-commentary-engine"/>
    <w:p>
      <w:pPr>
        <w:pStyle w:val="Heading3"/>
      </w:pPr>
      <w:r>
        <w:t xml:space="preserve">Task T1 — Controls and commentary engine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Implement the controls and commentary engine</w:t>
      </w:r>
      <w:r>
        <w:t xml:space="preserve"> </w:t>
      </w:r>
      <w:r>
        <w:t xml:space="preserve">specified in chapter 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, including the decision</w:t>
      </w:r>
      <w:r>
        <w:t xml:space="preserve"> </w:t>
      </w:r>
      <w:r>
        <w:t xml:space="preserve">tree (</w:t>
      </w:r>
      <w:hyperlink w:anchor="fig:decision-tree">
        <w:r>
          <w:rPr>
            <w:rStyle w:val="Hyperlink"/>
          </w:rPr>
          <w:t xml:space="preserve">4.1</w:t>
        </w:r>
      </w:hyperlink>
      <w:r>
        <w:t xml:space="preserve">), the rule format, materiality</w:t>
      </w:r>
      <w:r>
        <w:t xml:space="preserve"> </w:t>
      </w:r>
      <w:r>
        <w:t xml:space="preserve">thresholds, and journal posting.</w:t>
      </w:r>
    </w:p>
    <w:p>
      <w:pPr>
        <w:pStyle w:val="BodyText"/>
      </w:pPr>
      <w:r>
        <w:t xml:space="preserve">Why 3-Sigma?</w:t>
      </w:r>
      <w:r>
        <w:t xml:space="preserve"> </w:t>
      </w:r>
      <w:r>
        <w:t xml:space="preserve">We chose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for v1.0 to ensure immediate baseline stability. This statistical floor provides a 99.7% confidence interval for known variance patterns while the ML training set accumulates.</w:t>
      </w:r>
    </w:p>
    <w:p>
      <w:pPr>
        <w:pStyle w:val="BodyText"/>
      </w:pPr>
      <w:r>
        <w:rPr>
          <w:b/>
          <w:bCs/>
        </w:rPr>
        <w:t xml:space="preserve">In-scope.</w:t>
      </w:r>
      <w:r>
        <w:t xml:space="preserve"> </w:t>
      </w:r>
      <w:r>
        <w:t xml:space="preserve">Per-rule evaluators for the anomaly checks in</w:t>
      </w:r>
      <w:r>
        <w:t xml:space="preserve"> </w:t>
      </w:r>
      <w:r>
        <w:t xml:space="preserve"> </w:t>
      </w:r>
      <w:hyperlink w:anchor="tab:anomalies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(3</w:t>
      </w:r>
      <m:oMath>
        <m:r>
          <m:t>σ</m:t>
        </m:r>
      </m:oMath>
      <w:r>
        <w:t xml:space="preserve">, MAD, percentile); materiality-aware</w:t>
      </w:r>
      <w:r>
        <w:t xml:space="preserve"> </w:t>
      </w:r>
      <w:r>
        <w:t xml:space="preserve">commentary generation; deadline-aware investigation routing.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The v2.0 ML-based anomaly detection explored</w:t>
      </w:r>
      <w:r>
        <w:t xml:space="preserve"> </w:t>
      </w:r>
      <w:r>
        <w:t xml:space="preserve">in chapter </w:t>
      </w:r>
      <w:hyperlink w:anchor="ch:future-ml">
        <w:r>
          <w:rPr>
            <w:rStyle w:val="Hyperlink"/>
          </w:rPr>
          <w:t xml:space="preserve">10</w:t>
        </w:r>
      </w:hyperlink>
      <w:r>
        <w:t xml:space="preserve">; that work is reserved for a later</w:t>
      </w:r>
      <w:r>
        <w:t xml:space="preserve"> </w:t>
      </w:r>
      <w:r>
        <w:t xml:space="preserve">release and must remain behind a feature flag.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AI pipeline stages in</w:t>
      </w:r>
      <w:r>
        <w:t xml:space="preserve"> </w:t>
      </w:r>
      <w:r>
        <w:t xml:space="preserve">chapter </w:t>
      </w:r>
      <w:hyperlink w:anchor="ch:ai">
        <w:r>
          <w:rPr>
            <w:rStyle w:val="Hyperlink"/>
          </w:rPr>
          <w:t xml:space="preserve">3</w:t>
        </w:r>
      </w:hyperlink>
      <w:r>
        <w:t xml:space="preserve">, specifically stage 2 (anomaly detection) and</w:t>
      </w:r>
      <w:r>
        <w:t xml:space="preserve"> </w:t>
      </w:r>
      <w:r>
        <w:t xml:space="preserve">stage 3 (commentary drafting); engine module colocated with the</w:t>
      </w:r>
      <w:r>
        <w:t xml:space="preserve"> </w:t>
      </w:r>
      <w:r>
        <w:t xml:space="preserve">gateway service.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anomaly check</w:t>
      </w:r>
      <w:r>
        <w:t xml:space="preserve"> </w:t>
      </w:r>
      <w:r>
        <w:t xml:space="preserve">in </w:t>
      </w:r>
      <w:hyperlink w:anchor="tab:anomalies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has a callable rule; commentary draft records</w:t>
      </w:r>
      <w:r>
        <w:t xml:space="preserve"> </w:t>
      </w:r>
      <w:r>
        <w:t xml:space="preserve">validate against the TB schema set and carry the evidencing required</w:t>
      </w:r>
      <w:r>
        <w:t xml:space="preserve"> </w:t>
      </w:r>
      <w:r>
        <w:t xml:space="preserve">by chapter 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Autonomous Verification (Agent Logic):</w:t>
      </w:r>
    </w:p>
    <w:p>
      <w:pPr>
        <w:pStyle w:val="SourceCode"/>
      </w:pPr>
      <w:r>
        <w:rPr>
          <w:rStyle w:val="VerbatimChar"/>
        </w:rPr>
        <w:t xml:space="preserve">// Verify Task T1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"test_fixture": "tests/fixtures/tb/golden_sample.json",</w:t>
      </w:r>
      <w:r>
        <w:br/>
      </w:r>
      <w:r>
        <w:rPr>
          <w:rStyle w:val="VerbatimChar"/>
        </w:rPr>
        <w:t xml:space="preserve">"expected_outcome": "anomaly_count == 5",</w:t>
      </w:r>
      <w:r>
        <w:br/>
      </w:r>
      <w:r>
        <w:rPr>
          <w:rStyle w:val="VerbatimChar"/>
        </w:rPr>
        <w:t xml:space="preserve">"validation_command": "pytest src/tb/engine_test.py --verify-rules"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Unit tests for each rule pass; the commentary</w:t>
      </w:r>
      <w:r>
        <w:t xml:space="preserve"> </w:t>
      </w:r>
      <w:r>
        <w:t xml:space="preserve">draft endpoint produces records that pass validation.</w:t>
      </w:r>
    </w:p>
    <w:bookmarkEnd w:id="216"/>
    <w:bookmarkStart w:id="217" w:name="task-t2-28-state-bpmn-workflow"/>
    <w:p>
      <w:pPr>
        <w:pStyle w:val="Heading3"/>
      </w:pPr>
      <w:r>
        <w:t xml:space="preserve">Task T2 — 28-state BPMN workflow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Realise the</w:t>
      </w:r>
      <w:r>
        <w:t xml:space="preserve"> </w:t>
      </w:r>
      <w:r>
        <w:rPr>
          <w:rStyle w:val="VerbatimChar"/>
        </w:rPr>
        <w:t xml:space="preserve">tb-review-glo</w:t>
      </w:r>
      <w:r>
        <w:t xml:space="preserve"> </w:t>
      </w:r>
      <w:r>
        <w:t xml:space="preserve">workflow in</w:t>
      </w:r>
      <w:r>
        <w:t xml:space="preserve"> </w:t>
      </w:r>
      <w:r>
        <w:t xml:space="preserve">chapter 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, including all 28 states</w:t>
      </w:r>
      <w:r>
        <w:t xml:space="preserve"> </w:t>
      </w:r>
      <w:r>
        <w:t xml:space="preserve">in </w:t>
      </w:r>
      <w:hyperlink w:anchor="tab:state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and the preparation</w:t>
      </w:r>
      <w:r>
        <w:t xml:space="preserve"> </w:t>
      </w:r>
      <w:r>
        <w:t xml:space="preserve">(</w:t>
      </w:r>
      <w:hyperlink w:anchor="fig:prep-phase">
        <w:r>
          <w:rPr>
            <w:rStyle w:val="Hyperlink"/>
          </w:rPr>
          <w:t xml:space="preserve">5.1</w:t>
        </w:r>
      </w:hyperlink>
      <w:r>
        <w:t xml:space="preserve">), analysis (</w:t>
      </w:r>
      <w:hyperlink w:anchor="fig:analysis-phase">
        <w:r>
          <w:rPr>
            <w:rStyle w:val="Hyperlink"/>
          </w:rPr>
          <w:t xml:space="preserve">5.2</w:t>
        </w:r>
      </w:hyperlink>
      <w:r>
        <w:t xml:space="preserve">), and</w:t>
      </w:r>
      <w:r>
        <w:t xml:space="preserve"> </w:t>
      </w:r>
      <w:r>
        <w:t xml:space="preserve">sign-off phases.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State transitions, phase gates, deadline handling,</w:t>
      </w:r>
      <w:r>
        <w:t xml:space="preserve"> </w:t>
      </w:r>
      <w:r>
        <w:t xml:space="preserve">roll-back and park semantics.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BPMN-driven cross-tenant orchestration; the</w:t>
      </w:r>
      <w:r>
        <w:t xml:space="preserve"> </w:t>
      </w:r>
      <w:r>
        <w:t xml:space="preserve">workflow runs within a single tenant per instance.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Workflow engine hosted in the gateway</w:t>
      </w:r>
      <w:r>
        <w:t xml:space="preserve"> </w:t>
      </w:r>
      <w:r>
        <w:t xml:space="preserve">service; workflow record defined in chapter 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All 28 states are reachable from a</w:t>
      </w:r>
      <w:r>
        <w:t xml:space="preserve"> </w:t>
      </w:r>
      <w:r>
        <w:t xml:space="preserve">deterministic predecessor; every transition is audit-logged with the</w:t>
      </w:r>
      <w:r>
        <w:t xml:space="preserve"> </w:t>
      </w:r>
      <w:r>
        <w:t xml:space="preserve">persona id; rolling the golden sample through the workflow produces</w:t>
      </w:r>
      <w:r>
        <w:t xml:space="preserve"> </w:t>
      </w:r>
      <w:r>
        <w:t xml:space="preserve">the signed-off close artefact without manual intervention.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Workflow unit tests pass; the review-dashboard</w:t>
      </w:r>
      <w:r>
        <w:t xml:space="preserve"> </w:t>
      </w:r>
      <w:r>
        <w:t xml:space="preserve">chapter (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) queue view surfaces the expected</w:t>
      </w:r>
      <w:r>
        <w:t xml:space="preserve"> </w:t>
      </w:r>
      <w:r>
        <w:t xml:space="preserve">filter counts.</w:t>
      </w:r>
    </w:p>
    <w:bookmarkEnd w:id="217"/>
    <w:bookmarkStart w:id="218" w:name="task-t3-review-dashboard"/>
    <w:p>
      <w:pPr>
        <w:pStyle w:val="Heading3"/>
      </w:pPr>
      <w:r>
        <w:t xml:space="preserve">Task T3 — Review dashboard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human review dashboard specified in</w:t>
      </w:r>
      <w:r>
        <w:t xml:space="preserve"> </w:t>
      </w:r>
      <w:r>
        <w:t xml:space="preserve">chapter 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Queue view with the fields in </w:t>
      </w:r>
      <w:hyperlink w:anchor="tab:queue-fields">
        <w:r>
          <w:rPr>
            <w:rStyle w:val="Hyperlink"/>
          </w:rPr>
          <w:t xml:space="preserve">8.1</w:t>
        </w:r>
      </w:hyperlink>
      <w:r>
        <w:t xml:space="preserve">,</w:t>
      </w:r>
      <w:r>
        <w:t xml:space="preserve"> </w:t>
      </w:r>
      <w:r>
        <w:t xml:space="preserve">sorting/filtering, bulk operations, review view, commentary</w:t>
      </w:r>
      <w:r>
        <w:t xml:space="preserve"> </w:t>
      </w:r>
      <w:r>
        <w:t xml:space="preserve">composition aids, sign-off flow.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Mobile layouts; cross-period comparative</w:t>
      </w:r>
      <w:r>
        <w:t xml:space="preserve"> </w:t>
      </w:r>
      <w:r>
        <w:t xml:space="preserve">analytics beyond what chapter 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lists.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Persona surface within</w:t>
      </w:r>
      <w:r>
        <w:t xml:space="preserve"> </w:t>
      </w:r>
      <w:r>
        <w:rPr>
          <w:rStyle w:val="VerbatimChar"/>
        </w:rPr>
        <w:t xml:space="preserve">generativeUI/training-webcomponents-ngx</w:t>
      </w:r>
      <w:r>
        <w:t xml:space="preserve">; data-fetching</w:t>
      </w:r>
      <w:r>
        <w:t xml:space="preserve"> </w:t>
      </w:r>
      <w:r>
        <w:t xml:space="preserve">hooks that call the TB MCP tools enumerated above.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The dashboard renders the queue view,</w:t>
      </w:r>
      <w:r>
        <w:t xml:space="preserve"> </w:t>
      </w:r>
      <w:r>
        <w:t xml:space="preserve">supports the bulk operations listed in the chapter, and writes</w:t>
      </w:r>
      <w:r>
        <w:t xml:space="preserve"> </w:t>
      </w:r>
      <w:r>
        <w:t xml:space="preserve">control-evidence records through the allow-listed MCP tools.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Dashboard component tests pass; the persona</w:t>
      </w:r>
      <w:r>
        <w:t xml:space="preserve"> </w:t>
      </w:r>
      <w:r>
        <w:t xml:space="preserve">entitlement gate returns 403 for non-Financial-Controller callers.</w:t>
      </w:r>
    </w:p>
    <w:bookmarkEnd w:id="218"/>
    <w:bookmarkStart w:id="219" w:name="task-t4-controls-and-acceptance"/>
    <w:p>
      <w:pPr>
        <w:pStyle w:val="Heading3"/>
      </w:pPr>
      <w:r>
        <w:t xml:space="preserve">Task T4 — Controls and acceptance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Wire the control enforcement map and acceptance</w:t>
      </w:r>
      <w:r>
        <w:t xml:space="preserve"> </w:t>
      </w:r>
      <w:r>
        <w:t xml:space="preserve">criteria in chapter 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, including the EUC evidencing</w:t>
      </w:r>
      <w:r>
        <w:t xml:space="preserve"> </w:t>
      </w:r>
      <w:r>
        <w:t xml:space="preserve">requirement in </w:t>
      </w:r>
      <w:hyperlink w:anchor="sec:controls-eucs">
        <w:r>
          <w:rPr>
            <w:rStyle w:val="Hyperlink"/>
          </w:rPr>
          <w:t xml:space="preserve">[sec:controls-eucs]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Control-to-state binding per </w:t>
      </w:r>
      <w:hyperlink w:anchor="fig:controls-map">
        <w:r>
          <w:rPr>
            <w:rStyle w:val="Hyperlink"/>
          </w:rPr>
          <w:t xml:space="preserve">6.1</w:t>
        </w:r>
      </w:hyperlink>
      <w:r>
        <w:t xml:space="preserve">;</w:t>
      </w:r>
      <w:r>
        <w:t xml:space="preserve"> </w:t>
      </w:r>
      <w:r>
        <w:t xml:space="preserve">risk register mitigations from </w:t>
      </w:r>
      <w:hyperlink w:anchor="tab:risks">
        <w:r>
          <w:rPr>
            <w:rStyle w:val="Hyperlink"/>
          </w:rPr>
          <w:t xml:space="preserve">6.1</w:t>
        </w:r>
      </w:hyperlink>
      <w:r>
        <w:t xml:space="preserve">; EUC evidencing hooks.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External SOX reporting system integration.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Control catalogue file referenced in</w:t>
      </w:r>
      <w:r>
        <w:t xml:space="preserve"> </w:t>
      </w:r>
      <w:r>
        <w:t xml:space="preserve">chapter 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; evidence store.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Every control fires on its bound</w:t>
      </w:r>
      <w:r>
        <w:t xml:space="preserve"> </w:t>
      </w:r>
      <w:r>
        <w:t xml:space="preserve">states; evidence records are produced; the acceptance criteria</w:t>
      </w:r>
      <w:r>
        <w:t xml:space="preserve"> </w:t>
      </w:r>
      <w:r>
        <w:t xml:space="preserve">checklist in chapter 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 satisfied.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t xml:space="preserve">Running the TB golden sample triggers every</w:t>
      </w:r>
      <w:r>
        <w:t xml:space="preserve"> </w:t>
      </w:r>
      <w:r>
        <w:t xml:space="preserve">control; the evidence report reconciles with the acceptance</w:t>
      </w:r>
      <w:r>
        <w:t xml:space="preserve"> </w:t>
      </w:r>
      <w:r>
        <w:t xml:space="preserve">checklist.</w:t>
      </w:r>
    </w:p>
    <w:bookmarkEnd w:id="219"/>
    <w:bookmarkStart w:id="220" w:name="task-t5-testing-and-coverage"/>
    <w:p>
      <w:pPr>
        <w:pStyle w:val="Heading3"/>
      </w:pPr>
      <w:r>
        <w:t xml:space="preserve">Task T5 — Testing and coverage</w:t>
      </w:r>
    </w:p>
    <w:p>
      <w:pPr>
        <w:pStyle w:val="FirstParagraph"/>
      </w:pPr>
      <w:r>
        <w:rPr>
          <w:b/>
          <w:bCs/>
        </w:rPr>
        <w:t xml:space="preserve">Intent.</w:t>
      </w:r>
      <w:r>
        <w:t xml:space="preserve"> </w:t>
      </w:r>
      <w:r>
        <w:t xml:space="preserve">Deliver the testing specification in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at the coverage thresholds</w:t>
      </w:r>
      <w:r>
        <w:t xml:space="preserve"> </w:t>
      </w:r>
      <w:r>
        <w:t xml:space="preserve">in </w:t>
      </w:r>
      <w:hyperlink w:anchor="tab:tb-coverage">
        <w:r>
          <w:rPr>
            <w:rStyle w:val="Hyperlink"/>
          </w:rPr>
          <w:t xml:space="preserve">9.1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In-scope.</w:t>
      </w:r>
      <w:r>
        <w:t xml:space="preserve"> </w:t>
      </w:r>
      <w:r>
        <w:t xml:space="preserve">TB extract fixtures, variance fixtures, unit</w:t>
      </w:r>
      <w:r>
        <w:t xml:space="preserve"> </w:t>
      </w:r>
      <w:r>
        <w:t xml:space="preserve">tests for variance detection and commentary drafting, integration</w:t>
      </w:r>
      <w:r>
        <w:t xml:space="preserve"> </w:t>
      </w:r>
      <w:r>
        <w:t xml:space="preserve">tests through the workflow, regression fixtures.</w:t>
      </w:r>
      <w:r>
        <w:t xml:space="preserve"> </w:t>
      </w:r>
      <w:r>
        <w:rPr>
          <w:b/>
          <w:bCs/>
        </w:rPr>
        <w:t xml:space="preserve">Out-of-scope.</w:t>
      </w:r>
      <w:r>
        <w:t xml:space="preserve"> </w:t>
      </w:r>
      <w:r>
        <w:t xml:space="preserve">Load and performance benchmarking beyond what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defines.</w:t>
      </w:r>
      <w:r>
        <w:t xml:space="preserve"> </w:t>
      </w:r>
      <w:r>
        <w:rPr>
          <w:b/>
          <w:bCs/>
        </w:rPr>
        <w:t xml:space="preserve">Paths to extend.</w:t>
      </w:r>
      <w:r>
        <w:t xml:space="preserve"> </w:t>
      </w:r>
      <w:r>
        <w:t xml:space="preserve">Test directory colocated with the TB</w:t>
      </w:r>
      <w:r>
        <w:t xml:space="preserve"> </w:t>
      </w:r>
      <w:r>
        <w:t xml:space="preserve">service code; fixture store used by Simula as training input.</w:t>
      </w:r>
      <w:r>
        <w:t xml:space="preserve"> </w:t>
      </w:r>
      <w:r>
        <w:rPr>
          <w:b/>
          <w:bCs/>
        </w:rPr>
        <w:t xml:space="preserve">Definition of done.</w:t>
      </w:r>
      <w:r>
        <w:t xml:space="preserve"> </w:t>
      </w:r>
      <w:r>
        <w:t xml:space="preserve">Coverage meets the thresholds</w:t>
      </w:r>
      <w:r>
        <w:t xml:space="preserve"> </w:t>
      </w:r>
      <w:r>
        <w:t xml:space="preserve">in </w:t>
      </w:r>
      <w:hyperlink w:anchor="tab:tb-coverage">
        <w:r>
          <w:rPr>
            <w:rStyle w:val="Hyperlink"/>
          </w:rPr>
          <w:t xml:space="preserve">9.1</w:t>
        </w:r>
      </w:hyperlink>
      <w:r>
        <w:t xml:space="preserve">; CI gates block regressions.</w:t>
      </w:r>
      <w:r>
        <w:t xml:space="preserve"> </w:t>
      </w: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make spec-tb</w:t>
      </w:r>
      <w:r>
        <w:t xml:space="preserve"> </w:t>
      </w:r>
      <w:r>
        <w:t xml:space="preserve">remains green; the TB</w:t>
      </w:r>
      <w:r>
        <w:t xml:space="preserve"> </w:t>
      </w:r>
      <w:r>
        <w:t xml:space="preserve">test entry points listed in chapter </w:t>
      </w:r>
      <w:hyperlink w:anchor="ch:test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all run.</w:t>
      </w:r>
    </w:p>
    <w:bookmarkEnd w:id="220"/>
    <w:bookmarkEnd w:id="221"/>
    <w:bookmarkStart w:id="222" w:name="sec:agent-governance"/>
    <w:p>
      <w:pPr>
        <w:pStyle w:val="Heading2"/>
      </w:pPr>
      <w:r>
        <w:t xml:space="preserve">Governance obligations applied to this domain</w:t>
      </w:r>
    </w:p>
    <w:p>
      <w:pPr>
        <w:pStyle w:val="FirstParagraph"/>
      </w:pPr>
      <w:r>
        <w:t xml:space="preserve">The regulations domain wraps Trial Balance review at runtime. Four</w:t>
      </w:r>
      <w:r>
        <w:t xml:space="preserve"> </w:t>
      </w:r>
      <w:r>
        <w:t xml:space="preserve">obligations apply without exception; each is stated as a concrete</w:t>
      </w:r>
      <w:r>
        <w:t xml:space="preserve"> </w:t>
      </w:r>
      <w:r>
        <w:t xml:space="preserve">hook in the TB codebase.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MAS MGF four pillars</w:t>
      </w:r>
      <w:r>
        <w:t xml:space="preserve"> </w:t>
      </w:r>
      <w:r>
        <w:t xml:space="preserve">(see regulations</w:t>
      </w:r>
      <w:r>
        <w:t xml:space="preserve"> </w:t>
      </w:r>
      <w:r>
        <w:t xml:space="preserve">chapter 3 in</w:t>
      </w:r>
      <w:r>
        <w:t xml:space="preserve"> </w:t>
      </w:r>
      <w:r>
        <w:rPr>
          <w:rStyle w:val="VerbatimChar"/>
        </w:rPr>
        <w:t xml:space="preserve">docs/latex/specs/regulations/chapters/03-mgf-framework.tex</w:t>
      </w:r>
      <w:r>
        <w:t xml:space="preserve">).</w:t>
      </w:r>
      <w:r>
        <w:t xml:space="preserve"> </w:t>
      </w:r>
      <w:r>
        <w:t xml:space="preserve">Pillar 1 (assess and bound): every TB MCP tool is declared in the</w:t>
      </w:r>
      <w:r>
        <w:t xml:space="preserve"> </w:t>
      </w:r>
      <w:r>
        <w:t xml:space="preserve">allow-list in §</w:t>
      </w:r>
      <w:hyperlink w:anchor="sec:agent-persona">
        <w:r>
          <w:rPr>
            <w:rStyle w:val="Hyperlink"/>
          </w:rPr>
          <w:t xml:space="preserve">12.13</w:t>
        </w:r>
      </w:hyperlink>
      <w:r>
        <w:t xml:space="preserve">, deny-by-default.</w:t>
      </w:r>
      <w:r>
        <w:t xml:space="preserve"> </w:t>
      </w:r>
      <w:r>
        <w:t xml:space="preserve">Pillar 2 (design and deploy): the pipeline stages in</w:t>
      </w:r>
      <w:r>
        <w:t xml:space="preserve"> </w:t>
      </w:r>
      <w:r>
        <w:t xml:space="preserve">chapter </w:t>
      </w:r>
      <w:hyperlink w:anchor="ch:a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are traceable end-to-end via the per-request</w:t>
      </w:r>
      <w:r>
        <w:t xml:space="preserve"> </w:t>
      </w:r>
      <w:r>
        <w:t xml:space="preserve">identity attribution described below. Pillar 3 (operate and</w:t>
      </w:r>
      <w:r>
        <w:t xml:space="preserve"> </w:t>
      </w:r>
      <w:r>
        <w:t xml:space="preserve">monitor) and pillar 4 (govern and disclose) are satisfied by</w:t>
      </w:r>
      <w:r>
        <w:t xml:space="preserve"> </w:t>
      </w:r>
      <w:r>
        <w:t xml:space="preserve">emitting the evidence records produced by the TB control</w:t>
      </w:r>
      <w:r>
        <w:t xml:space="preserve"> </w:t>
      </w:r>
      <w:r>
        <w:t xml:space="preserve">catalogue (chapter 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) into the shared governance</w:t>
      </w:r>
      <w:r>
        <w:t xml:space="preserve"> </w:t>
      </w:r>
      <w:r>
        <w:t xml:space="preserve">store.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Identity attribution</w:t>
      </w:r>
      <w:r>
        <w:t xml:space="preserve"> </w:t>
      </w:r>
      <w:r>
        <w:t xml:space="preserve">(regulations chapter 10,</w:t>
      </w:r>
      <w:r>
        <w:t xml:space="preserve"> </w:t>
      </w:r>
      <w:r>
        <w:rPr>
          <w:rStyle w:val="VerbatimChar"/>
        </w:rPr>
        <w:t xml:space="preserve">10-identity-attribution.tex</w:t>
      </w:r>
      <w:r>
        <w:t xml:space="preserve">). Every MCP call and every</w:t>
      </w:r>
      <w:r>
        <w:t xml:space="preserve"> </w:t>
      </w:r>
      <w:r>
        <w:t xml:space="preserve">workflow transition carries the persona id, agent id, request id,</w:t>
      </w:r>
      <w:r>
        <w:t xml:space="preserve"> </w:t>
      </w:r>
      <w:r>
        <w:t xml:space="preserve">and tenant id. The gateway is the attachment point; TB code</w:t>
      </w:r>
      <w:r>
        <w:t xml:space="preserve"> </w:t>
      </w:r>
      <w:r>
        <w:t xml:space="preserve">propagates the identity envelope without mutating it.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Emergent-capability monitoring</w:t>
      </w:r>
      <w:r>
        <w:t xml:space="preserve"> </w:t>
      </w:r>
      <w:r>
        <w:t xml:space="preserve">(regulations</w:t>
      </w:r>
      <w:r>
        <w:t xml:space="preserve"> </w:t>
      </w:r>
      <w:r>
        <w:t xml:space="preserve">chapter 8,</w:t>
      </w:r>
      <w:r>
        <w:t xml:space="preserve"> </w:t>
      </w:r>
      <w:r>
        <w:rPr>
          <w:rStyle w:val="VerbatimChar"/>
        </w:rPr>
        <w:t xml:space="preserve">08-monitoring-spec.tex</w:t>
      </w:r>
      <w:r>
        <w:t xml:space="preserve">). Anomaly detection,</w:t>
      </w:r>
      <w:r>
        <w:t xml:space="preserve"> </w:t>
      </w:r>
      <w:r>
        <w:t xml:space="preserve">commentary drafting, and workflow state transitions are</w:t>
      </w:r>
      <w:r>
        <w:t xml:space="preserve"> </w:t>
      </w:r>
      <w:r>
        <w:t xml:space="preserve">instrumented with the monitoring metrics specified in that</w:t>
      </w:r>
      <w:r>
        <w:t xml:space="preserve"> </w:t>
      </w:r>
      <w:r>
        <w:t xml:space="preserve">chapter; metrics flow to the monitoring sink defined there.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Conformance tooling</w:t>
      </w:r>
      <w:r>
        <w:t xml:space="preserve"> </w:t>
      </w:r>
      <w:r>
        <w:t xml:space="preserve">(regulations chapter 6,</w:t>
      </w:r>
      <w:r>
        <w:t xml:space="preserve"> </w:t>
      </w:r>
      <w:r>
        <w:rPr>
          <w:rStyle w:val="VerbatimChar"/>
        </w:rPr>
        <w:t xml:space="preserve">06-conformance-tooling.tex</w:t>
      </w:r>
      <w:r>
        <w:t xml:space="preserve">). The TB service exposes</w:t>
      </w:r>
      <w:r>
        <w:t xml:space="preserve"> </w:t>
      </w:r>
      <w:r>
        <w:t xml:space="preserve">AI Verify 2.0 plug-in hooks and Moonshot CI/CD 1.1.0 benchmark</w:t>
      </w:r>
      <w:r>
        <w:t xml:space="preserve"> </w:t>
      </w:r>
      <w:r>
        <w:t xml:space="preserve">entry points as required by that chapter.</w:t>
      </w:r>
    </w:p>
    <w:bookmarkEnd w:id="222"/>
    <w:bookmarkStart w:id="227" w:name="sec:agent-integration"/>
    <w:p>
      <w:pPr>
        <w:pStyle w:val="Heading2"/>
      </w:pPr>
      <w:r>
        <w:t xml:space="preserve">Cross-spec integration — full detail</w:t>
      </w:r>
    </w:p>
    <w:bookmarkStart w:id="223" w:name="with-arabic-ap"/>
    <w:p>
      <w:pPr>
        <w:pStyle w:val="Heading3"/>
      </w:pPr>
      <w:r>
        <w:t xml:space="preserve">With Arabic AP</w:t>
      </w:r>
    </w:p>
    <w:p>
      <w:pPr>
        <w:pStyle w:val="FirstParagraph"/>
      </w:pPr>
      <w:r>
        <w:t xml:space="preserve">Arabic AP produces posted AP records and VAT checklists that feed</w:t>
      </w:r>
      <w:r>
        <w:t xml:space="preserve"> </w:t>
      </w:r>
      <w:r>
        <w:t xml:space="preserve">the TB close. TB consumes them as evidence inputs to its commentary</w:t>
      </w:r>
      <w:r>
        <w:t xml:space="preserve"> </w:t>
      </w:r>
      <w:r>
        <w:t xml:space="preserve">engine, not as schema merges: the Arabic invoice schema and the TB</w:t>
      </w:r>
      <w:r>
        <w:t xml:space="preserve"> </w:t>
      </w:r>
      <w:r>
        <w:t xml:space="preserve">control record remain distinct URIs in the unified registry.</w:t>
      </w:r>
      <w:r>
        <w:t xml:space="preserve"> </w:t>
      </w:r>
      <w:r>
        <w:t xml:space="preserve">Integration point: TB’s ingestion stage calls the Arabic MCP tool</w:t>
      </w:r>
      <w:r>
        <w:t xml:space="preserve"> </w:t>
      </w:r>
      <w:r>
        <w:rPr>
          <w:rStyle w:val="VerbatimChar"/>
        </w:rPr>
        <w:t xml:space="preserve">invoice.extract-fields</w:t>
      </w:r>
      <w:r>
        <w:t xml:space="preserve"> </w:t>
      </w:r>
      <w:r>
        <w:t xml:space="preserve">with read-only entitlements; the</w:t>
      </w:r>
      <w:r>
        <w:t xml:space="preserve"> </w:t>
      </w:r>
      <w:r>
        <w:t xml:space="preserve">response is validated against</w:t>
      </w:r>
      <w:r>
        <w:t xml:space="preserve"> </w:t>
      </w:r>
      <w:r>
        <w:rPr>
          <w:rStyle w:val="VerbatimChar"/>
        </w:rPr>
        <w:t xml:space="preserve">invoice.schema.json</w:t>
      </w:r>
      <w:r>
        <w:t xml:space="preserve"> </w:t>
      </w:r>
      <w:r>
        <w:t xml:space="preserve">before TB</w:t>
      </w:r>
      <w:r>
        <w:t xml:space="preserve"> </w:t>
      </w:r>
      <w:r>
        <w:t xml:space="preserve">accepts it.</w:t>
      </w:r>
    </w:p>
    <w:bookmarkEnd w:id="223"/>
    <w:bookmarkStart w:id="224" w:name="with-trial-balance"/>
    <w:p>
      <w:pPr>
        <w:pStyle w:val="Heading3"/>
      </w:pPr>
      <w:r>
        <w:t xml:space="preserve">With Trial Balance</w:t>
      </w:r>
    </w:p>
    <w:p>
      <w:pPr>
        <w:pStyle w:val="FirstParagraph"/>
      </w:pPr>
      <w:r>
        <w:t xml:space="preserve">TB exports the control record, decision-point record, workflow</w:t>
      </w:r>
      <w:r>
        <w:t xml:space="preserve"> </w:t>
      </w:r>
      <w:r>
        <w:t xml:space="preserve">record, and its own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structured/schema/</w:t>
      </w:r>
      <w:r>
        <w:t xml:space="preserve"> </w:t>
      </w:r>
      <w:r>
        <w:t xml:space="preserve">(chapter 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); registers the</w:t>
      </w:r>
      <w:r>
        <w:t xml:space="preserve"> </w:t>
      </w:r>
      <w:r>
        <w:t xml:space="preserve">MCP tools enumerated in §</w:t>
      </w:r>
      <w:hyperlink w:anchor="sec:agent-persona">
        <w:r>
          <w:rPr>
            <w:rStyle w:val="Hyperlink"/>
          </w:rPr>
          <w:t xml:space="preserve">12.13</w:t>
        </w:r>
      </w:hyperlink>
      <w:r>
        <w:t xml:space="preserve">; and applies the</w:t>
      </w:r>
      <w:r>
        <w:t xml:space="preserve"> </w:t>
      </w:r>
      <w:r>
        <w:t xml:space="preserve">four governance hooks in §</w:t>
      </w:r>
      <w:hyperlink w:anchor="sec:agent-governance">
        <w:r>
          <w:rPr>
            <w:rStyle w:val="Hyperlink"/>
          </w:rPr>
          <w:t xml:space="preserve">12.15</w:t>
        </w:r>
      </w:hyperlink>
      <w:r>
        <w:t xml:space="preserve"> </w:t>
      </w:r>
      <w:r>
        <w:t xml:space="preserve">to every call</w:t>
      </w:r>
      <w:r>
        <w:t xml:space="preserve"> </w:t>
      </w:r>
      <w:r>
        <w:t xml:space="preserve">it serves. External consumers (Arabic, regulations, Simula) see TB</w:t>
      </w:r>
      <w:r>
        <w:t xml:space="preserve"> </w:t>
      </w:r>
      <w:r>
        <w:t xml:space="preserve">only through these contracts; there are no private back-channels.</w:t>
      </w:r>
    </w:p>
    <w:bookmarkEnd w:id="224"/>
    <w:bookmarkStart w:id="225" w:name="with-regulations"/>
    <w:p>
      <w:pPr>
        <w:pStyle w:val="Heading3"/>
      </w:pPr>
      <w:r>
        <w:t xml:space="preserve">With Regulations</w:t>
      </w:r>
    </w:p>
    <w:p>
      <w:pPr>
        <w:pStyle w:val="FirstParagraph"/>
      </w:pPr>
      <w:r>
        <w:t xml:space="preserve">Regulations wraps TB at runtime. Every TB MCP call is brokered</w:t>
      </w:r>
      <w:r>
        <w:t xml:space="preserve"> </w:t>
      </w:r>
      <w:r>
        <w:t xml:space="preserve">through the regulations governance gate, which applies pillars 1–4</w:t>
      </w:r>
      <w:r>
        <w:t xml:space="preserve"> </w:t>
      </w:r>
      <w:r>
        <w:t xml:space="preserve">of MAS MGF, attaches the identity envelope, and routes</w:t>
      </w:r>
      <w:r>
        <w:t xml:space="preserve"> </w:t>
      </w:r>
      <w:r>
        <w:t xml:space="preserve">emergent-capability metrics to the monitoring store. The TB service</w:t>
      </w:r>
      <w:r>
        <w:t xml:space="preserve"> </w:t>
      </w:r>
      <w:r>
        <w:t xml:space="preserve">code does not call regulations directly; the gateway layer enforces</w:t>
      </w:r>
      <w:r>
        <w:t xml:space="preserve"> </w:t>
      </w:r>
      <w:r>
        <w:t xml:space="preserve">this. Conformance tests defined in regulations chapter 5 (empirical</w:t>
      </w:r>
      <w:r>
        <w:t xml:space="preserve"> </w:t>
      </w:r>
      <w:r>
        <w:t xml:space="preserve">evidence) and chapter 6 (conformance tooling) execute against the TB</w:t>
      </w:r>
      <w:r>
        <w:t xml:space="preserve"> </w:t>
      </w:r>
      <w:r>
        <w:t xml:space="preserve">service as part of the platform CI gate.</w:t>
      </w:r>
    </w:p>
    <w:bookmarkEnd w:id="225"/>
    <w:bookmarkStart w:id="226" w:name="with-simula"/>
    <w:p>
      <w:pPr>
        <w:pStyle w:val="Heading3"/>
      </w:pPr>
      <w:r>
        <w:t xml:space="preserve">With Simula</w:t>
      </w:r>
    </w:p>
    <w:p>
      <w:pPr>
        <w:pStyle w:val="FirstParagraph"/>
      </w:pPr>
      <w:r>
        <w:t xml:space="preserve">Simula consumes TB’s schemas and fixtures as training input. The</w:t>
      </w:r>
      <w:r>
        <w:t xml:space="preserve"> </w:t>
      </w:r>
      <w:r>
        <w:t xml:space="preserve">contract is schema-in,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-out: Simula reads the</w:t>
      </w:r>
      <w:r>
        <w:t xml:space="preserve"> </w:t>
      </w:r>
      <w:r>
        <w:t xml:space="preserve">TB schema set and the TB fixture store; it produces</w:t>
      </w:r>
      <w:r>
        <w:t xml:space="preserve"> </w:t>
      </w:r>
      <w:r>
        <w:rPr>
          <w:rStyle w:val="VerbatimChar"/>
        </w:rPr>
        <w:t xml:space="preserve">TrainingExample</w:t>
      </w:r>
      <w:r>
        <w:t xml:space="preserve"> </w:t>
      </w:r>
      <w:r>
        <w:t xml:space="preserve">records. Simula does not call TB MCP tools</w:t>
      </w:r>
      <w:r>
        <w:t xml:space="preserve"> </w:t>
      </w:r>
      <w:r>
        <w:t xml:space="preserve">at runtime and does not share state with the TB workflow. No</w:t>
      </w:r>
      <w:r>
        <w:t xml:space="preserve"> </w:t>
      </w:r>
      <w:r>
        <w:t xml:space="preserve">cross-domain operational envelope is introduced.</w:t>
      </w:r>
    </w:p>
    <w:bookmarkEnd w:id="226"/>
    <w:bookmarkEnd w:id="227"/>
    <w:bookmarkStart w:id="228" w:name="sec:agent-waves"/>
    <w:p>
      <w:pPr>
        <w:pStyle w:val="Heading2"/>
      </w:pPr>
      <w:r>
        <w:t xml:space="preserve">Wave assignment and sequencing</w:t>
      </w:r>
    </w:p>
    <w:p>
      <w:pPr>
        <w:pStyle w:val="FirstParagraph"/>
      </w:pPr>
      <w:r>
        <w:t xml:space="preserve">Implementation runs in three waves.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Wave 1 — foundations.</w:t>
      </w:r>
      <w:r>
        <w:t xml:space="preserve"> </w:t>
      </w:r>
      <w:r>
        <w:t xml:space="preserve">Unified schema registry</w:t>
      </w:r>
      <w:r>
        <w:t xml:space="preserve"> </w:t>
      </w:r>
      <w:r>
        <w:t xml:space="preserve">entry; persona-gated surface for the Financial Controller;</w:t>
      </w:r>
      <w:r>
        <w:t xml:space="preserve"> </w:t>
      </w:r>
      <w:r>
        <w:t xml:space="preserve">identity attribution envelope flowing through the gateway.</w:t>
      </w:r>
      <w:r>
        <w:t xml:space="preserve"> </w:t>
      </w:r>
      <w:r>
        <w:t xml:space="preserve">Prerequisites: the regulations chapter 10 identity schema must</w:t>
      </w:r>
      <w:r>
        <w:t xml:space="preserve"> </w:t>
      </w:r>
      <w:r>
        <w:t xml:space="preserve">be frozen.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Wave 2 — TB core build-out.</w:t>
      </w:r>
      <w:r>
        <w:t xml:space="preserve"> </w:t>
      </w:r>
      <w:r>
        <w:t xml:space="preserve">Tasks T1, T2, T3, T4</w:t>
      </w:r>
      <w:r>
        <w:t xml:space="preserve"> </w:t>
      </w:r>
      <w:r>
        <w:t xml:space="preserve">above. Prerequisites: Wave 1 complete; Simula training fixtures</w:t>
      </w:r>
      <w:r>
        <w:t xml:space="preserve"> </w:t>
      </w:r>
      <w:r>
        <w:t xml:space="preserve">available from Simula Wave 1 (extraction pipeline); Arabic MCP</w:t>
      </w:r>
      <w:r>
        <w:t xml:space="preserve"> </w:t>
      </w:r>
      <w:r>
        <w:t xml:space="preserve">tool</w:t>
      </w:r>
      <w:r>
        <w:t xml:space="preserve"> </w:t>
      </w:r>
      <w:r>
        <w:rPr>
          <w:rStyle w:val="VerbatimChar"/>
        </w:rPr>
        <w:t xml:space="preserve">invoice.extract-fields</w:t>
      </w:r>
      <w:r>
        <w:t xml:space="preserve"> </w:t>
      </w:r>
      <w:r>
        <w:t xml:space="preserve">reachable.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Wave 3 — hardening and conformance.</w:t>
      </w:r>
      <w:r>
        <w:t xml:space="preserve"> </w:t>
      </w:r>
      <w:r>
        <w:t xml:space="preserve">Task T5 and</w:t>
      </w:r>
      <w:r>
        <w:t xml:space="preserve"> </w:t>
      </w:r>
      <w:r>
        <w:t xml:space="preserve">full conformance-tooling hook-up. Prerequisites: Wave 2 complete;</w:t>
      </w:r>
      <w:r>
        <w:t xml:space="preserve"> </w:t>
      </w:r>
      <w:r>
        <w:t xml:space="preserve">regulations Wave 2 conformance tooling integrated; monitoring</w:t>
      </w:r>
      <w:r>
        <w:t xml:space="preserve"> </w:t>
      </w:r>
      <w:r>
        <w:t xml:space="preserve">sink live.</w:t>
      </w:r>
    </w:p>
    <w:p>
      <w:pPr>
        <w:pStyle w:val="FirstParagraph"/>
      </w:pPr>
      <w:r>
        <w:t xml:space="preserve">TB occupies Wave 2 for its core build-out and Wave 3 for its testing</w:t>
      </w:r>
      <w:r>
        <w:t xml:space="preserve"> </w:t>
      </w:r>
      <w:r>
        <w:t xml:space="preserve">and conformance surfaces.</w:t>
      </w:r>
    </w:p>
    <w:bookmarkEnd w:id="228"/>
    <w:bookmarkStart w:id="229" w:name="sec:agent-acceptance"/>
    <w:p>
      <w:pPr>
        <w:pStyle w:val="Heading2"/>
      </w:pPr>
      <w:r>
        <w:t xml:space="preserve">Acceptance criteria (platform-wide)</w:t>
      </w:r>
    </w:p>
    <w:p>
      <w:pPr>
        <w:pStyle w:val="FirstParagraph"/>
      </w:pPr>
      <w:r>
        <w:t xml:space="preserve">When all four chapter 12 instruction sets are implemented, the</w:t>
      </w:r>
      <w:r>
        <w:t xml:space="preserve"> </w:t>
      </w:r>
      <w:r>
        <w:t xml:space="preserve">platform satisfies the following invariants: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One instance.</w:t>
      </w:r>
      <w:r>
        <w:t xml:space="preserve"> </w:t>
      </w:r>
      <w:r>
        <w:t xml:space="preserve">A single codebase runs a single</w:t>
      </w:r>
      <w:r>
        <w:t xml:space="preserve"> </w:t>
      </w:r>
      <w:r>
        <w:t xml:space="preserve">logical instance; no domain ships as a separate product.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Persona-gated surfaces.</w:t>
      </w:r>
      <w:r>
        <w:t xml:space="preserve"> </w:t>
      </w:r>
      <w:r>
        <w:t xml:space="preserve">The four personas each</w:t>
      </w:r>
      <w:r>
        <w:t xml:space="preserve"> </w:t>
      </w:r>
      <w:r>
        <w:t xml:space="preserve">reach a tailored UI on the shared shell; no route, MCP tool, or</w:t>
      </w:r>
      <w:r>
        <w:t xml:space="preserve"> </w:t>
      </w:r>
      <w:r>
        <w:t xml:space="preserve">data product is visible outside its persona’s entitlement set.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Unified registry.</w:t>
      </w:r>
      <w:r>
        <w:t xml:space="preserve"> </w:t>
      </w:r>
      <w:r>
        <w:t xml:space="preserve">Every schema in use is listed in</w:t>
      </w:r>
      <w:r>
        <w:t xml:space="preserve"> </w:t>
      </w:r>
      <w:r>
        <w:t xml:space="preserve">the ODPS 4.1 registry under its owning domain; validators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$ref</w:t>
      </w:r>
      <w:r>
        <w:t xml:space="preserve">s through the unified registry only.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No schema merges.</w:t>
      </w:r>
      <w:r>
        <w:t xml:space="preserve"> </w:t>
      </w:r>
      <w:r>
        <w:t xml:space="preserve">The two</w:t>
      </w:r>
      <w:r>
        <w:t xml:space="preserve"> </w:t>
      </w:r>
      <w:r>
        <w:rPr>
          <w:rStyle w:val="VerbatimChar"/>
        </w:rPr>
        <w:t xml:space="preserve">requirement.schema.json</w:t>
      </w:r>
      <w:r>
        <w:t xml:space="preserve"> </w:t>
      </w:r>
      <w:r>
        <w:t xml:space="preserve">files in TB and regulations</w:t>
      </w:r>
      <w:r>
        <w:t xml:space="preserve"> </w:t>
      </w:r>
      <w:r>
        <w:t xml:space="preserve">remain distinct; no cross-domain composite schemas are produced.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No cross-domain operational envelope.</w:t>
      </w:r>
      <w:r>
        <w:t xml:space="preserve"> </w:t>
      </w:r>
      <w:r>
        <w:t xml:space="preserve">Runtime</w:t>
      </w:r>
      <w:r>
        <w:t xml:space="preserve"> </w:t>
      </w:r>
      <w:r>
        <w:t xml:space="preserve">orchestration stays within each domain’s service; only Simula</w:t>
      </w:r>
      <w:r>
        <w:t xml:space="preserve"> </w:t>
      </w:r>
      <w:r>
        <w:t xml:space="preserve">consumes other domains’ outputs, and only as training input.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Governance wraps all three non-regulations domains.</w:t>
      </w:r>
      <w:r>
        <w:t xml:space="preserve"> </w:t>
      </w:r>
      <w:r>
        <w:t xml:space="preserve">Arabic, TB, and Simula service calls pass through the</w:t>
      </w:r>
      <w:r>
        <w:t xml:space="preserve"> </w:t>
      </w:r>
      <w:r>
        <w:t xml:space="preserve">regulations runtime wrapper without exception.</w:t>
      </w:r>
    </w:p>
    <w:bookmarkEnd w:id="229"/>
    <w:bookmarkStart w:id="230" w:name="sec:agent-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Within-spec references:</w:t>
      </w:r>
      <w:r>
        <w:t xml:space="preserve"> </w:t>
      </w:r>
      <w:r>
        <w:t xml:space="preserve">chapter </w:t>
      </w:r>
      <w:hyperlink w:anchor="ch: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(overview),</w:t>
      </w:r>
      <w:r>
        <w:t xml:space="preserve"> </w:t>
      </w:r>
      <w:r>
        <w:t xml:space="preserve">chapter </w:t>
      </w:r>
      <w:hyperlink w:anchor="ch:schem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(data schema),</w:t>
      </w:r>
      <w:r>
        <w:t xml:space="preserve"> </w:t>
      </w:r>
      <w:r>
        <w:t xml:space="preserve">chapter </w:t>
      </w:r>
      <w:hyperlink w:anchor="ch:a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(AI augmentation pipeline),</w:t>
      </w:r>
      <w:r>
        <w:t xml:space="preserve"> </w:t>
      </w:r>
      <w:r>
        <w:t xml:space="preserve">chapter </w:t>
      </w:r>
      <w:hyperlink w:anchor="ch:controls-engin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(controls and commentary engine),</w:t>
      </w:r>
      <w:r>
        <w:t xml:space="preserve"> </w:t>
      </w:r>
      <w:r>
        <w:t xml:space="preserve">chapter </w:t>
      </w:r>
      <w:hyperlink w:anchor="ch:work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(workflow and approval engine),</w:t>
      </w:r>
      <w:r>
        <w:t xml:space="preserve"> </w:t>
      </w:r>
      <w:r>
        <w:t xml:space="preserve">chapter </w:t>
      </w:r>
      <w:hyperlink w:anchor="ch:control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(controls, testing and acceptance),</w:t>
      </w:r>
      <w:r>
        <w:t xml:space="preserve"> </w:t>
      </w:r>
      <w:r>
        <w:t xml:space="preserve">chapter </w:t>
      </w:r>
      <w:hyperlink w:anchor="ch:reference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(references),</w:t>
      </w:r>
      <w:r>
        <w:t xml:space="preserve"> </w:t>
      </w:r>
      <w:r>
        <w:t xml:space="preserve">chapter </w:t>
      </w:r>
      <w:hyperlink w:anchor="ch:review-dashboard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(review dashboard),</w:t>
      </w:r>
      <w:r>
        <w:t xml:space="preserve"> </w:t>
      </w:r>
      <w:r>
        <w:t xml:space="preserve">chapter </w:t>
      </w:r>
      <w:hyperlink w:anchor="ch:testing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(testing specification),</w:t>
      </w:r>
      <w:r>
        <w:t xml:space="preserve"> </w:t>
      </w:r>
      <w:r>
        <w:t xml:space="preserve">chapter </w:t>
      </w:r>
      <w:hyperlink w:anchor="ch:future-m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(future ML work),</w:t>
      </w:r>
      <w:r>
        <w:t xml:space="preserve"> </w:t>
      </w:r>
      <w:r>
        <w:t xml:space="preserve">chapter </w:t>
      </w:r>
      <w:hyperlink w:anchor="ch:tb-roadmap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(project roadmap).</w:t>
      </w:r>
    </w:p>
    <w:p>
      <w:pPr>
        <w:pStyle w:val="BodyText"/>
      </w:pPr>
      <w:r>
        <w:t xml:space="preserve">Peer chapter 12 instruction sets for the other three domains (each</w:t>
      </w:r>
      <w:r>
        <w:t xml:space="preserve"> </w:t>
      </w:r>
      <w:r>
        <w:t xml:space="preserve">is self-contained; consult directly when operating in that domain):</w:t>
      </w:r>
    </w:p>
    <w:p>
      <w:pPr>
        <w:numPr>
          <w:ilvl w:val="0"/>
          <w:numId w:val="1045"/>
        </w:numPr>
      </w:pPr>
      <w:r>
        <w:t xml:space="preserve">Arabic AP:</w:t>
      </w:r>
      <w:r>
        <w:t xml:space="preserve"> </w:t>
      </w:r>
      <w:r>
        <w:rPr>
          <w:rStyle w:val="VerbatimChar"/>
        </w:rPr>
        <w:t xml:space="preserve">docs/latex/specs/arabic/chapters/12-implementation-instructions.tex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Regulations:</w:t>
      </w:r>
      <w:r>
        <w:t xml:space="preserve"> </w:t>
      </w:r>
      <w:r>
        <w:rPr>
          <w:rStyle w:val="VerbatimChar"/>
        </w:rPr>
        <w:t xml:space="preserve">docs/latex/specs/regulations/chapters/12-implementation-instructions.tex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Simula:</w:t>
      </w:r>
      <w:r>
        <w:t xml:space="preserve"> </w:t>
      </w:r>
      <w:r>
        <w:rPr>
          <w:rStyle w:val="VerbatimChar"/>
        </w:rPr>
        <w:t xml:space="preserve">docs/latex/specs/simula/chapters/12-implementation-instructions.tex</w:t>
      </w:r>
      <w:r>
        <w:t xml:space="preserve">.</w:t>
      </w:r>
    </w:p>
    <w:p>
      <w:pPr>
        <w:pStyle w:val="FirstParagraph"/>
      </w:pPr>
      <w:r>
        <w:t xml:space="preserve">Shared platform artefacts:</w:t>
      </w:r>
    </w:p>
    <w:p>
      <w:pPr>
        <w:numPr>
          <w:ilvl w:val="0"/>
          <w:numId w:val="1046"/>
        </w:numPr>
      </w:pPr>
      <w:r>
        <w:t xml:space="preserve">ODPS 4.1 registry:</w:t>
      </w:r>
      <w:r>
        <w:t xml:space="preserve"> </w:t>
      </w:r>
      <w:r>
        <w:rPr>
          <w:rStyle w:val="VerbatimChar"/>
        </w:rPr>
        <w:t xml:space="preserve">src/intelligence/ai-core-pal/data_products/registry.yaml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Schema pipeline and resolver:</w:t>
      </w:r>
      <w:r>
        <w:t xml:space="preserve"> </w:t>
      </w:r>
      <w:r>
        <w:rPr>
          <w:rStyle w:val="VerbatimChar"/>
        </w:rPr>
        <w:t xml:space="preserve">src/intelligence/schema_pipeline/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Training pipeline (Simula):</w:t>
      </w:r>
      <w:r>
        <w:t xml:space="preserve"> </w:t>
      </w:r>
      <w:r>
        <w:rPr>
          <w:rStyle w:val="VerbatimChar"/>
        </w:rPr>
        <w:t xml:space="preserve">src/training/pipeline/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Shared workspace shell:</w:t>
      </w:r>
      <w:r>
        <w:t xml:space="preserve"> </w:t>
      </w:r>
      <w:r>
        <w:rPr>
          <w:rStyle w:val="VerbatimChar"/>
        </w:rPr>
        <w:t xml:space="preserve">generativeUI/training-webcomponents-ngx</w:t>
      </w:r>
      <w:r>
        <w:t xml:space="preserve">.</w:t>
      </w:r>
    </w:p>
    <w:bookmarkEnd w:id="230"/>
    <w:bookmarkEnd w:id="231"/>
    <w:bookmarkStart w:id="235" w:name="ch:global-dependencies"/>
    <w:p>
      <w:pPr>
        <w:pStyle w:val="Heading1"/>
      </w:pPr>
      <w:r>
        <w:t xml:space="preserve">Global Wave-Dependency Manifest</w:t>
      </w:r>
    </w:p>
    <w:bookmarkStart w:id="232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232"/>
    <w:bookmarkStart w:id="234" w:name="inter-domain-prerequisite-matrix"/>
    <w:p>
      <w:pPr>
        <w:pStyle w:val="Heading2"/>
      </w:pPr>
      <w:r>
        <w:t xml:space="preserve">Inter-Domain Prerequisite Matrix</w:t>
      </w:r>
    </w:p>
    <w:bookmarkStart w:id="233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233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234"/>
    <w:bookmarkEnd w:id="2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Balance Review and AI Augmentation Implementation Specification Ref: TB-REVIEW-2026-v1.2</dc:title>
  <dc:creator>SAP-OSS Financial Review Team</dc:creator>
  <cp:keywords/>
  <dcterms:created xsi:type="dcterms:W3CDTF">2026-04-20T07:02:14Z</dcterms:created>
  <dcterms:modified xsi:type="dcterms:W3CDTF">2026-04-20T07:02:14Z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