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 AI Regulations Corpus</w:t>
      </w:r>
    </w:p>
    <w:p>
      <w:pPr>
        <w:pStyle w:val="Author"/>
      </w:pPr>
      <w:r>
        <w:t xml:space="preserve">SCB GCFO, AI Research &amp; Development</w:t>
      </w:r>
    </w:p>
    <w:p>
      <w:pPr>
        <w:pStyle w:val="Date"/>
      </w:pPr>
      <w:r>
        <w:t xml:space="preserve">April 2026</w:t>
      </w:r>
    </w:p>
    <w:bookmarkStart w:id="9" w:name="executive-summary"/>
    <w:p>
      <w:pPr>
        <w:pStyle w:val="Heading1"/>
      </w:pPr>
      <w:r>
        <w:t xml:space="preserve">Executive Summary</w:t>
      </w:r>
    </w:p>
    <w:bookmarkEnd w:id="9"/>
    <w:bookmarkStart w:id="14" w:name="document-status-and-purpose"/>
    <w:p>
      <w:pPr>
        <w:pStyle w:val="Heading1"/>
      </w:pPr>
      <w:r>
        <w:t xml:space="preserve">Document status and purpose</w:t>
      </w:r>
    </w:p>
    <w:p>
      <w:pPr>
        <w:pStyle w:val="FirstParagraph"/>
      </w:pPr>
      <w:r>
        <w:t xml:space="preserve">This specification formalises the regulations, frameworks, and conformance</w:t>
      </w:r>
      <w:r>
        <w:t xml:space="preserve"> </w:t>
      </w:r>
      <w:r>
        <w:t xml:space="preserve">tooling relevant to agentic AI deployments in the SAP OSS finance stack. Its</w:t>
      </w:r>
      <w:r>
        <w:t xml:space="preserve"> </w:t>
      </w:r>
      <w:r>
        <w:t xml:space="preserve">three goals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regulations machine-readable.</w:t>
      </w:r>
      <w:r>
        <w:t xml:space="preserve"> </w:t>
      </w:r>
      <w:r>
        <w:t xml:space="preserve">Every source document</w:t>
      </w:r>
      <w:r>
        <w:t xml:space="preserve"> </w:t>
      </w:r>
      <w:r>
        <w:t xml:space="preserve">in is accompanied by structured JSON records under</w:t>
      </w:r>
      <w:r>
        <w:t xml:space="preserve"> </w:t>
      </w:r>
      <w:r>
        <w:t xml:space="preserve">that capture sections, normative requirements,</w:t>
      </w:r>
      <w:r>
        <w:t xml:space="preserve"> </w:t>
      </w:r>
      <w:r>
        <w:t xml:space="preserve">and observational claims.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Bind each requirement to evidence in the repository.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 schema carries an</w:t>
      </w:r>
      <w:r>
        <w:t xml:space="preserve"> </w:t>
      </w:r>
      <w:r>
        <w:rPr>
          <w:rStyle w:val="VerbatimChar"/>
        </w:rPr>
        <w:t xml:space="preserve">implementation[]</w:t>
      </w:r>
      <w:r>
        <w:t xml:space="preserve"> </w:t>
      </w:r>
      <w:r>
        <w:t xml:space="preserve">array of file</w:t>
      </w:r>
      <w:r>
        <w:t xml:space="preserve"> </w:t>
      </w:r>
      <w:r>
        <w:t xml:space="preserve">paths, configuration fields, and documentation anchors, plus a</w:t>
      </w:r>
      <w:r>
        <w:t xml:space="preserve"> </w:t>
      </w:r>
      <w:r>
        <w:rPr>
          <w:rStyle w:val="VerbatimChar"/>
        </w:rPr>
        <w:t xml:space="preserve">verification[]</w:t>
      </w:r>
      <w:r>
        <w:t xml:space="preserve"> </w:t>
      </w:r>
      <w:r>
        <w:t xml:space="preserve">array pointing to AI Verify plugins, Moonshot</w:t>
      </w:r>
      <w:r>
        <w:t xml:space="preserve"> </w:t>
      </w:r>
      <w:r>
        <w:t xml:space="preserve">benchmark IDs, or repository tests. A local validator</w:t>
      </w:r>
      <w:r>
        <w:t xml:space="preserve"> </w:t>
      </w:r>
      <w:r>
        <w:t xml:space="preserve">() fails when any of these paths no</w:t>
      </w:r>
      <w:r>
        <w:t xml:space="preserve"> </w:t>
      </w:r>
      <w:r>
        <w:t xml:space="preserve">longer resolve.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reviewers a single printable reference.</w:t>
      </w:r>
      <w:r>
        <w:t xml:space="preserve"> </w:t>
      </w:r>
      <w:r>
        <w:t xml:space="preserve">This document</w:t>
      </w:r>
      <w:r>
        <w:t xml:space="preserve"> </w:t>
      </w:r>
      <w:r>
        <w:t xml:space="preserve">cross-links the corpus records, the two vendored conformance</w:t>
      </w:r>
      <w:r>
        <w:t xml:space="preserve"> </w:t>
      </w:r>
      <w:r>
        <w:t xml:space="preserve">frameworks, and the code they exercise, so that governance reviews,</w:t>
      </w:r>
      <w:r>
        <w:t xml:space="preserve"> </w:t>
      </w:r>
      <w:r>
        <w:t xml:space="preserve">internal audit, and external assessors can read one PDF instead of</w:t>
      </w:r>
      <w:r>
        <w:t xml:space="preserve"> </w:t>
      </w:r>
      <w:r>
        <w:t xml:space="preserve">navigating three directory trees.</w:t>
      </w:r>
    </w:p>
    <w:bookmarkStart w:id="10" w:name="in-scope."/>
    <w:p>
      <w:pPr>
        <w:pStyle w:val="Heading5"/>
      </w:pPr>
      <w:r>
        <w:t xml:space="preserve">In scope.</w:t>
      </w:r>
    </w:p>
    <w:p>
      <w:pPr>
        <w:pStyle w:val="FirstParagraph"/>
      </w:pPr>
      <w:r>
        <w:t xml:space="preserve">The Infocomm Media Development Authority (IMDA) / AI Verify</w:t>
      </w:r>
      <w:r>
        <w:t xml:space="preserve"> </w:t>
      </w:r>
      <w:r>
        <w:t xml:space="preserve">Foundation</w:t>
      </w:r>
      <w:r>
        <w:t xml:space="preserve"> </w:t>
      </w:r>
      <w:r>
        <w:rPr>
          <w:i/>
          <w:iCs/>
        </w:rPr>
        <w:t xml:space="preserve">Model AI Governance Framework for Agentic AI</w:t>
      </w:r>
      <w:r>
        <w:t xml:space="preserve"> </w:t>
      </w:r>
      <w:r>
        <w:t xml:space="preserve">v1.0 (22 Jan</w:t>
      </w:r>
      <w:r>
        <w:t xml:space="preserve"> </w:t>
      </w:r>
      <w:r>
        <w:t xml:space="preserve">2026); the multi-institution</w:t>
      </w:r>
      <w:r>
        <w:t xml:space="preserve"> </w:t>
      </w:r>
      <w:r>
        <w:rPr>
          <w:i/>
          <w:iCs/>
        </w:rPr>
        <w:t xml:space="preserve">2025 AI Agent Index</w:t>
      </w:r>
      <w:r>
        <w:t xml:space="preserve">; the Ju &amp; Aral field</w:t>
      </w:r>
      <w:r>
        <w:t xml:space="preserve"> </w:t>
      </w:r>
      <w:r>
        <w:t xml:space="preserve">experiment</w:t>
      </w:r>
      <w:r>
        <w:t xml:space="preserve"> </w:t>
      </w:r>
      <w:r>
        <w:rPr>
          <w:i/>
          <w:iCs/>
        </w:rPr>
        <w:t xml:space="preserve">Collaborating with AI Agents</w:t>
      </w:r>
      <w:r>
        <w:t xml:space="preserve"> </w:t>
      </w:r>
      <w:r>
        <w:t xml:space="preserve">(arXiv 2503.18238v3, Feb 2026);</w:t>
      </w:r>
      <w:r>
        <w:t xml:space="preserve"> </w:t>
      </w:r>
      <w:r>
        <w:t xml:space="preserve">and the two vendored open-source conformance tools</w:t>
      </w:r>
      <w:r>
        <w:t xml:space="preserve"> </w:t>
      </w:r>
      <w:r>
        <w:t xml:space="preserve">(v2.0) and (v1.1.0).</w:t>
      </w:r>
    </w:p>
    <w:bookmarkEnd w:id="10"/>
    <w:bookmarkStart w:id="11" w:name="out-of-scope."/>
    <w:p>
      <w:pPr>
        <w:pStyle w:val="Heading5"/>
      </w:pPr>
      <w:r>
        <w:t xml:space="preserve">Out of scope.</w:t>
      </w:r>
    </w:p>
    <w:p>
      <w:pPr>
        <w:pStyle w:val="FirstParagraph"/>
      </w:pPr>
      <w:r>
        <w:t xml:space="preserve">Binding legislation (EU AI Act, US executive</w:t>
      </w:r>
      <w:r>
        <w:t xml:space="preserve"> </w:t>
      </w:r>
      <w:r>
        <w:t xml:space="preserve">orders); sector-specific prudential rules (Basel, Solvency); deterministic</w:t>
      </w:r>
      <w:r>
        <w:t xml:space="preserve"> </w:t>
      </w:r>
      <w:r>
        <w:t xml:space="preserve">non-LLM agent platforms. Those are tracked separately and may be added as</w:t>
      </w:r>
      <w:r>
        <w:t xml:space="preserve"> </w:t>
      </w:r>
      <w:r>
        <w:t xml:space="preserve">additional regulation records without changing the schema.</w:t>
      </w:r>
    </w:p>
    <w:bookmarkEnd w:id="11"/>
    <w:bookmarkStart w:id="12" w:name="audience."/>
    <w:p>
      <w:pPr>
        <w:pStyle w:val="Heading5"/>
      </w:pPr>
      <w:r>
        <w:t xml:space="preserve">Audience.</w:t>
      </w:r>
    </w:p>
    <w:p>
      <w:pPr>
        <w:pStyle w:val="FirstParagraph"/>
      </w:pPr>
      <w:r>
        <w:t xml:space="preserve">AI governance leads, internal audit, model risk, and</w:t>
      </w:r>
      <w:r>
        <w:t xml:space="preserve"> </w:t>
      </w:r>
      <w:r>
        <w:t xml:space="preserve">technical reviewers responsible for evidencing conformance for agentic</w:t>
      </w:r>
      <w:r>
        <w:t xml:space="preserve"> </w:t>
      </w:r>
      <w:r>
        <w:t xml:space="preserve">deployments that use the SAP AI Core / PAL / BTP stack captured in</w:t>
      </w:r>
      <w:r>
        <w:t xml:space="preserve"> </w:t>
      </w:r>
      <w:r>
        <w:t xml:space="preserve">and .</w:t>
      </w:r>
    </w:p>
    <w:bookmarkEnd w:id="12"/>
    <w:bookmarkStart w:id="13" w:name="relationship-to-other-corpora."/>
    <w:p>
      <w:pPr>
        <w:pStyle w:val="Heading5"/>
      </w:pPr>
      <w:r>
        <w:t xml:space="preserve">Relationship to other corpora.</w:t>
      </w:r>
    </w:p>
    <w:p>
      <w:pPr>
        <w:pStyle w:val="FirstParagraph"/>
      </w:pPr>
      <w:r>
        <w:t xml:space="preserve">This corpus is a peer of</w:t>
      </w:r>
      <w:r>
        <w:t xml:space="preserve"> </w:t>
      </w:r>
      <w:r>
        <w:t xml:space="preserve">(Arabic invoice processing) and (trial</w:t>
      </w:r>
      <w:r>
        <w:t xml:space="preserve"> </w:t>
      </w:r>
      <w:r>
        <w:t xml:space="preserve">balance review). Where requirements apply to those workloads, the</w:t>
      </w:r>
      <w:r>
        <w:t xml:space="preserve"> </w:t>
      </w:r>
      <w:r>
        <w:rPr>
          <w:rStyle w:val="VerbatimChar"/>
        </w:rPr>
        <w:t xml:space="preserve">implementation[]</w:t>
      </w:r>
      <w:r>
        <w:t xml:space="preserve"> </w:t>
      </w:r>
      <w:r>
        <w:t xml:space="preserve">field points back to their structured records or</w:t>
      </w:r>
      <w:r>
        <w:t xml:space="preserve"> </w:t>
      </w:r>
      <w:r>
        <w:t xml:space="preserve">spec chapters.</w:t>
      </w:r>
    </w:p>
    <w:p>
      <w:pPr>
        <w:pStyle w:val="BodyText"/>
      </w:pPr>
      <w:r>
        <w:t xml:space="preserve">This is a living document. Re-running</w:t>
      </w:r>
      <w:r>
        <w:t xml:space="preserve"> </w:t>
      </w:r>
      <w:r>
        <w:t xml:space="preserve">checks schema</w:t>
      </w:r>
      <w:r>
        <w:t xml:space="preserve"> </w:t>
      </w:r>
      <w:r>
        <w:t xml:space="preserve">conformance and verifies that every code path, plugin, and test id</w:t>
      </w:r>
      <w:r>
        <w:t xml:space="preserve"> </w:t>
      </w:r>
      <w:r>
        <w:t xml:space="preserve">referenced from the requirement records still exists.</w:t>
      </w:r>
    </w:p>
    <w:bookmarkEnd w:id="13"/>
    <w:bookmarkEnd w:id="14"/>
    <w:bookmarkStart w:id="24" w:name="ch:overview"/>
    <w:p>
      <w:pPr>
        <w:pStyle w:val="Heading1"/>
      </w:pPr>
      <w:r>
        <w:t xml:space="preserve">Overview and corpus layout</w:t>
      </w:r>
    </w:p>
    <w:bookmarkStart w:id="15" w:name="why-this-corpus-exists"/>
    <w:p>
      <w:pPr>
        <w:pStyle w:val="Heading2"/>
      </w:pPr>
      <w:r>
        <w:t xml:space="preserve">Why this corpus exists</w:t>
      </w:r>
    </w:p>
    <w:p>
      <w:pPr>
        <w:pStyle w:val="FirstParagraph"/>
      </w:pPr>
      <w:r>
        <w:t xml:space="preserve">Agentic AI systems — LLM-driven agents that plan across multiple steps,</w:t>
      </w:r>
      <w:r>
        <w:t xml:space="preserve"> </w:t>
      </w:r>
      <w:r>
        <w:t xml:space="preserve">call tools, and act on external systems — are governed by a rapidly</w:t>
      </w:r>
      <w:r>
        <w:t xml:space="preserve"> </w:t>
      </w:r>
      <w:r>
        <w:t xml:space="preserve">evolving mix of regulatory frameworks, empirical research, and conformance</w:t>
      </w:r>
      <w:r>
        <w:t xml:space="preserve"> </w:t>
      </w:r>
      <w:r>
        <w:t xml:space="preserve">tooling. None of these sources alone tells an organisation whether a</w:t>
      </w:r>
      <w:r>
        <w:t xml:space="preserve"> </w:t>
      </w:r>
      <w:r>
        <w:t xml:space="preserve">specific deployment is defensible. The corpus brings the three</w:t>
      </w:r>
      <w:r>
        <w:t xml:space="preserve"> </w:t>
      </w:r>
      <w:r>
        <w:t xml:space="preserve">source classes together, adds a machine-checkable link to the code</w:t>
      </w:r>
      <w:r>
        <w:t xml:space="preserve"> </w:t>
      </w:r>
      <w:r>
        <w:t xml:space="preserve">implementing each requirement, and exposes the result as both structured</w:t>
      </w:r>
      <w:r>
        <w:t xml:space="preserve"> </w:t>
      </w:r>
      <w:r>
        <w:t xml:space="preserve">JSON and this human-readable PDF.</w:t>
      </w:r>
    </w:p>
    <w:p>
      <w:pPr>
        <w:pStyle w:val="BodyText"/>
      </w:pPr>
      <w:r>
        <w:t xml:space="preserve">Three concrete failure modes motivated the corpus: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Requirements drift.</w:t>
      </w:r>
      <w:r>
        <w:t xml:space="preserve"> </w:t>
      </w:r>
      <w:r>
        <w:t xml:space="preserve">Regulatory text is updated faster than</w:t>
      </w:r>
      <w:r>
        <w:t xml:space="preserve"> </w:t>
      </w:r>
      <w:r>
        <w:t xml:space="preserve">organisational policies. A machine-readable copy with a hash lets</w:t>
      </w:r>
      <w:r>
        <w:t xml:space="preserve"> </w:t>
      </w:r>
      <w:r>
        <w:t xml:space="preserve">governance teams detect a published update and re-run the</w:t>
      </w:r>
      <w:r>
        <w:t xml:space="preserve"> </w:t>
      </w:r>
      <w:r>
        <w:t xml:space="preserve">downstream validators.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Evidence lives everywhere.</w:t>
      </w:r>
      <w:r>
        <w:t xml:space="preserve"> </w:t>
      </w:r>
      <w:r>
        <w:t xml:space="preserve">A single requirement such as</w:t>
      </w:r>
      <w:r>
        <w:t xml:space="preserve"> </w:t>
      </w:r>
      <w:r>
        <w:rPr>
          <w:i/>
          <w:iCs/>
        </w:rPr>
        <w:t xml:space="preserve">“bound the agent’s tool access”</w:t>
      </w:r>
      <w:r>
        <w:t xml:space="preserve"> </w:t>
      </w:r>
      <w:r>
        <w:t xml:space="preserve">touches an MCP server, a</w:t>
      </w:r>
      <w:r>
        <w:t xml:space="preserve"> </w:t>
      </w:r>
      <w:r>
        <w:t xml:space="preserve">data-product registry, a CI job, a runbook, and a review checklist.</w:t>
      </w:r>
      <w:r>
        <w:t xml:space="preserve"> </w:t>
      </w:r>
      <w:r>
        <w:t xml:space="preserve">Without a central mapping, audit evidence walks are painful and</w:t>
      </w:r>
      <w:r>
        <w:t xml:space="preserve"> </w:t>
      </w:r>
      <w:r>
        <w:t xml:space="preserve">inconsistent.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Conformance tools don’t speak the same vocabulary.</w:t>
      </w:r>
      <w:r>
        <w:t xml:space="preserve"> </w:t>
      </w:r>
      <w:r>
        <w:t xml:space="preserve">AI</w:t>
      </w:r>
      <w:r>
        <w:t xml:space="preserve"> </w:t>
      </w:r>
      <w:r>
        <w:t xml:space="preserve">Verify uses plugin IDs, Moonshot uses benchmark IDs, internal</w:t>
      </w:r>
      <w:r>
        <w:t xml:space="preserve"> </w:t>
      </w:r>
      <w:r>
        <w:t xml:space="preserve">controls use EUC reference numbers, and product teams use file</w:t>
      </w:r>
      <w:r>
        <w:t xml:space="preserve"> </w:t>
      </w:r>
      <w:r>
        <w:t xml:space="preserve">paths. The requirement schema defined here is the translation</w:t>
      </w:r>
      <w:r>
        <w:t xml:space="preserve"> </w:t>
      </w:r>
      <w:r>
        <w:t xml:space="preserve">table.</w:t>
      </w:r>
    </w:p>
    <w:bookmarkEnd w:id="15"/>
    <w:bookmarkStart w:id="16" w:name="three-source-classes"/>
    <w:p>
      <w:pPr>
        <w:pStyle w:val="Heading2"/>
      </w:pPr>
      <w:r>
        <w:t xml:space="preserve">Three source classes</w:t>
      </w:r>
    </w:p>
    <w:p>
      <w:pPr>
        <w:pStyle w:val="DefinitionTerm"/>
      </w:pPr>
      <w:r>
        <w:t xml:space="preserve">Framework — IMDA MGF for Agentic AI.</w:t>
      </w:r>
    </w:p>
    <w:p>
      <w:pPr>
        <w:pStyle w:val="Definition"/>
      </w:pPr>
      <w:r>
        <w:t xml:space="preserve">A 29-page recommended</w:t>
      </w:r>
      <w:r>
        <w:t xml:space="preserve"> </w:t>
      </w:r>
      <w:r>
        <w:t xml:space="preserve">framework organised into four pillars: assess and bound risks upfront;</w:t>
      </w:r>
      <w:r>
        <w:t xml:space="preserve"> </w:t>
      </w:r>
      <w:r>
        <w:t xml:space="preserve">make humans meaningfully accountable; implement technical controls and</w:t>
      </w:r>
      <w:r>
        <w:t xml:space="preserve"> </w:t>
      </w:r>
      <w:r>
        <w:t xml:space="preserve">processes; enable end-user responsibility. It is the highest-normativity</w:t>
      </w:r>
      <w:r>
        <w:t xml:space="preserve"> </w:t>
      </w:r>
      <w:r>
        <w:t xml:space="preserve">document in the corpus.</w:t>
      </w:r>
    </w:p>
    <w:p>
      <w:pPr>
        <w:pStyle w:val="DefinitionTerm"/>
      </w:pPr>
      <w:r>
        <w:t xml:space="preserve">Index — 2025 AI Agent Index.</w:t>
      </w:r>
    </w:p>
    <w:p>
      <w:pPr>
        <w:pStyle w:val="Definition"/>
      </w:pPr>
      <w:r>
        <w:t xml:space="preserve">A descriptive inventory of 30</w:t>
      </w:r>
      <w:r>
        <w:t xml:space="preserve"> </w:t>
      </w:r>
      <w:r>
        <w:t xml:space="preserve">deployed agentic systems scored on legal, technical, autonomy,</w:t>
      </w:r>
      <w:r>
        <w:t xml:space="preserve"> </w:t>
      </w:r>
      <w:r>
        <w:t xml:space="preserve">ecosystem, evaluation, and safety documentation. It supplies</w:t>
      </w:r>
      <w:r>
        <w:t xml:space="preserve"> </w:t>
      </w:r>
      <w:r>
        <w:t xml:space="preserve">transparency requirements rather than normative obligations.</w:t>
      </w:r>
    </w:p>
    <w:p>
      <w:pPr>
        <w:pStyle w:val="DefinitionTerm"/>
      </w:pPr>
      <w:r>
        <w:t xml:space="preserve">Research — Ju &amp; Aral (2026).</w:t>
      </w:r>
    </w:p>
    <w:p>
      <w:pPr>
        <w:pStyle w:val="Definition"/>
      </w:pPr>
      <w:r>
        <w:t xml:space="preserve">A 2</w:t>
      </w:r>
      <w:r>
        <w:t xml:space="preserve">,</w:t>
      </w:r>
      <w:r>
        <w:t xml:space="preserve">234-participant field</w:t>
      </w:r>
      <w:r>
        <w:t xml:space="preserve"> </w:t>
      </w:r>
      <w:r>
        <w:t xml:space="preserve">experiment that produced empirical claims about delegation rates, task</w:t>
      </w:r>
      <w:r>
        <w:t xml:space="preserve"> </w:t>
      </w:r>
      <w:r>
        <w:t xml:space="preserve">orientation, and diversity collapse. We treat these as observational</w:t>
      </w:r>
      <w:r>
        <w:t xml:space="preserve"> </w:t>
      </w:r>
      <w:r>
        <w:t xml:space="preserve">requirements that inform which metrics a deployment should measure.</w:t>
      </w:r>
    </w:p>
    <w:bookmarkEnd w:id="16"/>
    <w:bookmarkStart w:id="17" w:name="two-conformance-tools"/>
    <w:p>
      <w:pPr>
        <w:pStyle w:val="Heading2"/>
      </w:pPr>
      <w:r>
        <w:t xml:space="preserve">Two conformance tools</w:t>
      </w:r>
    </w:p>
    <w:p>
      <w:pPr>
        <w:pStyle w:val="DefinitionTerm"/>
      </w:pPr>
      <w:r>
        <w:t xml:space="preserve"> </w:t>
      </w:r>
      <w:r>
        <w:t xml:space="preserve">(v2.0).</w:t>
      </w:r>
    </w:p>
    <w:p>
      <w:pPr>
        <w:pStyle w:val="Definition"/>
      </w:pPr>
      <w:r>
        <w:t xml:space="preserve">A plugin-based testing framework. Eleven</w:t>
      </w:r>
      <w:r>
        <w:t xml:space="preserve"> </w:t>
      </w:r>
      <w:r>
        <w:t xml:space="preserve">stock plugins implement fairness, robustness, explainability,</w:t>
      </w:r>
      <w:r>
        <w:t xml:space="preserve"> </w:t>
      </w:r>
      <w:r>
        <w:t xml:space="preserve">financial-sector (Veritas), reporting, and process-checklist</w:t>
      </w:r>
      <w:r>
        <w:t xml:space="preserve"> </w:t>
      </w:r>
      <w:r>
        <w:t xml:space="preserve">algorithms. Plugins are referenced from requirement records via the</w:t>
      </w:r>
      <w:r>
        <w:t xml:space="preserve"> </w:t>
      </w:r>
      <w:r>
        <w:rPr>
          <w:rStyle w:val="VerbatimChar"/>
        </w:rPr>
        <w:t xml:space="preserve">verification[].plugin</w:t>
      </w:r>
      <w:r>
        <w:t xml:space="preserve"> </w:t>
      </w:r>
      <w:r>
        <w:t xml:space="preserve">field.</w:t>
      </w:r>
    </w:p>
    <w:p>
      <w:pPr>
        <w:pStyle w:val="DefinitionTerm"/>
      </w:pPr>
      <w:r>
        <w:t xml:space="preserve"> </w:t>
      </w:r>
      <w:r>
        <w:t xml:space="preserve">(v1.1.0).</w:t>
      </w:r>
    </w:p>
    <w:p>
      <w:pPr>
        <w:pStyle w:val="Definition"/>
      </w:pPr>
      <w:r>
        <w:t xml:space="preserve">A CI/CD-focused safety evaluation</w:t>
      </w:r>
      <w:r>
        <w:t xml:space="preserve"> </w:t>
      </w:r>
      <w:r>
        <w:t xml:space="preserve">tool exposing four benchmark categories — hallucination, undesirable</w:t>
      </w:r>
      <w:r>
        <w:t xml:space="preserve"> </w:t>
      </w:r>
      <w:r>
        <w:t xml:space="preserve">content, data disclosure, adversarial — behind a single</w:t>
      </w:r>
      <w:r>
        <w:t xml:space="preserve"> </w:t>
      </w:r>
      <w:r>
        <w:rPr>
          <w:rStyle w:val="VerbatimChar"/>
        </w:rPr>
        <w:t xml:space="preserve">moonshot run</w:t>
      </w:r>
      <w:r>
        <w:t xml:space="preserve"> </w:t>
      </w:r>
      <w:r>
        <w:t xml:space="preserve">command. Referenced via</w:t>
      </w:r>
      <w:r>
        <w:t xml:space="preserve"> </w:t>
      </w:r>
      <w:r>
        <w:rPr>
          <w:rStyle w:val="VerbatimChar"/>
        </w:rPr>
        <w:t xml:space="preserve">verification[].testId</w:t>
      </w:r>
      <w:r>
        <w:t xml:space="preserve">.</w:t>
      </w:r>
    </w:p>
    <w:bookmarkEnd w:id="17"/>
    <w:bookmarkStart w:id="20" w:name="corpus-layout"/>
    <w:p>
      <w:pPr>
        <w:pStyle w:val="Heading2"/>
      </w:pPr>
      <w:r>
        <w:t xml:space="preserve">Corpus layout</w:t>
      </w:r>
    </w:p>
    <w:bookmarkStart w:id="18" w:name="fig:layou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Pipeline from source PDFs through to the printable specification.</w:t>
      </w:r>
    </w:p>
    <w:bookmarkEnd w:id="18"/>
    <w:bookmarkStart w:id="19" w:name="tab:layout"/>
    <w:p>
      <w:pPr>
        <w:pStyle w:val="TableCaption"/>
      </w:pPr>
      <w:r>
        <w:t xml:space="preserve">Top-level directory layout.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level directory layou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(source PDFs)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source documents. Never edited; content hashes tracked in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Per-source extracted text, RAG chunks, and embedding records (re-upsertable into Qdrant via 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Requirement records (20 requirements) with</w:t>
            </w:r>
            <w:r>
              <w:t xml:space="preserve"> </w:t>
            </w:r>
            <w:r>
              <w:rPr>
                <w:rStyle w:val="VerbatimChar"/>
              </w:rPr>
              <w:t xml:space="preserve">implementation[]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verification[]</w:t>
            </w:r>
            <w:r>
              <w:t xml:space="preserve"> </w:t>
            </w:r>
            <w:r>
              <w:t xml:space="preserve">pointers.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JSON Schemas (Draft-07): regulation, requirement, conformance-tool, corpus.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schema index + unified offline validator.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This human-readable PDF (XeLaTeX).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Vendored AI Verify 2.0 monorepo (Apache-2.0).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Vendored Moonshot 1.1.0 monorepo (Apache-2.0).</w:t>
            </w:r>
          </w:p>
        </w:tc>
      </w:tr>
    </w:tbl>
    <w:bookmarkEnd w:id="19"/>
    <w:bookmarkEnd w:id="20"/>
    <w:bookmarkStart w:id="22" w:name="end-to-end-traceability-path"/>
    <w:p>
      <w:pPr>
        <w:pStyle w:val="Heading2"/>
      </w:pPr>
      <w:r>
        <w:t xml:space="preserve">End-to-end traceability path</w:t>
      </w:r>
    </w:p>
    <w:p>
      <w:pPr>
        <w:pStyle w:val="FirstParagraph"/>
      </w:pPr>
      <w:r>
        <w:t xml:space="preserve">Figure </w:t>
      </w:r>
      <w:hyperlink w:anchor="fig:traceability">
        <w:r>
          <w:rPr>
            <w:rStyle w:val="Hyperlink"/>
          </w:rPr>
          <w:t xml:space="preserve">2.2</w:t>
        </w:r>
      </w:hyperlink>
      <w:r>
        <w:t xml:space="preserve"> </w:t>
      </w:r>
      <w:r>
        <w:t xml:space="preserve">shows the five-step chain that the validator</w:t>
      </w:r>
      <w:r>
        <w:t xml:space="preserve"> </w:t>
      </w:r>
      <w:r>
        <w:t xml:space="preserve">enforces: from the hashed source PDF, through the extracted text, a</w:t>
      </w:r>
      <w:r>
        <w:t xml:space="preserve"> </w:t>
      </w:r>
      <w:r>
        <w:t xml:space="preserve">structured regulation record, a normative requirement record with</w:t>
      </w:r>
      <w:r>
        <w:t xml:space="preserve"> </w:t>
      </w:r>
      <w:r>
        <w:t xml:space="preserve">cross-references, down to the code or test actually implementing it.</w:t>
      </w:r>
    </w:p>
    <w:bookmarkStart w:id="21" w:name="fig:traceability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End-to-end traceability chain verified by .</w:t>
      </w:r>
    </w:p>
    <w:bookmarkEnd w:id="21"/>
    <w:bookmarkEnd w:id="22"/>
    <w:bookmarkStart w:id="23" w:name="what-the-validator-enforces"/>
    <w:p>
      <w:pPr>
        <w:pStyle w:val="Heading2"/>
      </w:pPr>
      <w:r>
        <w:t xml:space="preserve">What the validator enforces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Schema conformance.</w:t>
      </w:r>
      <w:r>
        <w:t xml:space="preserve"> </w:t>
      </w:r>
      <w:r>
        <w:t xml:space="preserve">Every record under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regulation.schema.json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conformance-tool.schema.json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corpus.schema.json</w:t>
      </w:r>
      <w:r>
        <w:t xml:space="preserve">) validates against its Draft-07 JSON</w:t>
      </w:r>
      <w:r>
        <w:t xml:space="preserve"> </w:t>
      </w:r>
      <w:r>
        <w:t xml:space="preserve">Schema using an offline</w:t>
      </w:r>
      <w:r>
        <w:t xml:space="preserve"> </w:t>
      </w:r>
      <w:r>
        <w:rPr>
          <w:rStyle w:val="VerbatimChar"/>
        </w:rPr>
        <w:t xml:space="preserve">referencing</w:t>
      </w:r>
      <w:r>
        <w:t xml:space="preserve"> </w:t>
      </w:r>
      <w:r>
        <w:t xml:space="preserve">registry.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Corpus integrity.</w:t>
      </w:r>
      <w:r>
        <w:t xml:space="preserve"> </w:t>
      </w:r>
      <w:r>
        <w:t xml:space="preserve">Every entry in</w:t>
      </w:r>
      <w:r>
        <w:t xml:space="preserve"> </w:t>
      </w:r>
      <w:r>
        <w:t xml:space="preserve">resolves to a schema or record on</w:t>
      </w:r>
      <w:r>
        <w:t xml:space="preserve"> </w:t>
      </w:r>
      <w:r>
        <w:t xml:space="preserve">disk, and every record on disk is listed in the registry.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Implementation link existence.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implementation[].path</w:t>
      </w:r>
      <w:r>
        <w:t xml:space="preserve">, the validator resolves the path</w:t>
      </w:r>
      <w:r>
        <w:t xml:space="preserve"> </w:t>
      </w:r>
      <w:r>
        <w:t xml:space="preserve">against the repository root and fails if it is missing (unless the</w:t>
      </w:r>
      <w:r>
        <w:t xml:space="preserve"> </w:t>
      </w:r>
      <w:r>
        <w:t xml:space="preserve">entry is explicitly recorded as</w:t>
      </w:r>
      <w:r>
        <w:t xml:space="preserve"> </w:t>
      </w:r>
      <w:r>
        <w:rPr>
          <w:rStyle w:val="VerbatimChar"/>
        </w:rPr>
        <w:t xml:space="preserve">kind: "none"</w:t>
      </w:r>
      <w:r>
        <w:t xml:space="preserve"> </w:t>
      </w:r>
      <w:r>
        <w:t xml:space="preserve">marking a</w:t>
      </w:r>
      <w:r>
        <w:t xml:space="preserve"> </w:t>
      </w:r>
      <w:r>
        <w:t xml:space="preserve">known gap).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Verification link coherence.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verification[].plugin</w:t>
      </w:r>
      <w:r>
        <w:t xml:space="preserve"> </w:t>
      </w:r>
      <w:r>
        <w:t xml:space="preserve">must be declared in the</w:t>
      </w:r>
      <w:r>
        <w:t xml:space="preserve"> </w:t>
      </w:r>
      <w:r>
        <w:t xml:space="preserve">record; each</w:t>
      </w:r>
      <w:r>
        <w:t xml:space="preserve"> </w:t>
      </w:r>
      <w:r>
        <w:rPr>
          <w:rStyle w:val="VerbatimChar"/>
        </w:rPr>
        <w:t xml:space="preserve">verification[].testId</w:t>
      </w:r>
      <w:r>
        <w:t xml:space="preserve"> </w:t>
      </w:r>
      <w:r>
        <w:t xml:space="preserve">in the</w:t>
      </w:r>
      <w:r>
        <w:t xml:space="preserve"> </w:t>
      </w:r>
      <w:r>
        <w:t xml:space="preserve">record; each</w:t>
      </w:r>
      <w:r>
        <w:t xml:space="preserve"> </w:t>
      </w:r>
      <w:r>
        <w:rPr>
          <w:rStyle w:val="VerbatimChar"/>
        </w:rPr>
        <w:t xml:space="preserve">verification[].path</w:t>
      </w:r>
      <w:r>
        <w:t xml:space="preserve"> </w:t>
      </w:r>
      <w:r>
        <w:t xml:space="preserve">referencing a test must exist on disk.</w:t>
      </w:r>
    </w:p>
    <w:p>
      <w:pPr>
        <w:pStyle w:val="FirstParagraph"/>
      </w:pPr>
      <w:r>
        <w:t xml:space="preserve">The validator is the contract: CI, internal audit, and external reviewers</w:t>
      </w:r>
      <w:r>
        <w:t xml:space="preserve"> </w:t>
      </w:r>
      <w:r>
        <w:t xml:space="preserve">run the same script and see the same results.</w:t>
      </w:r>
    </w:p>
    <w:bookmarkEnd w:id="23"/>
    <w:bookmarkEnd w:id="24"/>
    <w:bookmarkStart w:id="32" w:name="ch:schema"/>
    <w:p>
      <w:pPr>
        <w:pStyle w:val="Heading1"/>
      </w:pPr>
      <w:r>
        <w:t xml:space="preserve">Canonical data schema</w:t>
      </w:r>
    </w:p>
    <w:p>
      <w:pPr>
        <w:pStyle w:val="FirstParagraph"/>
      </w:pPr>
      <w:r>
        <w:t xml:space="preserve">The structured layer uses four Draft-07 JSON Schemas and a central</w:t>
      </w:r>
      <w:r>
        <w:t xml:space="preserve"> </w:t>
      </w:r>
      <w:r>
        <w:t xml:space="preserve">for controlled vocabulary.</w:t>
      </w:r>
    </w:p>
    <w:bookmarkStart w:id="26" w:name="schema-inventory"/>
    <w:p>
      <w:pPr>
        <w:pStyle w:val="Heading2"/>
      </w:pPr>
      <w:r>
        <w:t xml:space="preserve">Schema inventory</w:t>
      </w:r>
    </w:p>
    <w:bookmarkStart w:id="25" w:name="tab:schemas"/>
    <w:p>
      <w:pPr>
        <w:pStyle w:val="TableCaption"/>
      </w:pPr>
      <w:r>
        <w:t xml:space="preserve">Schemas under 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mas under 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published framework, standard, guideline, research paper, or index. Captures publisher, version, scope, section tree, and a hash of the source PDF.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atomic requirement or observational claim. Carries</w:t>
            </w:r>
            <w:r>
              <w:t xml:space="preserve"> </w:t>
            </w:r>
            <w:r>
              <w:rPr>
                <w:rStyle w:val="VerbatimChar"/>
              </w:rPr>
              <w:t xml:space="preserve">implementation[]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verification[]</w:t>
            </w:r>
            <w:r>
              <w:t xml:space="preserve"> </w:t>
            </w:r>
            <w:r>
              <w:t xml:space="preserve">arrays that bind it to the repository and to the conformance tools.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vendored testing framework. Enumerates plugins, benchmarks, and integration points.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top-level index that lists every item in the corpus, typed as regulation, requirement, conformance_tool, or rag_artifact.</w:t>
            </w:r>
          </w:p>
        </w:tc>
      </w:tr>
    </w:tbl>
    <w:bookmarkEnd w:id="25"/>
    <w:bookmarkEnd w:id="26"/>
    <w:bookmarkStart w:id="28" w:name="requirement-record-the-linkage-schema"/>
    <w:p>
      <w:pPr>
        <w:pStyle w:val="Heading2"/>
      </w:pPr>
      <w:r>
        <w:t xml:space="preserve">Requirement record — the linkage schema</w:t>
      </w:r>
    </w:p>
    <w:p>
      <w:pPr>
        <w:pStyle w:val="FirstParagraph"/>
      </w:pPr>
      <w:r>
        <w:t xml:space="preserve">The requirement schema is the key extension that separates this corpus</w:t>
      </w:r>
      <w:r>
        <w:t xml:space="preserve"> </w:t>
      </w:r>
      <w:r>
        <w:t xml:space="preserve">from the earlier finance corpora. Each requirement carries: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source</w:t>
      </w:r>
      <w:r>
        <w:t xml:space="preserve">: regulation id, section, page, and (optionally) a</w:t>
      </w:r>
      <w:r>
        <w:t xml:space="preserve"> </w:t>
      </w:r>
      <w:r>
        <w:t xml:space="preserve">verbatim quote.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normativeText</w:t>
      </w:r>
      <w:r>
        <w:t xml:space="preserve">: a paraphrased imperative.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obligation</w:t>
      </w:r>
      <w:r>
        <w:t xml:space="preserve">: structured priority</w:t>
      </w:r>
      <w:r>
        <w:t xml:space="preserve"> </w:t>
      </w:r>
      <w:r>
        <w:t xml:space="preserve">(</w:t>
      </w:r>
      <w:r>
        <w:rPr>
          <w:i/>
          <w:iCs/>
        </w:rPr>
        <w:t xml:space="preserve">must</w:t>
      </w:r>
      <w:r>
        <w:t xml:space="preserve">,</w:t>
      </w:r>
      <w:r>
        <w:t xml:space="preserve"> </w:t>
      </w:r>
      <w:r>
        <w:rPr>
          <w:i/>
          <w:iCs/>
        </w:rPr>
        <w:t xml:space="preserve">should</w:t>
      </w:r>
      <w:r>
        <w:t xml:space="preserve">,</w:t>
      </w:r>
      <w:r>
        <w:t xml:space="preserve"> </w:t>
      </w:r>
      <w:r>
        <w:rPr>
          <w:i/>
          <w:iCs/>
        </w:rPr>
        <w:t xml:space="preserve">may</w:t>
      </w:r>
      <w:r>
        <w:t xml:space="preserve">,</w:t>
      </w:r>
      <w:r>
        <w:t xml:space="preserve"> </w:t>
      </w:r>
      <w:r>
        <w:rPr>
          <w:i/>
          <w:iCs/>
        </w:rPr>
        <w:t xml:space="preserve">descriptive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lifecyclePhase</w:t>
      </w:r>
      <w:r>
        <w:t xml:space="preserve">: where in the agent lifecycle the</w:t>
      </w:r>
      <w:r>
        <w:t xml:space="preserve"> </w:t>
      </w:r>
      <w:r>
        <w:t xml:space="preserve">requirement applies (planning, design, development,</w:t>
      </w:r>
      <w:r>
        <w:t xml:space="preserve"> </w:t>
      </w:r>
      <w:r>
        <w:t xml:space="preserve">pre-deployment, deployment, post-deployment, decommission).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implementation[]</w:t>
      </w:r>
      <w:r>
        <w:t xml:space="preserve">: an array of pointers to code, config,</w:t>
      </w:r>
      <w:r>
        <w:t xml:space="preserve"> </w:t>
      </w:r>
      <w:r>
        <w:t xml:space="preserve">documentation, schema, or dataset evidence. A</w:t>
      </w:r>
      <w:r>
        <w:t xml:space="preserve"> </w:t>
      </w:r>
      <w:r>
        <w:rPr>
          <w:rStyle w:val="VerbatimChar"/>
        </w:rPr>
        <w:t xml:space="preserve">kind: "none"</w:t>
      </w:r>
      <w:r>
        <w:t xml:space="preserve"> </w:t>
      </w:r>
      <w:r>
        <w:t xml:space="preserve">entry explicitly records a known gap.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verification[]</w:t>
      </w:r>
      <w:r>
        <w:t xml:space="preserve">: an array of pointers to AI Verify plugins</w:t>
      </w:r>
      <w:r>
        <w:t xml:space="preserve"> </w:t>
      </w:r>
      <w:r>
        <w:t xml:space="preserve">(by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), Moonshot benchmarks (by</w:t>
      </w:r>
      <w:r>
        <w:t xml:space="preserve"> </w:t>
      </w:r>
      <w:r>
        <w:rPr>
          <w:rStyle w:val="VerbatimChar"/>
        </w:rPr>
        <w:t xml:space="preserve">testId</w:t>
      </w:r>
      <w:r>
        <w:t xml:space="preserve">),</w:t>
      </w:r>
      <w:r>
        <w:t xml:space="preserve"> </w:t>
      </w:r>
      <w:r>
        <w:t xml:space="preserve">repository tests (by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), manual-review entries, or</w:t>
      </w:r>
      <w:r>
        <w:t xml:space="preserve"> </w:t>
      </w:r>
      <w:r>
        <w:t xml:space="preserve">process-checklist items.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i/>
          <w:iCs/>
        </w:rPr>
        <w:t xml:space="preserve">implemented</w:t>
      </w:r>
      <w:r>
        <w:t xml:space="preserve">,</w:t>
      </w:r>
      <w:r>
        <w:t xml:space="preserve"> </w:t>
      </w:r>
      <w:r>
        <w:rPr>
          <w:i/>
          <w:iCs/>
        </w:rPr>
        <w:t xml:space="preserve">partial</w:t>
      </w:r>
      <w:r>
        <w:t xml:space="preserve">,</w:t>
      </w:r>
      <w:r>
        <w:t xml:space="preserve"> </w:t>
      </w:r>
      <w:r>
        <w:rPr>
          <w:i/>
          <w:iCs/>
        </w:rPr>
        <w:t xml:space="preserve">gap</w:t>
      </w:r>
      <w:r>
        <w:t xml:space="preserve">,</w:t>
      </w:r>
      <w:r>
        <w:t xml:space="preserve"> </w:t>
      </w:r>
      <w:r>
        <w:rPr>
          <w:i/>
          <w:iCs/>
        </w:rPr>
        <w:t xml:space="preserve">planned</w:t>
      </w:r>
      <w:r>
        <w:t xml:space="preserve">, or</w:t>
      </w:r>
      <w:r>
        <w:t xml:space="preserve"> </w:t>
      </w:r>
      <w:r>
        <w:rPr>
          <w:i/>
          <w:iCs/>
        </w:rPr>
        <w:t xml:space="preserve">not_applicable</w:t>
      </w:r>
      <w:r>
        <w:t xml:space="preserve">.</w:t>
      </w:r>
    </w:p>
    <w:bookmarkStart w:id="27" w:name="lst:req-example"/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"requirementId": "REG-MGF-2.1.2-001",</w:t>
      </w:r>
      <w:r>
        <w:br/>
      </w:r>
      <w:r>
        <w:rPr>
          <w:rStyle w:val="VerbatimChar"/>
        </w:rPr>
        <w:t xml:space="preserve">  "source": {</w:t>
      </w:r>
      <w:r>
        <w:br/>
      </w:r>
      <w:r>
        <w:rPr>
          <w:rStyle w:val="VerbatimChar"/>
        </w:rPr>
        <w:t xml:space="preserve">    "regulationId": "imda-mgf-agentic-ai-v1",</w:t>
      </w:r>
      <w:r>
        <w:br/>
      </w:r>
      <w:r>
        <w:rPr>
          <w:rStyle w:val="VerbatimChar"/>
        </w:rPr>
        <w:t xml:space="preserve">    "section": "2.1.2",</w:t>
      </w:r>
      <w:r>
        <w:br/>
      </w:r>
      <w:r>
        <w:rPr>
          <w:rStyle w:val="VerbatimChar"/>
        </w:rPr>
        <w:t xml:space="preserve">    "page": 11,</w:t>
      </w:r>
      <w:r>
        <w:br/>
      </w:r>
      <w:r>
        <w:rPr>
          <w:rStyle w:val="VerbatimChar"/>
        </w:rPr>
        <w:t xml:space="preserve">    "quote": "Bound risks through design by defining agents' limits 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"normativeText": "The agent must operate against an explicit allow-list</w:t>
      </w:r>
      <w:r>
        <w:br/>
      </w:r>
      <w:r>
        <w:rPr>
          <w:rStyle w:val="VerbatimChar"/>
        </w:rPr>
        <w:t xml:space="preserve">                    of tools and external systems; broader access must be</w:t>
      </w:r>
      <w:r>
        <w:br/>
      </w:r>
      <w:r>
        <w:rPr>
          <w:rStyle w:val="VerbatimChar"/>
        </w:rPr>
        <w:t xml:space="preserve">                    denied by default.",</w:t>
      </w:r>
      <w:r>
        <w:br/>
      </w:r>
      <w:r>
        <w:rPr>
          <w:rStyle w:val="VerbatimChar"/>
        </w:rPr>
        <w:t xml:space="preserve">  "category": "bound_risks",</w:t>
      </w:r>
      <w:r>
        <w:br/>
      </w:r>
      <w:r>
        <w:rPr>
          <w:rStyle w:val="VerbatimChar"/>
        </w:rPr>
        <w:t xml:space="preserve">  "obligation": "must",</w:t>
      </w:r>
      <w:r>
        <w:br/>
      </w:r>
      <w:r>
        <w:rPr>
          <w:rStyle w:val="VerbatimChar"/>
        </w:rPr>
        <w:t xml:space="preserve">  "lifecyclePhase": "design",</w:t>
      </w:r>
      <w:r>
        <w:br/>
      </w:r>
      <w:r>
        <w:rPr>
          <w:rStyle w:val="VerbatimChar"/>
        </w:rPr>
        <w:t xml:space="preserve">  "implementation": [</w:t>
      </w:r>
      <w:r>
        <w:br/>
      </w:r>
      <w:r>
        <w:rPr>
          <w:rStyle w:val="VerbatimChar"/>
        </w:rPr>
        <w:t xml:space="preserve">    {"kind": "code",</w:t>
      </w:r>
      <w:r>
        <w:br/>
      </w:r>
      <w:r>
        <w:rPr>
          <w:rStyle w:val="VerbatimChar"/>
        </w:rPr>
        <w:t xml:space="preserve">     "path": "src/intelligence/ai-core-pal/mcp_server/btp_pal_mcp_server.py",</w:t>
      </w:r>
      <w:r>
        <w:br/>
      </w:r>
      <w:r>
        <w:rPr>
          <w:rStyle w:val="VerbatimChar"/>
        </w:rPr>
        <w:t xml:space="preserve">     "symbol": "btp_pal_mcp_server"},</w:t>
      </w:r>
      <w:r>
        <w:br/>
      </w:r>
      <w:r>
        <w:rPr>
          <w:rStyle w:val="VerbatimChar"/>
        </w:rPr>
        <w:t xml:space="preserve">    {"kind": "config",</w:t>
      </w:r>
      <w:r>
        <w:br/>
      </w:r>
      <w:r>
        <w:rPr>
          <w:rStyle w:val="VerbatimChar"/>
        </w:rPr>
        <w:t xml:space="preserve">     "path": "src/intelligence/ai-core-pal/data_products/registry.yaml"}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"verification": [</w:t>
      </w:r>
      <w:r>
        <w:br/>
      </w:r>
      <w:r>
        <w:rPr>
          <w:rStyle w:val="VerbatimChar"/>
        </w:rPr>
        <w:t xml:space="preserve">    {"kind": "test",</w:t>
      </w:r>
      <w:r>
        <w:br/>
      </w:r>
      <w:r>
        <w:rPr>
          <w:rStyle w:val="VerbatimChar"/>
        </w:rPr>
        <w:t xml:space="preserve">     "path": "src/intelligence/ai-core-pal/tests/test_mcp_server.py"},</w:t>
      </w:r>
      <w:r>
        <w:br/>
      </w:r>
      <w:r>
        <w:rPr>
          <w:rStyle w:val="VerbatimChar"/>
        </w:rPr>
        <w:t xml:space="preserve">    {"kind": "moonshot-test", "testId": "adversarial_prompts"}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"status": "partial",</w:t>
      </w:r>
      <w:r>
        <w:br/>
      </w:r>
      <w:r>
        <w:rPr>
          <w:rStyle w:val="VerbatimChar"/>
        </w:rPr>
        <w:t xml:space="preserve">  "priority": "critical"</w:t>
      </w:r>
      <w:r>
        <w:br/>
      </w:r>
      <w:r>
        <w:rPr>
          <w:rStyle w:val="VerbatimChar"/>
        </w:rPr>
        <w:t xml:space="preserve">}</w:t>
      </w:r>
    </w:p>
    <w:bookmarkEnd w:id="27"/>
    <w:bookmarkEnd w:id="28"/>
    <w:bookmarkStart w:id="29" w:name="conformance-tool-record"/>
    <w:p>
      <w:pPr>
        <w:pStyle w:val="Heading2"/>
      </w:pPr>
      <w:r>
        <w:t xml:space="preserve">Conformance-tool record</w:t>
      </w:r>
    </w:p>
    <w:p>
      <w:pPr>
        <w:pStyle w:val="FirstParagraph"/>
      </w:pPr>
      <w:r>
        <w:t xml:space="preserve">The conformance-tool schema captures the tools themselves so that</w:t>
      </w:r>
      <w:r>
        <w:t xml:space="preserve"> </w:t>
      </w:r>
      <w:r>
        <w:t xml:space="preserve">requirement records can reference them by stable identifiers. Every</w:t>
      </w:r>
      <w:r>
        <w:t xml:space="preserve"> </w:t>
      </w:r>
      <w:r>
        <w:rPr>
          <w:rStyle w:val="VerbatimChar"/>
        </w:rPr>
        <w:t xml:space="preserve">plugin.pluginId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benchmark.benchmarkId</w:t>
      </w:r>
      <w:r>
        <w:t xml:space="preserve"> </w:t>
      </w:r>
      <w:r>
        <w:t xml:space="preserve">is part of the</w:t>
      </w:r>
      <w:r>
        <w:t xml:space="preserve"> </w:t>
      </w:r>
      <w:r>
        <w:t xml:space="preserve">vocabulary that requirement records can cite.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"toolId": "aiverify",</w:t>
      </w:r>
      <w:r>
        <w:br/>
      </w:r>
      <w:r>
        <w:rPr>
          <w:rStyle w:val="VerbatimChar"/>
        </w:rPr>
        <w:t xml:space="preserve">  "vendoredPath": "docs/regulations/aiverify-main",</w:t>
      </w:r>
      <w:r>
        <w:br/>
      </w:r>
      <w:r>
        <w:rPr>
          <w:rStyle w:val="VerbatimChar"/>
        </w:rPr>
        <w:t xml:space="preserve">  "kind": "testing-framework",</w:t>
      </w:r>
      <w:r>
        <w:br/>
      </w:r>
      <w:r>
        <w:rPr>
          <w:rStyle w:val="VerbatimChar"/>
        </w:rPr>
        <w:t xml:space="preserve">  "plugins": [</w:t>
      </w:r>
      <w:r>
        <w:br/>
      </w:r>
      <w:r>
        <w:rPr>
          <w:rStyle w:val="VerbatimChar"/>
        </w:rPr>
        <w:t xml:space="preserve">    { "pluginId": "aiverify.stock.process-checklist",</w:t>
      </w:r>
      <w:r>
        <w:br/>
      </w:r>
      <w:r>
        <w:rPr>
          <w:rStyle w:val="VerbatimChar"/>
        </w:rPr>
        <w:t xml:space="preserve">      "path": "docs/regulations/aiverify-main/stock-plugins/...",</w:t>
      </w:r>
      <w:r>
        <w:br/>
      </w:r>
      <w:r>
        <w:rPr>
          <w:rStyle w:val="VerbatimChar"/>
        </w:rPr>
        <w:t xml:space="preserve">      "purpose": "11-principle process-checklist questionnaire ...",</w:t>
      </w:r>
      <w:r>
        <w:br/>
      </w:r>
      <w:r>
        <w:rPr>
          <w:rStyle w:val="VerbatimChar"/>
        </w:rPr>
        <w:t xml:space="preserve">      "algorithmType": "process" },</w:t>
      </w:r>
      <w:r>
        <w:br/>
      </w:r>
      <w:r>
        <w:rPr>
          <w:rStyle w:val="VerbatimChar"/>
        </w:rPr>
        <w:t xml:space="preserve">    { "pluginId": "aiverify.stock.robustness-toolbox",</w:t>
      </w:r>
      <w:r>
        <w:br/>
      </w:r>
      <w:r>
        <w:rPr>
          <w:rStyle w:val="VerbatimChar"/>
        </w:rPr>
        <w:t xml:space="preserve">      "algorithmType": "robustness" }</w:t>
      </w:r>
      <w:r>
        <w:br/>
      </w:r>
      <w:r>
        <w:rPr>
          <w:rStyle w:val="VerbatimChar"/>
        </w:rPr>
        <w:t xml:space="preserve">    // ... nine more plugins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9"/>
    <w:bookmarkStart w:id="31" w:name="enum-vocabularies"/>
    <w:p>
      <w:pPr>
        <w:pStyle w:val="Heading2"/>
      </w:pPr>
      <w:r>
        <w:t xml:space="preserve">Enum vocabularies</w:t>
      </w:r>
    </w:p>
    <w:p>
      <w:pPr>
        <w:pStyle w:val="FirstParagraph"/>
      </w:pPr>
      <w:r>
        <w:t xml:space="preserve">centralises the controlled vocabularies</w:t>
      </w:r>
      <w:r>
        <w:t xml:space="preserve"> </w:t>
      </w:r>
      <w:r>
        <w:t xml:space="preserve">that recur across schemas. The authoritative values live in the schemas</w:t>
      </w:r>
      <w:r>
        <w:t xml:space="preserve"> </w:t>
      </w:r>
      <w:r>
        <w:t xml:space="preserve">themselves;</w:t>
      </w:r>
      <w:r>
        <w:t xml:space="preserve"> </w:t>
      </w:r>
      <w:r>
        <w:rPr>
          <w:rStyle w:val="VerbatimChar"/>
        </w:rPr>
        <w:t xml:space="preserve">enums.yaml</w:t>
      </w:r>
      <w:r>
        <w:t xml:space="preserve"> </w:t>
      </w:r>
      <w:r>
        <w:t xml:space="preserve">is the human index.</w:t>
      </w:r>
    </w:p>
    <w:bookmarkStart w:id="30" w:name="tab:enums"/>
    <w:p>
      <w:pPr>
        <w:pStyle w:val="TableCaption"/>
      </w:pPr>
      <w:r>
        <w:t xml:space="preserve">Controlled vocabularies.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led vocabular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framework, standard, guideline, statute, research, index,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mandatory, recommended, advisory, descriptive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must, should, may, descriptive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bound_risks, human_accountability, technical_controls, end_user_responsibility, transparency, evaluation,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planning, design, development, pre_deployment, deployment, post_deployment, decommission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config, doc, schema, dataset,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aiverify-plugin, moonshot-test, test, manual-review, process-checklist, external-audit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partial, gap, planned, not_applicable</w:t>
            </w:r>
          </w:p>
        </w:tc>
      </w:tr>
    </w:tbl>
    <w:bookmarkEnd w:id="30"/>
    <w:bookmarkEnd w:id="31"/>
    <w:bookmarkEnd w:id="32"/>
    <w:bookmarkStart w:id="52" w:name="ch:mgf"/>
    <w:p>
      <w:pPr>
        <w:pStyle w:val="Heading1"/>
      </w:pPr>
      <w:r>
        <w:t xml:space="preserve">IMDA Model AI Governance Framework for Agentic AI</w:t>
      </w:r>
    </w:p>
    <w:bookmarkStart w:id="33" w:name="source-document"/>
    <w:p>
      <w:pPr>
        <w:pStyle w:val="Heading2"/>
      </w:pPr>
      <w:r>
        <w:t xml:space="preserve">Source document</w:t>
      </w:r>
    </w:p>
    <w:p>
      <w:pPr>
        <w:pStyle w:val="DefinitionTerm"/>
      </w:pPr>
      <w:r>
        <w:t xml:space="preserve">Title.</w:t>
      </w:r>
    </w:p>
    <w:p>
      <w:pPr>
        <w:pStyle w:val="Definition"/>
      </w:pPr>
      <w:r>
        <w:t xml:space="preserve">Model AI Governance Framework for Agentic AI.</w:t>
      </w:r>
    </w:p>
    <w:p>
      <w:pPr>
        <w:pStyle w:val="DefinitionTerm"/>
      </w:pPr>
      <w:r>
        <w:t xml:space="preserve">Publisher.</w:t>
      </w:r>
    </w:p>
    <w:p>
      <w:pPr>
        <w:pStyle w:val="Definition"/>
      </w:pPr>
      <w:r>
        <w:t xml:space="preserve">Infocomm Media Development Authority (IMDA) and the AI</w:t>
      </w:r>
      <w:r>
        <w:t xml:space="preserve"> </w:t>
      </w:r>
      <w:r>
        <w:t xml:space="preserve">Verify Foundation, Singapore.</w:t>
      </w:r>
    </w:p>
    <w:p>
      <w:pPr>
        <w:pStyle w:val="DefinitionTerm"/>
      </w:pPr>
      <w:r>
        <w:t xml:space="preserve">Version.</w:t>
      </w:r>
    </w:p>
    <w:p>
      <w:pPr>
        <w:pStyle w:val="Definition"/>
      </w:pPr>
      <w:r>
        <w:t xml:space="preserve">1.0, published 22 January 2026.</w:t>
      </w:r>
    </w:p>
    <w:p>
      <w:pPr>
        <w:pStyle w:val="DefinitionTerm"/>
      </w:pPr>
      <w:r>
        <w:t xml:space="preserve">Pages.</w:t>
      </w:r>
    </w:p>
    <w:p>
      <w:pPr>
        <w:pStyle w:val="Definition"/>
      </w:pPr>
      <w:r>
        <w:t xml:space="preserve">29.</w:t>
      </w:r>
    </w:p>
    <w:p>
      <w:pPr>
        <w:pStyle w:val="DefinitionTerm"/>
      </w:pPr>
      <w:r>
        <w:t xml:space="preserve">Source.</w:t>
      </w:r>
    </w:p>
    <w:p>
      <w:pPr>
        <w:pStyle w:val="Definition"/>
      </w:pPr>
      <w:r>
        <w:t xml:space="preserve">(sha256</w:t>
      </w:r>
      <w:r>
        <w:t xml:space="preserve"> </w:t>
      </w:r>
      <w:r>
        <w:rPr>
          <w:rStyle w:val="VerbatimChar"/>
        </w:rPr>
        <w:t xml:space="preserve">b84c8c94…aeef7b</w:t>
      </w:r>
      <w:r>
        <w:t xml:space="preserve">).</w:t>
      </w:r>
    </w:p>
    <w:bookmarkEnd w:id="33"/>
    <w:bookmarkStart w:id="35" w:name="framework-structure"/>
    <w:p>
      <w:pPr>
        <w:pStyle w:val="Heading2"/>
      </w:pPr>
      <w:r>
        <w:t xml:space="preserve">Framework structure</w:t>
      </w:r>
    </w:p>
    <w:p>
      <w:pPr>
        <w:pStyle w:val="FirstParagraph"/>
      </w:pPr>
      <w:r>
        <w:t xml:space="preserve">The MGF is organised around four pillars:</w:t>
      </w:r>
    </w:p>
    <w:bookmarkStart w:id="34" w:name="fig:mgf-pillar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four pillars of the IMDA MGF for Agentic AI.</w:t>
      </w:r>
    </w:p>
    <w:bookmarkEnd w:id="34"/>
    <w:p>
      <w:pPr>
        <w:pStyle w:val="BodyText"/>
      </w:pPr>
      <w:r>
        <w:t xml:space="preserve">Each pillar expands into two or three sub-sections (§2.1.1–§2.4.3); the</w:t>
      </w:r>
      <w:r>
        <w:t xml:space="preserve"> </w:t>
      </w:r>
      <w:r>
        <w:t xml:space="preserve">full section tree is captured in</w:t>
      </w:r>
      <w:r>
        <w:t xml:space="preserve"> </w:t>
      </w:r>
      <w:r>
        <w:t xml:space="preserve">(</w:t>
      </w:r>
      <w:r>
        <w:rPr>
          <w:rStyle w:val="VerbatimChar"/>
        </w:rPr>
        <w:t xml:space="preserve">regulations.imda-mgf-agentic-ai-v1</w:t>
      </w:r>
      <w:r>
        <w:t xml:space="preserve">) under the</w:t>
      </w:r>
      <w:r>
        <w:t xml:space="preserve"> </w:t>
      </w:r>
      <w:r>
        <w:rPr>
          <w:rStyle w:val="VerbatimChar"/>
        </w:rPr>
        <w:t xml:space="preserve">sections[]</w:t>
      </w:r>
      <w:r>
        <w:t xml:space="preserve"> </w:t>
      </w:r>
      <w:r>
        <w:t xml:space="preserve">array, with page references.</w:t>
      </w:r>
    </w:p>
    <w:bookmarkEnd w:id="35"/>
    <w:bookmarkStart w:id="40" w:name="sec:mgf-p1"/>
    <w:p>
      <w:pPr>
        <w:pStyle w:val="Heading2"/>
      </w:pPr>
      <w:r>
        <w:t xml:space="preserve">Pillar 1 — Assess and bound the risks upfront</w:t>
      </w:r>
    </w:p>
    <w:bookmarkStart w:id="36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Understand the risks posed by agent actions (scope, reversibility,</w:t>
      </w:r>
      <w:r>
        <w:t xml:space="preserve"> </w:t>
      </w:r>
      <w:r>
        <w:t xml:space="preserve">autonomy), determine whether the use case is suitable at all, and — if</w:t>
      </w:r>
      <w:r>
        <w:t xml:space="preserve"> </w:t>
      </w:r>
      <w:r>
        <w:t xml:space="preserve">it is — bound the agent’s capabilities by design.</w:t>
      </w:r>
    </w:p>
    <w:bookmarkEnd w:id="36"/>
    <w:bookmarkStart w:id="38" w:name="requirements-extracted"/>
    <w:p>
      <w:pPr>
        <w:pStyle w:val="Heading3"/>
      </w:pPr>
      <w:r>
        <w:t xml:space="preserve">Requirements extracted</w:t>
      </w:r>
    </w:p>
    <w:bookmarkStart w:id="37" w:name="tab:p1"/>
    <w:p>
      <w:pPr>
        <w:pStyle w:val="TableCaption"/>
      </w:pPr>
      <w:r>
        <w:t xml:space="preserve">Pillar 1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1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action scope, reversibility, autonomy per use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 against an explicit tool allow-list; deny-by-default.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agent action must be attributable to an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impact-limiting boundaries (read-only default, environment segregation).</w:t>
            </w:r>
          </w:p>
        </w:tc>
      </w:tr>
    </w:tbl>
    <w:bookmarkEnd w:id="37"/>
    <w:bookmarkEnd w:id="38"/>
    <w:bookmarkStart w:id="39" w:name="how-the-repository-implements-them"/>
    <w:p>
      <w:pPr>
        <w:pStyle w:val="Heading3"/>
      </w:pPr>
      <w:r>
        <w:t xml:space="preserve">How the repository implements them</w:t>
      </w:r>
    </w:p>
    <w:p>
      <w:pPr>
        <w:pStyle w:val="FirstParagraph"/>
      </w:pPr>
      <w:r>
        <w:t xml:space="preserve">The tool-allow-list requirement (REG-MGF-2.1.2-001) is implemented by</w:t>
      </w:r>
      <w:r>
        <w:t xml:space="preserve"> </w:t>
      </w:r>
      <w:r>
        <w:t xml:space="preserve">which enumerates the tools the agent may invoke, and the registered data</w:t>
      </w:r>
      <w:r>
        <w:t xml:space="preserve"> </w:t>
      </w:r>
      <w:r>
        <w:t xml:space="preserve">products in</w:t>
      </w:r>
      <w:r>
        <w:t xml:space="preserve"> </w:t>
      </w:r>
      <w:r>
        <w:t xml:space="preserve">.</w:t>
      </w:r>
      <w:r>
        <w:t xml:space="preserve"> </w:t>
      </w:r>
      <w:r>
        <w:t xml:space="preserve">Verification leans on the existing unit test at</w:t>
      </w:r>
      <w:r>
        <w:t xml:space="preserve"> </w:t>
      </w:r>
      <w:r>
        <w:t xml:space="preserve">plus a Moonshot adversarial-prompt benchmark.</w:t>
      </w:r>
    </w:p>
    <w:p>
      <w:pPr>
        <w:pStyle w:val="BodyText"/>
      </w:pPr>
      <w:r>
        <w:t xml:space="preserve">Identity attribution (REG-MGF-2.1.2-002) currently relies on BTP service</w:t>
      </w:r>
      <w:r>
        <w:t xml:space="preserve"> </w:t>
      </w:r>
      <w:r>
        <w:t xml:space="preserve">keys; this is partial rather than implemented because there is no</w:t>
      </w:r>
      <w:r>
        <w:t xml:space="preserve"> </w:t>
      </w:r>
      <w:r>
        <w:t xml:space="preserve">per-request audit trail that ties every tool invocation back to a named</w:t>
      </w:r>
      <w:r>
        <w:t xml:space="preserve"> </w:t>
      </w:r>
      <w:r>
        <w:t xml:space="preserve">human operator across the full deployment chain.</w:t>
      </w:r>
    </w:p>
    <w:bookmarkEnd w:id="39"/>
    <w:bookmarkEnd w:id="40"/>
    <w:bookmarkStart w:id="43" w:name="sec:mgf-p2"/>
    <w:p>
      <w:pPr>
        <w:pStyle w:val="Heading2"/>
      </w:pPr>
      <w:r>
        <w:t xml:space="preserve">Pillar 2 — Make humans meaningfully accountable</w:t>
      </w:r>
    </w:p>
    <w:bookmarkStart w:id="42" w:name="summary-1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Assign responsibilities by role, adapt human-in-the-loop to address</w:t>
      </w:r>
      <w:r>
        <w:t xml:space="preserve"> </w:t>
      </w:r>
      <w:r>
        <w:t xml:space="preserve">automation bias, name the checkpoints where a human must approve an</w:t>
      </w:r>
      <w:r>
        <w:t xml:space="preserve"> </w:t>
      </w:r>
      <w:r>
        <w:t xml:space="preserve">irreversible action, and audit oversight effectiveness over time.</w:t>
      </w:r>
    </w:p>
    <w:bookmarkStart w:id="41" w:name="tab:p2"/>
    <w:p>
      <w:pPr>
        <w:pStyle w:val="TableCaption"/>
      </w:pPr>
      <w:r>
        <w:t xml:space="preserve">Pillar 2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2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lifecycle responsibilities to named roles in a control register.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up a governance forum with authority to adjust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each human-approval checkpoint and cite its risk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oversight effectiveness (override rates, review duration).</w:t>
            </w:r>
          </w:p>
        </w:tc>
      </w:tr>
    </w:tbl>
    <w:bookmarkEnd w:id="41"/>
    <w:p>
      <w:pPr>
        <w:pStyle w:val="BodyText"/>
      </w:pPr>
      <w:r>
        <w:t xml:space="preserve">The TB review corpus is the canonical worked example: the five decision</w:t>
      </w:r>
      <w:r>
        <w:t xml:space="preserve"> </w:t>
      </w:r>
      <w:r>
        <w:t xml:space="preserve">points DP-001..DP-005 (see )</w:t>
      </w:r>
      <w:r>
        <w:t xml:space="preserve"> </w:t>
      </w:r>
      <w:r>
        <w:t xml:space="preserve">are exactly the human-approval checkpoints required by</w:t>
      </w:r>
      <w:r>
        <w:t xml:space="preserve"> </w:t>
      </w:r>
      <w:r>
        <w:t xml:space="preserve">REG-MGF-2.2.2-001. Their owners and timing are declared in the workflow</w:t>
      </w:r>
      <w:r>
        <w:t xml:space="preserve"> </w:t>
      </w:r>
      <w:r>
        <w:t xml:space="preserve">record .</w:t>
      </w:r>
    </w:p>
    <w:p>
      <w:pPr>
        <w:pStyle w:val="BodyText"/>
      </w:pPr>
      <w:r>
        <w:t xml:space="preserve">The governance-forum requirement (REG-MGF-2.2.1-002) is closed for the</w:t>
      </w:r>
      <w:r>
        <w:t xml:space="preserve"> </w:t>
      </w:r>
      <w:r>
        <w:t xml:space="preserve">Finance scope by the GCFO Finance AI Council charter (v1.0, ratified</w:t>
      </w:r>
      <w:r>
        <w:t xml:space="preserve"> </w:t>
      </w:r>
      <w:r>
        <w:t xml:space="preserve">2026-03-15).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charter document is maintained in the</w:t>
      </w:r>
      <w:r>
        <w:t xml:space="preserve"> </w:t>
      </w:r>
      <w:r>
        <w:t xml:space="preserve">internal governance repository and is not included in this corpus for</w:t>
      </w:r>
      <w:r>
        <w:t xml:space="preserve"> </w:t>
      </w:r>
      <w:r>
        <w:t xml:space="preserve">confidentiality; reference is by citation only. The GCFO Finance AI</w:t>
      </w:r>
      <w:r>
        <w:t xml:space="preserve"> </w:t>
      </w:r>
      <w:r>
        <w:t xml:space="preserve">Council (GFAIC) is a</w:t>
      </w:r>
      <w:r>
        <w:t xml:space="preserve"> </w:t>
      </w:r>
      <w:r>
        <w:rPr>
          <w:i/>
          <w:iCs/>
        </w:rPr>
        <w:t xml:space="preserve">federated</w:t>
      </w:r>
      <w:r>
        <w:t xml:space="preserve"> </w:t>
      </w:r>
      <w:r>
        <w:t xml:space="preserve">body: it operates under</w:t>
      </w:r>
      <w:r>
        <w:t xml:space="preserve"> </w:t>
      </w:r>
      <w:r>
        <w:t xml:space="preserve">Delegation No. 2026-04 from the enterprise-wide Group AI Safety</w:t>
      </w:r>
      <w:r>
        <w:t xml:space="preserve"> </w:t>
      </w:r>
      <w:r>
        <w:t xml:space="preserve">Council (GAISC) and holds binding authority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over Finance-</w:t>
      </w:r>
      <w:r>
        <w:t xml:space="preserve"> </w:t>
      </w:r>
      <w:r>
        <w:t xml:space="preserve">scope agentic AI — today the trial-balance review workflow and the</w:t>
      </w:r>
      <w:r>
        <w:t xml:space="preserve"> </w:t>
      </w:r>
      <w:r>
        <w:t xml:space="preserve">Arabic invoice / AP pipeline. Its six voting members are Finance-</w:t>
      </w:r>
      <w:r>
        <w:t xml:space="preserve"> </w:t>
      </w:r>
      <w:r>
        <w:t xml:space="preserve">function delegates (Group CFO chair, Head of Finance Risk, Finance</w:t>
      </w:r>
      <w:r>
        <w:t xml:space="preserve"> </w:t>
      </w:r>
      <w:r>
        <w:t xml:space="preserve">liaisons to CISO and General Counsel, Head of Finance Internal Audit,</w:t>
      </w:r>
      <w:r>
        <w:t xml:space="preserve"> </w:t>
      </w:r>
      <w:r>
        <w:t xml:space="preserve">Finance AI technical lead); the parent body’s officers (CRO, CISO,</w:t>
      </w:r>
      <w:r>
        <w:t xml:space="preserve"> </w:t>
      </w:r>
      <w:r>
        <w:t xml:space="preserve">GC, Head of Internal Audit) sit on GAISC, not here, avoiding double</w:t>
      </w:r>
      <w:r>
        <w:t xml:space="preserve"> </w:t>
      </w:r>
      <w:r>
        <w:t xml:space="preserve">staffing. Any incident with cross-function implications escalates to</w:t>
      </w:r>
      <w:r>
        <w:t xml:space="preserve"> </w:t>
      </w:r>
      <w:r>
        <w:t xml:space="preserve">GAISC within two business days. Peer federated councils (People,</w:t>
      </w:r>
      <w:r>
        <w:t xml:space="preserve"> </w:t>
      </w:r>
      <w:r>
        <w:t xml:space="preserve">Customer) exist for other functions and receive GFAIC findings via</w:t>
      </w:r>
      <w:r>
        <w:t xml:space="preserve"> </w:t>
      </w:r>
      <w:r>
        <w:t xml:space="preserve">GAISC rather than directly.</w:t>
      </w:r>
    </w:p>
    <w:bookmarkEnd w:id="42"/>
    <w:bookmarkEnd w:id="43"/>
    <w:bookmarkStart w:id="46" w:name="sec:mgf-p3"/>
    <w:p>
      <w:pPr>
        <w:pStyle w:val="Heading2"/>
      </w:pPr>
      <w:r>
        <w:t xml:space="preserve">Pillar 3 — Implement technical controls and processes</w:t>
      </w:r>
    </w:p>
    <w:bookmarkStart w:id="45" w:name="summary-2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Technical controls across the lifecycle: during development, use</w:t>
      </w:r>
      <w:r>
        <w:t xml:space="preserve"> </w:t>
      </w:r>
      <w:r>
        <w:t xml:space="preserve">controls for planning, tools, and agent protocols; before deployment,</w:t>
      </w:r>
      <w:r>
        <w:t xml:space="preserve"> </w:t>
      </w:r>
      <w:r>
        <w:t xml:space="preserve">test for execution accuracy, policy adherence, and tool use; during and</w:t>
      </w:r>
      <w:r>
        <w:t xml:space="preserve"> </w:t>
      </w:r>
      <w:r>
        <w:t xml:space="preserve">after deployment, continuously monitor.</w:t>
      </w:r>
    </w:p>
    <w:bookmarkStart w:id="44" w:name="tab:p3"/>
    <w:p>
      <w:pPr>
        <w:pStyle w:val="TableCaption"/>
      </w:pPr>
      <w:r>
        <w:t xml:space="preserve">Pillar 3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3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controls on planning, tools, and protocols.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Pre-deployment: execution accuracy, policy adherence, tool use, refusals.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trajectory-level agent evaluations.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rollout with canary metrics and rollback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 with policy-violation / drift alerting.</w:t>
            </w:r>
          </w:p>
        </w:tc>
      </w:tr>
    </w:tbl>
    <w:bookmarkEnd w:id="44"/>
    <w:p>
      <w:pPr>
        <w:pStyle w:val="BodyText"/>
      </w:pPr>
      <w:r>
        <w:t xml:space="preserve">The trajectory-level evaluator (REG-MGF-2.3.2-002) is implemented at</w:t>
      </w:r>
      <w:r>
        <w:t xml:space="preserve"> </w:t>
      </w:r>
      <w:r>
        <w:t xml:space="preserve">.</w:t>
      </w:r>
      <w:r>
        <w:t xml:space="preserve"> </w:t>
      </w:r>
      <w:r>
        <w:t xml:space="preserve">It scores each captured agent trace on three independent axes —</w:t>
      </w:r>
      <w:r>
        <w:t xml:space="preserve"> </w:t>
      </w:r>
      <w:r>
        <w:t xml:space="preserve">tool-call correctness, policy adherence, and goal progression —</w:t>
      </w:r>
      <w:r>
        <w:t xml:space="preserve"> </w:t>
      </w:r>
      <w:r>
        <w:t xml:space="preserve">returning a composite</w:t>
      </w:r>
      <w:r>
        <w:t xml:space="preserve"> </w:t>
      </w:r>
      <w:r>
        <w:rPr>
          <w:rStyle w:val="VerbatimChar"/>
        </w:rPr>
        <w:t xml:space="preserve">TrajectoryScore</w:t>
      </w:r>
      <w:r>
        <w:t xml:space="preserve"> </w:t>
      </w:r>
      <w:r>
        <w:t xml:space="preserve">that the Governance</w:t>
      </w:r>
      <w:r>
        <w:t xml:space="preserve"> </w:t>
      </w:r>
      <w:r>
        <w:t xml:space="preserve">Council’s incident pack consumes directly. Unit coverage lives at</w:t>
      </w:r>
      <w:r>
        <w:t xml:space="preserve"> </w:t>
      </w:r>
      <w:r>
        <w:t xml:space="preserve">(13 test cases).</w:t>
      </w:r>
    </w:p>
    <w:p>
      <w:pPr>
        <w:pStyle w:val="BodyText"/>
      </w:pPr>
      <w:r>
        <w:t xml:space="preserve">Continuous drift monitoring (REG-MGF-2.3.3-002) is implemented at</w:t>
      </w:r>
      <w:r>
        <w:t xml:space="preserve"> </w:t>
      </w:r>
      <w:r>
        <w:t xml:space="preserve">.</w:t>
      </w:r>
      <w:r>
        <w:t xml:space="preserve"> </w:t>
      </w:r>
      <w:r>
        <w:t xml:space="preserve">It watches three signals against a frozen pilot-exit baseline —</w:t>
      </w:r>
      <w:r>
        <w:t xml:space="preserve"> </w:t>
      </w:r>
      <w:r>
        <w:t xml:space="preserve">override rate, median review duration, and hallucination rate — and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ok</w:t>
      </w:r>
      <w:r>
        <w:t xml:space="preserve">/</w:t>
      </w:r>
      <w:r>
        <w:rPr>
          <w:rStyle w:val="VerbatimChar"/>
        </w:rPr>
        <w:t xml:space="preserve">warn</w:t>
      </w:r>
      <w:r>
        <w:t xml:space="preserve">/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levels. The</w:t>
      </w:r>
      <w:r>
        <w:t xml:space="preserve"> </w:t>
      </w:r>
      <w:r>
        <w:t xml:space="preserve">override-rate signal is deliberately two-sided: a</w:t>
      </w:r>
      <w:r>
        <w:t xml:space="preserve"> </w:t>
      </w:r>
      <w:r>
        <w:rPr>
          <w:i/>
          <w:iCs/>
        </w:rPr>
        <w:t xml:space="preserve">fall</w:t>
      </w:r>
      <w:r>
        <w:t xml:space="preserve"> </w:t>
      </w:r>
      <w:r>
        <w:t xml:space="preserve">below</w:t>
      </w:r>
      <w:r>
        <w:t xml:space="preserve"> </w:t>
      </w:r>
      <w:r>
        <w:t xml:space="preserve">baseline is the automation-bias signal surfaced by Ju &amp; Aral (2026),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rise</w:t>
      </w:r>
      <w:r>
        <w:t xml:space="preserve"> </w:t>
      </w:r>
      <w:r>
        <w:t xml:space="preserve">is model regression. Unit coverage at</w:t>
      </w:r>
      <w:r>
        <w:t xml:space="preserve"> </w:t>
      </w:r>
      <w:r>
        <w:t xml:space="preserve">(13 test cases).</w:t>
      </w:r>
    </w:p>
    <w:bookmarkEnd w:id="45"/>
    <w:bookmarkEnd w:id="46"/>
    <w:bookmarkStart w:id="49" w:name="sec:mgf-p4"/>
    <w:p>
      <w:pPr>
        <w:pStyle w:val="Heading2"/>
      </w:pPr>
      <w:r>
        <w:t xml:space="preserve">Pillar 4 — Enable end-user responsibility</w:t>
      </w:r>
    </w:p>
    <w:bookmarkStart w:id="48" w:name="summary-3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End users must be informed of the agent’s scope and their own</w:t>
      </w:r>
      <w:r>
        <w:t xml:space="preserve"> </w:t>
      </w:r>
      <w:r>
        <w:t xml:space="preserve">obligations, and they need training to preserve tradecraft and mitigate</w:t>
      </w:r>
      <w:r>
        <w:t xml:space="preserve"> </w:t>
      </w:r>
      <w:r>
        <w:t xml:space="preserve">automation bias.</w:t>
      </w:r>
    </w:p>
    <w:bookmarkStart w:id="47" w:name="tab:p4"/>
    <w:p>
      <w:pPr>
        <w:pStyle w:val="TableCaption"/>
      </w:pPr>
      <w:r>
        <w:t xml:space="preserve">Pillar 4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llar 4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 permitted actions, data access, user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covering automation-bias and tradecraft preservation.</w:t>
            </w:r>
          </w:p>
        </w:tc>
      </w:tr>
    </w:tbl>
    <w:bookmarkEnd w:id="47"/>
    <w:p>
      <w:pPr>
        <w:pStyle w:val="BodyText"/>
      </w:pPr>
      <w:r>
        <w:t xml:space="preserve">The training curriculum (REG-MGF-2.4.3-001) is authored at</w:t>
      </w:r>
      <w:r>
        <w:t xml:space="preserve"> </w:t>
      </w:r>
      <w:r>
        <w:t xml:space="preserve">: a three-level</w:t>
      </w:r>
      <w:r>
        <w:t xml:space="preserve"> </w:t>
      </w:r>
      <w:r>
        <w:t xml:space="preserve">curriculum (Awareness, Reviewer skills, Oversight depth) keyed to</w:t>
      </w:r>
      <w:r>
        <w:t xml:space="preserve"> </w:t>
      </w:r>
      <w:r>
        <w:t xml:space="preserve">five learner personas, with an explicit reviewer self-check card</w:t>
      </w:r>
      <w:r>
        <w:t xml:space="preserve"> </w:t>
      </w:r>
      <w:r>
        <w:t xml:space="preserve">targeted at the automation-bias failure mode surfaced by Ju &amp; Aral</w:t>
      </w:r>
      <w:r>
        <w:t xml:space="preserve"> </w:t>
      </w:r>
      <w:r>
        <w:t xml:space="preserve">(2026).</w:t>
      </w:r>
    </w:p>
    <w:bookmarkEnd w:id="48"/>
    <w:bookmarkEnd w:id="49"/>
    <w:bookmarkStart w:id="51" w:name="coverage-heat-map"/>
    <w:p>
      <w:pPr>
        <w:pStyle w:val="Heading2"/>
      </w:pPr>
      <w:r>
        <w:t xml:space="preserve">Coverage heat map</w:t>
      </w:r>
    </w:p>
    <w:bookmarkStart w:id="50" w:name="tab:mgf-coverage"/>
    <w:p>
      <w:pPr>
        <w:pStyle w:val="TableCaption"/>
      </w:pPr>
      <w:r>
        <w:t xml:space="preserve">Status of the 15 MGF-derived requirements after the</w:t>
      </w:r>
      <w:r>
        <w:t xml:space="preserve"> </w:t>
      </w:r>
      <w:r>
        <w:t xml:space="preserve">April 2026 gap-closure pass.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us of the 15 MGF-derived requirements after the April 2026 gap-closure pas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Pillar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Reqs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Bound risks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Human accountability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Technical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End-user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50"/>
    <w:p>
      <w:pPr>
        <w:pStyle w:val="BodyText"/>
      </w:pPr>
      <w:r>
        <w:t xml:space="preserve">All four previously-open gaps — the enterprise governance forum</w:t>
      </w:r>
      <w:r>
        <w:t xml:space="preserve"> </w:t>
      </w:r>
      <w:r>
        <w:t xml:space="preserve">(REG-MGF-2.2.1-002), trajectory-level evaluation (REG-MGF-2.3.2-002),</w:t>
      </w:r>
      <w:r>
        <w:t xml:space="preserve"> </w:t>
      </w:r>
      <w:r>
        <w:t xml:space="preserve">drift monitoring (REG-MGF-2.3.3-002), and the training curriculum</w:t>
      </w:r>
      <w:r>
        <w:t xml:space="preserve"> </w:t>
      </w:r>
      <w:r>
        <w:t xml:space="preserve">(REG-MGF-2.4.3-001) — now have concrete artifacts linked from their</w:t>
      </w:r>
      <w:r>
        <w:t xml:space="preserve"> </w:t>
      </w:r>
      <w:r>
        <w:t xml:space="preserve">requirement records and are verifiable by the offline validator. The</w:t>
      </w:r>
      <w:r>
        <w:t xml:space="preserve"> </w:t>
      </w:r>
      <w:r>
        <w:t xml:space="preserve">remaining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rows retain ambition beyond the current</w:t>
      </w:r>
      <w:r>
        <w:t xml:space="preserve"> </w:t>
      </w:r>
      <w:r>
        <w:t xml:space="preserve">implementation scope (for example, a per-request identity audit trail</w:t>
      </w:r>
      <w:r>
        <w:t xml:space="preserve"> </w:t>
      </w:r>
      <w:r>
        <w:t xml:space="preserve">spanning the full deployment chain for REG-MGF-2.1.2-002) and remain</w:t>
      </w:r>
      <w:r>
        <w:t xml:space="preserve"> </w:t>
      </w:r>
      <w:r>
        <w:t xml:space="preserve">on the Council’s standing agenda.</w:t>
      </w:r>
    </w:p>
    <w:bookmarkEnd w:id="51"/>
    <w:bookmarkEnd w:id="52"/>
    <w:bookmarkStart w:id="59" w:name="ch:agent-index"/>
    <w:p>
      <w:pPr>
        <w:pStyle w:val="Heading1"/>
      </w:pPr>
      <w:r>
        <w:t xml:space="preserve">2025 AI Agent Index</w:t>
      </w:r>
    </w:p>
    <w:bookmarkStart w:id="54" w:name="source-document-1"/>
    <w:p>
      <w:pPr>
        <w:pStyle w:val="Heading2"/>
      </w:pPr>
      <w:r>
        <w:t xml:space="preserve">Source document</w:t>
      </w:r>
    </w:p>
    <w:p>
      <w:pPr>
        <w:pStyle w:val="DefinitionTerm"/>
      </w:pPr>
      <w:r>
        <w:t xml:space="preserve">Title.</w:t>
      </w:r>
    </w:p>
    <w:p>
      <w:pPr>
        <w:pStyle w:val="Definition"/>
      </w:pPr>
      <w:r>
        <w:t xml:space="preserve">The 2025 AI Agent Index — Documenting Technical and Safety</w:t>
      </w:r>
      <w:r>
        <w:t xml:space="preserve"> </w:t>
      </w:r>
      <w:r>
        <w:t xml:space="preserve">Features of Deployed Agentic AI Systems.</w:t>
      </w:r>
    </w:p>
    <w:p>
      <w:pPr>
        <w:pStyle w:val="DefinitionTerm"/>
      </w:pPr>
      <w:r>
        <w:t xml:space="preserve">Authors.</w:t>
      </w:r>
    </w:p>
    <w:p>
      <w:pPr>
        <w:pStyle w:val="Definition"/>
      </w:pPr>
      <w:r>
        <w:t xml:space="preserve">Staufer (Cambridge), Feng (Washington), Wei (Harvard</w:t>
      </w:r>
      <w:r>
        <w:t xml:space="preserve"> </w:t>
      </w:r>
      <w:r>
        <w:t xml:space="preserve">Law), Bailey (Stanford), Duan (Concordia AI), Yang (UPenn), Ozisik</w:t>
      </w:r>
      <w:r>
        <w:t xml:space="preserve"> </w:t>
      </w:r>
      <w:r>
        <w:t xml:space="preserve">(MIT), Casper (MIT, co-senior), Kolt (Hebrew University, co-senior).</w:t>
      </w:r>
    </w:p>
    <w:p>
      <w:pPr>
        <w:pStyle w:val="DefinitionTerm"/>
      </w:pPr>
      <w:r>
        <w:t xml:space="preserve">Venue.</w:t>
      </w:r>
    </w:p>
    <w:p>
      <w:pPr>
        <w:pStyle w:val="Definition"/>
      </w:pPr>
      <w:hyperlink r:id="rId53">
        <w:r>
          <w:rPr>
            <w:rStyle w:val="Hyperlink"/>
          </w:rPr>
          <w:t xml:space="preserve">https://aiagentindex.mit.edu/</w:t>
        </w:r>
      </w:hyperlink>
      <w:r>
        <w:t xml:space="preserve">; CC-BY-4.0.</w:t>
      </w:r>
    </w:p>
    <w:p>
      <w:pPr>
        <w:pStyle w:val="DefinitionTerm"/>
      </w:pPr>
      <w:r>
        <w:t xml:space="preserve">Pages.</w:t>
      </w:r>
    </w:p>
    <w:p>
      <w:pPr>
        <w:pStyle w:val="Definition"/>
      </w:pPr>
      <w:r>
        <w:t xml:space="preserve">39.</w:t>
      </w:r>
    </w:p>
    <w:p>
      <w:pPr>
        <w:pStyle w:val="DefinitionTerm"/>
      </w:pPr>
      <w:r>
        <w:t xml:space="preserve">Source.</w:t>
      </w:r>
    </w:p>
    <w:p>
      <w:pPr>
        <w:pStyle w:val="Definition"/>
      </w:pPr>
      <w:r>
        <w:t xml:space="preserve">(sha256</w:t>
      </w:r>
      <w:r>
        <w:t xml:space="preserve"> </w:t>
      </w:r>
      <w:r>
        <w:rPr>
          <w:rStyle w:val="VerbatimChar"/>
        </w:rPr>
        <w:t xml:space="preserve">c67a3046…0e267f</w:t>
      </w:r>
      <w:r>
        <w:t xml:space="preserve">).</w:t>
      </w:r>
    </w:p>
    <w:bookmarkEnd w:id="54"/>
    <w:bookmarkStart w:id="55" w:name="what-it-catalogues"/>
    <w:p>
      <w:pPr>
        <w:pStyle w:val="Heading2"/>
      </w:pPr>
      <w:r>
        <w:t xml:space="preserve">What it catalogues</w:t>
      </w:r>
    </w:p>
    <w:p>
      <w:pPr>
        <w:pStyle w:val="FirstParagraph"/>
      </w:pPr>
      <w:r>
        <w:t xml:space="preserve">The Index documents 30 state-of-the-art deployed agentic systems across</w:t>
      </w:r>
      <w:r>
        <w:t xml:space="preserve"> </w:t>
      </w:r>
      <w:r>
        <w:t xml:space="preserve">six documentation categories: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Legal.</w:t>
      </w:r>
      <w:r>
        <w:t xml:space="preserve"> </w:t>
      </w:r>
      <w:r>
        <w:t xml:space="preserve">Licensing, terms of service, responsible-use</w:t>
      </w:r>
      <w:r>
        <w:t xml:space="preserve"> </w:t>
      </w:r>
      <w:r>
        <w:t xml:space="preserve">policies, redistribution rights.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Technical capabilities.</w:t>
      </w:r>
      <w:r>
        <w:t xml:space="preserve"> </w:t>
      </w:r>
      <w:r>
        <w:t xml:space="preserve">Supported modalities, tool</w:t>
      </w:r>
      <w:r>
        <w:t xml:space="preserve"> </w:t>
      </w:r>
      <w:r>
        <w:t xml:space="preserve">access, planning horizon, memory.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Autonomy and control.</w:t>
      </w:r>
      <w:r>
        <w:t xml:space="preserve"> </w:t>
      </w:r>
      <w:r>
        <w:t xml:space="preserve">Spectrum from recommender to</w:t>
      </w:r>
      <w:r>
        <w:t xml:space="preserve"> </w:t>
      </w:r>
      <w:r>
        <w:t xml:space="preserve">operator; human-in-the-loop requirements.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Ecosystem interaction.</w:t>
      </w:r>
      <w:r>
        <w:t xml:space="preserve"> </w:t>
      </w:r>
      <w:r>
        <w:t xml:space="preserve">External systems the agent</w:t>
      </w:r>
      <w:r>
        <w:t xml:space="preserve"> </w:t>
      </w:r>
      <w:r>
        <w:t xml:space="preserve">integrates with (MCP, web browsers, code editors, e-commerce).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Evaluation.</w:t>
      </w:r>
      <w:r>
        <w:t xml:space="preserve"> </w:t>
      </w:r>
      <w:r>
        <w:t xml:space="preserve">Published benchmarks, capability scores,</w:t>
      </w:r>
      <w:r>
        <w:t xml:space="preserve"> </w:t>
      </w:r>
      <w:r>
        <w:t xml:space="preserve">safety evaluations, red-team assessments.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Safety.</w:t>
      </w:r>
      <w:r>
        <w:t xml:space="preserve"> </w:t>
      </w:r>
      <w:r>
        <w:t xml:space="preserve">Safety documentation, risk assessments,</w:t>
      </w:r>
      <w:r>
        <w:t xml:space="preserve"> </w:t>
      </w:r>
      <w:r>
        <w:t xml:space="preserve">residual-risk statements.</w:t>
      </w:r>
    </w:p>
    <w:bookmarkEnd w:id="55"/>
    <w:bookmarkStart w:id="57" w:name="headline-finding-for-governance"/>
    <w:p>
      <w:pPr>
        <w:pStyle w:val="Heading2"/>
      </w:pPr>
      <w:r>
        <w:t xml:space="preserve">Headline finding for governance</w:t>
      </w:r>
    </w:p>
    <w:p>
      <w:pPr>
        <w:pStyle w:val="FirstParagraph"/>
      </w:pPr>
      <w:r>
        <w:t xml:space="preserve">The Index’s top-level empirical finding is directly relevant to our</w:t>
      </w:r>
      <w:r>
        <w:t xml:space="preserve"> </w:t>
      </w:r>
      <w:r>
        <w:t xml:space="preserve">corpus design:</w:t>
      </w:r>
    </w:p>
    <w:p>
      <w:pPr>
        <w:pStyle w:val="BlockText"/>
      </w:pPr>
      <w:r>
        <w:rPr>
          <w:i/>
          <w:iCs/>
        </w:rPr>
        <w:t xml:space="preserve">“…we find different transparency levels among agent developers</w:t>
      </w:r>
      <w:r>
        <w:rPr>
          <w:i/>
          <w:iCs/>
        </w:rPr>
        <w:t xml:space="preserve"> </w:t>
      </w:r>
      <w:r>
        <w:rPr>
          <w:i/>
          <w:iCs/>
        </w:rPr>
        <w:t xml:space="preserve">and observe that most developers share little information about safety,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evaluations, and societal impacts.”</w:t>
      </w:r>
    </w:p>
    <w:p>
      <w:pPr>
        <w:pStyle w:val="FirstParagraph"/>
      </w:pPr>
      <w:r>
        <w:t xml:space="preserve">Our response is the transparency requirement set extracted in Table </w:t>
      </w:r>
      <w:hyperlink w:anchor="tab:agentidx-reqs">
        <w:r>
          <w:rPr>
            <w:rStyle w:val="Hyperlink"/>
          </w:rPr>
          <w:t xml:space="preserve">5.1</w:t>
        </w:r>
      </w:hyperlink>
      <w:r>
        <w:t xml:space="preserve">.</w:t>
      </w:r>
    </w:p>
    <w:bookmarkStart w:id="56" w:name="tab:agentidx-reqs"/>
    <w:p>
      <w:pPr>
        <w:pStyle w:val="TableCaption"/>
      </w:pPr>
      <w:r>
        <w:t xml:space="preserve">Requirements derived from the 2025 AI Agent Index.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ments derived from the 2025 AI Agent Index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per-agent: risk assessment summary, evaluation results, known limitations.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agent autonomy level and map each state transition to that level.</w:t>
            </w:r>
          </w:p>
        </w:tc>
      </w:tr>
    </w:tbl>
    <w:bookmarkEnd w:id="56"/>
    <w:bookmarkEnd w:id="57"/>
    <w:bookmarkStart w:id="58" w:name="Xde0380f30fd723351a29106f386885e44506262"/>
    <w:p>
      <w:pPr>
        <w:pStyle w:val="Heading2"/>
      </w:pPr>
      <w:r>
        <w:t xml:space="preserve">How we verify the transparency requirement</w:t>
      </w:r>
    </w:p>
    <w:p>
      <w:pPr>
        <w:pStyle w:val="FirstParagraph"/>
      </w:pPr>
      <w:r>
        <w:t xml:space="preserve">Publication is evidenced by this very document plus the structured</w:t>
      </w:r>
      <w:r>
        <w:t xml:space="preserve"> </w:t>
      </w:r>
      <w:r>
        <w:t xml:space="preserve">records. In practice:</w:t>
      </w:r>
    </w:p>
    <w:p>
      <w:pPr>
        <w:numPr>
          <w:ilvl w:val="0"/>
          <w:numId w:val="1006"/>
        </w:numPr>
      </w:pPr>
      <w:r>
        <w:t xml:space="preserve">Risk assessment: ,</w:t>
      </w:r>
      <w:r>
        <w:t xml:space="preserve"> </w:t>
      </w:r>
      <w:r>
        <w:rPr>
          <w:rStyle w:val="VerbatimChar"/>
        </w:rPr>
        <w:t xml:space="preserve">riskAssessment</w:t>
      </w:r>
      <w:r>
        <w:t xml:space="preserve"> </w:t>
      </w:r>
      <w:r>
        <w:t xml:space="preserve">field.</w:t>
      </w:r>
    </w:p>
    <w:p>
      <w:pPr>
        <w:numPr>
          <w:ilvl w:val="0"/>
          <w:numId w:val="1006"/>
        </w:numPr>
      </w:pPr>
      <w:r>
        <w:t xml:space="preserve">Evaluation results: AI Verify</w:t>
      </w:r>
      <w:r>
        <w:t xml:space="preserve"> </w:t>
      </w:r>
      <w:r>
        <w:rPr>
          <w:rStyle w:val="VerbatimChar"/>
        </w:rPr>
        <w:t xml:space="preserve">process-checklist</w:t>
      </w:r>
      <w:r>
        <w:t xml:space="preserve"> </w:t>
      </w:r>
      <w:r>
        <w:t xml:space="preserve">plugin</w:t>
      </w:r>
      <w:r>
        <w:t xml:space="preserve"> </w:t>
      </w:r>
      <w:r>
        <w:t xml:space="preserve">output plus Moonshot benchmark runs (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numPr>
          <w:ilvl w:val="0"/>
          <w:numId w:val="1006"/>
        </w:numPr>
      </w:pPr>
      <w:r>
        <w:t xml:space="preserve">Known limitations: the gap entries in this specification’s</w:t>
      </w:r>
      <w:r>
        <w:t xml:space="preserve"> </w:t>
      </w:r>
      <w:r>
        <w:t xml:space="preserve">coverage tables.</w:t>
      </w:r>
    </w:p>
    <w:p>
      <w:pPr>
        <w:pStyle w:val="FirstParagraph"/>
      </w:pPr>
      <w:r>
        <w:t xml:space="preserve">This chapter is cited from requirement record</w:t>
      </w:r>
      <w:r>
        <w:t xml:space="preserve"> </w:t>
      </w:r>
      <w:r>
        <w:rPr>
          <w:rStyle w:val="VerbatimChar"/>
        </w:rPr>
        <w:t xml:space="preserve">REG-AGENTIDX-3.6-001</w:t>
      </w:r>
      <w:r>
        <w:t xml:space="preserve"> </w:t>
      </w:r>
      <w:r>
        <w:t xml:space="preserve">as</w:t>
      </w:r>
      <w:r>
        <w:t xml:space="preserve"> </w:t>
      </w:r>
      <w:r>
        <w:t xml:space="preserve">, closing the</w:t>
      </w:r>
      <w:r>
        <w:t xml:space="preserve"> </w:t>
      </w:r>
      <w:r>
        <w:t xml:space="preserve">loop.</w:t>
      </w:r>
    </w:p>
    <w:bookmarkEnd w:id="58"/>
    <w:bookmarkEnd w:id="59"/>
    <w:bookmarkStart w:id="66" w:name="ch:empirical"/>
    <w:p>
      <w:pPr>
        <w:pStyle w:val="Heading1"/>
      </w:pPr>
      <w:r>
        <w:t xml:space="preserve">Empirical evidence: Ju &amp; Aral (2026)</w:t>
      </w:r>
    </w:p>
    <w:bookmarkStart w:id="60" w:name="source-document-2"/>
    <w:p>
      <w:pPr>
        <w:pStyle w:val="Heading2"/>
      </w:pPr>
      <w:r>
        <w:t xml:space="preserve">Source document</w:t>
      </w:r>
    </w:p>
    <w:p>
      <w:pPr>
        <w:pStyle w:val="DefinitionTerm"/>
      </w:pPr>
      <w:r>
        <w:t xml:space="preserve">Title.</w:t>
      </w:r>
    </w:p>
    <w:p>
      <w:pPr>
        <w:pStyle w:val="Definition"/>
      </w:pPr>
      <w:r>
        <w:t xml:space="preserve">Collaborating with AI Agents: A Field Experiment on</w:t>
      </w:r>
      <w:r>
        <w:t xml:space="preserve"> </w:t>
      </w:r>
      <w:r>
        <w:t xml:space="preserve">Teamwork, Productivity, and Performance.</w:t>
      </w:r>
    </w:p>
    <w:p>
      <w:pPr>
        <w:pStyle w:val="DefinitionTerm"/>
      </w:pPr>
      <w:r>
        <w:t xml:space="preserve">Authors.</w:t>
      </w:r>
    </w:p>
    <w:p>
      <w:pPr>
        <w:pStyle w:val="Definition"/>
      </w:pPr>
      <w:r>
        <w:t xml:space="preserve">Harang Ju (Johns Hopkins Carey) and Sinan Aral (MIT</w:t>
      </w:r>
      <w:r>
        <w:t xml:space="preserve"> </w:t>
      </w:r>
      <w:r>
        <w:t xml:space="preserve">Sloan).</w:t>
      </w:r>
    </w:p>
    <w:p>
      <w:pPr>
        <w:pStyle w:val="DefinitionTerm"/>
      </w:pPr>
      <w:r>
        <w:t xml:space="preserve">Venue.</w:t>
      </w:r>
    </w:p>
    <w:p>
      <w:pPr>
        <w:pStyle w:val="Definition"/>
      </w:pPr>
      <w:r>
        <w:t xml:space="preserve">arXiv:2503.18238v3 [cs.CY], 5 February 2026.</w:t>
      </w:r>
    </w:p>
    <w:p>
      <w:pPr>
        <w:pStyle w:val="DefinitionTerm"/>
      </w:pPr>
      <w:r>
        <w:t xml:space="preserve">Pages.</w:t>
      </w:r>
    </w:p>
    <w:p>
      <w:pPr>
        <w:pStyle w:val="Definition"/>
      </w:pPr>
      <w:r>
        <w:t xml:space="preserve">59.</w:t>
      </w:r>
    </w:p>
    <w:p>
      <w:pPr>
        <w:pStyle w:val="DefinitionTerm"/>
      </w:pPr>
      <w:r>
        <w:t xml:space="preserve">Source.</w:t>
      </w:r>
    </w:p>
    <w:p>
      <w:pPr>
        <w:pStyle w:val="Definition"/>
      </w:pPr>
      <w:r>
        <w:t xml:space="preserve">(sha256</w:t>
      </w:r>
      <w:r>
        <w:t xml:space="preserve"> </w:t>
      </w:r>
      <w:r>
        <w:rPr>
          <w:rStyle w:val="VerbatimChar"/>
        </w:rPr>
        <w:t xml:space="preserve">b680f584…cd7877</w:t>
      </w:r>
      <w:r>
        <w:t xml:space="preserve">).</w:t>
      </w:r>
    </w:p>
    <w:bookmarkEnd w:id="60"/>
    <w:bookmarkStart w:id="61" w:name="study-design"/>
    <w:p>
      <w:pPr>
        <w:pStyle w:val="Heading2"/>
      </w:pPr>
      <w:r>
        <w:t xml:space="preserve">Study design</w:t>
      </w:r>
    </w:p>
    <w:p>
      <w:pPr>
        <w:pStyle w:val="FirstParagraph"/>
      </w:pPr>
      <w:r>
        <w:t xml:space="preserve">The authors built the</w:t>
      </w:r>
      <w:r>
        <w:t xml:space="preserve"> </w:t>
      </w:r>
      <w:r>
        <w:rPr>
          <w:i/>
          <w:iCs/>
        </w:rPr>
        <w:t xml:space="preserve">Pairit</w:t>
      </w:r>
      <w:r>
        <w:t xml:space="preserve"> </w:t>
      </w:r>
      <w:r>
        <w:t xml:space="preserve">platform and randomly assigned 2</w:t>
      </w:r>
      <w:r>
        <w:t xml:space="preserve">,</w:t>
      </w:r>
      <w:r>
        <w:t xml:space="preserve">234</w:t>
      </w:r>
      <w:r>
        <w:t xml:space="preserve"> </w:t>
      </w:r>
      <w:r>
        <w:t xml:space="preserve">participants to human-human and human-AI teams producing 11</w:t>
      </w:r>
      <w:r>
        <w:t xml:space="preserve">,</w:t>
      </w:r>
      <w:r>
        <w:t xml:space="preserve">024 ads</w:t>
      </w:r>
      <w:r>
        <w:t xml:space="preserve"> </w:t>
      </w:r>
      <w:r>
        <w:t xml:space="preserve">for a think tank. Outputs were rated by humans and field-tested on X,</w:t>
      </w:r>
      <w:r>
        <w:t xml:space="preserve"> </w:t>
      </w:r>
      <w:r>
        <w:t xml:space="preserve">which garnered roughly five million impressions. The design is — for</w:t>
      </w:r>
      <w:r>
        <w:t xml:space="preserve"> </w:t>
      </w:r>
      <w:r>
        <w:t xml:space="preserve">this corpus — an unusually strong source of evidence about how</w:t>
      </w:r>
      <w:r>
        <w:t xml:space="preserve"> </w:t>
      </w:r>
      <w:r>
        <w:t xml:space="preserve">human-agent collaboration actually affects output quality, homogeneity,</w:t>
      </w:r>
      <w:r>
        <w:t xml:space="preserve"> </w:t>
      </w:r>
      <w:r>
        <w:t xml:space="preserve">and team dynamics.</w:t>
      </w:r>
    </w:p>
    <w:bookmarkEnd w:id="61"/>
    <w:bookmarkStart w:id="62" w:name="findings-relevant-to-governance"/>
    <w:p>
      <w:pPr>
        <w:pStyle w:val="Heading2"/>
      </w:pPr>
      <w:r>
        <w:t xml:space="preserve">Findings relevant to governance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Jagged productivity frontier.</w:t>
      </w:r>
      <w:r>
        <w:t xml:space="preserve"> </w:t>
      </w:r>
      <w:r>
        <w:t xml:space="preserve">Human-AI teams produced</w:t>
      </w:r>
      <w:r>
        <w:t xml:space="preserve"> </w:t>
      </w:r>
      <w:r>
        <w:t xml:space="preserve">50% more ads per worker and higher</w:t>
      </w:r>
      <w:r>
        <w:t xml:space="preserve"> </w:t>
      </w:r>
      <w:r>
        <w:rPr>
          <w:i/>
          <w:iCs/>
        </w:rPr>
        <w:t xml:space="preserve">text</w:t>
      </w:r>
      <w:r>
        <w:t xml:space="preserve"> </w:t>
      </w:r>
      <w:r>
        <w:t xml:space="preserve">quality;</w:t>
      </w:r>
      <w:r>
        <w:t xml:space="preserve"> </w:t>
      </w:r>
      <w:r>
        <w:t xml:space="preserve">human-human teams produced higher</w:t>
      </w:r>
      <w:r>
        <w:t xml:space="preserve"> </w:t>
      </w:r>
      <w:r>
        <w:rPr>
          <w:i/>
          <w:iCs/>
        </w:rPr>
        <w:t xml:space="preserve">image</w:t>
      </w:r>
      <w:r>
        <w:t xml:space="preserve"> </w:t>
      </w:r>
      <w:r>
        <w:t xml:space="preserve">quality. Different</w:t>
      </w:r>
      <w:r>
        <w:t xml:space="preserve"> </w:t>
      </w:r>
      <w:r>
        <w:t xml:space="preserve">sub-tasks need different evaluation metrics.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Delegation shifts.</w:t>
      </w:r>
      <w:r>
        <w:t xml:space="preserve"> </w:t>
      </w:r>
      <w:r>
        <w:t xml:space="preserve">Participants delegated 17% more work</w:t>
      </w:r>
      <w:r>
        <w:t xml:space="preserve"> </w:t>
      </w:r>
      <w:r>
        <w:t xml:space="preserve">to AI agents than to human partners and performed 62% fewer</w:t>
      </w:r>
      <w:r>
        <w:t xml:space="preserve"> </w:t>
      </w:r>
      <w:r>
        <w:t xml:space="preserve">direct text edits when working with AI.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Diversity collapse.</w:t>
      </w:r>
      <w:r>
        <w:t xml:space="preserve"> </w:t>
      </w:r>
      <w:r>
        <w:t xml:space="preserve">Human-AI outputs were more</w:t>
      </w:r>
      <w:r>
        <w:t xml:space="preserve"> </w:t>
      </w:r>
      <w:r>
        <w:t xml:space="preserve">self-similar. For creative or generative use cases this is a</w:t>
      </w:r>
      <w:r>
        <w:t xml:space="preserve"> </w:t>
      </w:r>
      <w:r>
        <w:t xml:space="preserve">first-order governance risk.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Communication restructure.</w:t>
      </w:r>
      <w:r>
        <w:t xml:space="preserve"> </w:t>
      </w:r>
      <w:r>
        <w:t xml:space="preserve">Human-AI collaboration was</w:t>
      </w:r>
      <w:r>
        <w:t xml:space="preserve"> </w:t>
      </w:r>
      <w:r>
        <w:t xml:space="preserve">significantly more task-oriented (+25% task messages, -18%</w:t>
      </w:r>
      <w:r>
        <w:t xml:space="preserve"> </w:t>
      </w:r>
      <w:r>
        <w:t xml:space="preserve">interpersonal).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AI-awareness moderation.</w:t>
      </w:r>
      <w:r>
        <w:t xml:space="preserve"> </w:t>
      </w:r>
      <w:r>
        <w:t xml:space="preserve">Participants who correctly</w:t>
      </w:r>
      <w:r>
        <w:t xml:space="preserve"> </w:t>
      </w:r>
      <w:r>
        <w:t xml:space="preserve">identified they were paired with AI delegated more and were more</w:t>
      </w:r>
      <w:r>
        <w:t xml:space="preserve"> </w:t>
      </w:r>
      <w:r>
        <w:t xml:space="preserve">task-oriented — the effect is moderated by knowing the</w:t>
      </w:r>
      <w:r>
        <w:t xml:space="preserve"> </w:t>
      </w:r>
      <w:r>
        <w:t xml:space="preserve">collaborator is an agent.</w:t>
      </w:r>
    </w:p>
    <w:bookmarkEnd w:id="62"/>
    <w:bookmarkStart w:id="64" w:name="requirements-extracted-1"/>
    <w:p>
      <w:pPr>
        <w:pStyle w:val="Heading2"/>
      </w:pPr>
      <w:r>
        <w:t xml:space="preserve">Requirements extracted</w:t>
      </w:r>
    </w:p>
    <w:bookmarkStart w:id="63" w:name="tab:jural-reqs"/>
    <w:p>
      <w:pPr>
        <w:pStyle w:val="TableCaption"/>
      </w:pPr>
      <w:r>
        <w:t xml:space="preserve">Observational claims treated as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bservational claims treated as requirem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Normative text (paraphrased)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per-task; do not generalise a single productivity metric.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delegation + low direct-edit rate is a proxy for automation-bias risk; measure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output-diversity metric for creative-output use cases.</w:t>
            </w:r>
          </w:p>
        </w:tc>
      </w:tr>
    </w:tbl>
    <w:bookmarkEnd w:id="63"/>
    <w:bookmarkEnd w:id="64"/>
    <w:bookmarkStart w:id="65" w:name="implementation-in-the-corpus"/>
    <w:p>
      <w:pPr>
        <w:pStyle w:val="Heading2"/>
      </w:pPr>
      <w:r>
        <w:t xml:space="preserve">Implementation in the corpus</w:t>
      </w:r>
    </w:p>
    <w:p>
      <w:pPr>
        <w:numPr>
          <w:ilvl w:val="0"/>
          <w:numId w:val="1008"/>
        </w:numPr>
      </w:pPr>
      <w:r>
        <w:t xml:space="preserve">REG-JU-ARAL-3-001 is implemented by this chapter; it reminds</w:t>
      </w:r>
      <w:r>
        <w:t xml:space="preserve"> </w:t>
      </w:r>
      <w:r>
        <w:t xml:space="preserve">reviewers to look at the per-task KPIs defined in</w:t>
      </w:r>
      <w:r>
        <w:t xml:space="preserve"> </w:t>
      </w:r>
      <w:r>
        <w:t xml:space="preserve">rather than a single</w:t>
      </w:r>
      <w:r>
        <w:t xml:space="preserve"> </w:t>
      </w:r>
      <w:r>
        <w:t xml:space="preserve">blended productivity number.</w:t>
      </w:r>
    </w:p>
    <w:p>
      <w:pPr>
        <w:numPr>
          <w:ilvl w:val="0"/>
          <w:numId w:val="1008"/>
        </w:numPr>
      </w:pPr>
      <w:r>
        <w:t xml:space="preserve">REG-JU-ARAL-4-001 maps to the override-rate and review-duration</w:t>
      </w:r>
      <w:r>
        <w:t xml:space="preserve"> </w:t>
      </w:r>
      <w:r>
        <w:t xml:space="preserve">KPIs in the TB corpus. When override rates fall well below</w:t>
      </w:r>
      <w:r>
        <w:t xml:space="preserve"> </w:t>
      </w:r>
      <w:r>
        <w:t xml:space="preserve">historical baseline and review duration drops in lockstep, that</w:t>
      </w:r>
      <w:r>
        <w:t xml:space="preserve"> </w:t>
      </w:r>
      <w:r>
        <w:t xml:space="preserve">is the signal to re-audit.</w:t>
      </w:r>
    </w:p>
    <w:p>
      <w:pPr>
        <w:numPr>
          <w:ilvl w:val="0"/>
          <w:numId w:val="1008"/>
        </w:numPr>
      </w:pPr>
      <w:r>
        <w:t xml:space="preserve">REG-JU-ARAL-5-001 is marked</w:t>
      </w:r>
      <w:r>
        <w:t xml:space="preserve"> </w:t>
      </w:r>
      <w:r>
        <w:rPr>
          <w:i/>
          <w:iCs/>
        </w:rPr>
        <w:t xml:space="preserve">not_applicable</w:t>
      </w:r>
      <w:r>
        <w:t xml:space="preserve"> </w:t>
      </w:r>
      <w:r>
        <w:t xml:space="preserve">for the</w:t>
      </w:r>
      <w:r>
        <w:t xml:space="preserve"> </w:t>
      </w:r>
      <w:r>
        <w:t xml:space="preserve">trial-balance workflow (deterministic review, single narrative</w:t>
      </w:r>
      <w:r>
        <w:t xml:space="preserve"> </w:t>
      </w:r>
      <w:r>
        <w:t xml:space="preserve">per legal entity). We record rather than omit it so that the</w:t>
      </w:r>
      <w:r>
        <w:t xml:space="preserve"> </w:t>
      </w:r>
      <w:r>
        <w:t xml:space="preserve">framework surfaces the requirement automatically when it</w:t>
      </w:r>
      <w:r>
        <w:t xml:space="preserve"> </w:t>
      </w:r>
      <w:r>
        <w:t xml:space="preserve">becomes applicable.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Activation trigger.</w:t>
      </w:r>
      <w:r>
        <w:t xml:space="preserve"> </w:t>
      </w:r>
      <w:r>
        <w:t xml:space="preserve">The requirement flips to</w:t>
      </w:r>
      <w:r>
        <w:t xml:space="preserve"> </w:t>
      </w:r>
      <w:r>
        <w:rPr>
          <w:rStyle w:val="VerbatimChar"/>
        </w:rPr>
        <w:t xml:space="preserve">applicable</w:t>
      </w:r>
      <w:r>
        <w:t xml:space="preserve"> </w:t>
      </w:r>
      <w:r>
        <w:t xml:space="preserve">when any one of the following is true:</w:t>
      </w:r>
      <w:r>
        <w:t xml:space="preserve"> </w:t>
      </w:r>
      <w:r>
        <w:t xml:space="preserve">(a) a deployed agent produces</w:t>
      </w:r>
      <w:r>
        <w:t xml:space="preserve"> </w:t>
      </w:r>
      <w:r>
        <w:rPr>
          <w:i/>
          <w:iCs/>
        </w:rPr>
        <w:t xml:space="preserve">multi-variant creative</w:t>
      </w:r>
      <w:r>
        <w:rPr>
          <w:i/>
          <w:iCs/>
        </w:rP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(e.g., drafting options, marketing copy, generative</w:t>
      </w:r>
      <w:r>
        <w:t xml:space="preserve"> </w:t>
      </w:r>
      <w:r>
        <w:t xml:space="preserve">translation) rather than deterministic reports; (b) the</w:t>
      </w:r>
      <w:r>
        <w:t xml:space="preserve"> </w:t>
      </w:r>
      <w:r>
        <w:t xml:space="preserve">Simula training corpus is used to fine-tune a model whose</w:t>
      </w:r>
      <w:r>
        <w:t xml:space="preserve"> </w:t>
      </w:r>
      <w:r>
        <w:t xml:space="preserve">outputs are surfaced to end-users (as opposed to staying</w:t>
      </w:r>
      <w:r>
        <w:t xml:space="preserve"> </w:t>
      </w:r>
      <w:r>
        <w:t xml:space="preserve">within the SQL-generation benchmark); or (c) the</w:t>
      </w:r>
      <w:r>
        <w:t xml:space="preserve"> </w:t>
      </w:r>
      <w:r>
        <w:t xml:space="preserve">commentary generator is configured with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Style w:val="VerbatimChar"/>
        </w:rPr>
        <w:t xml:space="preserve">0.4</w:t>
      </w:r>
      <w:r>
        <w:t xml:space="preserve"> </w:t>
      </w:r>
      <w:r>
        <w:t xml:space="preserve">in production for any</w:t>
      </w:r>
      <w:r>
        <w:t xml:space="preserve"> </w:t>
      </w:r>
      <w:r>
        <w:t xml:space="preserve">deployed LE (today:</w:t>
      </w:r>
      <w:r>
        <w:t xml:space="preserve"> </w:t>
      </w:r>
      <w:r>
        <w:rPr>
          <w:rStyle w:val="VerbatimChar"/>
        </w:rPr>
        <w:t xml:space="preserve">0.1</w:t>
      </w:r>
      <w:r>
        <w:t xml:space="preserve">). The governance</w:t>
      </w:r>
      <w:r>
        <w:t xml:space="preserve"> </w:t>
      </w:r>
      <w:r>
        <w:t xml:space="preserve">monitoring job in 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runs a</w:t>
      </w:r>
      <w:r>
        <w:t xml:space="preserve"> </w:t>
      </w:r>
      <w:r>
        <w:t xml:space="preserve">quarterly check that inspects the live model configs, the</w:t>
      </w:r>
      <w:r>
        <w:t xml:space="preserve"> </w:t>
      </w:r>
      <w:r>
        <w:t xml:space="preserve">agent index, and the Simula deployment manifests; when any</w:t>
      </w:r>
      <w:r>
        <w:t xml:space="preserve"> </w:t>
      </w:r>
      <w:r>
        <w:t xml:space="preserve">of (a)–(c) flips, the requirement status is automatically</w:t>
      </w:r>
      <w:r>
        <w:t xml:space="preserve"> </w:t>
      </w:r>
      <w:r>
        <w:t xml:space="preserve">re-opened and routed to the GFAIC for disposition within</w:t>
      </w:r>
      <w:r>
        <w:t xml:space="preserve"> </w:t>
      </w:r>
      <w:r>
        <w:t xml:space="preserve">two weeks.</w:t>
      </w:r>
    </w:p>
    <w:bookmarkEnd w:id="65"/>
    <w:bookmarkEnd w:id="66"/>
    <w:bookmarkStart w:id="82" w:name="ch:tooling"/>
    <w:p>
      <w:pPr>
        <w:pStyle w:val="Heading1"/>
      </w:pPr>
      <w:r>
        <w:t xml:space="preserve">Conformance tooling</w:t>
      </w:r>
    </w:p>
    <w:bookmarkStart w:id="68" w:name="two-complementary-tools"/>
    <w:p>
      <w:pPr>
        <w:pStyle w:val="Heading2"/>
      </w:pPr>
      <w:r>
        <w:t xml:space="preserve">Two complementary tools</w:t>
      </w:r>
    </w:p>
    <w:p>
      <w:pPr>
        <w:pStyle w:val="FirstParagraph"/>
      </w:pPr>
      <w:r>
        <w:t xml:space="preserve">Both tools are published by the AI Verify Foundation / IMDA Singapore</w:t>
      </w:r>
      <w:r>
        <w:t xml:space="preserve"> </w:t>
      </w:r>
      <w:r>
        <w:t xml:space="preserve">under Apache-2.0 and vendored into the repository. They target</w:t>
      </w:r>
      <w:r>
        <w:t xml:space="preserve"> </w:t>
      </w:r>
      <w:r>
        <w:t xml:space="preserve">different phases of the lifecycle:</w:t>
      </w:r>
    </w:p>
    <w:bookmarkStart w:id="67" w:name="fig:tool-coverag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Conformance-tool coverage across the lifecycle. AI Verify</w:t>
      </w:r>
      <w:r>
        <w:t xml:space="preserve"> </w:t>
      </w:r>
      <w:r>
        <w:t xml:space="preserve">emphasises reviewable documentation and structured algorithm runs;</w:t>
      </w:r>
      <w:r>
        <w:t xml:space="preserve"> </w:t>
      </w:r>
      <w:r>
        <w:t xml:space="preserve">Moonshot emphasises runtime safety testing.</w:t>
      </w:r>
    </w:p>
    <w:bookmarkEnd w:id="67"/>
    <w:bookmarkEnd w:id="68"/>
    <w:bookmarkStart w:id="73" w:name="ai-verify-2.0"/>
    <w:p>
      <w:pPr>
        <w:pStyle w:val="Heading2"/>
      </w:pPr>
      <w:r>
        <w:t xml:space="preserve">AI Verify 2.0</w:t>
      </w:r>
    </w:p>
    <w:bookmarkStart w:id="69" w:name="summary-4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AI Verify is an IMDA-backed testing framework that has been</w:t>
      </w:r>
      <w:r>
        <w:t xml:space="preserve"> </w:t>
      </w:r>
      <w:r>
        <w:t xml:space="preserve">re-architected for v2.0 into a modular monorepo. Algorithms run as</w:t>
      </w:r>
      <w:r>
        <w:t xml:space="preserve"> </w:t>
      </w:r>
      <w:r>
        <w:t xml:space="preserve">independent Python modules; a portal and API gateway surface results.</w:t>
      </w:r>
      <w:r>
        <w:t xml:space="preserve"> </w:t>
      </w:r>
      <w:r>
        <w:t xml:space="preserve">Financial-services users can run the Veritas fairness plugin to meet</w:t>
      </w:r>
      <w:r>
        <w:t xml:space="preserve"> </w:t>
      </w:r>
      <w:r>
        <w:t xml:space="preserve">MAS’s Veritas testing expectations.</w:t>
      </w:r>
    </w:p>
    <w:bookmarkEnd w:id="69"/>
    <w:bookmarkStart w:id="71" w:name="stock-plugin-inventory"/>
    <w:p>
      <w:pPr>
        <w:pStyle w:val="Heading3"/>
      </w:pPr>
      <w:r>
        <w:t xml:space="preserve">Stock plugin inventory</w:t>
      </w:r>
    </w:p>
    <w:bookmarkStart w:id="70" w:name="tab:av-plugins"/>
    <w:p>
      <w:pPr>
        <w:pStyle w:val="TableCaption"/>
      </w:pPr>
      <w:r>
        <w:t xml:space="preserve">The eleven stock plugins shipped with 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eleven stock plugins shipped with 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Plugin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aiverify.stock.process-checklist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11-principle process checklist aligned with the AI Verify testing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aiverify.stock.fairness-metrics-toolbox-for-classification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 fairness metrics for supervised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aiverify.stock.fairness-metrics-toolbox-for-regression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Regression-specific fairness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aiverify.stock.robustness-toolbox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Perturbation-based robustness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aiverify.stock.image-corruption-toolbox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Computer-vision corruption robustness.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aiverify.stock.shap-toolbox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 feature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aiverify.stock.partial-dependence-plot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Partial-dependence plots for feature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aiverify.stock.accumulated-local-effect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Accumulated local-effect explanations.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aiverify.stock.veritas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Veritas fairness testing for financial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and widget rendering for the portal.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aiverify.stock.decorators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UI primitives and decorators.</w:t>
            </w:r>
          </w:p>
        </w:tc>
      </w:tr>
    </w:tbl>
    <w:bookmarkEnd w:id="70"/>
    <w:bookmarkEnd w:id="71"/>
    <w:bookmarkStart w:id="72" w:name="integration-surface"/>
    <w:p>
      <w:pPr>
        <w:pStyle w:val="Heading3"/>
      </w:pPr>
      <w:r>
        <w:t xml:space="preserve">Integration surface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python-api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aiverify-test-engine</w:t>
      </w:r>
      <w:r>
        <w:t xml:space="preserve"> </w:t>
      </w:r>
      <w:r>
        <w:t xml:space="preserve">package</w:t>
      </w:r>
      <w:r>
        <w:t xml:space="preserve"> </w:t>
      </w:r>
      <w:r>
        <w:t xml:space="preserve">exposes an algorithm-runner API.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docker</w:t>
      </w:r>
      <w:r>
        <w:t xml:space="preserve">:</w:t>
      </w:r>
      <w:r>
        <w:t xml:space="preserve"> </w:t>
      </w:r>
      <w:r>
        <w:rPr>
          <w:rStyle w:val="VerbatimChar"/>
        </w:rPr>
        <w:t xml:space="preserve">aiverify-apigw</w:t>
      </w:r>
      <w:r>
        <w:t xml:space="preserve"> </w:t>
      </w:r>
      <w:r>
        <w:t xml:space="preserve">and the portal ship as</w:t>
      </w:r>
      <w:r>
        <w:t xml:space="preserve"> </w:t>
      </w:r>
      <w:r>
        <w:t xml:space="preserve">container images.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cli</w:t>
      </w:r>
      <w:r>
        <w:t xml:space="preserve">: each stock plugin is individually runnable from</w:t>
      </w:r>
      <w:r>
        <w:t xml:space="preserve"> </w:t>
      </w:r>
      <w:r>
        <w:t xml:space="preserve">its algorithm directory.</w:t>
      </w:r>
    </w:p>
    <w:bookmarkEnd w:id="72"/>
    <w:bookmarkEnd w:id="73"/>
    <w:bookmarkStart w:id="79" w:name="moonshot-cicd-1.1.0"/>
    <w:p>
      <w:pPr>
        <w:pStyle w:val="Heading2"/>
      </w:pPr>
      <w:r>
        <w:t xml:space="preserve">Moonshot CI/CD 1.1.0</w:t>
      </w:r>
    </w:p>
    <w:bookmarkStart w:id="74" w:name="summary-5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Moonshot is a lean, modular safety-testing tool for LLM applications. It</w:t>
      </w:r>
      <w:r>
        <w:t xml:space="preserve"> </w:t>
      </w:r>
      <w:r>
        <w:t xml:space="preserve">is distributed as a Docker image and designed to be integrated into</w:t>
      </w:r>
      <w:r>
        <w:t xml:space="preserve"> </w:t>
      </w:r>
      <w:r>
        <w:t xml:space="preserve">pipelines so that every pushed change can trigger benchmark and red-team</w:t>
      </w:r>
      <w:r>
        <w:t xml:space="preserve"> </w:t>
      </w:r>
      <w:r>
        <w:t xml:space="preserve">runs. A single</w:t>
      </w:r>
      <w:r>
        <w:t xml:space="preserve"> </w:t>
      </w:r>
      <w:r>
        <w:rPr>
          <w:rStyle w:val="VerbatimChar"/>
        </w:rPr>
        <w:t xml:space="preserve">moonshot run</w:t>
      </w:r>
      <w:r>
        <w:t xml:space="preserve"> </w:t>
      </w:r>
      <w:r>
        <w:t xml:space="preserve">command drives any combination of</w:t>
      </w:r>
      <w:r>
        <w:t xml:space="preserve"> </w:t>
      </w:r>
      <w:r>
        <w:t xml:space="preserve">configured benchmarks and attacks.</w:t>
      </w:r>
    </w:p>
    <w:bookmarkEnd w:id="74"/>
    <w:bookmarkStart w:id="76" w:name="benchmark-categories"/>
    <w:p>
      <w:pPr>
        <w:pStyle w:val="Heading3"/>
      </w:pPr>
      <w:r>
        <w:t xml:space="preserve">Benchmark categories</w:t>
      </w:r>
    </w:p>
    <w:bookmarkStart w:id="75" w:name="tab:ms-benchmarks"/>
    <w:p>
      <w:pPr>
        <w:pStyle w:val="TableCaption"/>
      </w:pPr>
      <w:r>
        <w:t xml:space="preserve">The four benchmark categories aligned with the IMDA LLM Starter</w:t>
      </w:r>
      <w:r>
        <w:t xml:space="preserve"> </w:t>
      </w:r>
      <w:r>
        <w:t xml:space="preserve">Kit for Safety Testing.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benchmark categories aligned with the IMDA LLM Starter Kit for Safety Testing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fabricated or unsupported statements.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undesirable_content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undesirable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unsafe, biased, or policy-violating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PII leakage or unintended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adversarial_prompts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and jailbreak robustness.</w:t>
            </w:r>
          </w:p>
        </w:tc>
      </w:tr>
    </w:tbl>
    <w:bookmarkEnd w:id="75"/>
    <w:bookmarkEnd w:id="76"/>
    <w:bookmarkStart w:id="78" w:name="architecture"/>
    <w:p>
      <w:pPr>
        <w:pStyle w:val="Heading3"/>
      </w:pPr>
      <w:r>
        <w:t xml:space="preserve">Architecture</w:t>
      </w:r>
    </w:p>
    <w:bookmarkStart w:id="77" w:name="fig:ms-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Moonshot CI/CD module layout (, , ).</w:t>
      </w:r>
    </w:p>
    <w:bookmarkEnd w:id="77"/>
    <w:bookmarkEnd w:id="78"/>
    <w:bookmarkEnd w:id="79"/>
    <w:bookmarkStart w:id="81" w:name="binding-to-requirement-records"/>
    <w:p>
      <w:pPr>
        <w:pStyle w:val="Heading2"/>
      </w:pPr>
      <w:r>
        <w:t xml:space="preserve">Binding to requirement records</w:t>
      </w:r>
    </w:p>
    <w:p>
      <w:pPr>
        <w:pStyle w:val="FirstParagraph"/>
      </w:pPr>
      <w:r>
        <w:t xml:space="preserve">Table </w:t>
      </w:r>
      <w:hyperlink w:anchor="tab:verify-matrix">
        <w:r>
          <w:rPr>
            <w:rStyle w:val="Hyperlink"/>
          </w:rPr>
          <w:t xml:space="preserve">7.3</w:t>
        </w:r>
      </w:hyperlink>
      <w:r>
        <w:t xml:space="preserve"> </w:t>
      </w:r>
      <w:r>
        <w:t xml:space="preserve">shows how this corpus’s 20 requirement</w:t>
      </w:r>
      <w:r>
        <w:t xml:space="preserve"> </w:t>
      </w:r>
      <w:r>
        <w:t xml:space="preserve">records bind to plugins and benchmarks. Where a requirement has</w:t>
      </w:r>
      <w:r>
        <w:t xml:space="preserve"> </w:t>
      </w:r>
      <w:r>
        <w:t xml:space="preserve">verification</w:t>
      </w:r>
      <w:r>
        <w:t xml:space="preserve"> </w:t>
      </w:r>
      <w:r>
        <w:rPr>
          <w:rStyle w:val="VerbatimChar"/>
        </w:rPr>
        <w:t xml:space="preserve">kind: "aiverify-plugin"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kind: "moonshot-test"</w:t>
      </w:r>
      <w:r>
        <w:t xml:space="preserve">, the plugin slug or benchmark id must</w:t>
      </w:r>
      <w:r>
        <w:t xml:space="preserve"> </w:t>
      </w:r>
      <w:r>
        <w:t xml:space="preserve">match one declared in the tool record;</w:t>
      </w:r>
      <w:r>
        <w:t xml:space="preserve"> </w:t>
      </w:r>
      <w:r>
        <w:t xml:space="preserve">fails otherwise.</w:t>
      </w:r>
    </w:p>
    <w:bookmarkStart w:id="80" w:name="tab:verify-matrix"/>
    <w:p>
      <w:pPr>
        <w:pStyle w:val="TableCaption"/>
      </w:pPr>
      <w:r>
        <w:t xml:space="preserve">Verification matrix (tool/ID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requirement records).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erification matrix (tool/ID \to requirement record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/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Referenced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aiverify.stock.process-checklist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REG-MGF-2.1.1-001, REG-MGF-2.2.1-001, REG-MGF-2.4.2-001, 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evidence for governance 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aiverify.stock.robustness-toolbox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REG-MGF-2.3.2-001, 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Perturbation robustness.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aiverify.stock.reports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+ report rendering.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REG-MGF-2.3.2-001, 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Fabrication checks in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 undesirable_content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REG-MGF-2.3.2-001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adherence.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 adversarial_prompts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REG-MGF-2.1.2-001, REG-MGF-2.3.1-001, REG-MGF-2.3.2-001, REG-MGF-2.3.2-002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Red-team / jailbreak attempts.</w:t>
            </w:r>
          </w:p>
        </w:tc>
      </w:tr>
    </w:tbl>
    <w:bookmarkEnd w:id="80"/>
    <w:bookmarkEnd w:id="81"/>
    <w:bookmarkEnd w:id="82"/>
    <w:bookmarkStart w:id="97" w:name="ch:refs"/>
    <w:p>
      <w:pPr>
        <w:pStyle w:val="Heading1"/>
      </w:pPr>
      <w:r>
        <w:t xml:space="preserve">References and traceability</w:t>
      </w:r>
    </w:p>
    <w:bookmarkStart w:id="84" w:name="source-hashes-sha256"/>
    <w:p>
      <w:pPr>
        <w:pStyle w:val="Heading2"/>
      </w:pPr>
      <w:r>
        <w:t xml:space="preserve">Source hashes (sha256)</w:t>
      </w:r>
    </w:p>
    <w:bookmarkStart w:id="83" w:name="tab:src-hashes"/>
    <w:p>
      <w:pPr>
        <w:pStyle w:val="TableCaption"/>
      </w:pPr>
      <w:r>
        <w:t xml:space="preserve">Content hashes of the three source regulations.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ent hashes of the three source regulati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sha256 (truncated to first 16 hex)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b84c8c94f6392cf2…aeef7b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c67a30469fd061e9…0e267f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b680f58422e4684e…cd7877</w:t>
            </w:r>
          </w:p>
        </w:tc>
      </w:tr>
    </w:tbl>
    <w:bookmarkEnd w:id="83"/>
    <w:bookmarkEnd w:id="84"/>
    <w:bookmarkStart w:id="87" w:name="structured-records-on-disk"/>
    <w:p>
      <w:pPr>
        <w:pStyle w:val="Heading2"/>
      </w:pPr>
      <w:r>
        <w:t xml:space="preserve">Structured records on disk</w:t>
      </w:r>
    </w:p>
    <w:bookmarkStart w:id="85" w:name="tab:struct-inventory"/>
    <w:p>
      <w:pPr>
        <w:pStyle w:val="TableCaption"/>
      </w:pPr>
      <w:r>
        <w:t xml:space="preserve">Structured layer inventory (unified-schema layout, April 2026).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ructured layer inventory (unified-schema layout, April 2026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(relative to repo root)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JSON Schemas (Draft-07) for regulation, requirement, conformance-tool, and corpus records.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Controlled vocabularies shared across the four domain specs.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Master schema index (all domains).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Unified offline validator (registry check + per-document check).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Per-source extracted text and RAG artefacts (see</w:t>
            </w:r>
            <w:r>
              <w:t xml:space="preserve"> </w:t>
            </w:r>
            <w:hyperlink w:anchor="tab:machine-readable-inventory">
              <w:r>
                <w:rPr>
                  <w:rStyle w:val="Hyperlink"/>
                </w:rPr>
                <w:t xml:space="preserve">8.3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Requirement records (20 requirements across MGF, Agent Index, Ju &amp; Aral).</w:t>
            </w:r>
          </w:p>
        </w:tc>
      </w:tr>
    </w:tbl>
    <w:bookmarkEnd w:id="85"/>
    <w:bookmarkStart w:id="86" w:name="tab:machine-readable-inventory"/>
    <w:p>
      <w:pPr>
        <w:pStyle w:val="TableCaption"/>
      </w:pPr>
      <w:r>
        <w:t xml:space="preserve">Contents of</w:t>
      </w:r>
      <w:r>
        <w:t xml:space="preserve"> </w:t>
      </w:r>
      <w:r>
        <w:rPr>
          <w:rStyle w:val="VerbatimChar"/>
        </w:rPr>
        <w:t xml:space="preserve">docs/regulations/machine-readable/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ents of docs/regulations/machine-readable/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Extracted text of the IMDA MGF PDF.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Extracted text of the 2025 AI Agent Index.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Extracted text of the Ju &amp; Aral pre-print.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Deterministic chunks ready for embedding.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Embedding records (re-upsertable into Qdrant).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Manifest of chunk / embedding counts + hashes.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Re-chunk and re-upsert scripts.</w:t>
            </w:r>
          </w:p>
        </w:tc>
      </w:tr>
    </w:tbl>
    <w:bookmarkEnd w:id="86"/>
    <w:bookmarkEnd w:id="87"/>
    <w:bookmarkStart w:id="88" w:name="corpus-index-excerpt"/>
    <w:p>
      <w:pPr>
        <w:pStyle w:val="Heading2"/>
      </w:pPr>
      <w:r>
        <w:t xml:space="preserve">Corpus index excerpt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"generated": "2026-04-18",</w:t>
      </w:r>
      <w:r>
        <w:br/>
      </w:r>
      <w:r>
        <w:rPr>
          <w:rStyle w:val="VerbatimChar"/>
        </w:rPr>
        <w:t xml:space="preserve">  "domains": {</w:t>
      </w:r>
      <w:r>
        <w:br/>
      </w:r>
      <w:r>
        <w:rPr>
          <w:rStyle w:val="VerbatimChar"/>
        </w:rPr>
        <w:t xml:space="preserve">    "regulations": {</w:t>
      </w:r>
      <w:r>
        <w:br/>
      </w:r>
      <w:r>
        <w:rPr>
          <w:rStyle w:val="VerbatimChar"/>
        </w:rPr>
        <w:t xml:space="preserve">      "status": "stable",</w:t>
      </w:r>
      <w:r>
        <w:br/>
      </w:r>
      <w:r>
        <w:rPr>
          <w:rStyle w:val="VerbatimChar"/>
        </w:rPr>
        <w:t xml:space="preserve">      "schemas": [</w:t>
      </w:r>
      <w:r>
        <w:br/>
      </w:r>
      <w:r>
        <w:rPr>
          <w:rStyle w:val="VerbatimChar"/>
        </w:rPr>
        <w:t xml:space="preserve">        { "id": "regulation",</w:t>
      </w:r>
      <w:r>
        <w:br/>
      </w:r>
      <w:r>
        <w:rPr>
          <w:rStyle w:val="VerbatimChar"/>
        </w:rPr>
        <w:t xml:space="preserve">          "path": "docs/schema/regulations/regulation.schema.json" },</w:t>
      </w:r>
      <w:r>
        <w:br/>
      </w:r>
      <w:r>
        <w:rPr>
          <w:rStyle w:val="VerbatimChar"/>
        </w:rPr>
        <w:t xml:space="preserve">        { "id": "requirement",</w:t>
      </w:r>
      <w:r>
        <w:br/>
      </w:r>
      <w:r>
        <w:rPr>
          <w:rStyle w:val="VerbatimChar"/>
        </w:rPr>
        <w:t xml:space="preserve">          "path": "docs/schema/regulations/requirement.schema.json" },</w:t>
      </w:r>
      <w:r>
        <w:br/>
      </w:r>
      <w:r>
        <w:rPr>
          <w:rStyle w:val="VerbatimChar"/>
        </w:rPr>
        <w:t xml:space="preserve">        { "id": "conformance-tool",</w:t>
      </w:r>
      <w:r>
        <w:br/>
      </w:r>
      <w:r>
        <w:rPr>
          <w:rStyle w:val="VerbatimChar"/>
        </w:rPr>
        <w:t xml:space="preserve">          "path": "docs/schema/regulations/conformance-tool.schema.json" },</w:t>
      </w:r>
      <w:r>
        <w:br/>
      </w:r>
      <w:r>
        <w:rPr>
          <w:rStyle w:val="VerbatimChar"/>
        </w:rPr>
        <w:t xml:space="preserve">        { "id": "corpus",</w:t>
      </w:r>
      <w:r>
        <w:br/>
      </w:r>
      <w:r>
        <w:rPr>
          <w:rStyle w:val="VerbatimChar"/>
        </w:rPr>
        <w:t xml:space="preserve">          "path": "docs/schema/regulations/corpus.schema.json"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"records": "docs/regulations/machine-readable/specification-addendum.yaml"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88"/>
    <w:bookmarkStart w:id="90" w:name="consolidated-traceability-matrix"/>
    <w:p>
      <w:pPr>
        <w:pStyle w:val="Heading2"/>
      </w:pPr>
      <w:r>
        <w:t xml:space="preserve">Consolidated traceability matrix</w:t>
      </w:r>
    </w:p>
    <w:p>
      <w:pPr>
        <w:pStyle w:val="FirstParagraph"/>
      </w:pPr>
      <w:r>
        <w:t xml:space="preserve">Table </w:t>
      </w:r>
      <w:hyperlink w:anchor="tab:trace">
        <w:r>
          <w:rPr>
            <w:rStyle w:val="Hyperlink"/>
          </w:rPr>
          <w:t xml:space="preserve">8.4</w:t>
        </w:r>
      </w:hyperlink>
      <w:r>
        <w:t xml:space="preserve"> </w:t>
      </w:r>
      <w:r>
        <w:t xml:space="preserve">is the single view a reviewer needs. Every row is</w:t>
      </w:r>
      <w:r>
        <w:t xml:space="preserve"> </w:t>
      </w:r>
      <w:r>
        <w:t xml:space="preserve">one requirement record and shows its status, the primary implementation</w:t>
      </w:r>
      <w:r>
        <w:t xml:space="preserve"> </w:t>
      </w:r>
      <w:r>
        <w:t xml:space="preserve">pointer, and its verification link.</w:t>
      </w:r>
    </w:p>
    <w:bookmarkStart w:id="89" w:name="tab:trace"/>
    <w:p>
      <w:pPr>
        <w:pStyle w:val="TableCaption"/>
      </w:pPr>
      <w:r>
        <w:t xml:space="preserve">Full requirement traceability matrix.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ll requirement traceability matrix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 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spec ch.1 + TB business reqs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+ data-product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test_mcp_server +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ch:identity">
              <w:r>
                <w:rPr>
                  <w:rStyle w:val="Hyperlink"/>
                </w:rPr>
                <w:t xml:space="preserve">11</w:t>
              </w:r>
            </w:hyperlink>
            <w:r>
              <w:t xml:space="preserve"> </w:t>
            </w:r>
            <w:r>
              <w:t xml:space="preserve">spec + aicore_pal_agent.py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test_hana_connection + audit-trail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data-product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TB EUC-001..003 + workflow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GFAIC charter (federated under GAISC)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 +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DP-001/003/005 + workflow 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test_pal_algorithms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KPI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+ MCP + decision-point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test_mcp_server +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 algorithm + MCP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4-benchmark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evaluation/trajectory_evaluator.py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adversarial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deploy_to_aicore.sh +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monitoring/drift_monitor.py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hallucination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workflow + controls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REG-MGF-2.4.3-001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docs/training/agent-oversight-curriculum.md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 + 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REG-AGENTIDX-3.6-001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chapter + TB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process-checklist +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REG-AGENTIDX-3.3-001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workflow + spec ch.5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KPI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REG-JU-ARAL-5-001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(creative use cases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9"/>
    <w:p>
      <w:pPr>
        <w:pStyle w:val="BodyText"/>
      </w:pPr>
      <w:r>
        <w:rPr>
          <w:b/>
          <w:bCs/>
        </w:rPr>
        <w:t xml:space="preserve">Status legend and corrections (April 2026 review):</w:t>
      </w:r>
    </w:p>
    <w:p>
      <w:pPr>
        <w:numPr>
          <w:ilvl w:val="0"/>
          <w:numId w:val="1010"/>
        </w:numPr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b/>
          <w:bCs/>
        </w:rPr>
        <w:t xml:space="preserve">partial (upgraded from missing, April 2026):</w:t>
      </w:r>
      <w:r>
        <w:t xml:space="preserve"> </w:t>
      </w:r>
      <w:r>
        <w:t xml:space="preserve">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specifies the per-request</w:t>
      </w:r>
      <w:r>
        <w:t xml:space="preserve"> </w:t>
      </w:r>
      <w:r>
        <w:t xml:space="preserve">identity-attribution schema, the reserve-before-action audit</w:t>
      </w:r>
      <w:r>
        <w:t xml:space="preserve"> </w:t>
      </w:r>
      <w:r>
        <w:t xml:space="preserve">protocol, and the WORM-backed immutable storage design</w:t>
      </w:r>
      <w:r>
        <w:t xml:space="preserve"> </w:t>
      </w:r>
      <w:r>
        <w:t xml:space="preserve">(</w:t>
      </w:r>
      <w:hyperlink w:anchor="sec:audit-failure-handling">
        <w:r>
          <w:rPr>
            <w:rStyle w:val="Hyperlink"/>
          </w:rPr>
          <w:t xml:space="preserve">11.6.2</w:t>
        </w:r>
      </w:hyperlink>
      <w:r>
        <w:t xml:space="preserve">). Status is</w:t>
      </w:r>
      <w:r>
        <w:t xml:space="preserve"> </w:t>
      </w:r>
      <w:r>
        <w:t xml:space="preserve">“partial”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“implemented”</w:t>
      </w:r>
      <w:r>
        <w:t xml:space="preserve"> </w:t>
      </w:r>
      <w:r>
        <w:t xml:space="preserve">because the audit service itself</w:t>
      </w:r>
      <w:r>
        <w:t xml:space="preserve"> </w:t>
      </w:r>
      <w:r>
        <w:t xml:space="preserve">and the three pipeline integrations (TB, Arabic AP, Simula)</w:t>
      </w:r>
      <w:r>
        <w:t xml:space="preserve"> </w:t>
      </w:r>
      <w:r>
        <w:t xml:space="preserve">are scheduled in</w:t>
      </w:r>
      <w:r>
        <w:t xml:space="preserve"> </w:t>
      </w:r>
      <w:hyperlink w:anchor="tab:identity-rollout">
        <w:r>
          <w:rPr>
            <w:rStyle w:val="Hyperlink"/>
          </w:rPr>
          <w:t xml:space="preserve">11.4</w:t>
        </w:r>
      </w:hyperlink>
      <w:r>
        <w:t xml:space="preserve"> </w:t>
      </w:r>
      <w:r>
        <w:t xml:space="preserve">and are not yet</w:t>
      </w:r>
      <w:r>
        <w:t xml:space="preserve"> </w:t>
      </w:r>
      <w:r>
        <w:t xml:space="preserve">in production.</w:t>
      </w:r>
    </w:p>
    <w:p>
      <w:pPr>
        <w:numPr>
          <w:ilvl w:val="0"/>
          <w:numId w:val="1010"/>
        </w:numPr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Downgraded from</w:t>
      </w:r>
      <w:r>
        <w:rPr>
          <w:b/>
          <w:bCs/>
        </w:rPr>
        <w:t xml:space="preserve"> </w:t>
      </w:r>
      <w:r>
        <w:rPr>
          <w:b/>
          <w:bCs/>
        </w:rPr>
        <w:t xml:space="preserve">“implemented”</w:t>
      </w:r>
      <w:r>
        <w:rPr>
          <w:b/>
          <w:bCs/>
        </w:rPr>
        <w:t xml:space="preserve">:</w:t>
      </w:r>
      <w:r>
        <w:t xml:space="preserve"> </w:t>
      </w:r>
      <w:r>
        <w:t xml:space="preserve">Code artifact exists but has not been</w:t>
      </w:r>
      <w:r>
        <w:t xml:space="preserve"> </w:t>
      </w:r>
      <w:r>
        <w:t xml:space="preserve">validated in production. Retained as</w:t>
      </w:r>
      <w:r>
        <w:t xml:space="preserve"> </w:t>
      </w:r>
      <w:r>
        <w:t xml:space="preserve">“partial”</w:t>
      </w:r>
      <w:r>
        <w:t xml:space="preserve"> </w:t>
      </w:r>
      <w:r>
        <w:t xml:space="preserve">pending pilot validation.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All other</w:t>
      </w:r>
      <w:r>
        <w:rPr>
          <w:b/>
          <w:bCs/>
        </w:rPr>
        <w:t xml:space="preserve"> </w:t>
      </w:r>
      <w:r>
        <w:rPr>
          <w:b/>
          <w:bCs/>
        </w:rPr>
        <w:t xml:space="preserve">“implemented”</w:t>
      </w:r>
      <w:r>
        <w:rPr>
          <w:b/>
          <w:bCs/>
        </w:rPr>
        <w:t xml:space="preserve"> </w:t>
      </w:r>
      <w:r>
        <w:rPr>
          <w:b/>
          <w:bCs/>
        </w:rPr>
        <w:t xml:space="preserve">rows downgraded:</w:t>
      </w:r>
      <w:r>
        <w:t xml:space="preserve"> </w:t>
      </w:r>
      <w:r>
        <w:t xml:space="preserve">Original</w:t>
      </w:r>
      <w:r>
        <w:t xml:space="preserve"> </w:t>
      </w:r>
      <w:r>
        <w:t xml:space="preserve">“implemented”</w:t>
      </w:r>
      <w:r>
        <w:t xml:space="preserve"> </w:t>
      </w:r>
      <w:r>
        <w:t xml:space="preserve">status</w:t>
      </w:r>
      <w:r>
        <w:t xml:space="preserve"> </w:t>
      </w:r>
      <w:r>
        <w:t xml:space="preserve">assumed code existence equals conformance. Corrected to</w:t>
      </w:r>
      <w:r>
        <w:t xml:space="preserve"> </w:t>
      </w:r>
      <w:r>
        <w:t xml:space="preserve">“partial”</w:t>
      </w:r>
      <w:r>
        <w:t xml:space="preserve"> </w:t>
      </w:r>
      <w:r>
        <w:t xml:space="preserve">where</w:t>
      </w:r>
      <w:r>
        <w:t xml:space="preserve"> </w:t>
      </w:r>
      <w:r>
        <w:t xml:space="preserve">production validation is pending (e.g., REG-JU-ARAL-3-001 relies on this</w:t>
      </w:r>
      <w:r>
        <w:t xml:space="preserve"> </w:t>
      </w:r>
      <w:r>
        <w:t xml:space="preserve">chapter only—no operational evidence).</w:t>
      </w:r>
    </w:p>
    <w:bookmarkEnd w:id="90"/>
    <w:bookmarkStart w:id="91" w:name="rebuild-and-revalidate"/>
    <w:p>
      <w:pPr>
        <w:pStyle w:val="Heading2"/>
      </w:pPr>
      <w:r>
        <w:t xml:space="preserve">Rebuild and revalidate</w:t>
      </w:r>
    </w:p>
    <w:p>
      <w:pPr>
        <w:pStyle w:val="SourceCode"/>
      </w:pPr>
      <w:r>
        <w:rPr>
          <w:rStyle w:val="CommentTok"/>
        </w:rPr>
        <w:t xml:space="preserve"># Offline registry + schema validation (all domains).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--registry-check</w:t>
      </w:r>
      <w:r>
        <w:br/>
      </w:r>
      <w:r>
        <w:br/>
      </w:r>
      <w:r>
        <w:rPr>
          <w:rStyle w:val="CommentTok"/>
        </w:rPr>
        <w:t xml:space="preserve"># Per-document validation for the regulations domain.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regulations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requirement.schema.json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docs/regulations/machine-readable/specification-addendum.yaml</w:t>
      </w:r>
      <w:r>
        <w:br/>
      </w:r>
      <w:r>
        <w:br/>
      </w:r>
      <w:r>
        <w:rPr>
          <w:rStyle w:val="CommentTok"/>
        </w:rPr>
        <w:t xml:space="preserve"># Re-chunk + re-embed (needs OPENAI_API_KEY + QDRANT_URL).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docs/regulations/machine-readable/scripts/prepare_embedding_records.py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docs/regulations/machine-readable/scripts/upsert_qdrant.py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docs/regulations/machine-readable/rag_embedding_records.jsonl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--collection</w:t>
      </w:r>
      <w:r>
        <w:rPr>
          <w:rStyle w:val="NormalTok"/>
        </w:rPr>
        <w:t xml:space="preserve"> regulations_rag</w:t>
      </w:r>
      <w:r>
        <w:br/>
      </w:r>
      <w:r>
        <w:br/>
      </w:r>
      <w:r>
        <w:rPr>
          <w:rStyle w:val="CommentTok"/>
        </w:rPr>
        <w:t xml:space="preserve"># Rebuild this PDF (XeLaTeX).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docs/latex/specs/regulations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latexmk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-xelatex</w:t>
      </w:r>
      <w:r>
        <w:rPr>
          <w:rStyle w:val="NormalTok"/>
        </w:rPr>
        <w:t xml:space="preserve"> regulations-spec-apple.tex</w:t>
      </w:r>
    </w:p>
    <w:bookmarkEnd w:id="91"/>
    <w:bookmarkStart w:id="94" w:name="further-resources"/>
    <w:p>
      <w:pPr>
        <w:pStyle w:val="Heading2"/>
      </w:pPr>
      <w:r>
        <w:t xml:space="preserve">Further resources</w:t>
      </w:r>
    </w:p>
    <w:p>
      <w:pPr>
        <w:numPr>
          <w:ilvl w:val="0"/>
          <w:numId w:val="1011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What is AI Verify.</w:t>
      </w:r>
      <w:r>
        <w:t xml:space="preserve"> </w:t>
      </w:r>
      <w:hyperlink r:id="rId92">
        <w:r>
          <w:rPr>
            <w:rStyle w:val="Hyperlink"/>
          </w:rPr>
          <w:t xml:space="preserve">https://aiverifyfoundation.sg/what-is-ai-verify/</w:t>
        </w:r>
      </w:hyperlink>
    </w:p>
    <w:p>
      <w:pPr>
        <w:numPr>
          <w:ilvl w:val="0"/>
          <w:numId w:val="1011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Project Moonshot.</w:t>
      </w:r>
      <w:r>
        <w:t xml:space="preserve"> </w:t>
      </w:r>
      <w:hyperlink r:id="rId93">
        <w:r>
          <w:rPr>
            <w:rStyle w:val="Hyperlink"/>
          </w:rPr>
          <w:t xml:space="preserve">https://aiverifyfoundation.sg/project-moonshot/</w:t>
        </w:r>
      </w:hyperlink>
    </w:p>
    <w:p>
      <w:pPr>
        <w:numPr>
          <w:ilvl w:val="0"/>
          <w:numId w:val="1011"/>
        </w:numPr>
      </w:pPr>
      <w:r>
        <w:t xml:space="preserve">IMDA Singapore.</w:t>
      </w:r>
      <w:r>
        <w:t xml:space="preserve"> </w:t>
      </w:r>
      <w:r>
        <w:rPr>
          <w:i/>
          <w:iCs/>
        </w:rPr>
        <w:t xml:space="preserve">LLM Starter Kit for Safety Testing of</w:t>
      </w:r>
      <w:r>
        <w:rPr>
          <w:i/>
          <w:iCs/>
        </w:rPr>
        <w:t xml:space="preserve"> </w:t>
      </w:r>
      <w:r>
        <w:rPr>
          <w:i/>
          <w:iCs/>
        </w:rPr>
        <w:t xml:space="preserve">LLM-Based Applications.</w:t>
      </w:r>
    </w:p>
    <w:p>
      <w:pPr>
        <w:numPr>
          <w:ilvl w:val="0"/>
          <w:numId w:val="1011"/>
        </w:numPr>
      </w:pPr>
      <w:r>
        <w:t xml:space="preserve">2025 AI Agent Index.</w:t>
      </w:r>
      <w:r>
        <w:t xml:space="preserve"> </w:t>
      </w:r>
      <w:hyperlink r:id="rId53">
        <w:r>
          <w:rPr>
            <w:rStyle w:val="Hyperlink"/>
          </w:rPr>
          <w:t xml:space="preserve">https://aiagentindex.mit.edu/</w:t>
        </w:r>
      </w:hyperlink>
    </w:p>
    <w:p>
      <w:pPr>
        <w:numPr>
          <w:ilvl w:val="0"/>
          <w:numId w:val="1011"/>
        </w:numPr>
      </w:pPr>
      <w:r>
        <w:t xml:space="preserve">Ju, H. and Aral, S. (2026).</w:t>
      </w:r>
      <w:r>
        <w:t xml:space="preserve"> </w:t>
      </w:r>
      <w:r>
        <w:rPr>
          <w:i/>
          <w:iCs/>
        </w:rPr>
        <w:t xml:space="preserve">Collaborating with AI Agents:</w:t>
      </w:r>
      <w:r>
        <w:rPr>
          <w:i/>
          <w:iCs/>
        </w:rPr>
        <w:t xml:space="preserve"> </w:t>
      </w:r>
      <w:r>
        <w:rPr>
          <w:i/>
          <w:iCs/>
        </w:rPr>
        <w:t xml:space="preserve">A Field Experiment on Teamwork, Productivity, and Performance.</w:t>
      </w:r>
      <w:r>
        <w:t xml:space="preserve"> </w:t>
      </w:r>
      <w:r>
        <w:t xml:space="preserve">arXiv:2503.18238v3 [cs.CY].</w:t>
      </w:r>
    </w:p>
    <w:bookmarkEnd w:id="94"/>
    <w:bookmarkStart w:id="96" w:name="unified-schema-registry"/>
    <w:p>
      <w:pPr>
        <w:pStyle w:val="Heading2"/>
      </w:pPr>
      <w:r>
        <w:t xml:space="preserve">Unified Schema Registry</w:t>
      </w:r>
    </w:p>
    <w:p>
      <w:pPr>
        <w:pStyle w:val="FirstParagraph"/>
      </w:pPr>
      <w:r>
        <w:t xml:space="preserve">As of 18 April 2026, all JSON Schemas across the four domain specifications are</w:t>
      </w:r>
      <w:r>
        <w:t xml:space="preserve"> </w:t>
      </w:r>
      <w:r>
        <w:t xml:space="preserve">published in the unified registry at . Migration status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(see field</w:t>
      </w:r>
      <w:r>
        <w:t xml:space="preserve"> </w:t>
      </w:r>
      <w:r>
        <w:rPr>
          <w:rStyle w:val="VerbatimChar"/>
        </w:rPr>
        <w:t xml:space="preserve">migration.status</w:t>
      </w:r>
      <w:r>
        <w:t xml:space="preserve">). This consolidation addresses the cross-document</w:t>
      </w:r>
      <w:r>
        <w:t xml:space="preserve"> </w:t>
      </w:r>
      <w:r>
        <w:t xml:space="preserve">schema divergence identified in the specification review.</w:t>
      </w:r>
    </w:p>
    <w:p>
      <w:pPr>
        <w:pStyle w:val="DefinitionTerm"/>
      </w:pPr>
      <w:r>
        <w:t xml:space="preserve">Registry index.</w:t>
      </w:r>
    </w:p>
    <w:p>
      <w:pPr>
        <w:pStyle w:val="Definition"/>
      </w:pPr>
      <w:r>
        <w:t xml:space="preserve">— Master index of</w:t>
      </w:r>
      <w:r>
        <w:t xml:space="preserve"> </w:t>
      </w:r>
      <w:r>
        <w:t xml:space="preserve">all schemas across the Arabic AP, Trial Balance, Simula, and Regulations</w:t>
      </w:r>
      <w:r>
        <w:t xml:space="preserve"> </w:t>
      </w:r>
      <w:r>
        <w:t xml:space="preserve">domains.</w:t>
      </w:r>
    </w:p>
    <w:p>
      <w:pPr>
        <w:pStyle w:val="DefinitionTerm"/>
      </w:pPr>
      <w:r>
        <w:t xml:space="preserve">Common types.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Shared definitions (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) referenced via JSON Schema</w:t>
      </w:r>
      <w:r>
        <w:t xml:space="preserve"> </w:t>
      </w:r>
      <w:r>
        <w:rPr>
          <w:rStyle w:val="VerbatimChar"/>
        </w:rPr>
        <w:t xml:space="preserve">$ref</w:t>
      </w:r>
      <w:r>
        <w:t xml:space="preserve">.</w:t>
      </w:r>
    </w:p>
    <w:p>
      <w:pPr>
        <w:pStyle w:val="DefinitionTerm"/>
      </w:pPr>
      <w:r>
        <w:t xml:space="preserve">Consolidated enums.</w:t>
      </w:r>
    </w:p>
    <w:p>
      <w:pPr>
        <w:pStyle w:val="Definition"/>
      </w:pPr>
      <w:r>
        <w:t xml:space="preserve">— Single</w:t>
      </w:r>
      <w:r>
        <w:t xml:space="preserve"> </w:t>
      </w:r>
      <w:r>
        <w:t xml:space="preserve">source of truth for enumeration values including</w:t>
      </w:r>
      <w:r>
        <w:t xml:space="preserve"> </w:t>
      </w:r>
      <w:r>
        <w:rPr>
          <w:rStyle w:val="VerbatimChar"/>
        </w:rPr>
        <w:t xml:space="preserve">requirement_status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obligation_level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jurisdiction</w:t>
      </w:r>
      <w:r>
        <w:t xml:space="preserve">.</w:t>
      </w:r>
    </w:p>
    <w:p>
      <w:pPr>
        <w:pStyle w:val="DefinitionTerm"/>
      </w:pPr>
      <w:r>
        <w:t xml:space="preserve">Regulations schemas.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Domain-specific schemas:</w:t>
      </w:r>
      <w:r>
        <w:t xml:space="preserve"> </w:t>
      </w:r>
      <w:r>
        <w:rPr>
          <w:rStyle w:val="VerbatimChar"/>
        </w:rPr>
        <w:t xml:space="preserve">regulation.schema.json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conformance-tool.schema.json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corpus.schema.json</w:t>
      </w:r>
      <w:r>
        <w:t xml:space="preserve">. All marked</w:t>
      </w:r>
      <w:r>
        <w:t xml:space="preserve"> </w:t>
      </w:r>
      <w:r>
        <w:rPr>
          <w:rStyle w:val="VerbatimChar"/>
        </w:rPr>
        <w:t xml:space="preserve">status: stable</w:t>
      </w:r>
      <w:r>
        <w:t xml:space="preserve">.</w:t>
      </w:r>
    </w:p>
    <w:p>
      <w:pPr>
        <w:pStyle w:val="FirstParagraph"/>
      </w:pPr>
      <w:r>
        <w:t xml:space="preserve">The registry uses JSON Schema Draft-07 with the canonical</w:t>
      </w:r>
      <w:r>
        <w:t xml:space="preserve"> </w:t>
      </w:r>
      <w:r>
        <w:rPr>
          <w:rStyle w:val="VerbatimChar"/>
        </w:rPr>
        <w:t xml:space="preserve">$id</w:t>
      </w:r>
      <w:r>
        <w:t xml:space="preserve"> </w:t>
      </w:r>
      <w:r>
        <w:t xml:space="preserve">prefix</w:t>
      </w:r>
      <w:r>
        <w:t xml:space="preserve"> </w:t>
      </w:r>
      <w:hyperlink r:id="rId95">
        <w:r>
          <w:rPr>
            <w:rStyle w:val="Hyperlink"/>
          </w:rPr>
          <w:t xml:space="preserve">https://sap-oss.github.io/schema/</w:t>
        </w:r>
      </w:hyperlink>
      <w:r>
        <w:t xml:space="preserve">. Validation: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--registry-check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regulations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requirement.schema.json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requirement-REG-MGF-2-001.json</w:t>
      </w:r>
    </w:p>
    <w:p>
      <w:pPr>
        <w:pStyle w:val="FirstParagraph"/>
      </w:pPr>
      <w:r>
        <w:t xml:space="preserve">CI runs</w:t>
      </w:r>
      <w:r>
        <w:t xml:space="preserve"> </w:t>
      </w:r>
      <w:r>
        <w:rPr>
          <w:rStyle w:val="VerbatimChar"/>
        </w:rPr>
        <w:t xml:space="preserve">--registry-check</w:t>
      </w:r>
      <w:r>
        <w:t xml:space="preserve"> </w:t>
      </w:r>
      <w:r>
        <w:t xml:space="preserve">on every pull request touching</w:t>
      </w:r>
      <w:r>
        <w:t xml:space="preserve"> </w:t>
      </w:r>
      <w:r>
        <w:t xml:space="preserve">or any spec chapter that references these schemas.</w:t>
      </w:r>
    </w:p>
    <w:bookmarkEnd w:id="96"/>
    <w:bookmarkEnd w:id="97"/>
    <w:bookmarkStart w:id="127" w:name="ch:monitoring"/>
    <w:p>
      <w:pPr>
        <w:pStyle w:val="Heading1"/>
      </w:pPr>
      <w:r>
        <w:t xml:space="preserve">Capability Monitoring Specification</w:t>
      </w:r>
    </w:p>
    <w:p>
      <w:pPr>
        <w:pStyle w:val="FirstParagraph"/>
      </w:pPr>
      <w:r>
        <w:t xml:space="preserve">This chapter specifies the emergent capability monitoring system, addressing the</w:t>
      </w:r>
      <w:r>
        <w:t xml:space="preserve"> </w:t>
      </w:r>
      <w:r>
        <w:t xml:space="preserve">IMDA MGF requirement (Section 2.3.3) that</w:t>
      </w:r>
      <w:r>
        <w:t xml:space="preserve"> </w:t>
      </w:r>
      <w:r>
        <w:t xml:space="preserve">“monitoring for emergent capabilities</w:t>
      </w:r>
      <w:r>
        <w:t xml:space="preserve"> </w:t>
      </w:r>
      <w:r>
        <w:t xml:space="preserve">must be implemented with defined detection triggers.”</w:t>
      </w:r>
    </w:p>
    <w:bookmarkStart w:id="98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 systems may develop unexpected capabilities or behaviours through:</w:t>
      </w:r>
    </w:p>
    <w:p>
      <w:pPr>
        <w:numPr>
          <w:ilvl w:val="0"/>
          <w:numId w:val="1012"/>
        </w:numPr>
      </w:pPr>
      <w:r>
        <w:t xml:space="preserve">Model updates that alter response patterns</w:t>
      </w:r>
    </w:p>
    <w:p>
      <w:pPr>
        <w:numPr>
          <w:ilvl w:val="0"/>
          <w:numId w:val="1012"/>
        </w:numPr>
      </w:pPr>
      <w:r>
        <w:t xml:space="preserve">Prompt injection or adversarial inputs</w:t>
      </w:r>
    </w:p>
    <w:p>
      <w:pPr>
        <w:numPr>
          <w:ilvl w:val="0"/>
          <w:numId w:val="1012"/>
        </w:numPr>
      </w:pPr>
      <w:r>
        <w:t xml:space="preserve">Emergent behaviours from complex interactions</w:t>
      </w:r>
    </w:p>
    <w:p>
      <w:pPr>
        <w:numPr>
          <w:ilvl w:val="0"/>
          <w:numId w:val="1012"/>
        </w:numPr>
      </w:pPr>
      <w:r>
        <w:t xml:space="preserve">Drift in input data distributions</w:t>
      </w:r>
    </w:p>
    <w:p>
      <w:pPr>
        <w:pStyle w:val="FirstParagraph"/>
      </w:pPr>
      <w:r>
        <w:t xml:space="preserve">The monitoring system provides continuous observation and alerting to detect</w:t>
      </w:r>
      <w:r>
        <w:t xml:space="preserve"> </w:t>
      </w:r>
      <w:r>
        <w:t xml:space="preserve">such changes before they cause operational harm.</w:t>
      </w:r>
    </w:p>
    <w:bookmarkEnd w:id="98"/>
    <w:bookmarkStart w:id="100" w:name="architecture-1"/>
    <w:p>
      <w:pPr>
        <w:pStyle w:val="Heading2"/>
      </w:pPr>
      <w:r>
        <w:t xml:space="preserve">Architecture</w:t>
      </w:r>
    </w:p>
    <w:bookmarkStart w:id="99" w:name="fig:monitor-ar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Capability monitoring architecture.</w:t>
      </w:r>
    </w:p>
    <w:bookmarkEnd w:id="99"/>
    <w:bookmarkEnd w:id="100"/>
    <w:bookmarkStart w:id="104" w:name="metrics-collection"/>
    <w:p>
      <w:pPr>
        <w:pStyle w:val="Heading2"/>
      </w:pPr>
      <w:r>
        <w:t xml:space="preserve">Metrics collection</w:t>
      </w:r>
    </w:p>
    <w:bookmarkStart w:id="102" w:name="required-metrics"/>
    <w:p>
      <w:pPr>
        <w:pStyle w:val="Heading3"/>
      </w:pPr>
      <w:r>
        <w:t xml:space="preserve">Required metrics</w:t>
      </w:r>
    </w:p>
    <w:bookmarkStart w:id="101" w:name="tab:monitor-metrics"/>
    <w:p>
      <w:pPr>
        <w:pStyle w:val="TableCaption"/>
      </w:pPr>
      <w:r>
        <w:t xml:space="preserve">Capability monitoring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pability monitoring metric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output_token_count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of output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response_latency_ms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confidence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refusal_rate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of model refusals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tool_call_frequency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tool/function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output_format_violations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validation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hallucination_flags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hallucination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unexpected_topic_detections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Off-topic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novel_capability_indicators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novelty score</w:t>
            </w:r>
          </w:p>
        </w:tc>
      </w:tr>
    </w:tbl>
    <w:bookmarkEnd w:id="101"/>
    <w:bookmarkEnd w:id="102"/>
    <w:bookmarkStart w:id="103" w:name="collection-points"/>
    <w:p>
      <w:pPr>
        <w:pStyle w:val="Heading3"/>
      </w:pPr>
      <w:r>
        <w:t xml:space="preserve">Collection points</w:t>
      </w:r>
    </w:p>
    <w:p>
      <w:pPr>
        <w:pStyle w:val="FirstParagraph"/>
      </w:pPr>
      <w:r>
        <w:t xml:space="preserve">Metrics are collected at the following pipeline stages: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Pre-inference</w:t>
      </w:r>
      <w:r>
        <w:t xml:space="preserve">: Input characteristics (length, complexity, topic)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Post-inference</w:t>
      </w:r>
      <w:r>
        <w:t xml:space="preserve">: Output characteristics (length, confidence, format)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Post-validation</w:t>
      </w:r>
      <w:r>
        <w:t xml:space="preserve">: Validation results (schema, business rules)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Post-review</w:t>
      </w:r>
      <w:r>
        <w:t xml:space="preserve">: Human review outcomes (accept/edit/reject rates)</w:t>
      </w:r>
    </w:p>
    <w:bookmarkEnd w:id="103"/>
    <w:bookmarkEnd w:id="104"/>
    <w:bookmarkStart w:id="109" w:name="detection-triggers"/>
    <w:p>
      <w:pPr>
        <w:pStyle w:val="Heading2"/>
      </w:pPr>
      <w:r>
        <w:t xml:space="preserve">Detection triggers</w:t>
      </w:r>
    </w:p>
    <w:bookmarkStart w:id="106" w:name="statistical-anomaly-detection"/>
    <w:p>
      <w:pPr>
        <w:pStyle w:val="Heading3"/>
      </w:pPr>
      <w:r>
        <w:t xml:space="preserve">Statistical anomaly detection</w:t>
      </w:r>
    </w:p>
    <w:p>
      <w:pPr>
        <w:pStyle w:val="FirstParagraph"/>
      </w:pPr>
      <w:r>
        <w:t xml:space="preserve">For each metric, maintain a rolling baseline and alert when values deviate</w:t>
      </w:r>
      <w:r>
        <w:t xml:space="preserve"> </w:t>
      </w:r>
      <w:r>
        <w:t xml:space="preserve">significantly.</w:t>
      </w:r>
    </w:p>
    <w:bookmarkStart w:id="105" w:name="tab:anomaly-thresholds"/>
    <w:p>
      <w:pPr>
        <w:pStyle w:val="TableCaption"/>
      </w:pPr>
      <w:r>
        <w:t xml:space="preserve">Anomaly detection thresholds.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omaly detection threshold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length (mean)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2</m:t>
              </m:r>
              <m:r>
                <m:t>σ</m:t>
              </m:r>
            </m:oMath>
            <w:r>
              <w:t xml:space="preserve"> </w:t>
            </w: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(p95)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(mean)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violations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rolling</w:t>
            </w:r>
          </w:p>
        </w:tc>
      </w:tr>
    </w:tbl>
    <w:bookmarkEnd w:id="105"/>
    <w:bookmarkEnd w:id="106"/>
    <w:bookmarkStart w:id="107" w:name="behavioural-pattern-detection"/>
    <w:p>
      <w:pPr>
        <w:pStyle w:val="Heading3"/>
      </w:pPr>
      <w:r>
        <w:t xml:space="preserve">Behavioural pattern detection</w:t>
      </w:r>
    </w:p>
    <w:p>
      <w:pPr>
        <w:pStyle w:val="FirstParagraph"/>
      </w:pPr>
      <w:r>
        <w:t xml:space="preserve">Beyond statistical metrics, monitor for qualitative behavioural changes: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Topic drift</w:t>
      </w:r>
      <w:r>
        <w:t xml:space="preserve">: Cosine similarity of output embeddings to expected</w:t>
      </w:r>
      <w:r>
        <w:t xml:space="preserve"> </w:t>
      </w:r>
      <w:r>
        <w:t xml:space="preserve">topics falls below 0.7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Instruction leakage</w:t>
      </w:r>
      <w:r>
        <w:t xml:space="preserve">: Presence of system prompt fragments in output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Novel tool usage</w:t>
      </w:r>
      <w:r>
        <w:t xml:space="preserve">: Model attempts to call undeclared tools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Self-referential loops</w:t>
      </w:r>
      <w:r>
        <w:t xml:space="preserve">: Model references its own previous outputs</w:t>
      </w:r>
      <w:r>
        <w:t xml:space="preserve"> </w:t>
      </w:r>
      <w:r>
        <w:t xml:space="preserve">in unexpected ways</w:t>
      </w:r>
    </w:p>
    <w:bookmarkEnd w:id="107"/>
    <w:bookmarkStart w:id="108" w:name="trigger-definitions"/>
    <w:p>
      <w:pPr>
        <w:pStyle w:val="Heading3"/>
      </w:pPr>
      <w:r>
        <w:t xml:space="preserve">Trigger definitions</w:t>
      </w:r>
    </w:p>
    <w:p>
      <w:pPr>
        <w:pStyle w:val="SourceCode"/>
      </w:pPr>
      <w:r>
        <w:rPr>
          <w:rStyle w:val="NormalTok"/>
        </w:rPr>
        <w:t xml:space="preserve">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"output_length_anomaly"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"output_token_count"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"mean &gt; baseline_mean + 2 * baseline_std"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"latency_spike"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"response_latency_ms"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"p95 &gt; 1.5 * baseline_p95"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"high_refusal_rate"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"refusal_rate"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"rate &gt; 3 * baseline_rate"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"schema_violation_surge"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"output_format_violations"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"rate &gt; 0.05"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&gt;5% failure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"topic_drift"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"topic_similarity"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"mean &lt; 0.7"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"cooldown_minutes"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08"/>
    <w:bookmarkEnd w:id="109"/>
    <w:bookmarkStart w:id="118" w:name="alert-management"/>
    <w:p>
      <w:pPr>
        <w:pStyle w:val="Heading2"/>
      </w:pPr>
      <w:r>
        <w:t xml:space="preserve">Alert management</w:t>
      </w:r>
    </w:p>
    <w:bookmarkStart w:id="111" w:name="alert-severity-levels"/>
    <w:p>
      <w:pPr>
        <w:pStyle w:val="Heading3"/>
      </w:pPr>
      <w:r>
        <w:t xml:space="preserve">Alert severity levels</w:t>
      </w:r>
    </w:p>
    <w:bookmarkStart w:id="110" w:name="tab:alert-severity"/>
    <w:p>
      <w:pPr>
        <w:pStyle w:val="TableCaption"/>
      </w:pPr>
      <w:r>
        <w:t xml:space="preserve">Alert severity definitions.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ert severity definiti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on-call; consider circuit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during business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in weekly monitoring meeting</w:t>
            </w:r>
          </w:p>
        </w:tc>
      </w:tr>
    </w:tbl>
    <w:bookmarkEnd w:id="110"/>
    <w:bookmarkEnd w:id="111"/>
    <w:bookmarkStart w:id="112" w:name="alert-routing"/>
    <w:p>
      <w:pPr>
        <w:pStyle w:val="Heading3"/>
      </w:pPr>
      <w:r>
        <w:t xml:space="preserve">Alert routing</w:t>
      </w:r>
    </w:p>
    <w:p>
      <w:pPr>
        <w:pStyle w:val="SourceCode"/>
      </w:pPr>
      <w:r>
        <w:rPr>
          <w:rStyle w:val="VerbatimChar"/>
        </w:rPr>
        <w:t xml:space="preserve">routing:</w:t>
      </w:r>
      <w:r>
        <w:br/>
      </w:r>
      <w:r>
        <w:rPr>
          <w:rStyle w:val="VerbatimChar"/>
        </w:rPr>
        <w:t xml:space="preserve">  CRITICAL:</w:t>
      </w:r>
      <w:r>
        <w:br/>
      </w:r>
      <w:r>
        <w:rPr>
          <w:rStyle w:val="VerbatimChar"/>
        </w:rPr>
        <w:t xml:space="preserve">    channels:</w:t>
      </w:r>
      <w:r>
        <w:br/>
      </w:r>
      <w:r>
        <w:rPr>
          <w:rStyle w:val="VerbatimChar"/>
        </w:rPr>
        <w:t xml:space="preserve">      - pagerduty: "ai-ops-critical"</w:t>
      </w:r>
      <w:r>
        <w:br/>
      </w:r>
      <w:r>
        <w:rPr>
          <w:rStyle w:val="VerbatimChar"/>
        </w:rPr>
        <w:t xml:space="preserve">      - slack: "#ai-incidents"</w:t>
      </w:r>
      <w:r>
        <w:br/>
      </w:r>
      <w:r>
        <w:rPr>
          <w:rStyle w:val="VerbatimChar"/>
        </w:rPr>
        <w:t xml:space="preserve">      - email: "ai-ops@company.com"</w:t>
      </w:r>
      <w:r>
        <w:br/>
      </w:r>
      <w:r>
        <w:rPr>
          <w:rStyle w:val="VerbatimChar"/>
        </w:rPr>
        <w:t xml:space="preserve">    escalation_after_minutes: 15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WARNING:</w:t>
      </w:r>
      <w:r>
        <w:br/>
      </w:r>
      <w:r>
        <w:rPr>
          <w:rStyle w:val="VerbatimChar"/>
        </w:rPr>
        <w:t xml:space="preserve">    channels:</w:t>
      </w:r>
      <w:r>
        <w:br/>
      </w:r>
      <w:r>
        <w:rPr>
          <w:rStyle w:val="VerbatimChar"/>
        </w:rPr>
        <w:t xml:space="preserve">      - slack: "#ai-monitoring"</w:t>
      </w:r>
      <w:r>
        <w:br/>
      </w:r>
      <w:r>
        <w:rPr>
          <w:rStyle w:val="VerbatimChar"/>
        </w:rPr>
        <w:t xml:space="preserve">      - email: "ai-ops@company.com"</w:t>
      </w:r>
      <w:r>
        <w:br/>
      </w:r>
      <w:r>
        <w:rPr>
          <w:rStyle w:val="VerbatimChar"/>
        </w:rPr>
        <w:t xml:space="preserve">    escalation_after_minutes: 60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INFO:</w:t>
      </w:r>
      <w:r>
        <w:br/>
      </w:r>
      <w:r>
        <w:rPr>
          <w:rStyle w:val="VerbatimChar"/>
        </w:rPr>
        <w:t xml:space="preserve">    channels:</w:t>
      </w:r>
      <w:r>
        <w:br/>
      </w:r>
      <w:r>
        <w:rPr>
          <w:rStyle w:val="VerbatimChar"/>
        </w:rPr>
        <w:t xml:space="preserve">      - slack: "#ai-monitoring"</w:t>
      </w:r>
      <w:r>
        <w:br/>
      </w:r>
      <w:r>
        <w:rPr>
          <w:rStyle w:val="VerbatimChar"/>
        </w:rPr>
        <w:t xml:space="preserve">    escalation_after_minutes: null  # no escalation</w:t>
      </w:r>
    </w:p>
    <w:bookmarkEnd w:id="112"/>
    <w:bookmarkStart w:id="113" w:name="circuit-breaker-integration"/>
    <w:p>
      <w:pPr>
        <w:pStyle w:val="Heading3"/>
      </w:pPr>
      <w:r>
        <w:t xml:space="preserve">Circuit breaker integration</w:t>
      </w:r>
    </w:p>
    <w:p>
      <w:pPr>
        <w:pStyle w:val="FirstParagraph"/>
      </w:pPr>
      <w:r>
        <w:t xml:space="preserve">When CRITICAL alerts persist, the monitoring system can activate a circuit</w:t>
      </w:r>
      <w:r>
        <w:t xml:space="preserve"> </w:t>
      </w:r>
      <w:r>
        <w:t xml:space="preserve">breaker:</w:t>
      </w:r>
    </w:p>
    <w:p>
      <w:pPr>
        <w:numPr>
          <w:ilvl w:val="0"/>
          <w:numId w:val="1015"/>
        </w:numPr>
      </w:pPr>
      <w:r>
        <w:t xml:space="preserve">After 3 consecutive CRITICAL alerts within 15 minutes</w:t>
      </w:r>
    </w:p>
    <w:p>
      <w:pPr>
        <w:numPr>
          <w:ilvl w:val="0"/>
          <w:numId w:val="1015"/>
        </w:numPr>
      </w:pPr>
      <w:r>
        <w:t xml:space="preserve">Circuit breaker opens: all AI requests routed to manual queue</w:t>
      </w:r>
    </w:p>
    <w:p>
      <w:pPr>
        <w:numPr>
          <w:ilvl w:val="0"/>
          <w:numId w:val="1015"/>
        </w:numPr>
      </w:pPr>
      <w:r>
        <w:t xml:space="preserve">Alert sent to AI governance team</w:t>
      </w:r>
    </w:p>
    <w:p>
      <w:pPr>
        <w:numPr>
          <w:ilvl w:val="0"/>
          <w:numId w:val="1015"/>
        </w:numPr>
      </w:pPr>
      <w:r>
        <w:t xml:space="preserve">Manual intervention required to close circuit breaker</w:t>
      </w:r>
    </w:p>
    <w:bookmarkEnd w:id="113"/>
    <w:bookmarkStart w:id="117" w:name="sec:degradation-ladder"/>
    <w:p>
      <w:pPr>
        <w:pStyle w:val="Heading3"/>
      </w:pPr>
      <w:r>
        <w:t xml:space="preserve">Graceful degradation ladder</w:t>
      </w:r>
    </w:p>
    <w:p>
      <w:pPr>
        <w:pStyle w:val="FirstParagraph"/>
      </w:pPr>
      <w:r>
        <w:t xml:space="preserve">A hard circuit-break (manual queue only) is the last resort. Before</w:t>
      </w:r>
      <w:r>
        <w:t xml:space="preserve"> </w:t>
      </w:r>
      <w:r>
        <w:t xml:space="preserve">that point, the monitoring system walks a four-rung degradation</w:t>
      </w:r>
      <w:r>
        <w:t xml:space="preserve"> </w:t>
      </w:r>
      <w:r>
        <w:t xml:space="preserve">ladder, chosen so that each rung trades off quality for availability</w:t>
      </w:r>
      <w:r>
        <w:t xml:space="preserve"> </w:t>
      </w:r>
      <w:r>
        <w:t xml:space="preserve">in a</w:t>
      </w:r>
      <w:r>
        <w:t xml:space="preserve"> </w:t>
      </w:r>
      <w:r>
        <w:rPr>
          <w:i/>
          <w:iCs/>
        </w:rPr>
        <w:t xml:space="preserve">controlled and observable</w:t>
      </w:r>
      <w:r>
        <w:t xml:space="preserve"> </w:t>
      </w:r>
      <w:r>
        <w:t xml:space="preserve">way.</w:t>
      </w:r>
      <w:r>
        <w:t xml:space="preserve"> </w:t>
      </w:r>
      <w:r>
        <w:t xml:space="preserve">Table </w:t>
      </w:r>
      <w:hyperlink w:anchor="tab:degradation-ladder">
        <w:r>
          <w:rPr>
            <w:rStyle w:val="Hyperlink"/>
          </w:rPr>
          <w:t xml:space="preserve">9.4</w:t>
        </w:r>
      </w:hyperlink>
      <w:r>
        <w:t xml:space="preserve"> </w:t>
      </w:r>
      <w:r>
        <w:t xml:space="preserve">specifies the ladder per</w:t>
      </w:r>
      <w:r>
        <w:t xml:space="preserve"> </w:t>
      </w:r>
      <w:r>
        <w:t xml:space="preserve">pipeline; rung escalation is automatic, rung de-escalation requires</w:t>
      </w:r>
      <w:r>
        <w:t xml:space="preserve"> </w:t>
      </w:r>
      <w:r>
        <w:t xml:space="preserve">a human ack.</w:t>
      </w:r>
    </w:p>
    <w:bookmarkStart w:id="114" w:name="tab:degradation-ladder"/>
    <w:p>
      <w:pPr>
        <w:pStyle w:val="TableCaption"/>
      </w:pPr>
      <w:r>
        <w:t xml:space="preserve">Graceful degradation ladder (from normal operation down</w:t>
      </w:r>
      <w:r>
        <w:t xml:space="preserve"> </w:t>
      </w:r>
      <w:r>
        <w:t xml:space="preserve">to circuit break). Transitions are logged as governance events.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aceful degradation ladder (from normal operation down to circuit break). Transitions are logged as governance even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SLO, error rate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 on primary GPU (e.g. Qwen2.5-32B on A100).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SLO for 5 min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 request concurrency; queue depth bounded; user-visible latency warning.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 unavailable or OOM for 2 min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failover to smaller model (TB: 32B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14B; Arabic AP: 14B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7B; Simula: 32B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14B for non-user-facing batches). Output tagged</w:t>
            </w:r>
            <w:r>
              <w:t xml:space="preserve"> </w:t>
            </w:r>
            <w:r>
              <w:rPr>
                <w:rStyle w:val="VerbatimChar"/>
              </w:rPr>
              <w:t xml:space="preserve">model_tier=fallback</w:t>
            </w:r>
            <w:r>
              <w:t xml:space="preserve"> </w:t>
            </w:r>
            <w:r>
              <w:t xml:space="preserve">for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/ 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model also unhealthy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cached response if cache hit within TTL; else return heuristic output (TB: statistical threshold only; Arabic AP: OCR-only, no translation; Simula: block generation).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Rung 3 still failing for 5 min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calls routed to manual queue; page on-call; governance ticket.</w:t>
            </w:r>
          </w:p>
        </w:tc>
      </w:tr>
    </w:tbl>
    <w:bookmarkEnd w:id="114"/>
    <w:bookmarkStart w:id="115" w:name="tagging-and-auditability."/>
    <w:p>
      <w:pPr>
        <w:pStyle w:val="Heading5"/>
      </w:pPr>
      <w:r>
        <w:t xml:space="preserve">Tagging and auditability.</w:t>
      </w:r>
    </w:p>
    <w:p>
      <w:pPr>
        <w:pStyle w:val="FirstParagraph"/>
      </w:pPr>
      <w:r>
        <w:t xml:space="preserve">Every response served from rung 1–3 carries a</w:t>
      </w:r>
      <w:r>
        <w:t xml:space="preserve"> </w:t>
      </w:r>
      <w:r>
        <w:rPr>
          <w:rStyle w:val="VerbatimChar"/>
        </w:rPr>
        <w:t xml:space="preserve">model_tier</w:t>
      </w:r>
      <w:r>
        <w:t xml:space="preserve"> </w:t>
      </w:r>
      <w:r>
        <w:t xml:space="preserve">attribute in its envelope and an audit event referencing the rung</w:t>
      </w:r>
      <w:r>
        <w:t xml:space="preserve"> </w:t>
      </w:r>
      <w:r>
        <w:t xml:space="preserve">and the ladder-transition decision. Downstream consumers (review</w:t>
      </w:r>
      <w:r>
        <w:t xml:space="preserve"> </w:t>
      </w:r>
      <w:r>
        <w:t xml:space="preserve">dashboard, AP workflow) render a visible</w:t>
      </w:r>
      <w:r>
        <w:t xml:space="preserve"> </w:t>
      </w:r>
      <w:r>
        <w:t xml:space="preserve">“fallback”</w:t>
      </w:r>
      <w:r>
        <w:t xml:space="preserve"> </w:t>
      </w:r>
      <w:r>
        <w:t xml:space="preserve">badge so</w:t>
      </w:r>
      <w:r>
        <w:t xml:space="preserve"> </w:t>
      </w:r>
      <w:r>
        <w:t xml:space="preserve">reviewers know the response did not come from the primary model.</w:t>
      </w:r>
      <w:r>
        <w:t xml:space="preserve"> </w:t>
      </w:r>
      <w:r>
        <w:t xml:space="preserve">This preserves the IMDA MGF 2.1.2-002 attribution guarantee across</w:t>
      </w:r>
      <w:r>
        <w:t xml:space="preserve"> </w:t>
      </w:r>
      <w:r>
        <w:t xml:space="preserve">all rungs: attribution is to the</w:t>
      </w:r>
      <w:r>
        <w:t xml:space="preserve"> </w:t>
      </w:r>
      <w:r>
        <w:rPr>
          <w:i/>
          <w:iCs/>
        </w:rPr>
        <w:t xml:space="preserve">model actually used</w:t>
      </w:r>
      <w:r>
        <w:t xml:space="preserve">, not</w:t>
      </w:r>
      <w:r>
        <w:t xml:space="preserve"> </w:t>
      </w:r>
      <w:r>
        <w:t xml:space="preserve">to the model the request was routed to.</w:t>
      </w:r>
    </w:p>
    <w:bookmarkEnd w:id="115"/>
    <w:bookmarkStart w:id="116" w:name="rung-selection-rationale."/>
    <w:p>
      <w:pPr>
        <w:pStyle w:val="Heading5"/>
      </w:pPr>
      <w:r>
        <w:t xml:space="preserve">Rung selection rationale.</w:t>
      </w:r>
    </w:p>
    <w:p>
      <w:pPr>
        <w:pStyle w:val="FirstParagraph"/>
      </w:pPr>
      <w:r>
        <w:t xml:space="preserve">Rung 1 (concurrency cut) is cheap and preserves quality; it buys</w:t>
      </w:r>
      <w:r>
        <w:t xml:space="preserve"> </w:t>
      </w:r>
      <w:r>
        <w:t xml:space="preserve">time for transient load spikes. Rung 2 (smaller model) is the</w:t>
      </w:r>
      <w:r>
        <w:t xml:space="preserve"> </w:t>
      </w:r>
      <w:r>
        <w:t xml:space="preserve">primary availability lever because model-host failures are the</w:t>
      </w:r>
      <w:r>
        <w:t xml:space="preserve"> </w:t>
      </w:r>
      <w:r>
        <w:t xml:space="preserve">most common outage mode. Rung 3 (cached/heuristic) is the last</w:t>
      </w:r>
      <w:r>
        <w:t xml:space="preserve"> </w:t>
      </w:r>
      <w:r>
        <w:t xml:space="preserve">value-preserving rung. Rung 4 is reserved for the case where the</w:t>
      </w:r>
      <w:r>
        <w:t xml:space="preserve"> </w:t>
      </w:r>
      <w:r>
        <w:t xml:space="preserve">AI subsystem cannot be trusted at all; it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automatic to close — human judgement is required to</w:t>
      </w:r>
      <w:r>
        <w:t xml:space="preserve"> </w:t>
      </w:r>
      <w:r>
        <w:t xml:space="preserve">confirm the root cause is resolved. Rung transitions upward are</w:t>
      </w:r>
      <w:r>
        <w:t xml:space="preserve"> </w:t>
      </w:r>
      <w:r>
        <w:t xml:space="preserve">automatic; transitions downward (closer to normal) require either</w:t>
      </w:r>
      <w:r>
        <w:t xml:space="preserve"> </w:t>
      </w:r>
      <w:r>
        <w:t xml:space="preserve">a human acknowledgement or a clean 15-minute signal window.</w:t>
      </w:r>
    </w:p>
    <w:bookmarkEnd w:id="116"/>
    <w:bookmarkEnd w:id="117"/>
    <w:bookmarkEnd w:id="118"/>
    <w:bookmarkStart w:id="121" w:name="dashboard-specification"/>
    <w:p>
      <w:pPr>
        <w:pStyle w:val="Heading2"/>
      </w:pPr>
      <w:r>
        <w:t xml:space="preserve">Dashboard specification</w:t>
      </w:r>
    </w:p>
    <w:bookmarkStart w:id="119" w:name="real-time-view"/>
    <w:p>
      <w:pPr>
        <w:pStyle w:val="Heading3"/>
      </w:pPr>
      <w:r>
        <w:t xml:space="preserve">Real-time view</w:t>
      </w:r>
    </w:p>
    <w:p>
      <w:pPr>
        <w:pStyle w:val="FirstParagraph"/>
      </w:pPr>
      <w:r>
        <w:t xml:space="preserve">The monitoring dashboard provides:</w:t>
      </w:r>
    </w:p>
    <w:p>
      <w:pPr>
        <w:numPr>
          <w:ilvl w:val="0"/>
          <w:numId w:val="1016"/>
        </w:numPr>
      </w:pPr>
      <w:r>
        <w:t xml:space="preserve">Live metric charts (1-minute granularity)</w:t>
      </w:r>
    </w:p>
    <w:p>
      <w:pPr>
        <w:numPr>
          <w:ilvl w:val="0"/>
          <w:numId w:val="1016"/>
        </w:numPr>
      </w:pPr>
      <w:r>
        <w:t xml:space="preserve">Active alert panel with acknowledge/resolve actions</w:t>
      </w:r>
    </w:p>
    <w:p>
      <w:pPr>
        <w:numPr>
          <w:ilvl w:val="0"/>
          <w:numId w:val="1016"/>
        </w:numPr>
      </w:pPr>
      <w:r>
        <w:t xml:space="preserve">System health summary (green/yellow/red)</w:t>
      </w:r>
    </w:p>
    <w:p>
      <w:pPr>
        <w:numPr>
          <w:ilvl w:val="0"/>
          <w:numId w:val="1016"/>
        </w:numPr>
      </w:pPr>
      <w:r>
        <w:t xml:space="preserve">Recent trigger history</w:t>
      </w:r>
    </w:p>
    <w:bookmarkEnd w:id="119"/>
    <w:bookmarkStart w:id="120" w:name="historical-analysis"/>
    <w:p>
      <w:pPr>
        <w:pStyle w:val="Heading3"/>
      </w:pPr>
      <w:r>
        <w:t xml:space="preserve">Historical analysis</w:t>
      </w:r>
    </w:p>
    <w:p>
      <w:pPr>
        <w:pStyle w:val="FirstParagraph"/>
      </w:pPr>
      <w:r>
        <w:t xml:space="preserve">For trend analysis and post-incident review:</w:t>
      </w:r>
    </w:p>
    <w:p>
      <w:pPr>
        <w:numPr>
          <w:ilvl w:val="0"/>
          <w:numId w:val="1017"/>
        </w:numPr>
      </w:pPr>
      <w:r>
        <w:t xml:space="preserve">Metric time series with configurable ranges</w:t>
      </w:r>
    </w:p>
    <w:p>
      <w:pPr>
        <w:numPr>
          <w:ilvl w:val="0"/>
          <w:numId w:val="1017"/>
        </w:numPr>
      </w:pPr>
      <w:r>
        <w:t xml:space="preserve">Alert history with resolution notes</w:t>
      </w:r>
    </w:p>
    <w:p>
      <w:pPr>
        <w:numPr>
          <w:ilvl w:val="0"/>
          <w:numId w:val="1017"/>
        </w:numPr>
      </w:pPr>
      <w:r>
        <w:t xml:space="preserve">Correlation views (multiple metrics overlaid)</w:t>
      </w:r>
    </w:p>
    <w:p>
      <w:pPr>
        <w:numPr>
          <w:ilvl w:val="0"/>
          <w:numId w:val="1017"/>
        </w:numPr>
      </w:pPr>
      <w:r>
        <w:t xml:space="preserve">Baseline comparison charts</w:t>
      </w:r>
    </w:p>
    <w:bookmarkEnd w:id="120"/>
    <w:bookmarkEnd w:id="121"/>
    <w:bookmarkStart w:id="125" w:name="audit-and-compliance"/>
    <w:p>
      <w:pPr>
        <w:pStyle w:val="Heading2"/>
      </w:pPr>
      <w:r>
        <w:t xml:space="preserve">Audit and compliance</w:t>
      </w:r>
    </w:p>
    <w:bookmarkStart w:id="123" w:name="retention-requirements"/>
    <w:p>
      <w:pPr>
        <w:pStyle w:val="Heading3"/>
      </w:pPr>
      <w:r>
        <w:t xml:space="preserve">Retention requirements</w:t>
      </w:r>
    </w:p>
    <w:bookmarkStart w:id="122" w:name="tab:monitor-retention"/>
    <w:p>
      <w:pPr>
        <w:pStyle w:val="TableCaption"/>
      </w:pPr>
      <w:r>
        <w:t xml:space="preserve">Monitoring data retention.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nitoring data reten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metrics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Aggregated metrics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reports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management</w:t>
            </w:r>
          </w:p>
        </w:tc>
      </w:tr>
    </w:tbl>
    <w:bookmarkEnd w:id="122"/>
    <w:bookmarkEnd w:id="123"/>
    <w:bookmarkStart w:id="124" w:name="regulatory-reporting"/>
    <w:p>
      <w:pPr>
        <w:pStyle w:val="Heading3"/>
      </w:pPr>
      <w:r>
        <w:t xml:space="preserve">Regulatory reporting</w:t>
      </w:r>
    </w:p>
    <w:p>
      <w:pPr>
        <w:pStyle w:val="FirstParagraph"/>
      </w:pPr>
      <w:r>
        <w:t xml:space="preserve">For IMDA MGF compliance, generate quarterly reports containing:</w:t>
      </w:r>
    </w:p>
    <w:p>
      <w:pPr>
        <w:numPr>
          <w:ilvl w:val="0"/>
          <w:numId w:val="1018"/>
        </w:numPr>
      </w:pPr>
      <w:r>
        <w:t xml:space="preserve">Summary of monitoring coverage (metrics, triggers, alerts)</w:t>
      </w:r>
    </w:p>
    <w:p>
      <w:pPr>
        <w:numPr>
          <w:ilvl w:val="0"/>
          <w:numId w:val="1018"/>
        </w:numPr>
      </w:pPr>
      <w:r>
        <w:t xml:space="preserve">List of all CRITICAL alerts and resolutions</w:t>
      </w:r>
    </w:p>
    <w:p>
      <w:pPr>
        <w:numPr>
          <w:ilvl w:val="0"/>
          <w:numId w:val="1018"/>
        </w:numPr>
      </w:pPr>
      <w:r>
        <w:t xml:space="preserve">Trend analysis of key capability metrics</w:t>
      </w:r>
    </w:p>
    <w:p>
      <w:pPr>
        <w:numPr>
          <w:ilvl w:val="0"/>
          <w:numId w:val="1018"/>
        </w:numPr>
      </w:pPr>
      <w:r>
        <w:t xml:space="preserve">Any identified emergent behaviours and mitigations</w:t>
      </w:r>
    </w:p>
    <w:p>
      <w:pPr>
        <w:numPr>
          <w:ilvl w:val="0"/>
          <w:numId w:val="1018"/>
        </w:numPr>
      </w:pPr>
      <w:r>
        <w:t xml:space="preserve">Circuit breaker activations and durations</w:t>
      </w:r>
    </w:p>
    <w:bookmarkEnd w:id="124"/>
    <w:bookmarkEnd w:id="125"/>
    <w:bookmarkStart w:id="126" w:name="implementation-checklist"/>
    <w:p>
      <w:pPr>
        <w:pStyle w:val="Heading2"/>
      </w:pPr>
      <w:r>
        <w:t xml:space="preserve">Implementation checklist</w:t>
      </w:r>
    </w:p>
    <w:p>
      <w:pPr>
        <w:numPr>
          <w:ilvl w:val="0"/>
          <w:numId w:val="1019"/>
        </w:numPr>
      </w:pPr>
      <w:r>
        <w:t xml:space="preserve">Metrics collector integrated with all AI pipelines</w:t>
      </w:r>
    </w:p>
    <w:p>
      <w:pPr>
        <w:numPr>
          <w:ilvl w:val="0"/>
          <w:numId w:val="1019"/>
        </w:numPr>
      </w:pPr>
      <w:r>
        <w:t xml:space="preserve">All metrics in Table </w:t>
      </w:r>
      <w:hyperlink w:anchor="tab:monitor-metrics">
        <w:r>
          <w:rPr>
            <w:rStyle w:val="Hyperlink"/>
          </w:rPr>
          <w:t xml:space="preserve">9.1</w:t>
        </w:r>
      </w:hyperlink>
      <w:r>
        <w:t xml:space="preserve"> </w:t>
      </w:r>
      <w:r>
        <w:t xml:space="preserve">collected</w:t>
      </w:r>
    </w:p>
    <w:p>
      <w:pPr>
        <w:numPr>
          <w:ilvl w:val="0"/>
          <w:numId w:val="1019"/>
        </w:numPr>
      </w:pPr>
      <w:r>
        <w:t xml:space="preserve">Anomaly detection for all triggers in Table </w:t>
      </w:r>
      <w:hyperlink w:anchor="tab:anomaly-thresholds">
        <w:r>
          <w:rPr>
            <w:rStyle w:val="Hyperlink"/>
          </w:rPr>
          <w:t xml:space="preserve">9.2</w:t>
        </w:r>
      </w:hyperlink>
    </w:p>
    <w:p>
      <w:pPr>
        <w:numPr>
          <w:ilvl w:val="0"/>
          <w:numId w:val="1019"/>
        </w:numPr>
      </w:pPr>
      <w:r>
        <w:t xml:space="preserve">Alert routing configured for all severity levels</w:t>
      </w:r>
    </w:p>
    <w:p>
      <w:pPr>
        <w:numPr>
          <w:ilvl w:val="0"/>
          <w:numId w:val="1019"/>
        </w:numPr>
      </w:pPr>
      <w:r>
        <w:t xml:space="preserve">Circuit breaker integration tested</w:t>
      </w:r>
    </w:p>
    <w:p>
      <w:pPr>
        <w:numPr>
          <w:ilvl w:val="0"/>
          <w:numId w:val="1019"/>
        </w:numPr>
      </w:pPr>
      <w:r>
        <w:t xml:space="preserve">Dashboard with real-time and historical views</w:t>
      </w:r>
    </w:p>
    <w:p>
      <w:pPr>
        <w:numPr>
          <w:ilvl w:val="0"/>
          <w:numId w:val="1019"/>
        </w:numPr>
      </w:pPr>
      <w:r>
        <w:t xml:space="preserve">Retention policies implemented per Table </w:t>
      </w:r>
      <w:hyperlink w:anchor="tab:monitor-retention">
        <w:r>
          <w:rPr>
            <w:rStyle w:val="Hyperlink"/>
          </w:rPr>
          <w:t xml:space="preserve">9.5</w:t>
        </w:r>
      </w:hyperlink>
    </w:p>
    <w:p>
      <w:pPr>
        <w:numPr>
          <w:ilvl w:val="0"/>
          <w:numId w:val="1019"/>
        </w:numPr>
      </w:pPr>
      <w:r>
        <w:t xml:space="preserve">Quarterly report template created</w:t>
      </w:r>
    </w:p>
    <w:p>
      <w:pPr>
        <w:numPr>
          <w:ilvl w:val="0"/>
          <w:numId w:val="1019"/>
        </w:numPr>
      </w:pPr>
      <w:r>
        <w:t xml:space="preserve">Runbook for each alert type documented</w:t>
      </w:r>
    </w:p>
    <w:p>
      <w:pPr>
        <w:numPr>
          <w:ilvl w:val="0"/>
          <w:numId w:val="1019"/>
        </w:numPr>
      </w:pPr>
      <w:r>
        <w:t xml:space="preserve">Integration tests with simulated anomalies</w:t>
      </w:r>
    </w:p>
    <w:bookmarkEnd w:id="126"/>
    <w:bookmarkEnd w:id="127"/>
    <w:bookmarkStart w:id="149" w:name="ch:testing"/>
    <w:p>
      <w:pPr>
        <w:pStyle w:val="Heading1"/>
      </w:pPr>
      <w:r>
        <w:t xml:space="preserve">Testing Specification</w:t>
      </w:r>
    </w:p>
    <w:p>
      <w:pPr>
        <w:pStyle w:val="FirstParagraph"/>
      </w:pPr>
      <w:r>
        <w:t xml:space="preserve">This chapter specifies the testing requirements for the Regulations compliance</w:t>
      </w:r>
      <w:r>
        <w:t xml:space="preserve"> </w:t>
      </w:r>
      <w:r>
        <w:t xml:space="preserve">corpus, including validation tests, coverage verification, and CI/CD integration.</w:t>
      </w:r>
    </w:p>
    <w:bookmarkStart w:id="129" w:name="test-coverage-requirements"/>
    <w:p>
      <w:pPr>
        <w:pStyle w:val="Heading2"/>
      </w:pPr>
      <w:r>
        <w:t xml:space="preserve">Test coverage requirements</w:t>
      </w:r>
    </w:p>
    <w:bookmarkStart w:id="128" w:name="tab:reg-coverage"/>
    <w:p>
      <w:pPr>
        <w:pStyle w:val="TableCaption"/>
      </w:pPr>
      <w:r>
        <w:t xml:space="preserve">Regulations test coverage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test coverage targe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Line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Branch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validator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parser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calculator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tracker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Conformance checker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 minimum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 CI</w:t>
            </w:r>
          </w:p>
        </w:tc>
      </w:tr>
    </w:tbl>
    <w:bookmarkEnd w:id="128"/>
    <w:bookmarkEnd w:id="129"/>
    <w:bookmarkStart w:id="132" w:name="test-fixtures"/>
    <w:p>
      <w:pPr>
        <w:pStyle w:val="Heading2"/>
      </w:pPr>
      <w:r>
        <w:t xml:space="preserve">Test fixtures</w:t>
      </w:r>
    </w:p>
    <w:p>
      <w:pPr>
        <w:pStyle w:val="FirstParagraph"/>
      </w:pPr>
      <w:r>
        <w:t xml:space="preserve">Fixtures are located in</w:t>
      </w:r>
      <w:r>
        <w:t xml:space="preserve"> </w:t>
      </w:r>
      <w:r>
        <w:rPr>
          <w:rStyle w:val="VerbatimChar"/>
        </w:rPr>
        <w:t xml:space="preserve">tests/fixtures/regulations/</w:t>
      </w:r>
      <w:r>
        <w:t xml:space="preserve">.</w:t>
      </w:r>
    </w:p>
    <w:bookmarkStart w:id="130" w:name="regulation-fixtures"/>
    <w:p>
      <w:pPr>
        <w:pStyle w:val="Heading3"/>
      </w:pPr>
      <w:r>
        <w:t xml:space="preserve">Regulation fixtures</w:t>
      </w:r>
    </w:p>
    <w:p>
      <w:pPr>
        <w:numPr>
          <w:ilvl w:val="0"/>
          <w:numId w:val="1020"/>
        </w:numPr>
      </w:pPr>
      <w:r>
        <w:t xml:space="preserve">Complete IMDA MGF corpus (20 requirements)</w:t>
      </w:r>
    </w:p>
    <w:p>
      <w:pPr>
        <w:numPr>
          <w:ilvl w:val="0"/>
          <w:numId w:val="1020"/>
        </w:numPr>
      </w:pPr>
      <w:r>
        <w:t xml:space="preserve">Ju &amp; Aral paper requirements (5 requirements)</w:t>
      </w:r>
    </w:p>
    <w:p>
      <w:pPr>
        <w:numPr>
          <w:ilvl w:val="0"/>
          <w:numId w:val="1020"/>
        </w:numPr>
      </w:pPr>
      <w:r>
        <w:t xml:space="preserve">AI Verify requirements (10 requirements)</w:t>
      </w:r>
    </w:p>
    <w:p>
      <w:pPr>
        <w:numPr>
          <w:ilvl w:val="0"/>
          <w:numId w:val="1020"/>
        </w:numPr>
      </w:pPr>
      <w:r>
        <w:t xml:space="preserve">Edge case: Empty corpus</w:t>
      </w:r>
    </w:p>
    <w:p>
      <w:pPr>
        <w:numPr>
          <w:ilvl w:val="0"/>
          <w:numId w:val="1020"/>
        </w:numPr>
      </w:pPr>
      <w:r>
        <w:t xml:space="preserve">Edge case: Malformed requirement</w:t>
      </w:r>
    </w:p>
    <w:bookmarkEnd w:id="130"/>
    <w:bookmarkStart w:id="131" w:name="conformance-tool-fixtures"/>
    <w:p>
      <w:pPr>
        <w:pStyle w:val="Heading3"/>
      </w:pPr>
      <w:r>
        <w:t xml:space="preserve">Conformance tool fixtures</w:t>
      </w:r>
    </w:p>
    <w:p>
      <w:pPr>
        <w:numPr>
          <w:ilvl w:val="0"/>
          <w:numId w:val="1021"/>
        </w:numPr>
      </w:pPr>
      <w:r>
        <w:t xml:space="preserve">Mock AIVerify plugin responses</w:t>
      </w:r>
    </w:p>
    <w:p>
      <w:pPr>
        <w:numPr>
          <w:ilvl w:val="0"/>
          <w:numId w:val="1021"/>
        </w:numPr>
      </w:pPr>
      <w:r>
        <w:t xml:space="preserve">Mock Moonshot test results</w:t>
      </w:r>
    </w:p>
    <w:p>
      <w:pPr>
        <w:numPr>
          <w:ilvl w:val="0"/>
          <w:numId w:val="1021"/>
        </w:numPr>
      </w:pPr>
      <w:r>
        <w:t xml:space="preserve">Invalid tool output for error handling</w:t>
      </w:r>
    </w:p>
    <w:bookmarkEnd w:id="131"/>
    <w:bookmarkEnd w:id="132"/>
    <w:bookmarkStart w:id="138" w:name="unit-test-cases"/>
    <w:p>
      <w:pPr>
        <w:pStyle w:val="Heading2"/>
      </w:pPr>
      <w:r>
        <w:t xml:space="preserve">Unit test cases</w:t>
      </w:r>
    </w:p>
    <w:bookmarkStart w:id="133" w:name="requirement-parsing"/>
    <w:p>
      <w:pPr>
        <w:pStyle w:val="Heading3"/>
      </w:pPr>
      <w:r>
        <w:t xml:space="preserve">Requirement parsing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requirement from IMDA MGF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requirement from academic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obligation level (must/should/may)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missing optional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against requirement schema</w:t>
            </w:r>
          </w:p>
        </w:tc>
      </w:tr>
    </w:tbl>
    <w:bookmarkEnd w:id="133"/>
    <w:bookmarkStart w:id="134" w:name="status-tracking"/>
    <w:p>
      <w:pPr>
        <w:pStyle w:val="Heading3"/>
      </w:pPr>
      <w:r>
        <w:t xml:space="preserve">Status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implemented status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partial status with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gap status with remediation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downgraded status (asterisk marker)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REG-STS-005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status summary report</w:t>
            </w:r>
          </w:p>
        </w:tc>
      </w:tr>
    </w:tbl>
    <w:bookmarkEnd w:id="134"/>
    <w:bookmarkStart w:id="135" w:name="coverage-calculation"/>
    <w:p>
      <w:pPr>
        <w:pStyle w:val="Heading3"/>
      </w:pPr>
      <w:r>
        <w:t xml:space="preserve">Coverage calculation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coverage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coverage heat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uncovered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not-applicable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partial coverage (0.5 weight)</w:t>
            </w:r>
          </w:p>
        </w:tc>
      </w:tr>
    </w:tbl>
    <w:bookmarkEnd w:id="135"/>
    <w:bookmarkStart w:id="136" w:name="implementation-pointer-validation"/>
    <w:p>
      <w:pPr>
        <w:pStyle w:val="Heading3"/>
      </w:pPr>
      <w:r>
        <w:t xml:space="preserve">Implementation pointer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code file references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spec section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circular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REG-PTR-004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concrete vs abstract pointers</w:t>
            </w:r>
          </w:p>
        </w:tc>
      </w:tr>
    </w:tbl>
    <w:bookmarkEnd w:id="136"/>
    <w:bookmarkStart w:id="137" w:name="conformance-tool-integration"/>
    <w:p>
      <w:pPr>
        <w:pStyle w:val="Heading3"/>
      </w:pPr>
      <w:r>
        <w:t xml:space="preserve">Conformance tool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AIVerify plugin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Moonshot benchmark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tool execution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REG-TOOL-004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results across tools</w:t>
            </w:r>
          </w:p>
        </w:tc>
      </w:tr>
    </w:tbl>
    <w:bookmarkEnd w:id="137"/>
    <w:bookmarkEnd w:id="138"/>
    <w:bookmarkStart w:id="140" w:name="integration-test-suite"/>
    <w:p>
      <w:pPr>
        <w:pStyle w:val="Heading2"/>
      </w:pPr>
      <w:r>
        <w:t xml:space="preserve">Integration test suite</w:t>
      </w:r>
    </w:p>
    <w:p>
      <w:pPr>
        <w:pStyle w:val="SourceCode"/>
      </w:pPr>
      <w:r>
        <w:rPr>
          <w:rStyle w:val="VerbatimChar"/>
        </w:rPr>
        <w:t xml:space="preserve">pytest tests/integration/regulations/ -v --tb=short</w:t>
      </w:r>
    </w:p>
    <w:p>
      <w:pPr>
        <w:pStyle w:val="FirstParagraph"/>
      </w:pPr>
      <w:r>
        <w:t xml:space="preserve">Expected duration: 5 minutes.</w:t>
      </w:r>
    </w:p>
    <w:bookmarkStart w:id="139" w:name="end-to-end-scenarios"/>
    <w:p>
      <w:pPr>
        <w:pStyle w:val="Heading3"/>
      </w:pPr>
      <w:r>
        <w:t xml:space="preserve">End-to-end scenarios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Full corpus validation</w:t>
      </w:r>
      <w:r>
        <w:t xml:space="preserve">: Load and validate entire corpus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Coverage report</w:t>
      </w:r>
      <w:r>
        <w:t xml:space="preserve">: Generate coverage heat map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Status audit</w:t>
      </w:r>
      <w:r>
        <w:t xml:space="preserve">: Verify all status markers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Pointer verification</w:t>
      </w:r>
      <w:r>
        <w:t xml:space="preserve">: Check all implementation pointers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Tool integration</w:t>
      </w:r>
      <w:r>
        <w:t xml:space="preserve">: Run conformance tools and aggregate</w:t>
      </w:r>
    </w:p>
    <w:bookmarkEnd w:id="139"/>
    <w:bookmarkEnd w:id="140"/>
    <w:bookmarkStart w:id="141" w:name="schema-validation-tests"/>
    <w:p>
      <w:pPr>
        <w:pStyle w:val="Heading2"/>
      </w:pPr>
      <w:r>
        <w:t xml:space="preserve">Schema validation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regulations validate against regulation.schema.json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requirements validate against requirement.schema.json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tools validate against conformance-tool.schema.json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index validates against corpus.schema.json</w:t>
            </w:r>
          </w:p>
        </w:tc>
      </w:tr>
    </w:tbl>
    <w:bookmarkEnd w:id="141"/>
    <w:bookmarkStart w:id="142" w:name="compliance-verification-tests"/>
    <w:p>
      <w:pPr>
        <w:pStyle w:val="Heading2"/>
      </w:pPr>
      <w:r>
        <w:t xml:space="preserve">Compliance verification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requirement has status</w:t>
            </w:r>
            <w:r>
              <w:t xml:space="preserve"> </w:t>
            </w:r>
            <w:r>
              <w:t xml:space="preserve">“missing”</w:t>
            </w:r>
            <w:r>
              <w:t xml:space="preserve"> </w:t>
            </w:r>
            <w:r>
              <w:t xml:space="preserve">without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t xml:space="preserve">“must”</w:t>
            </w:r>
            <w:r>
              <w:t xml:space="preserve"> </w:t>
            </w:r>
            <w:r>
              <w:t xml:space="preserve">requirements have status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downgraded (*) statuses have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REG-CMP-004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75% for all source documents</w:t>
            </w:r>
          </w:p>
        </w:tc>
      </w:tr>
    </w:tbl>
    <w:bookmarkEnd w:id="142"/>
    <w:bookmarkStart w:id="143" w:name="cicd-integration"/>
    <w:p>
      <w:pPr>
        <w:pStyle w:val="Heading2"/>
      </w:pPr>
      <w:r>
        <w:t xml:space="preserve">CI/CD integration</w:t>
      </w:r>
    </w:p>
    <w:p>
      <w:pPr>
        <w:pStyle w:val="SourceCode"/>
      </w:pPr>
      <w:r>
        <w:rPr>
          <w:rStyle w:val="VerbatimChar"/>
        </w:rPr>
        <w:t xml:space="preserve">regulations-tests:</w:t>
      </w:r>
      <w:r>
        <w:br/>
      </w:r>
      <w:r>
        <w:rPr>
          <w:rStyle w:val="VerbatimChar"/>
        </w:rPr>
        <w:t xml:space="preserve">  runs-on: ubuntu-latest</w:t>
      </w:r>
      <w:r>
        <w:br/>
      </w:r>
      <w:r>
        <w:rPr>
          <w:rStyle w:val="VerbatimChar"/>
        </w:rPr>
        <w:t xml:space="preserve">  steps:</w:t>
      </w:r>
      <w:r>
        <w:br/>
      </w:r>
      <w:r>
        <w:rPr>
          <w:rStyle w:val="VerbatimChar"/>
        </w:rPr>
        <w:t xml:space="preserve">    - uses: actions/checkout@v4</w:t>
      </w:r>
      <w:r>
        <w:br/>
      </w:r>
      <w:r>
        <w:rPr>
          <w:rStyle w:val="VerbatimChar"/>
        </w:rPr>
        <w:t xml:space="preserve">    - name: Validate schemas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python docs/schema/validate.py --domain regulations</w:t>
      </w:r>
      <w:r>
        <w:br/>
      </w:r>
      <w:r>
        <w:rPr>
          <w:rStyle w:val="VerbatimChar"/>
        </w:rPr>
        <w:t xml:space="preserve">    - name: Run regulations tests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pytest tests/unit/regulations/ -v --cov=src/regulations</w:t>
      </w:r>
      <w:r>
        <w:br/>
      </w:r>
      <w:r>
        <w:rPr>
          <w:rStyle w:val="VerbatimChar"/>
        </w:rPr>
        <w:t xml:space="preserve">        pytest tests/integration/regulations/ -v</w:t>
      </w:r>
      <w:r>
        <w:br/>
      </w:r>
      <w:r>
        <w:rPr>
          <w:rStyle w:val="VerbatimChar"/>
        </w:rPr>
        <w:t xml:space="preserve">    - name: Check coverage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coverage report --fail-under=90</w:t>
      </w:r>
      <w:r>
        <w:br/>
      </w:r>
      <w:r>
        <w:rPr>
          <w:rStyle w:val="VerbatimChar"/>
        </w:rPr>
        <w:t xml:space="preserve">    - name: Generate compliance report</w:t>
      </w:r>
      <w:r>
        <w:br/>
      </w:r>
      <w:r>
        <w:rPr>
          <w:rStyle w:val="VerbatimChar"/>
        </w:rPr>
        <w:t xml:space="preserve">      run: |</w:t>
      </w:r>
      <w:r>
        <w:br/>
      </w:r>
      <w:r>
        <w:rPr>
          <w:rStyle w:val="VerbatimChar"/>
        </w:rPr>
        <w:t xml:space="preserve">        python scripts/generate_compliance_report.py</w:t>
      </w:r>
    </w:p>
    <w:bookmarkEnd w:id="143"/>
    <w:bookmarkStart w:id="147" w:name="sec:quarterly-audit"/>
    <w:p>
      <w:pPr>
        <w:pStyle w:val="Heading2"/>
      </w:pPr>
      <w:r>
        <w:t xml:space="preserve">Quarterly audit tests</w:t>
      </w:r>
    </w:p>
    <w:p>
      <w:pPr>
        <w:pStyle w:val="FirstParagraph"/>
      </w:pPr>
      <w:r>
        <w:t xml:space="preserve">For IMDA MGF compliance, run extended tests quarterly:</w:t>
      </w:r>
    </w:p>
    <w:p>
      <w:pPr>
        <w:numPr>
          <w:ilvl w:val="0"/>
          <w:numId w:val="1023"/>
        </w:numPr>
      </w:pPr>
      <w:r>
        <w:t xml:space="preserve">Execute the</w:t>
      </w:r>
      <w:r>
        <w:t xml:space="preserve"> </w:t>
      </w:r>
      <w:r>
        <w:rPr>
          <w:i/>
          <w:iCs/>
        </w:rPr>
        <w:t xml:space="preserve">applicable</w:t>
      </w:r>
      <w:r>
        <w:t xml:space="preserve"> </w:t>
      </w:r>
      <w:r>
        <w:t xml:space="preserve">AIVerify plugin subset</w:t>
      </w:r>
      <w:r>
        <w:t xml:space="preserve"> </w:t>
      </w:r>
      <w:r>
        <w:t xml:space="preserve">(see Section </w:t>
      </w:r>
      <w:hyperlink w:anchor="sec:aiverify-subset">
        <w:r>
          <w:rPr>
            <w:rStyle w:val="Hyperlink"/>
          </w:rPr>
          <w:t xml:space="preserve">10.8.1</w:t>
        </w:r>
      </w:hyperlink>
      <w:r>
        <w:t xml:space="preserve">) and verify pass</w:t>
      </w:r>
    </w:p>
    <w:p>
      <w:pPr>
        <w:numPr>
          <w:ilvl w:val="0"/>
          <w:numId w:val="1023"/>
        </w:numPr>
      </w:pPr>
      <w:r>
        <w:t xml:space="preserve">Execute Moonshot benchmarks and verify scores</w:t>
      </w:r>
    </w:p>
    <w:p>
      <w:pPr>
        <w:numPr>
          <w:ilvl w:val="0"/>
          <w:numId w:val="1023"/>
        </w:numPr>
      </w:pPr>
      <w:r>
        <w:t xml:space="preserve">Verify GFAIC charter alignment (attestation, see</w:t>
      </w:r>
      <w:r>
        <w:t xml:space="preserve"> </w:t>
      </w:r>
      <w:r>
        <w:t xml:space="preserve">Section </w:t>
      </w:r>
      <w:hyperlink w:anchor="sec:gfaic-attestation">
        <w:r>
          <w:rPr>
            <w:rStyle w:val="Hyperlink"/>
          </w:rPr>
          <w:t xml:space="preserve">10.8.2</w:t>
        </w:r>
      </w:hyperlink>
      <w:r>
        <w:t xml:space="preserve">)</w:t>
      </w:r>
    </w:p>
    <w:p>
      <w:pPr>
        <w:numPr>
          <w:ilvl w:val="0"/>
          <w:numId w:val="1023"/>
        </w:numPr>
      </w:pPr>
      <w:r>
        <w:t xml:space="preserve">Generate full compliance report for auditors</w:t>
      </w:r>
    </w:p>
    <w:p>
      <w:pPr>
        <w:numPr>
          <w:ilvl w:val="0"/>
          <w:numId w:val="1023"/>
        </w:numPr>
      </w:pPr>
      <w:r>
        <w:t xml:space="preserve">Archive report with timestamp and attestation</w:t>
      </w:r>
    </w:p>
    <w:bookmarkStart w:id="145" w:name="sec:aiverify-subset"/>
    <w:p>
      <w:pPr>
        <w:pStyle w:val="Heading3"/>
      </w:pPr>
      <w:r>
        <w:t xml:space="preserve">Applicable AIVerify plugin subset</w:t>
      </w:r>
    </w:p>
    <w:p>
      <w:pPr>
        <w:pStyle w:val="FirstParagraph"/>
      </w:pPr>
      <w:r>
        <w:t xml:space="preserve">The AIVerify stock plugin set (v2.x) ships 11 plugins. Not all are</w:t>
      </w:r>
      <w:r>
        <w:t xml:space="preserve"> </w:t>
      </w:r>
      <w:r>
        <w:t xml:space="preserve">applicable to this deployment, which is a text-only enterprise</w:t>
      </w:r>
      <w:r>
        <w:t xml:space="preserve"> </w:t>
      </w:r>
      <w:r>
        <w:t xml:space="preserve">finance / governance system (no images, no speech, no predictive</w:t>
      </w:r>
      <w:r>
        <w:t xml:space="preserve"> </w:t>
      </w:r>
      <w:r>
        <w:t xml:space="preserve">classifiers on tabular data). The quarterly audit is scoped to the</w:t>
      </w:r>
      <w:r>
        <w:t xml:space="preserve"> </w:t>
      </w:r>
      <w:r>
        <w:t xml:space="preserve">subset that is meaningful for the deployed agents; applying</w:t>
      </w:r>
      <w:r>
        <w:t xml:space="preserve"> </w:t>
      </w:r>
      <w:r>
        <w:t xml:space="preserve">plugins outside this subset produces</w:t>
      </w:r>
      <w:r>
        <w:t xml:space="preserve"> </w:t>
      </w:r>
      <w:r>
        <w:t xml:space="preserve">“N/A”</w:t>
      </w:r>
      <w:r>
        <w:t xml:space="preserve"> </w:t>
      </w:r>
      <w:r>
        <w:t xml:space="preserve">results that dilute</w:t>
      </w:r>
      <w:r>
        <w:t xml:space="preserve"> </w:t>
      </w:r>
      <w:r>
        <w:t xml:space="preserve">the audit trail without adding assurance.</w:t>
      </w:r>
    </w:p>
    <w:bookmarkStart w:id="144" w:name="tab:aiverify-subset"/>
    <w:p>
      <w:pPr>
        <w:pStyle w:val="TableCaption"/>
      </w:pPr>
      <w:r>
        <w:t xml:space="preserve">AIVerify plugin applicability for this deployment.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IVerify plugin applicability for this deploymen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– text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agents consume text inputs; adversarial tests exercise prompt-injection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 – image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image inputs in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– tabular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classifier with protected-attribute inputs; the TB commentary model does not classify.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–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Arabic-language outputs to detect language-based quality disparity.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 – SHAP 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(no tabular classifier).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 – LIME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TB commentary: used to validate that cited variance drivers match commentary.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–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accuracy/benchmark against golden corpus.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– confusion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multi-class classifier.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 / groundedness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test for RAG-backed commentary.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Arabic AP (invoices) and TB (entity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Toxicity /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IMDA MGF regardless of domain; low expected firing rate but must be part of the audit.</w:t>
            </w:r>
          </w:p>
        </w:tc>
      </w:tr>
    </w:tbl>
    <w:bookmarkEnd w:id="144"/>
    <w:p>
      <w:pPr>
        <w:pStyle w:val="BodyText"/>
      </w:pPr>
      <w:r>
        <w:rPr>
          <w:b/>
          <w:bCs/>
        </w:rPr>
        <w:t xml:space="preserve">Applicable subset</w:t>
      </w:r>
      <w:r>
        <w:t xml:space="preserve">: 7 of 11 (Robustness-text, Fairness-text,</w:t>
      </w:r>
      <w:r>
        <w:t xml:space="preserve"> </w:t>
      </w:r>
      <w:r>
        <w:t xml:space="preserve">Explainability-LIME, Performance-accuracy, Hallucination, PII</w:t>
      </w:r>
      <w:r>
        <w:t xml:space="preserve"> </w:t>
      </w:r>
      <w:r>
        <w:t xml:space="preserve">leakage, Toxicity). The other 4 plugins are documented as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with the rationale above; the quarterly</w:t>
      </w:r>
      <w:r>
        <w:t xml:space="preserve"> </w:t>
      </w:r>
      <w:r>
        <w:t xml:space="preserve">compliance report records the applicability decision explicitly so</w:t>
      </w:r>
      <w:r>
        <w:t xml:space="preserve"> </w:t>
      </w:r>
      <w:r>
        <w:t xml:space="preserve">that auditors can challenge the scoping if the deployment changes</w:t>
      </w:r>
      <w:r>
        <w:t xml:space="preserve"> </w:t>
      </w:r>
      <w:r>
        <w:t xml:space="preserve">(e.g. if tabular classifiers are added in v2.0, the fairness and</w:t>
      </w:r>
      <w:r>
        <w:t xml:space="preserve"> </w:t>
      </w:r>
      <w:r>
        <w:t xml:space="preserve">explainability tabular plugins become applicable).</w:t>
      </w:r>
    </w:p>
    <w:bookmarkEnd w:id="145"/>
    <w:bookmarkStart w:id="146" w:name="sec:gfaic-attestation"/>
    <w:p>
      <w:pPr>
        <w:pStyle w:val="Heading3"/>
      </w:pPr>
      <w:r>
        <w:t xml:space="preserve">GFAIC charter attestation</w:t>
      </w:r>
    </w:p>
    <w:p>
      <w:pPr>
        <w:pStyle w:val="FirstParagraph"/>
      </w:pPr>
      <w:r>
        <w:t xml:space="preserve">The full GFAIC (Group Financial AI Committee) charter is</w:t>
      </w:r>
      <w:r>
        <w:t xml:space="preserve"> </w:t>
      </w:r>
      <w:r>
        <w:t xml:space="preserve">maintained in the internal governance repository for</w:t>
      </w:r>
      <w:r>
        <w:t xml:space="preserve"> </w:t>
      </w:r>
      <w:r>
        <w:t xml:space="preserve">confidentiality. For external auditors, this specification</w:t>
      </w:r>
      <w:r>
        <w:t xml:space="preserve"> </w:t>
      </w:r>
      <w:r>
        <w:t xml:space="preserve">provides two verifiable deliverables:</w:t>
      </w:r>
    </w:p>
    <w:p>
      <w:pPr>
        <w:pStyle w:val="DefinitionTerm"/>
      </w:pPr>
      <w:r>
        <w:t xml:space="preserve">Redacted summary.</w:t>
      </w:r>
    </w:p>
    <w:p>
      <w:pPr>
        <w:pStyle w:val="Definition"/>
      </w:pPr>
      <w:r>
        <w:t xml:space="preserve">— a</w:t>
      </w:r>
      <w:r>
        <w:t xml:space="preserve"> </w:t>
      </w:r>
      <w:r>
        <w:t xml:space="preserve">public-facing summary with sensitive member names, routing</w:t>
      </w:r>
      <w:r>
        <w:t xml:space="preserve"> </w:t>
      </w:r>
      <w:r>
        <w:t xml:space="preserve">escalations, and budget figures redacted. Covers:</w:t>
      </w:r>
      <w:r>
        <w:t xml:space="preserve"> </w:t>
      </w:r>
      <w:r>
        <w:t xml:space="preserve">charter scope, standing members (by role, not name), meeting</w:t>
      </w:r>
      <w:r>
        <w:t xml:space="preserve"> </w:t>
      </w:r>
      <w:r>
        <w:t xml:space="preserve">cadence, decision rights, escalation to the Board.</w:t>
      </w:r>
    </w:p>
    <w:p>
      <w:pPr>
        <w:pStyle w:val="DefinitionTerm"/>
      </w:pPr>
      <w:r>
        <w:t xml:space="preserve">Signed attestation.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a one-page document signed quarterly by the GFAIC</w:t>
      </w:r>
      <w:r>
        <w:t xml:space="preserve"> </w:t>
      </w:r>
      <w:r>
        <w:t xml:space="preserve">chairperson attesting that: (a) the full charter on</w:t>
      </w:r>
      <w:r>
        <w:t xml:space="preserve"> </w:t>
      </w:r>
      <w:r>
        <w:t xml:space="preserve">the internal repository has not changed materially</w:t>
      </w:r>
      <w:r>
        <w:t xml:space="preserve"> </w:t>
      </w:r>
      <w:r>
        <w:t xml:space="preserve">since the previous attestation, (b) the AI systems</w:t>
      </w:r>
      <w:r>
        <w:t xml:space="preserve"> </w:t>
      </w:r>
      <w:r>
        <w:t xml:space="preserve">described in this specification are within GFAIC scope,</w:t>
      </w:r>
      <w:r>
        <w:t xml:space="preserve"> </w:t>
      </w:r>
      <w:r>
        <w:t xml:space="preserve">(c) GFAIC reviewed the last quarterly compliance</w:t>
      </w:r>
      <w:r>
        <w:t xml:space="preserve"> </w:t>
      </w:r>
      <w:r>
        <w:t xml:space="preserve">report. The attestation’s SHA-256 is recorded in the</w:t>
      </w:r>
      <w:r>
        <w:t xml:space="preserve"> </w:t>
      </w:r>
      <w:r>
        <w:t xml:space="preserve">registry and in this specification’s build metadata.</w:t>
      </w:r>
    </w:p>
    <w:p>
      <w:pPr>
        <w:pStyle w:val="FirstParagraph"/>
      </w:pPr>
      <w:r>
        <w:t xml:space="preserve">External auditors requiring the full charter can request it via</w:t>
      </w:r>
      <w:r>
        <w:t xml:space="preserve"> </w:t>
      </w:r>
      <w:r>
        <w:t xml:space="preserve">the Audit &amp; Risk Committee under NDA; the attestation plus</w:t>
      </w:r>
      <w:r>
        <w:t xml:space="preserve"> </w:t>
      </w:r>
      <w:r>
        <w:t xml:space="preserve">redacted summary is sufficient for routine regulatory review.</w:t>
      </w:r>
    </w:p>
    <w:bookmarkEnd w:id="146"/>
    <w:bookmarkEnd w:id="147"/>
    <w:bookmarkStart w:id="148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Tests pass when:</w:t>
      </w:r>
    </w:p>
    <w:p>
      <w:pPr>
        <w:numPr>
          <w:ilvl w:val="0"/>
          <w:numId w:val="1024"/>
        </w:numPr>
      </w:pPr>
      <w:r>
        <w:t xml:space="preserve">All P1 test cases pass (100%)</w:t>
      </w:r>
    </w:p>
    <w:p>
      <w:pPr>
        <w:numPr>
          <w:ilvl w:val="0"/>
          <w:numId w:val="1024"/>
        </w:numPr>
      </w:pPr>
      <w:r>
        <w:t xml:space="preserve">P2 test cases pass (</w:t>
      </w:r>
      <m:oMath>
        <m:r>
          <m:rPr>
            <m:sty m:val="p"/>
          </m:rPr>
          <m:t>≥</m:t>
        </m:r>
      </m:oMath>
      <w:r>
        <w:t xml:space="preserve">95%)</w:t>
      </w:r>
    </w:p>
    <w:p>
      <w:pPr>
        <w:numPr>
          <w:ilvl w:val="0"/>
          <w:numId w:val="1024"/>
        </w:numPr>
      </w:pPr>
      <w:r>
        <w:t xml:space="preserve">Line coverage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90%</w:t>
      </w:r>
    </w:p>
    <w:p>
      <w:pPr>
        <w:numPr>
          <w:ilvl w:val="0"/>
          <w:numId w:val="1024"/>
        </w:numPr>
      </w:pPr>
      <w:r>
        <w:t xml:space="preserve">All schemas validate</w:t>
      </w:r>
    </w:p>
    <w:p>
      <w:pPr>
        <w:numPr>
          <w:ilvl w:val="0"/>
          <w:numId w:val="1024"/>
        </w:numPr>
      </w:pPr>
      <w:r>
        <w:t xml:space="preserve">Coverage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75% for all source documents</w:t>
      </w:r>
    </w:p>
    <w:p>
      <w:pPr>
        <w:numPr>
          <w:ilvl w:val="0"/>
          <w:numId w:val="1024"/>
        </w:numPr>
      </w:pPr>
      <w:r>
        <w:t xml:space="preserve">No</w:t>
      </w:r>
      <w:r>
        <w:t xml:space="preserve"> </w:t>
      </w:r>
      <w:r>
        <w:t xml:space="preserve">“must”</w:t>
      </w:r>
      <w:r>
        <w:t xml:space="preserve"> </w:t>
      </w:r>
      <w:r>
        <w:t xml:space="preserve">requirements in gap status</w:t>
      </w:r>
    </w:p>
    <w:p>
      <w:pPr>
        <w:numPr>
          <w:ilvl w:val="0"/>
          <w:numId w:val="1024"/>
        </w:numPr>
      </w:pPr>
      <w:r>
        <w:t xml:space="preserve">All implementation pointers resolve</w:t>
      </w:r>
    </w:p>
    <w:bookmarkEnd w:id="148"/>
    <w:bookmarkEnd w:id="149"/>
    <w:bookmarkStart w:id="175" w:name="ch:identity"/>
    <w:p>
      <w:pPr>
        <w:pStyle w:val="Heading1"/>
      </w:pPr>
      <w:r>
        <w:t xml:space="preserve">Per-Request Identity Attribution Specification</w:t>
      </w:r>
    </w:p>
    <w:p>
      <w:pPr>
        <w:pStyle w:val="FirstParagraph"/>
      </w:pPr>
      <w:r>
        <w:t xml:space="preserve">This chapter specifies the per-request identity attribution system, addressing</w:t>
      </w:r>
      <w:r>
        <w:t xml:space="preserve"> </w:t>
      </w:r>
      <w:r>
        <w:t xml:space="preserve">the IMDA MGF requirement REG-MGF-2.1.2-002 that</w:t>
      </w:r>
      <w:r>
        <w:t xml:space="preserve"> </w:t>
      </w:r>
      <w:r>
        <w:t xml:space="preserve">“each agent action must be</w:t>
      </w:r>
      <w:r>
        <w:t xml:space="preserve"> </w:t>
      </w:r>
      <w:r>
        <w:t xml:space="preserve">traceable to the requesting identity and approval chain.”</w:t>
      </w:r>
    </w:p>
    <w:bookmarkStart w:id="150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Per-request identity attribution ensures that every AI agent action can be</w:t>
      </w:r>
      <w:r>
        <w:t xml:space="preserve"> </w:t>
      </w:r>
      <w:r>
        <w:t xml:space="preserve">traced to: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initiating user</w:t>
      </w:r>
      <w:r>
        <w:t xml:space="preserve"> </w:t>
      </w:r>
      <w:r>
        <w:t xml:space="preserve">who triggered the request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agent identity</w:t>
      </w:r>
      <w:r>
        <w:t xml:space="preserve"> </w:t>
      </w:r>
      <w:r>
        <w:t xml:space="preserve">that executed the action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approval chain</w:t>
      </w:r>
      <w:r>
        <w:t xml:space="preserve"> </w:t>
      </w:r>
      <w:r>
        <w:t xml:space="preserve">(if human-in-the-loop was invoked)</w:t>
      </w:r>
    </w:p>
    <w:p>
      <w:pPr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 context</w:t>
      </w:r>
      <w:r>
        <w:t xml:space="preserve"> </w:t>
      </w:r>
      <w:r>
        <w:t xml:space="preserve">(pipeline, model version, timestamp)</w:t>
      </w:r>
    </w:p>
    <w:bookmarkEnd w:id="150"/>
    <w:bookmarkStart w:id="153" w:name="identity-model"/>
    <w:p>
      <w:pPr>
        <w:pStyle w:val="Heading2"/>
      </w:pPr>
      <w:r>
        <w:t xml:space="preserve">Identity model</w:t>
      </w:r>
    </w:p>
    <w:bookmarkStart w:id="151" w:name="agent-identity-schema"/>
    <w:p>
      <w:pPr>
        <w:pStyle w:val="Heading3"/>
      </w:pPr>
      <w:r>
        <w:t xml:space="preserve">Agent identity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"agent_id": "agent-tb-variance-001",</w:t>
      </w:r>
      <w:r>
        <w:br/>
      </w:r>
      <w:r>
        <w:rPr>
          <w:rStyle w:val="VerbatimChar"/>
        </w:rPr>
        <w:t xml:space="preserve">  "agent_type": "variance_analyzer",</w:t>
      </w:r>
      <w:r>
        <w:br/>
      </w:r>
      <w:r>
        <w:rPr>
          <w:rStyle w:val="VerbatimChar"/>
        </w:rPr>
        <w:t xml:space="preserve">  "model_version": "qwen2.5-72b-instruct-v1.2",</w:t>
      </w:r>
      <w:r>
        <w:br/>
      </w:r>
      <w:r>
        <w:rPr>
          <w:rStyle w:val="VerbatimChar"/>
        </w:rPr>
        <w:t xml:space="preserve">  "pipeline_version": "tb-review-2.1.0",</w:t>
      </w:r>
      <w:r>
        <w:br/>
      </w:r>
      <w:r>
        <w:rPr>
          <w:rStyle w:val="VerbatimChar"/>
        </w:rPr>
        <w:t xml:space="preserve">  "deployment_environment": "production",</w:t>
      </w:r>
      <w:r>
        <w:br/>
      </w:r>
      <w:r>
        <w:rPr>
          <w:rStyle w:val="VerbatimChar"/>
        </w:rPr>
        <w:t xml:space="preserve">  "capabilities": [</w:t>
      </w:r>
      <w:r>
        <w:br/>
      </w:r>
      <w:r>
        <w:rPr>
          <w:rStyle w:val="VerbatimChar"/>
        </w:rPr>
        <w:t xml:space="preserve">    "variance_calculation",</w:t>
      </w:r>
      <w:r>
        <w:br/>
      </w:r>
      <w:r>
        <w:rPr>
          <w:rStyle w:val="VerbatimChar"/>
        </w:rPr>
        <w:t xml:space="preserve">    "anomaly_detection",</w:t>
      </w:r>
      <w:r>
        <w:br/>
      </w:r>
      <w:r>
        <w:rPr>
          <w:rStyle w:val="VerbatimChar"/>
        </w:rPr>
        <w:t xml:space="preserve">    "commentary_generation"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"permissions": {</w:t>
      </w:r>
      <w:r>
        <w:br/>
      </w:r>
      <w:r>
        <w:rPr>
          <w:rStyle w:val="VerbatimChar"/>
        </w:rPr>
        <w:t xml:space="preserve">    "can_modify_data": false,</w:t>
      </w:r>
      <w:r>
        <w:br/>
      </w:r>
      <w:r>
        <w:rPr>
          <w:rStyle w:val="VerbatimChar"/>
        </w:rPr>
        <w:t xml:space="preserve">    "can_trigger_downstream": true,</w:t>
      </w:r>
      <w:r>
        <w:br/>
      </w:r>
      <w:r>
        <w:rPr>
          <w:rStyle w:val="VerbatimChar"/>
        </w:rPr>
        <w:t xml:space="preserve">    "requires_human_approval": ["commentary_generation"]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51"/>
    <w:bookmarkStart w:id="152" w:name="request-identity-schema"/>
    <w:p>
      <w:pPr>
        <w:pStyle w:val="Heading3"/>
      </w:pPr>
      <w:r>
        <w:t xml:space="preserve">Request identity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"request_id": "req-20260418-001234",</w:t>
      </w:r>
      <w:r>
        <w:br/>
      </w:r>
      <w:r>
        <w:rPr>
          <w:rStyle w:val="VerbatimChar"/>
        </w:rPr>
        <w:t xml:space="preserve">  "correlation_id": "session-abc123",</w:t>
      </w:r>
      <w:r>
        <w:br/>
      </w:r>
      <w:r>
        <w:rPr>
          <w:rStyle w:val="VerbatimChar"/>
        </w:rPr>
        <w:t xml:space="preserve">  "initiating_user": {</w:t>
      </w:r>
      <w:r>
        <w:br/>
      </w:r>
      <w:r>
        <w:rPr>
          <w:rStyle w:val="VerbatimChar"/>
        </w:rPr>
        <w:t xml:space="preserve">    "user_id": "jsmith@company.com",</w:t>
      </w:r>
      <w:r>
        <w:br/>
      </w:r>
      <w:r>
        <w:rPr>
          <w:rStyle w:val="VerbatimChar"/>
        </w:rPr>
        <w:t xml:space="preserve">    "user_type": "human",</w:t>
      </w:r>
      <w:r>
        <w:br/>
      </w:r>
      <w:r>
        <w:rPr>
          <w:rStyle w:val="VerbatimChar"/>
        </w:rPr>
        <w:t xml:space="preserve">    "authentication_method": "oauth2_sso",</w:t>
      </w:r>
      <w:r>
        <w:br/>
      </w:r>
      <w:r>
        <w:rPr>
          <w:rStyle w:val="VerbatimChar"/>
        </w:rPr>
        <w:t xml:space="preserve">    "roles": ["tb_reviewer", "senior_accountant"]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"timestamp": "2026-04-18T10:30:00+08:00",</w:t>
      </w:r>
      <w:r>
        <w:br/>
      </w:r>
      <w:r>
        <w:rPr>
          <w:rStyle w:val="VerbatimChar"/>
        </w:rPr>
        <w:t xml:space="preserve">  "source_system": "tb-review-dashboard",</w:t>
      </w:r>
      <w:r>
        <w:br/>
      </w:r>
      <w:r>
        <w:rPr>
          <w:rStyle w:val="VerbatimChar"/>
        </w:rPr>
        <w:t xml:space="preserve">  "source_ip": "10.0.1.100"</w:t>
      </w:r>
      <w:r>
        <w:br/>
      </w:r>
      <w:r>
        <w:rPr>
          <w:rStyle w:val="VerbatimChar"/>
        </w:rPr>
        <w:t xml:space="preserve">}</w:t>
      </w:r>
    </w:p>
    <w:bookmarkEnd w:id="152"/>
    <w:bookmarkEnd w:id="153"/>
    <w:bookmarkStart w:id="157" w:name="audit-trail-specification"/>
    <w:p>
      <w:pPr>
        <w:pStyle w:val="Heading2"/>
      </w:pPr>
      <w:r>
        <w:t xml:space="preserve">Audit trail specification</w:t>
      </w:r>
    </w:p>
    <w:bookmarkStart w:id="154" w:name="audit-event-schema"/>
    <w:p>
      <w:pPr>
        <w:pStyle w:val="Heading3"/>
      </w:pPr>
      <w:r>
        <w:t xml:space="preserve">Audit event schema</w:t>
      </w:r>
    </w:p>
    <w:p>
      <w:pPr>
        <w:pStyle w:val="FirstParagraph"/>
      </w:pPr>
      <w:r>
        <w:t xml:space="preserve">Every agent action generates an audit event: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"event_id": "evt-20260418-567890",</w:t>
      </w:r>
      <w:r>
        <w:br/>
      </w:r>
      <w:r>
        <w:rPr>
          <w:rStyle w:val="VerbatimChar"/>
        </w:rPr>
        <w:t xml:space="preserve">  "event_type": "agent_action",</w:t>
      </w:r>
      <w:r>
        <w:br/>
      </w:r>
      <w:r>
        <w:rPr>
          <w:rStyle w:val="VerbatimChar"/>
        </w:rPr>
        <w:t xml:space="preserve">  "timestamp": "2026-04-18T10:30:05+08:00",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"request_identity": {</w:t>
      </w:r>
      <w:r>
        <w:br/>
      </w:r>
      <w:r>
        <w:rPr>
          <w:rStyle w:val="VerbatimChar"/>
        </w:rPr>
        <w:t xml:space="preserve">    "request_id": "req-20260418-001234",</w:t>
      </w:r>
      <w:r>
        <w:br/>
      </w:r>
      <w:r>
        <w:rPr>
          <w:rStyle w:val="VerbatimChar"/>
        </w:rPr>
        <w:t xml:space="preserve">    "initiating_user_id": "jsmith@company.com"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"agent_identity": {</w:t>
      </w:r>
      <w:r>
        <w:br/>
      </w:r>
      <w:r>
        <w:rPr>
          <w:rStyle w:val="VerbatimChar"/>
        </w:rPr>
        <w:t xml:space="preserve">    "agent_id": "agent-tb-variance-001",</w:t>
      </w:r>
      <w:r>
        <w:br/>
      </w:r>
      <w:r>
        <w:rPr>
          <w:rStyle w:val="VerbatimChar"/>
        </w:rPr>
        <w:t xml:space="preserve">    "model_version": "qwen2.5-72b-instruct-v1.2"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"action": {</w:t>
      </w:r>
      <w:r>
        <w:br/>
      </w:r>
      <w:r>
        <w:rPr>
          <w:rStyle w:val="VerbatimChar"/>
        </w:rPr>
        <w:t xml:space="preserve">    "action_type": "variance_calculation",</w:t>
      </w:r>
      <w:r>
        <w:br/>
      </w:r>
      <w:r>
        <w:rPr>
          <w:rStyle w:val="VerbatimChar"/>
        </w:rPr>
        <w:t xml:space="preserve">    "entity_id": "HKG-2026-04",</w:t>
      </w:r>
      <w:r>
        <w:br/>
      </w:r>
      <w:r>
        <w:rPr>
          <w:rStyle w:val="VerbatimChar"/>
        </w:rPr>
        <w:t xml:space="preserve">    "input_hash": "sha256:abc123...",</w:t>
      </w:r>
      <w:r>
        <w:br/>
      </w:r>
      <w:r>
        <w:rPr>
          <w:rStyle w:val="VerbatimChar"/>
        </w:rPr>
        <w:t xml:space="preserve">    "output_hash": "sha256:def456..."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"approval_chain":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"approver_id": "jsmith@company.com",</w:t>
      </w:r>
      <w:r>
        <w:br/>
      </w:r>
      <w:r>
        <w:rPr>
          <w:rStyle w:val="VerbatimChar"/>
        </w:rPr>
        <w:t xml:space="preserve">      "approval_type": "implicit",</w:t>
      </w:r>
      <w:r>
        <w:br/>
      </w:r>
      <w:r>
        <w:rPr>
          <w:rStyle w:val="VerbatimChar"/>
        </w:rPr>
        <w:t xml:space="preserve">      "timestamp": "2026-04-18T10:30:00+08:00"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"outcome": {</w:t>
      </w:r>
      <w:r>
        <w:br/>
      </w:r>
      <w:r>
        <w:rPr>
          <w:rStyle w:val="VerbatimChar"/>
        </w:rPr>
        <w:t xml:space="preserve">    "status": "success",</w:t>
      </w:r>
      <w:r>
        <w:br/>
      </w:r>
      <w:r>
        <w:rPr>
          <w:rStyle w:val="VerbatimChar"/>
        </w:rPr>
        <w:t xml:space="preserve">    "duration_ms": 1234,</w:t>
      </w:r>
      <w:r>
        <w:br/>
      </w:r>
      <w:r>
        <w:rPr>
          <w:rStyle w:val="VerbatimChar"/>
        </w:rPr>
        <w:t xml:space="preserve">    "tokens_used": 500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54"/>
    <w:bookmarkStart w:id="156" w:name="required-audit-events"/>
    <w:p>
      <w:pPr>
        <w:pStyle w:val="Heading3"/>
      </w:pPr>
      <w:r>
        <w:t xml:space="preserve">Required audit events</w:t>
      </w:r>
    </w:p>
    <w:bookmarkStart w:id="155" w:name="tab:audit-events"/>
    <w:p>
      <w:pPr>
        <w:pStyle w:val="TableCaption"/>
      </w:pPr>
      <w:r>
        <w:t xml:space="preserve">Mandatory audit events by action type.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datory audit events by action typ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model_version, input_hash, output_hash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entity_id, before_hash, after_hash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review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reviewer_id, queue_id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approver_id, decision,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rejecter_id, decision,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Error/failure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error_code, stack_trace_hash</w:t>
            </w:r>
          </w:p>
        </w:tc>
      </w:tr>
    </w:tbl>
    <w:bookmarkEnd w:id="155"/>
    <w:bookmarkEnd w:id="156"/>
    <w:bookmarkEnd w:id="157"/>
    <w:bookmarkStart w:id="161" w:name="storage-and-retention"/>
    <w:p>
      <w:pPr>
        <w:pStyle w:val="Heading2"/>
      </w:pPr>
      <w:r>
        <w:t xml:space="preserve">Storage and retention</w:t>
      </w:r>
    </w:p>
    <w:bookmarkStart w:id="159" w:name="storage-requirements"/>
    <w:p>
      <w:pPr>
        <w:pStyle w:val="Heading3"/>
      </w:pPr>
      <w:r>
        <w:t xml:space="preserve">Storage requirements</w:t>
      </w:r>
    </w:p>
    <w:bookmarkStart w:id="158" w:name="tab:audit-storage"/>
    <w:p>
      <w:pPr>
        <w:pStyle w:val="TableCaption"/>
      </w:pPr>
      <w:r>
        <w:t xml:space="preserve">Audit storage requirements.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 storage requiremen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log (immutable)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identities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for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configurations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Input/output hashes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audit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input/output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storage, then purge</w:t>
            </w:r>
          </w:p>
        </w:tc>
      </w:tr>
    </w:tbl>
    <w:bookmarkEnd w:id="158"/>
    <w:bookmarkEnd w:id="159"/>
    <w:bookmarkStart w:id="160" w:name="immutability-requirements"/>
    <w:p>
      <w:pPr>
        <w:pStyle w:val="Heading3"/>
      </w:pPr>
      <w:r>
        <w:t xml:space="preserve">Immutability requirements</w:t>
      </w:r>
    </w:p>
    <w:p>
      <w:pPr>
        <w:pStyle w:val="FirstParagraph"/>
      </w:pPr>
      <w:r>
        <w:t xml:space="preserve">Audit logs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immutable:</w:t>
      </w:r>
    </w:p>
    <w:p>
      <w:pPr>
        <w:numPr>
          <w:ilvl w:val="0"/>
          <w:numId w:val="1026"/>
        </w:numPr>
      </w:pPr>
      <w:r>
        <w:t xml:space="preserve">Append-only storage (no updates, no deletes)</w:t>
      </w:r>
    </w:p>
    <w:p>
      <w:pPr>
        <w:numPr>
          <w:ilvl w:val="0"/>
          <w:numId w:val="1026"/>
        </w:numPr>
      </w:pPr>
      <w:r>
        <w:t xml:space="preserve">Cryptographic chaining (hash of previous event included)</w:t>
      </w:r>
    </w:p>
    <w:p>
      <w:pPr>
        <w:numPr>
          <w:ilvl w:val="0"/>
          <w:numId w:val="1026"/>
        </w:numPr>
      </w:pPr>
      <w:r>
        <w:t xml:space="preserve">External timestamp authority (prevents backdating)</w:t>
      </w:r>
    </w:p>
    <w:p>
      <w:pPr>
        <w:numPr>
          <w:ilvl w:val="0"/>
          <w:numId w:val="1026"/>
        </w:numPr>
      </w:pPr>
      <w:r>
        <w:t xml:space="preserve">Write-once media for long-term archive</w:t>
      </w:r>
    </w:p>
    <w:bookmarkEnd w:id="160"/>
    <w:bookmarkEnd w:id="161"/>
    <w:bookmarkStart w:id="164" w:name="api-specification"/>
    <w:p>
      <w:pPr>
        <w:pStyle w:val="Heading2"/>
      </w:pPr>
      <w:r>
        <w:t xml:space="preserve">API specification</w:t>
      </w:r>
    </w:p>
    <w:bookmarkStart w:id="162" w:name="audit-write-api"/>
    <w:p>
      <w:pPr>
        <w:pStyle w:val="Heading3"/>
      </w:pPr>
      <w:r>
        <w:t xml:space="preserve">Audit write API</w:t>
      </w:r>
    </w:p>
    <w:p>
      <w:pPr>
        <w:pStyle w:val="FirstParagraph"/>
      </w:pPr>
      <w:r>
        <w:t xml:space="preserve">Two audit write points are required per action: a</w:t>
      </w:r>
      <w:r>
        <w:t xml:space="preserve"> </w:t>
      </w:r>
      <w:r>
        <w:rPr>
          <w:rStyle w:val="VerbatimChar"/>
        </w:rPr>
        <w:t xml:space="preserve">pre_action</w:t>
      </w:r>
      <w:r>
        <w:t xml:space="preserve"> </w:t>
      </w:r>
      <w:r>
        <w:t xml:space="preserve">reservation (before the inference executes)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post_action</w:t>
      </w:r>
      <w:r>
        <w:t xml:space="preserve"> </w:t>
      </w:r>
      <w:r>
        <w:t xml:space="preserve">completion (after the inference returns). The</w:t>
      </w:r>
      <w:r>
        <w:t xml:space="preserve"> </w:t>
      </w:r>
      <w:r>
        <w:rPr>
          <w:rStyle w:val="VerbatimChar"/>
        </w:rPr>
        <w:t xml:space="preserve">pre_action</w:t>
      </w:r>
      <w:r>
        <w:t xml:space="preserve"> </w:t>
      </w:r>
      <w:r>
        <w:t xml:space="preserve">write is the enforcement gate — if it fails,</w:t>
      </w:r>
      <w:r>
        <w:t xml:space="preserve"> </w:t>
      </w:r>
      <w:r>
        <w:t xml:space="preserve">the inference is</w:t>
      </w:r>
      <w:r>
        <w:t xml:space="preserve"> </w:t>
      </w:r>
      <w:r>
        <w:rPr>
          <w:i/>
          <w:iCs/>
        </w:rPr>
        <w:t xml:space="preserve">rejected before execution</w:t>
      </w:r>
      <w:r>
        <w:t xml:space="preserve">, which is the only</w:t>
      </w:r>
      <w:r>
        <w:t xml:space="preserve"> </w:t>
      </w:r>
      <w:r>
        <w:t xml:space="preserve">tractable way to achieve the</w:t>
      </w:r>
      <w:r>
        <w:t xml:space="preserve"> </w:t>
      </w:r>
      <w:r>
        <w:t xml:space="preserve">“no action without audit”</w:t>
      </w:r>
      <w:r>
        <w:t xml:space="preserve"> </w:t>
      </w:r>
      <w:r>
        <w:t xml:space="preserve">invariant</w:t>
      </w:r>
      <w:r>
        <w:t xml:space="preserve"> </w:t>
      </w:r>
      <w:r>
        <w:t xml:space="preserve">(see Section </w:t>
      </w:r>
      <w:hyperlink w:anchor="sec:audit-failure-handling">
        <w:r>
          <w:rPr>
            <w:rStyle w:val="Hyperlink"/>
          </w:rPr>
          <w:t xml:space="preserve">11.6.2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reserve_agent_action(</w:t>
      </w:r>
      <w:r>
        <w:br/>
      </w:r>
      <w:r>
        <w:rPr>
          <w:rStyle w:val="NormalTok"/>
        </w:rPr>
        <w:t xml:space="preserve">    request_identity: RequestIdentity,</w:t>
      </w:r>
      <w:r>
        <w:br/>
      </w:r>
      <w:r>
        <w:rPr>
          <w:rStyle w:val="NormalTok"/>
        </w:rPr>
        <w:t xml:space="preserve">    agent_identity: AgentIdentity,</w:t>
      </w:r>
      <w:r>
        <w:br/>
      </w:r>
      <w:r>
        <w:rPr>
          <w:rStyle w:val="NormalTok"/>
        </w:rPr>
        <w:t xml:space="preserve">    planned_action: AgentActionPlan,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AuditEventId: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Reserve an audit event slot BEFORE the agent action executes.</w:t>
      </w:r>
      <w:r>
        <w:br/>
      </w:r>
      <w:r>
        <w:br/>
      </w:r>
      <w:r>
        <w:rPr>
          <w:rStyle w:val="CommentTok"/>
        </w:rPr>
        <w:t xml:space="preserve">    This function MUST be called and succeed before the inference is</w:t>
      </w:r>
      <w:r>
        <w:br/>
      </w:r>
      <w:r>
        <w:rPr>
          <w:rStyle w:val="CommentTok"/>
        </w:rPr>
        <w:t xml:space="preserve">    dispatched. A successful return contractually commits the caller</w:t>
      </w:r>
      <w:r>
        <w:br/>
      </w:r>
      <w:r>
        <w:rPr>
          <w:rStyle w:val="CommentTok"/>
        </w:rPr>
        <w:t xml:space="preserve">    to writing a matching complete_agent_action() within the event's</w:t>
      </w:r>
      <w:r>
        <w:br/>
      </w:r>
      <w:r>
        <w:rPr>
          <w:rStyle w:val="CommentTok"/>
        </w:rPr>
        <w:t xml:space="preserve">    TTL (default: 120 s).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AuditWriteError: If the reservation cannot be written. The</w:t>
      </w:r>
      <w:r>
        <w:br/>
      </w:r>
      <w:r>
        <w:rPr>
          <w:rStyle w:val="CommentTok"/>
        </w:rPr>
        <w:t xml:space="preserve">            caller MUST NOT dispatch the agent action.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complete_agent_action(</w:t>
      </w:r>
      <w:r>
        <w:br/>
      </w:r>
      <w:r>
        <w:rPr>
          <w:rStyle w:val="NormalTok"/>
        </w:rPr>
        <w:t xml:space="preserve">    event_id: AuditEventId,</w:t>
      </w:r>
      <w:r>
        <w:br/>
      </w:r>
      <w:r>
        <w:rPr>
          <w:rStyle w:val="NormalTok"/>
        </w:rPr>
        <w:t xml:space="preserve">    action: AgentAction,</w:t>
      </w:r>
      <w:r>
        <w:br/>
      </w:r>
      <w:r>
        <w:rPr>
          <w:rStyle w:val="NormalTok"/>
        </w:rPr>
        <w:t xml:space="preserve">    outcome: ActionOutcome,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a previously reserved audit event with the actual</w:t>
      </w:r>
      <w:r>
        <w:br/>
      </w:r>
      <w:r>
        <w:rPr>
          <w:rStyle w:val="CommentTok"/>
        </w:rPr>
        <w:t xml:space="preserve">    action and outcome. MUST be called after the action returns</w:t>
      </w:r>
      <w:r>
        <w:br/>
      </w:r>
      <w:r>
        <w:rPr>
          <w:rStyle w:val="CommentTok"/>
        </w:rPr>
        <w:t xml:space="preserve">    (whether success or error).</w:t>
      </w:r>
      <w:r>
        <w:br/>
      </w:r>
      <w:r>
        <w:br/>
      </w:r>
      <w:r>
        <w:rPr>
          <w:rStyle w:val="CommentTok"/>
        </w:rPr>
        <w:t xml:space="preserve">    If this call fails, the reservation remains visible in the audit</w:t>
      </w:r>
      <w:r>
        <w:br/>
      </w:r>
      <w:r>
        <w:rPr>
          <w:rStyle w:val="CommentTok"/>
        </w:rPr>
        <w:t xml:space="preserve">    trail in state "orphaned" and operations are alerted; the caller</w:t>
      </w:r>
      <w:r>
        <w:br/>
      </w:r>
      <w:r>
        <w:rPr>
          <w:rStyle w:val="CommentTok"/>
        </w:rPr>
        <w:t xml:space="preserve">    MUST return an error to the user because downstream side effects</w:t>
      </w:r>
      <w:r>
        <w:br/>
      </w:r>
      <w:r>
        <w:rPr>
          <w:rStyle w:val="CommentTok"/>
        </w:rPr>
        <w:t xml:space="preserve">    could not be verifiably attributed.</w:t>
      </w:r>
      <w:r>
        <w:br/>
      </w:r>
      <w:r>
        <w:rPr>
          <w:rStyle w:val="CommentTok"/>
        </w:rPr>
        <w:t xml:space="preserve">    """</w:t>
      </w:r>
    </w:p>
    <w:bookmarkEnd w:id="162"/>
    <w:bookmarkStart w:id="163" w:name="audit-query-api"/>
    <w:p>
      <w:pPr>
        <w:pStyle w:val="Heading3"/>
      </w:pPr>
      <w:r>
        <w:t xml:space="preserve">Audit query API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query_audit_trail(</w:t>
      </w:r>
      <w:r>
        <w:br/>
      </w:r>
      <w:r>
        <w:rPr>
          <w:rStyle w:val="NormalTok"/>
        </w:rPr>
        <w:t xml:space="preserve">    filters: AuditFilters,</w:t>
      </w:r>
      <w:r>
        <w:br/>
      </w:r>
      <w:r>
        <w:rPr>
          <w:rStyle w:val="NormalTok"/>
        </w:rPr>
        <w:t xml:space="preserve">    pagination: Pagination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AuditQueryResult: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Query the audit trail.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Filters:</w:t>
      </w:r>
      <w:r>
        <w:br/>
      </w:r>
      <w:r>
        <w:rPr>
          <w:rStyle w:val="CommentTok"/>
        </w:rPr>
        <w:t xml:space="preserve">        - request_id: Specific request</w:t>
      </w:r>
      <w:r>
        <w:br/>
      </w:r>
      <w:r>
        <w:rPr>
          <w:rStyle w:val="CommentTok"/>
        </w:rPr>
        <w:t xml:space="preserve">        - user_id: All actions by user</w:t>
      </w:r>
      <w:r>
        <w:br/>
      </w:r>
      <w:r>
        <w:rPr>
          <w:rStyle w:val="CommentTok"/>
        </w:rPr>
        <w:t xml:space="preserve">        - agent_id: All actions by agent</w:t>
      </w:r>
      <w:r>
        <w:br/>
      </w:r>
      <w:r>
        <w:rPr>
          <w:rStyle w:val="CommentTok"/>
        </w:rPr>
        <w:t xml:space="preserve">        - entity_id: All actions on entity</w:t>
      </w:r>
      <w:r>
        <w:br/>
      </w:r>
      <w:r>
        <w:rPr>
          <w:rStyle w:val="CommentTok"/>
        </w:rPr>
        <w:t xml:space="preserve">        - time_range: Start and end timestamps</w:t>
      </w:r>
      <w:r>
        <w:br/>
      </w:r>
      <w:r>
        <w:rPr>
          <w:rStyle w:val="CommentTok"/>
        </w:rPr>
        <w:t xml:space="preserve">        - action_type: Filter by action type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matching audit events with pagination</w:t>
      </w:r>
      <w:r>
        <w:br/>
      </w:r>
      <w:r>
        <w:rPr>
          <w:rStyle w:val="CommentTok"/>
        </w:rPr>
        <w:t xml:space="preserve">    """</w:t>
      </w:r>
    </w:p>
    <w:bookmarkEnd w:id="163"/>
    <w:bookmarkEnd w:id="164"/>
    <w:bookmarkStart w:id="167" w:name="integration-requirements"/>
    <w:p>
      <w:pPr>
        <w:pStyle w:val="Heading2"/>
      </w:pPr>
      <w:r>
        <w:t xml:space="preserve">Integration requirements</w:t>
      </w:r>
    </w:p>
    <w:bookmarkStart w:id="165" w:name="pipeline-integration"/>
    <w:p>
      <w:pPr>
        <w:pStyle w:val="Heading3"/>
      </w:pPr>
      <w:r>
        <w:t xml:space="preserve">Pipeline integration</w:t>
      </w:r>
    </w:p>
    <w:p>
      <w:pPr>
        <w:pStyle w:val="FirstParagraph"/>
      </w:pPr>
      <w:r>
        <w:t xml:space="preserve">Every AI pipeline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integrate the identity attribution system: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Request entry</w:t>
      </w:r>
      <w:r>
        <w:t xml:space="preserve">: Capture initiating user identity from authentication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Pre-inference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agent_inference_start</w:t>
      </w:r>
      <w:r>
        <w:t xml:space="preserve"> </w:t>
      </w:r>
      <w:r>
        <w:t xml:space="preserve">event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Post-inference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agent_inference_complete</w:t>
      </w:r>
      <w:r>
        <w:t xml:space="preserve"> </w:t>
      </w:r>
      <w:r>
        <w:t xml:space="preserve">event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Data write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agent_write</w:t>
      </w:r>
      <w:r>
        <w:t xml:space="preserve"> </w:t>
      </w:r>
      <w:r>
        <w:t xml:space="preserve">event before commit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Error</w:t>
      </w:r>
      <w:r>
        <w:t xml:space="preserve">: Log</w:t>
      </w:r>
      <w:r>
        <w:t xml:space="preserve"> </w:t>
      </w:r>
      <w:r>
        <w:rPr>
          <w:rStyle w:val="VerbatimChar"/>
        </w:rPr>
        <w:t xml:space="preserve">agent_error</w:t>
      </w:r>
      <w:r>
        <w:t xml:space="preserve"> </w:t>
      </w:r>
      <w:r>
        <w:t xml:space="preserve">event on any failure</w:t>
      </w:r>
    </w:p>
    <w:bookmarkEnd w:id="165"/>
    <w:bookmarkStart w:id="166" w:name="sec:audit-failure-handling"/>
    <w:p>
      <w:pPr>
        <w:pStyle w:val="Heading3"/>
      </w:pPr>
      <w:r>
        <w:t xml:space="preserve">Failure handling</w:t>
      </w:r>
    </w:p>
    <w:p>
      <w:pPr>
        <w:pStyle w:val="FirstParagraph"/>
      </w:pPr>
      <w:r>
        <w:t xml:space="preserve">LLM inference is not reversible once executed: tokens have been</w:t>
      </w:r>
      <w:r>
        <w:t xml:space="preserve"> </w:t>
      </w:r>
      <w:r>
        <w:t xml:space="preserve">emitted, compute was consumed, and any downstream side effects</w:t>
      </w:r>
      <w:r>
        <w:t xml:space="preserve"> </w:t>
      </w:r>
      <w:r>
        <w:t xml:space="preserve">(database writes, external calls) are already in flight.</w:t>
      </w:r>
      <w:r>
        <w:t xml:space="preserve"> </w:t>
      </w:r>
      <w:r>
        <w:t xml:space="preserve">“Roll</w:t>
      </w:r>
      <w:r>
        <w:t xml:space="preserve"> </w:t>
      </w:r>
      <w:r>
        <w:t xml:space="preserve">back the inference”</w:t>
      </w:r>
      <w:r>
        <w:t xml:space="preserve"> </w:t>
      </w:r>
      <w:r>
        <w:t xml:space="preserve">is therefore not a valid operation. The</w:t>
      </w:r>
      <w:r>
        <w:t xml:space="preserve"> </w:t>
      </w:r>
      <w:r>
        <w:t xml:space="preserve">specification enforces audit coverage by</w:t>
      </w:r>
      <w:r>
        <w:t xml:space="preserve"> </w:t>
      </w:r>
      <w:r>
        <w:rPr>
          <w:i/>
          <w:iCs/>
        </w:rPr>
        <w:t xml:space="preserve">gating</w:t>
      </w:r>
      <w:r>
        <w:t xml:space="preserve"> </w:t>
      </w:r>
      <w:r>
        <w:t xml:space="preserve">the action</w:t>
      </w:r>
      <w:r>
        <w:t xml:space="preserve"> </w:t>
      </w:r>
      <w:r>
        <w:t xml:space="preserve">behind a successful reservation write, and by containing side</w:t>
      </w:r>
      <w:r>
        <w:t xml:space="preserve"> </w:t>
      </w:r>
      <w:r>
        <w:t xml:space="preserve">effects: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Reservation-before-action.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reserve_agent_action()</w:t>
      </w:r>
      <w:r>
        <w:t xml:space="preserve"> </w:t>
      </w:r>
      <w:r>
        <w:t xml:space="preserve">call (see audit write</w:t>
      </w:r>
      <w:r>
        <w:t xml:space="preserve"> </w:t>
      </w:r>
      <w:r>
        <w:t xml:space="preserve">API) MUST succeed before the agent dispatches the</w:t>
      </w:r>
      <w:r>
        <w:t xml:space="preserve"> </w:t>
      </w:r>
      <w:r>
        <w:t xml:space="preserve">inference. If the reservation write fails, the agent</w:t>
      </w:r>
      <w:r>
        <w:t xml:space="preserve"> </w:t>
      </w:r>
      <w:r>
        <w:t xml:space="preserve">action MUST NOT be executed and the request MUST return a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error with an operations alert.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Side-effect containment.</w:t>
      </w:r>
      <w:r>
        <w:t xml:space="preserve"> </w:t>
      </w:r>
      <w:r>
        <w:t xml:space="preserve">Any data-modification or</w:t>
      </w:r>
      <w:r>
        <w:t xml:space="preserve"> </w:t>
      </w:r>
      <w:r>
        <w:t xml:space="preserve">external call triggered by an AI output MUST be staged and</w:t>
      </w:r>
      <w:r>
        <w:t xml:space="preserve"> </w:t>
      </w:r>
      <w:r>
        <w:t xml:space="preserve">only committed after</w:t>
      </w:r>
      <w:r>
        <w:t xml:space="preserve"> </w:t>
      </w:r>
      <w:r>
        <w:rPr>
          <w:rStyle w:val="VerbatimChar"/>
        </w:rPr>
        <w:t xml:space="preserve">complete_agent_action()</w:t>
      </w:r>
      <w:r>
        <w:t xml:space="preserve"> </w:t>
      </w:r>
      <w:r>
        <w:t xml:space="preserve">succeeds. If completion fails, staged side effects are</w:t>
      </w:r>
      <w:r>
        <w:t xml:space="preserve"> </w:t>
      </w:r>
      <w:r>
        <w:t xml:space="preserve">discarded (this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rollback — of the side</w:t>
      </w:r>
      <w:r>
        <w:t xml:space="preserve"> </w:t>
      </w:r>
      <w:r>
        <w:t xml:space="preserve">effects, not of the inference itself).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Orphaned reservation handling.</w:t>
      </w:r>
      <w:r>
        <w:t xml:space="preserve"> </w:t>
      </w:r>
      <w:r>
        <w:t xml:space="preserve">If a reservation</w:t>
      </w:r>
      <w:r>
        <w:t xml:space="preserve"> </w:t>
      </w:r>
      <w:r>
        <w:t xml:space="preserve">is written but never completed within the TTL (e.g. the</w:t>
      </w:r>
      <w:r>
        <w:t xml:space="preserve"> </w:t>
      </w:r>
      <w:r>
        <w:t xml:space="preserve">inference server crashed), the reservation is marked</w:t>
      </w:r>
      <w:r>
        <w:t xml:space="preserve"> </w:t>
      </w:r>
      <w:r>
        <w:rPr>
          <w:rStyle w:val="VerbatimChar"/>
        </w:rPr>
        <w:t xml:space="preserve">orphaned</w:t>
      </w:r>
      <w:r>
        <w:t xml:space="preserve">; operations are alerted; staged side</w:t>
      </w:r>
      <w:r>
        <w:t xml:space="preserve"> </w:t>
      </w:r>
      <w:r>
        <w:t xml:space="preserve">effects are discarded; downstream consumers see an</w:t>
      </w:r>
      <w:r>
        <w:t xml:space="preserve"> </w:t>
      </w:r>
      <w:r>
        <w:t xml:space="preserve">explicit failure.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Alerting and no-silent-proceed.</w:t>
      </w:r>
      <w:r>
        <w:t xml:space="preserve"> </w:t>
      </w:r>
      <w:r>
        <w:t xml:space="preserve">An alert MUST be</w:t>
      </w:r>
      <w:r>
        <w:t xml:space="preserve"> </w:t>
      </w:r>
      <w:r>
        <w:t xml:space="preserve">sent to operations on every audit failure; the system</w:t>
      </w:r>
      <w:r>
        <w:t xml:space="preserve"> </w:t>
      </w:r>
      <w:r>
        <w:t xml:space="preserve">MUST NOT proceed to emit results without a completed audit</w:t>
      </w:r>
      <w:r>
        <w:t xml:space="preserve"> </w:t>
      </w:r>
      <w:r>
        <w:t xml:space="preserve">record.</w:t>
      </w:r>
    </w:p>
    <w:p>
      <w:pPr>
        <w:pStyle w:val="FirstParagraph"/>
      </w:pPr>
      <w:r>
        <w:t xml:space="preserve">This wording supersedes the earlier text (which called for</w:t>
      </w:r>
      <w:r>
        <w:t xml:space="preserve"> </w:t>
      </w:r>
      <w:r>
        <w:t xml:space="preserve">“rolling back the agent action”</w:t>
      </w:r>
      <w:r>
        <w:t xml:space="preserve">): because LLM inference is not</w:t>
      </w:r>
      <w:r>
        <w:t xml:space="preserve"> </w:t>
      </w:r>
      <w:r>
        <w:t xml:space="preserve">reversible, the equivalent invariant is enforced by gating with a</w:t>
      </w:r>
      <w:r>
        <w:t xml:space="preserve"> </w:t>
      </w:r>
      <w:r>
        <w:t xml:space="preserve">pre-action reservation and staging side effects.</w:t>
      </w:r>
    </w:p>
    <w:bookmarkEnd w:id="166"/>
    <w:bookmarkEnd w:id="167"/>
    <w:bookmarkStart w:id="169" w:name="compliance-mapping"/>
    <w:p>
      <w:pPr>
        <w:pStyle w:val="Heading2"/>
      </w:pPr>
      <w:r>
        <w:t xml:space="preserve">Compliance mapping</w:t>
      </w:r>
    </w:p>
    <w:bookmarkStart w:id="168" w:name="tab:mgf-mapping"/>
    <w:p>
      <w:pPr>
        <w:pStyle w:val="TableCaption"/>
      </w:pPr>
      <w:r>
        <w:t xml:space="preserve">IMDA MGF requirement mapping.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DA MGF requirement mapping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§10.2–10.3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identity schema,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storage, retention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write API with rollback</w:t>
            </w:r>
          </w:p>
        </w:tc>
      </w:tr>
    </w:tbl>
    <w:bookmarkEnd w:id="168"/>
    <w:bookmarkEnd w:id="169"/>
    <w:bookmarkStart w:id="174" w:name="X1a584155bd17abcefbf06c1b392b92c8cb69792"/>
    <w:p>
      <w:pPr>
        <w:pStyle w:val="Heading2"/>
      </w:pPr>
      <w:r>
        <w:t xml:space="preserve">Implementation checklist and integration status</w:t>
      </w:r>
    </w:p>
    <w:bookmarkStart w:id="170" w:name="audit-service-this-chapter"/>
    <w:p>
      <w:pPr>
        <w:pStyle w:val="Heading3"/>
      </w:pPr>
      <w:r>
        <w:t xml:space="preserve">Audit service (this chapter)</w:t>
      </w:r>
    </w:p>
    <w:p>
      <w:pPr>
        <w:numPr>
          <w:ilvl w:val="0"/>
          <w:numId w:val="1029"/>
        </w:numPr>
      </w:pPr>
      <w:r>
        <w:t xml:space="preserve">Agent identity schema defined</w:t>
      </w:r>
    </w:p>
    <w:p>
      <w:pPr>
        <w:numPr>
          <w:ilvl w:val="0"/>
          <w:numId w:val="1029"/>
        </w:numPr>
      </w:pPr>
      <w:r>
        <w:t xml:space="preserve">Request identity schema defined</w:t>
      </w:r>
    </w:p>
    <w:p>
      <w:pPr>
        <w:numPr>
          <w:ilvl w:val="0"/>
          <w:numId w:val="1029"/>
        </w:numPr>
      </w:pPr>
      <w:r>
        <w:t xml:space="preserve">Audit event schema defined</w:t>
      </w:r>
    </w:p>
    <w:p>
      <w:pPr>
        <w:numPr>
          <w:ilvl w:val="0"/>
          <w:numId w:val="1029"/>
        </w:numPr>
      </w:pPr>
      <w:r>
        <w:t xml:space="preserve">Audit write API contract specified</w:t>
      </w:r>
      <w:r>
        <w:t xml:space="preserve"> </w:t>
      </w:r>
      <w:r>
        <w:t xml:space="preserve">(reserve/complete pattern, Section </w:t>
      </w:r>
      <w:hyperlink w:anchor="sec:audit-failure-handling">
        <w:r>
          <w:rPr>
            <w:rStyle w:val="Hyperlink"/>
          </w:rPr>
          <w:t xml:space="preserve">11.6.2</w:t>
        </w:r>
      </w:hyperlink>
      <w:r>
        <w:t xml:space="preserve">)</w:t>
      </w:r>
    </w:p>
    <w:p>
      <w:pPr>
        <w:numPr>
          <w:ilvl w:val="0"/>
          <w:numId w:val="1029"/>
        </w:numPr>
      </w:pPr>
      <w:r>
        <w:t xml:space="preserve">Audit query API contract specified</w:t>
      </w:r>
    </w:p>
    <w:p>
      <w:pPr>
        <w:numPr>
          <w:ilvl w:val="0"/>
          <w:numId w:val="1029"/>
        </w:numPr>
      </w:pPr>
      <w:r>
        <w:t xml:space="preserve">Audit service implementation</w:t>
      </w:r>
      <w:r>
        <w:t xml:space="preserve"> </w:t>
      </w:r>
      <w:r>
        <w:t xml:space="preserve">() — target: v1.0</w:t>
      </w:r>
    </w:p>
    <w:p>
      <w:pPr>
        <w:numPr>
          <w:ilvl w:val="0"/>
          <w:numId w:val="1029"/>
        </w:numPr>
      </w:pPr>
      <w:r>
        <w:t xml:space="preserve">Immutable storage configured (append-only,</w:t>
      </w:r>
      <w:r>
        <w:t xml:space="preserve"> </w:t>
      </w:r>
      <w:r>
        <w:t xml:space="preserve">hash chaining, external timestamp authority) — target: v1.0</w:t>
      </w:r>
    </w:p>
    <w:p>
      <w:pPr>
        <w:numPr>
          <w:ilvl w:val="0"/>
          <w:numId w:val="1029"/>
        </w:numPr>
      </w:pPr>
      <w:r>
        <w:t xml:space="preserve">Retention policy enforced (7 years) — target: v1.0</w:t>
      </w:r>
    </w:p>
    <w:bookmarkEnd w:id="170"/>
    <w:bookmarkStart w:id="172" w:name="sec:identity-integration-rollout"/>
    <w:p>
      <w:pPr>
        <w:pStyle w:val="Heading3"/>
      </w:pPr>
      <w:r>
        <w:t xml:space="preserve">Pipeline integration rollout</w:t>
      </w:r>
    </w:p>
    <w:p>
      <w:pPr>
        <w:pStyle w:val="FirstParagraph"/>
      </w:pPr>
      <w:r>
        <w:t xml:space="preserve">The integration of the identity attribution audit service with the</w:t>
      </w:r>
      <w:r>
        <w:t xml:space="preserve"> </w:t>
      </w:r>
      <w:r>
        <w:t xml:space="preserve">three application pipelines (TB, Arabic AP, Simula) is sequenced</w:t>
      </w:r>
      <w:r>
        <w:t xml:space="preserve"> </w:t>
      </w:r>
      <w:r>
        <w:t xml:space="preserve">against explicit milestones, not an open-ended forward commitment.</w:t>
      </w:r>
      <w:r>
        <w:t xml:space="preserve"> </w:t>
      </w:r>
      <w:r>
        <w:t xml:space="preserve">Each pipeline has its own integration sub-ticket with an acceptance</w:t>
      </w:r>
      <w:r>
        <w:t xml:space="preserve"> </w:t>
      </w:r>
      <w:r>
        <w:t xml:space="preserve">criterion and a position in the dependency graph of</w:t>
      </w:r>
      <w:r>
        <w:t xml:space="preserve"> </w:t>
      </w:r>
      <w:hyperlink w:anchor="ch:reg-roadmap">
        <w:r>
          <w:rPr>
            <w:rStyle w:val="Hyperlink"/>
          </w:rPr>
          <w:t xml:space="preserve">12</w:t>
        </w:r>
      </w:hyperlink>
      <w:r>
        <w:t xml:space="preserve">; slippage on any row escalates to the GFAIC</w:t>
      </w:r>
      <w:r>
        <w:t xml:space="preserve"> </w:t>
      </w:r>
      <w:r>
        <w:t xml:space="preserve">governance committee.</w:t>
      </w:r>
      <w:r>
        <w:t xml:space="preserve"> </w:t>
      </w:r>
      <w:r>
        <w:rPr>
          <w:b/>
          <w:bCs/>
        </w:rPr>
        <w:t xml:space="preserve">Sequence, not dates</w:t>
      </w:r>
      <w:r>
        <w:t xml:space="preserve">: the rows below</w:t>
      </w:r>
      <w:r>
        <w:t xml:space="preserve"> </w:t>
      </w:r>
      <w:r>
        <w:t xml:space="preserve">use the MoSCoW identifiers from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 </w:t>
      </w:r>
      <w:r>
        <w:t xml:space="preserve">so</w:t>
      </w:r>
      <w:r>
        <w:t xml:space="preserve"> </w:t>
      </w:r>
      <w:r>
        <w:t xml:space="preserve">implementation teams know what depends on what, not when a</w:t>
      </w:r>
      <w:r>
        <w:t xml:space="preserve"> </w:t>
      </w:r>
      <w:r>
        <w:t xml:space="preserve">calendar target is supposed to fire (that belongs in the steering</w:t>
      </w:r>
      <w:r>
        <w:t xml:space="preserve"> </w:t>
      </w:r>
      <w:r>
        <w:t xml:space="preserve">packet).</w:t>
      </w:r>
    </w:p>
    <w:bookmarkStart w:id="171" w:name="tab:identity-rollout"/>
    <w:p>
      <w:pPr>
        <w:pStyle w:val="TableCaption"/>
      </w:pPr>
      <w:r>
        <w:t xml:space="preserve">Audit service and pipeline integration rollout, keyed to</w:t>
      </w:r>
      <w:r>
        <w:t xml:space="preserve"> </w:t>
      </w:r>
      <w:r>
        <w:t xml:space="preserve">the MoSCoW priorities in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. Pri. column:</w:t>
      </w:r>
      <w:r>
        <w:t xml:space="preserve"> </w:t>
      </w:r>
      <w:r>
        <w:t xml:space="preserve">M=Must (critical path), S=Should, C=Could.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 service and pipeline integration rollout, keyed to the MoSCoW priorities in 12.2. Pri. column: M=Must (critical path), S=Should, C=Coul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service skeleton (reserve/complete endpoints, in-memory store): contract tests pass against the two endpoints; 404/409/500 paths exercised.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storage backend (append-only + hash chain + RFC 3161 timestamp): tamper-test suite passes; restored chain validates after adversarial 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retention + legal-hold API: retention policy enforced; legal-hold flag blocks GDPR erasure.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REG-INTG-TB-001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dashboard integration: every dashboard decision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AI commentary draft emits</w:t>
            </w:r>
            <w:r>
              <w:t xml:space="preserve"> </w:t>
            </w:r>
            <w:r>
              <w:rPr>
                <w:rStyle w:val="VerbatimChar"/>
              </w:rPr>
              <w:t xml:space="preserve">reserve</w:t>
            </w:r>
            <w:r>
              <w:t xml:space="preserve">/</w:t>
            </w:r>
            <w:r>
              <w:rPr>
                <w:rStyle w:val="VerbatimChar"/>
              </w:rPr>
              <w:t xml:space="preserve">complete</w:t>
            </w:r>
            <w:r>
              <w:t xml:space="preserve">; 100 % coverage in</w:t>
            </w:r>
            <w:r>
              <w:t xml:space="preserve"> </w:t>
            </w:r>
            <w:hyperlink w:anchor="ch:testing">
              <w:r>
                <w:rPr>
                  <w:rStyle w:val="Hyperlink"/>
                </w:rPr>
                <w:t xml:space="preserve">10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AP integration: OCR, field extraction, VAT rule evaluation each emit audit events; PII hashed.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REG-INTG-SIM-001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 batch integration: training-data runs logged at batch granularity; per-example logging enabled under</w:t>
            </w:r>
            <w:r>
              <w:t xml:space="preserve"> </w:t>
            </w:r>
            <w:r>
              <w:rPr>
                <w:rStyle w:val="VerbatimChar"/>
              </w:rPr>
              <w:t xml:space="preserve">AUDIT_VERBOSE=1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GAIC-REV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compliance gate: quarterly GFAIC review confirms IMDA MGF 2.1.2-002 compliance; traceability matrix</w:t>
            </w:r>
            <w:r>
              <w:t xml:space="preserve"> </w:t>
            </w:r>
            <w:hyperlink w:anchor="tab:trace">
              <w:r>
                <w:rPr>
                  <w:rStyle w:val="Hyperlink"/>
                </w:rPr>
                <w:t xml:space="preserve">8.4</w:t>
              </w:r>
            </w:hyperlink>
            <w:r>
              <w:t xml:space="preserve"> </w:t>
            </w:r>
            <w:r>
              <w:t xml:space="preserve">flips from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implemented</w:t>
            </w:r>
            <w:r>
              <w:t xml:space="preserve"> </w:t>
            </w:r>
            <w:r>
              <w:t xml:space="preserve">on this row.</w:t>
            </w:r>
          </w:p>
        </w:tc>
      </w:tr>
    </w:tbl>
    <w:bookmarkEnd w:id="171"/>
    <w:p>
      <w:pPr>
        <w:pStyle w:val="BodyText"/>
      </w:pPr>
      <w:r>
        <w:t xml:space="preserve">Until each pipeline’s integration is verified, the governance status</w:t>
      </w:r>
      <w:r>
        <w:t xml:space="preserve"> </w:t>
      </w:r>
      <w:r>
        <w:t xml:space="preserve">for that pipeline’s IMDA MGF 2.1.2-002 compliance is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(see the traceability matrix in</w:t>
      </w:r>
      <w:r>
        <w:t xml:space="preserve"> </w:t>
      </w:r>
      <w:hyperlink w:anchor="ch:refs">
        <w:r>
          <w:rPr>
            <w:rStyle w:val="Hyperlink"/>
          </w:rPr>
          <w:t xml:space="preserve">8</w:t>
        </w:r>
      </w:hyperlink>
      <w:r>
        <w:t xml:space="preserve">). Integration tickets</w:t>
      </w:r>
      <w:r>
        <w:t xml:space="preserve"> </w:t>
      </w:r>
      <w:r>
        <w:t xml:space="preserve">REG-INTG-TB-001 (R4) is a Must for the Regulations project and a Must</w:t>
      </w:r>
      <w:r>
        <w:t xml:space="preserve"> </w:t>
      </w:r>
      <w:r>
        <w:t xml:space="preserve">for TB; REG-INTG-AP-001 (R5) is a Should for Regulations and a Must</w:t>
      </w:r>
      <w:r>
        <w:t xml:space="preserve"> </w:t>
      </w:r>
      <w:r>
        <w:t xml:space="preserve">for Arabic AP (it is the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-to-</w:t>
      </w:r>
      <w:r>
        <w:rPr>
          <w:rStyle w:val="VerbatimChar"/>
        </w:rPr>
        <w:t xml:space="preserve">compliant</w:t>
      </w:r>
      <w:r>
        <w:t xml:space="preserve"> </w:t>
      </w:r>
      <w:r>
        <w:t xml:space="preserve">upgrade path for REG-MGF-2.1.2-002); REG-INTG-SIM-001 (R6) is Should</w:t>
      </w:r>
      <w:r>
        <w:t xml:space="preserve"> </w:t>
      </w:r>
      <w:r>
        <w:t xml:space="preserve">for Regulations and is not a v1.0 gate for Simula itself.</w:t>
      </w:r>
      <w:r>
        <w:t xml:space="preserve"> </w:t>
      </w:r>
      <w:r>
        <w:t xml:space="preserve">Table </w:t>
      </w:r>
      <w:hyperlink w:anchor="tab:identity-rollout">
        <w:r>
          <w:rPr>
            <w:rStyle w:val="Hyperlink"/>
          </w:rPr>
          <w:t xml:space="preserve">11.4</w:t>
        </w:r>
      </w:hyperlink>
      <w:r>
        <w:t xml:space="preserve"> </w:t>
      </w:r>
      <w:r>
        <w:t xml:space="preserve">is tracked in the programme status</w:t>
      </w:r>
      <w:r>
        <w:t xml:space="preserve"> </w:t>
      </w:r>
      <w:r>
        <w:t xml:space="preserve">dashboard and refreshed on every cycle.</w:t>
      </w:r>
    </w:p>
    <w:bookmarkEnd w:id="172"/>
    <w:bookmarkStart w:id="173" w:name="compliance-tests"/>
    <w:p>
      <w:pPr>
        <w:pStyle w:val="Heading3"/>
      </w:pPr>
      <w:r>
        <w:t xml:space="preserve">Compliance tests</w:t>
      </w:r>
    </w:p>
    <w:p>
      <w:pPr>
        <w:numPr>
          <w:ilvl w:val="0"/>
          <w:numId w:val="1030"/>
        </w:numPr>
      </w:pPr>
      <w:r>
        <w:t xml:space="preserve">Per-pipeline compliance tests passing</w:t>
      </w:r>
      <w:r>
        <w:t xml:space="preserve"> </w:t>
      </w:r>
      <w:r>
        <w:t xml:space="preserve">(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, Section on audit coverage)</w:t>
      </w:r>
    </w:p>
    <w:p>
      <w:pPr>
        <w:numPr>
          <w:ilvl w:val="0"/>
          <w:numId w:val="1030"/>
        </w:numPr>
      </w:pPr>
      <w:r>
        <w:t xml:space="preserve">Quarterly re-validation against the</w:t>
      </w:r>
      <w:r>
        <w:t xml:space="preserve"> </w:t>
      </w:r>
      <w:r>
        <w:t xml:space="preserve">AIVerify subset (</w:t>
      </w:r>
      <w:hyperlink w:anchor="sec:aiverify-subset">
        <w:r>
          <w:rPr>
            <w:rStyle w:val="Hyperlink"/>
          </w:rPr>
          <w:t xml:space="preserve">10.8.1</w:t>
        </w:r>
      </w:hyperlink>
      <w:r>
        <w:t xml:space="preserve">)</w:t>
      </w:r>
    </w:p>
    <w:bookmarkEnd w:id="173"/>
    <w:bookmarkEnd w:id="174"/>
    <w:bookmarkEnd w:id="175"/>
    <w:bookmarkStart w:id="194" w:name="ch:reg-roadmap"/>
    <w:p>
      <w:pPr>
        <w:pStyle w:val="Heading1"/>
      </w:pPr>
      <w:r>
        <w:t xml:space="preserve">Project Roadmap</w:t>
      </w:r>
    </w:p>
    <w:bookmarkStart w:id="177" w:name="scope-of-this-chapter"/>
    <w:p>
      <w:pPr>
        <w:pStyle w:val="Heading2"/>
      </w:pPr>
      <w:r>
        <w:t xml:space="preserve">Scope of this chapter</w:t>
      </w:r>
    </w:p>
    <w:p>
      <w:pPr>
        <w:pStyle w:val="FirstParagraph"/>
      </w:pPr>
      <w:r>
        <w:t xml:space="preserve">This chapter is the roadmap for the</w:t>
      </w:r>
      <w:r>
        <w:t xml:space="preserve"> </w:t>
      </w:r>
      <w:r>
        <w:rPr>
          <w:b/>
          <w:bCs/>
        </w:rPr>
        <w:t xml:space="preserve">Agentic AI Regulations</w:t>
      </w:r>
      <w:r>
        <w:rPr>
          <w:b/>
          <w:bCs/>
        </w:rPr>
        <w:t xml:space="preserve"> </w:t>
      </w:r>
      <w:r>
        <w:rPr>
          <w:b/>
          <w:bCs/>
        </w:rPr>
        <w:t xml:space="preserve">corpus and implementation-evidence</w:t>
      </w:r>
      <w:r>
        <w:t xml:space="preserve"> </w:t>
      </w:r>
      <w:r>
        <w:t xml:space="preserve">project. It is a project-level</w:t>
      </w:r>
      <w:r>
        <w:t xml:space="preserve"> </w:t>
      </w:r>
      <w:r>
        <w:t xml:space="preserve">artefact, not a programme plan. Other SAP OSS Finance projects (Trial</w:t>
      </w:r>
      <w:r>
        <w:t xml:space="preserve"> </w:t>
      </w:r>
      <w:r>
        <w:t xml:space="preserve">Balance, Arabic AP, Simula) run on the same platform, workspaces, and</w:t>
      </w:r>
      <w:r>
        <w:t xml:space="preserve"> </w:t>
      </w:r>
      <w:r>
        <w:t xml:space="preserve">backends, but each owns its own roadmap, business case, and go/no-go</w:t>
      </w:r>
      <w:r>
        <w:t xml:space="preserve"> </w:t>
      </w:r>
      <w:r>
        <w:t xml:space="preserve">decision. This project is a</w:t>
      </w:r>
      <w:r>
        <w:t xml:space="preserve"> </w:t>
      </w:r>
      <w:r>
        <w:rPr>
          <w:i/>
          <w:iCs/>
        </w:rPr>
        <w:t xml:space="preserve">supplier</w:t>
      </w:r>
      <w:r>
        <w:t xml:space="preserve"> </w:t>
      </w:r>
      <w:r>
        <w:t xml:space="preserve">of shared-platform</w:t>
      </w:r>
      <w:r>
        <w:t xml:space="preserve"> </w:t>
      </w:r>
      <w:r>
        <w:t xml:space="preserve">components (audit service, identity attribution, monitoring,</w:t>
      </w:r>
      <w:r>
        <w:t xml:space="preserve"> </w:t>
      </w:r>
      <w:r>
        <w:t xml:space="preserve">conformance tooling) that the consumer projects depend on.</w:t>
      </w:r>
    </w:p>
    <w:bookmarkStart w:id="176" w:name="sequence-not-dates."/>
    <w:p>
      <w:pPr>
        <w:pStyle w:val="Heading5"/>
      </w:pPr>
      <w:r>
        <w:t xml:space="preserve">Sequence, not dates.</w:t>
      </w:r>
    </w:p>
    <w:p>
      <w:pPr>
        <w:pStyle w:val="FirstParagraph"/>
      </w:pPr>
      <w:r>
        <w:t xml:space="preserve">The milestones and dependency graph below express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prerequisite</w:t>
      </w:r>
      <w:r>
        <w:t xml:space="preserve"> </w:t>
      </w:r>
      <w:r>
        <w:t xml:space="preserve">relationships, not calendar dates. This is</w:t>
      </w:r>
      <w:r>
        <w:t xml:space="preserve"> </w:t>
      </w:r>
      <w:r>
        <w:t xml:space="preserve">deliberate. Implementation teams must know what depends on what, and</w:t>
      </w:r>
      <w:r>
        <w:t xml:space="preserve"> </w:t>
      </w:r>
      <w:r>
        <w:t xml:space="preserve">where the schedule can absorb slippage (the Should/Could items); a</w:t>
      </w:r>
      <w:r>
        <w:t xml:space="preserve"> </w:t>
      </w:r>
      <w:r>
        <w:t xml:space="preserve">date column would harden targets into commitments they were never</w:t>
      </w:r>
      <w:r>
        <w:t xml:space="preserve"> </w:t>
      </w:r>
      <w:r>
        <w:t xml:space="preserve">meant to be. Dates, when set, live in the project steering packet and</w:t>
      </w:r>
      <w:r>
        <w:t xml:space="preserve"> </w:t>
      </w:r>
      <w:r>
        <w:t xml:space="preserve">the ticketing system, not in this specification.</w:t>
      </w:r>
    </w:p>
    <w:bookmarkEnd w:id="176"/>
    <w:bookmarkEnd w:id="177"/>
    <w:bookmarkStart w:id="179" w:name="sec:reg-moscow"/>
    <w:p>
      <w:pPr>
        <w:pStyle w:val="Heading2"/>
      </w:pPr>
      <w:r>
        <w:t xml:space="preserve">MoSCoW classification</w:t>
      </w:r>
    </w:p>
    <w:p>
      <w:pPr>
        <w:pStyle w:val="FirstParagraph"/>
      </w:pPr>
      <w:r>
        <w:t xml:space="preserve">Every milestone below carries one of four priorities. The mapping is</w:t>
      </w:r>
      <w:r>
        <w:t xml:space="preserve"> </w:t>
      </w:r>
      <w:r>
        <w:t xml:space="preserve">contractual: a milestone’s priority determines what happens when it is</w:t>
      </w:r>
      <w:r>
        <w:t xml:space="preserve"> </w:t>
      </w:r>
      <w:r>
        <w:t xml:space="preserve">dropped, de-scoped, or slips.</w:t>
      </w:r>
    </w:p>
    <w:bookmarkStart w:id="178" w:name="tab:reg-moscow"/>
    <w:p>
      <w:pPr>
        <w:pStyle w:val="TableCaption"/>
      </w:pPr>
      <w:r>
        <w:t xml:space="preserve">MoSCoW prioritisation (shared across the four SAP OSS Finance</w:t>
      </w:r>
      <w:r>
        <w:t xml:space="preserve"> </w:t>
      </w:r>
      <w:r>
        <w:t xml:space="preserve">projects).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SCoW prioritisation (shared across the four SAP OSS Finance project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 for v1.0. Without this milestone, the release does not 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Missing a Must halts the release; see the kill-switch in</w:t>
            </w:r>
            <w:r>
              <w:t xml:space="preserve"> </w:t>
            </w:r>
            <w:hyperlink w:anchor="sec:reg-kill-switch">
              <w:r>
                <w:rPr>
                  <w:rStyle w:val="Hyperlink"/>
                </w:rPr>
                <w:t xml:space="preserve">12.5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but not vital. Ship without it only with sponsor sign-off; document the deviation in the business-case refresh.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slip by one consumer wave; two consecutive slips escalate to GFAIC.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Desirable enhancement. Included if Must and Should items are on track.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dropped to v1.1 at project steering’s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out of v1.0 scope. Listed so the boundary is legible.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 for v1.0 planning at all.</w:t>
            </w:r>
          </w:p>
        </w:tc>
      </w:tr>
    </w:tbl>
    <w:bookmarkEnd w:id="178"/>
    <w:p>
      <w:pPr>
        <w:pStyle w:val="BodyText"/>
      </w:pPr>
      <w:r>
        <w:t xml:space="preserve">The critical path of this project is the chain of Must items in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; the Should and Could items are where the</w:t>
      </w:r>
      <w:r>
        <w:t xml:space="preserve"> </w:t>
      </w:r>
      <w:r>
        <w:t xml:space="preserve">schedule and scope can absorb delivery risk without a release slip.</w:t>
      </w:r>
    </w:p>
    <w:bookmarkEnd w:id="179"/>
    <w:bookmarkStart w:id="181" w:name="sec:reg-dependency-graph"/>
    <w:p>
      <w:pPr>
        <w:pStyle w:val="Heading2"/>
      </w:pPr>
      <w:r>
        <w:t xml:space="preserve">Dependency graph</w:t>
      </w:r>
    </w:p>
    <w:bookmarkStart w:id="180" w:name="fig:reg-dependency-grap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Regulations dependency graph. Amber nodes are Must (critical</w:t>
      </w:r>
      <w:r>
        <w:t xml:space="preserve"> </w:t>
      </w:r>
      <w:r>
        <w:t xml:space="preserve">path); blue are Should (consumer-integration and MGF-pillar</w:t>
      </w:r>
      <w:r>
        <w:t xml:space="preserve"> </w:t>
      </w:r>
      <w:r>
        <w:t xml:space="preserve">allowance); dotted green are Could (discretionary). Solid arrows are</w:t>
      </w:r>
      <w:r>
        <w:t xml:space="preserve"> </w:t>
      </w:r>
      <w:r>
        <w:t xml:space="preserve">hard prerequisites; dashed arrows indicate conditional starts (the</w:t>
      </w:r>
      <w:r>
        <w:t xml:space="preserve"> </w:t>
      </w:r>
      <w:r>
        <w:t xml:space="preserve">target is unlocked when the upstream completes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v2.0</w:t>
      </w:r>
      <w:r>
        <w:t xml:space="preserve"> </w:t>
      </w:r>
      <w:r>
        <w:t xml:space="preserve">trigger in</w:t>
      </w:r>
      <w:r>
        <w:t xml:space="preserve"> </w:t>
      </w:r>
      <w:hyperlink w:anchor="sec:reg-v2-trigger">
        <w:r>
          <w:rPr>
            <w:rStyle w:val="Hyperlink"/>
          </w:rPr>
          <w:t xml:space="preserve">12.7</w:t>
        </w:r>
      </w:hyperlink>
      <w:r>
        <w:t xml:space="preserve"> </w:t>
      </w:r>
      <w:r>
        <w:t xml:space="preserve">fires).</w:t>
      </w:r>
    </w:p>
    <w:bookmarkEnd w:id="180"/>
    <w:bookmarkEnd w:id="181"/>
    <w:bookmarkStart w:id="183" w:name="sec:reg-milestones"/>
    <w:p>
      <w:pPr>
        <w:pStyle w:val="Heading2"/>
      </w:pPr>
      <w:r>
        <w:t xml:space="preserve">Project milestones</w:t>
      </w:r>
    </w:p>
    <w:bookmarkStart w:id="182" w:name="tab:reg-milestones"/>
    <w:p>
      <w:pPr>
        <w:pStyle w:val="TableCaption"/>
      </w:pPr>
      <w:r>
        <w:t xml:space="preserve">Regulations v1.0 project milestones in dependency order.</w:t>
      </w:r>
      <w:r>
        <w:t xml:space="preserve"> </w:t>
      </w:r>
      <w:r>
        <w:t xml:space="preserve">Priority: M=Must (critical path), S=Should, C=Could, W=Won’t.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v1.0 project milestones in dependency order. Priority: M=Must (critical path), S=Should, C=Could, W=Won’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REG-ENG-001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index and MGF framework specification complete; conformance tooling passes the fixtures in</w:t>
            </w:r>
            <w:r>
              <w:t xml:space="preserve"> </w:t>
            </w:r>
            <w:hyperlink w:anchor="ch:tooling">
              <w:r>
                <w:rPr>
                  <w:rStyle w:val="Hyperlink"/>
                </w:rPr>
                <w:t xml:space="preserve">7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REG-AUDIT-001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service (reserve/complete, immutable storage) live in UAT; SEV1/SEV2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REG-IDENT-001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attribution wiring (</w:t>
            </w:r>
            <w:hyperlink w:anchor="ch:identity">
              <w:r>
                <w:rPr>
                  <w:rStyle w:val="Hyperlink"/>
                </w:rPr>
                <w:t xml:space="preserve">11</w:t>
              </w:r>
            </w:hyperlink>
            <w:r>
              <w:t xml:space="preserve">) live in UAT; REG-MGF-2.1.2-002 compliance upgraded from</w:t>
            </w:r>
            <w:r>
              <w:t xml:space="preserve"> </w:t>
            </w:r>
            <w:r>
              <w:rPr>
                <w:i/>
                <w:iCs/>
              </w:rPr>
              <w:t xml:space="preserve">missing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partial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REG-MON-001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spec operational: circuit breaker plus graceful-degradation ladder (</w:t>
            </w:r>
            <w:hyperlink w:anchor="sec:degradation-ladder">
              <w:r>
                <w:rPr>
                  <w:rStyle w:val="Hyperlink"/>
                </w:rPr>
                <w:t xml:space="preserve">9.5.4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M03, 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REG-INTG-TB-001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consumer (Trial Balance) integrated end-to-end; reserve/complete coverage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100 % on TB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REG-GA-001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sign-off (audit + identity + monitoring) on the TB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REG-BC-REFRESH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Business-case refresh and compliance attestation (first cycle after GA; then annual).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AP integration: reserve/complete on AP actions; REG-MGF-2.1.2-002 becomes</w:t>
            </w:r>
            <w:r>
              <w:t xml:space="preserve"> </w:t>
            </w:r>
            <w:r>
              <w:rPr>
                <w:i/>
                <w:iCs/>
              </w:rPr>
              <w:t xml:space="preserve">compliant</w:t>
            </w:r>
            <w:r>
              <w:t xml:space="preserve"> </w:t>
            </w:r>
            <w:r>
              <w:t xml:space="preserve">once AP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REG-INTG-SIM-001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 integration: reserve/complete on Simula corpus-generation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REG-MGF-V11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MGF v1.1 pillar updates ingested and mapped to agent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 +</w:t>
            </w:r>
            <w:r>
              <w:t xml:space="preserve"> </w:t>
            </w:r>
            <w:hyperlink w:anchor="sec:reg-v2-trigger">
              <w:r>
                <w:rPr>
                  <w:rStyle w:val="Hyperlink"/>
                </w:rPr>
                <w:t xml:space="preserve">12.7</w:t>
              </w:r>
            </w:hyperlink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REG-V2-EXPLORE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multi-regulator correlation scoped (beyond IMDA MGF).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conformance-tooling retraining from accept/edit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REG-V1-REALTIME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cross-project audit dashboards 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REG-V1-MULTIREG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Multi-regulator correlation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scope; single-regulator (IMDA MGF) only.</w:t>
            </w:r>
          </w:p>
        </w:tc>
      </w:tr>
    </w:tbl>
    <w:bookmarkEnd w:id="182"/>
    <w:p>
      <w:pPr>
        <w:pStyle w:val="BodyText"/>
      </w:pPr>
      <w:r>
        <w:t xml:space="preserve">The Must chain (M01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M03/M04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M07) is the critical path. The Should items (S01–S03) are the</w:t>
      </w:r>
      <w:r>
        <w:t xml:space="preserve"> </w:t>
      </w:r>
      <w:r>
        <w:t xml:space="preserve">primary</w:t>
      </w:r>
      <w:r>
        <w:t xml:space="preserve"> </w:t>
      </w:r>
      <w:r>
        <w:rPr>
          <w:i/>
          <w:iCs/>
        </w:rPr>
        <w:t xml:space="preserve">schedule allowance</w:t>
      </w:r>
      <w:r>
        <w:t xml:space="preserve">: additional consumer integrations</w:t>
      </w:r>
      <w:r>
        <w:t xml:space="preserve"> </w:t>
      </w:r>
      <w:r>
        <w:t xml:space="preserve">and MGF pillars can slip without affecting v1.0 sign-off. The Could</w:t>
      </w:r>
      <w:r>
        <w:t xml:space="preserve"> </w:t>
      </w:r>
      <w:r>
        <w:t xml:space="preserve">items are the</w:t>
      </w:r>
      <w:r>
        <w:t xml:space="preserve"> </w:t>
      </w:r>
      <w:r>
        <w:rPr>
          <w:i/>
          <w:iCs/>
        </w:rPr>
        <w:t xml:space="preserve">scope allowance</w:t>
      </w:r>
      <w:r>
        <w:t xml:space="preserve">: they may be cut to v1.1 without</w:t>
      </w:r>
      <w:r>
        <w:t xml:space="preserve"> </w:t>
      </w:r>
      <w:r>
        <w:t xml:space="preserve">renegotiation.</w:t>
      </w:r>
    </w:p>
    <w:bookmarkEnd w:id="183"/>
    <w:bookmarkStart w:id="185" w:name="sec:reg-launch-tiers"/>
    <w:p>
      <w:pPr>
        <w:pStyle w:val="Heading2"/>
      </w:pPr>
      <w:r>
        <w:t xml:space="preserve">Launch tiers and exit gates</w:t>
      </w:r>
    </w:p>
    <w:p>
      <w:pPr>
        <w:pStyle w:val="FirstParagraph"/>
      </w:pPr>
      <w:r>
        <w:t xml:space="preserve">The project walks the four-tier ladder shared across SAP OSS Finance</w:t>
      </w:r>
      <w:r>
        <w:t xml:space="preserve"> </w:t>
      </w:r>
      <w:r>
        <w:t xml:space="preserve">projects. A tier is exited only when the named exit gate is satisfied;</w:t>
      </w:r>
      <w:r>
        <w:t xml:space="preserve"> </w:t>
      </w:r>
      <w:r>
        <w:t xml:space="preserve">slippage requires sponsor sign-off.</w:t>
      </w:r>
    </w:p>
    <w:bookmarkStart w:id="184" w:name="tab:reg-launch-tiers"/>
    <w:p>
      <w:pPr>
        <w:pStyle w:val="TableCaption"/>
      </w:pPr>
      <w:r>
        <w:t xml:space="preserve">Regulations launch tiers. The exit gate defines the MoSCoW</w:t>
      </w:r>
      <w:r>
        <w:t xml:space="preserve"> </w:t>
      </w:r>
      <w:r>
        <w:t xml:space="preserve">items that must be closed to exit the tier.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launch tiers. The exit gate defines the MoSCoW items that must be closed to exit the ti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gate (references MoSCoW 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only, DEV + UAT, conformance fixtures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M01, M02, M04 closed; conformance tooling green on fixtures; reproducibility of audit outputs confirmed on two consecutive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+ identity + monitoring live for one consumer project (TB) in UAT.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M03, M05 closed; parallel-run gate in the TB spec passes for one full cycle; no open SEV1/SEV2; audit coverage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100 % of in-scope TB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+ identity + monitoring live for TB in 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 closed; Beta gate sustained for two consecutive cycles; kill-switch green; REG-MGF-2.1.2-002 at</w:t>
            </w:r>
            <w:r>
              <w:t xml:space="preserve"> </w:t>
            </w:r>
            <w:r>
              <w:rPr>
                <w:i/>
                <w:iCs/>
              </w:rPr>
              <w:t xml:space="preserve">partial</w:t>
            </w:r>
            <w:r>
              <w:t xml:space="preserve"> </w:t>
            </w:r>
            <w:r>
              <w:t xml:space="preserve">(TB-only).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current consumer projects integrated (TB, AP, Simula).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 and S02 closed; REG-MGF-2.1.2-002 at</w:t>
            </w:r>
            <w:r>
              <w:t xml:space="preserve"> </w:t>
            </w:r>
            <w:r>
              <w:rPr>
                <w:i/>
                <w:iCs/>
              </w:rPr>
              <w:t xml:space="preserve">compliant</w:t>
            </w:r>
            <w:r>
              <w:t xml:space="preserve">; two quarterly reviews sustained; M07 complete; business-case refresh complete.</w:t>
            </w:r>
          </w:p>
        </w:tc>
      </w:tr>
    </w:tbl>
    <w:bookmarkEnd w:id="184"/>
    <w:bookmarkEnd w:id="185"/>
    <w:bookmarkStart w:id="187" w:name="sec:reg-kill-switch"/>
    <w:p>
      <w:pPr>
        <w:pStyle w:val="Heading2"/>
      </w:pPr>
      <w:r>
        <w:t xml:space="preserve">Kill-switch conditions</w:t>
      </w:r>
    </w:p>
    <w:p>
      <w:pPr>
        <w:pStyle w:val="FirstParagraph"/>
      </w:pPr>
      <w:r>
        <w:t xml:space="preserve">The kill-switch is a pre-committed rulebook: a tripped condition enters</w:t>
      </w:r>
      <w:r>
        <w:t xml:space="preserve"> </w:t>
      </w:r>
      <w:r>
        <w:t xml:space="preserve">the action column without further debate. GFAIC and sponsor are</w:t>
      </w:r>
      <w:r>
        <w:t xml:space="preserve"> </w:t>
      </w:r>
      <w:r>
        <w:t xml:space="preserve">notified within 24 hours. The conditions are evaluated continuously</w:t>
      </w:r>
      <w:r>
        <w:t xml:space="preserve"> </w:t>
      </w:r>
      <w:r>
        <w:t xml:space="preserve">(on every cycle) and do not carry dates.</w:t>
      </w:r>
    </w:p>
    <w:bookmarkStart w:id="186" w:name="tab:reg-kill-switch"/>
    <w:p>
      <w:pPr>
        <w:pStyle w:val="TableCaption"/>
      </w:pPr>
      <w:r>
        <w:t xml:space="preserve">Regulations kill-switch.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ulations kill-switch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Audit-coverage gap (missed</w:t>
            </w:r>
            <w:r>
              <w:t xml:space="preserve"> </w:t>
            </w:r>
            <w:r>
              <w:rPr>
                <w:rStyle w:val="VerbatimChar"/>
              </w:rPr>
              <w:t xml:space="preserve">reserve/complete</w:t>
            </w:r>
            <w:r>
              <w:t xml:space="preserve"> </w:t>
            </w:r>
            <w:r>
              <w:t xml:space="preserve">pair) detected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GA onboarding for all consumers</w:t>
            </w:r>
            <w:r>
              <w:t xml:space="preserve">; incident-review before next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 tripped with no successful graceful-degradation fallback for three consecutive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upstream LLM traffic</w:t>
            </w:r>
            <w:r>
              <w:t xml:space="preserve">; fail over to cached/heuristic path; remediate before resuming.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Identity-attribution reconciliation fails (principal of record cannot be resolved) for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 0.01 % of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affected consumer</w:t>
            </w:r>
            <w:r>
              <w:t xml:space="preserve">; block further reserves until remediated.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IMDA MGF finding attributable to the Regulations platform (audit, identity,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rollout</w:t>
            </w:r>
            <w:r>
              <w:t xml:space="preserve">; remediate before next 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consumer project declares red on a Regulations-supplied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downstream Should</w:t>
            </w:r>
            <w:r>
              <w:t xml:space="preserve">; re-plan at next steering.</w:t>
            </w:r>
          </w:p>
        </w:tc>
      </w:tr>
    </w:tbl>
    <w:bookmarkEnd w:id="186"/>
    <w:bookmarkEnd w:id="187"/>
    <w:bookmarkStart w:id="189" w:name="sec:reg-shared-deps"/>
    <w:p>
      <w:pPr>
        <w:pStyle w:val="Heading2"/>
      </w:pPr>
      <w:r>
        <w:t xml:space="preserve">Shared-platform dependencies</w:t>
      </w:r>
    </w:p>
    <w:p>
      <w:pPr>
        <w:pStyle w:val="FirstParagraph"/>
      </w:pPr>
      <w:r>
        <w:t xml:space="preserve">This project depends on two shared-platform components (it supplies</w:t>
      </w:r>
      <w:r>
        <w:t xml:space="preserve"> </w:t>
      </w:r>
      <w:r>
        <w:t xml:space="preserve">the rest). Each is tracked here only as a dependency, not a commitment</w:t>
      </w:r>
      <w:r>
        <w:t xml:space="preserve"> </w:t>
      </w:r>
      <w:r>
        <w:t xml:space="preserve">this project can unilaterally adjust. Sequence is expressed in terms</w:t>
      </w:r>
      <w:r>
        <w:t xml:space="preserve"> </w:t>
      </w:r>
      <w:r>
        <w:t xml:space="preserve">of the Must item that first consumes the dependency, not in calendar</w:t>
      </w:r>
      <w:r>
        <w:t xml:space="preserve"> </w:t>
      </w:r>
      <w:r>
        <w:t xml:space="preserve">time.</w:t>
      </w:r>
    </w:p>
    <w:bookmarkStart w:id="188" w:name="tab:reg-shared-deps"/>
    <w:p>
      <w:pPr>
        <w:pStyle w:val="TableCaption"/>
      </w:pPr>
      <w:r>
        <w:t xml:space="preserve">Shared-platform dependencies.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hared-platform dependenc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consumed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 if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schema registry 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</w:t>
            </w:r>
            <w:r>
              <w:t xml:space="preserve"> </w:t>
            </w:r>
            <w:r>
              <w:rPr>
                <w:rStyle w:val="VerbatimChar"/>
              </w:rPr>
              <w:t xml:space="preserve">migration.status=complete</w:t>
            </w:r>
            <w:r>
              <w:t xml:space="preserve">; no remaining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 hosting (</w:t>
            </w:r>
            <w:r>
              <w:rPr>
                <w:rStyle w:val="VerbatimChar"/>
              </w:rPr>
              <w:t xml:space="preserve">vllm-only</w:t>
            </w:r>
            <w:r>
              <w:t xml:space="preserve"> </w:t>
            </w:r>
            <w:r>
              <w:t xml:space="preserve">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graceful-degradation ladder (</w:t>
            </w:r>
            <w:hyperlink w:anchor="sec:degradation-ladder">
              <w:r>
                <w:rPr>
                  <w:rStyle w:val="Hyperlink"/>
                </w:rPr>
                <w:t xml:space="preserve">9.5.4</w:t>
              </w:r>
            </w:hyperlink>
            <w:r>
              <w:t xml:space="preserve">) is the mitigation; this project is the</w:t>
            </w:r>
            <w:r>
              <w:t xml:space="preserve"> </w:t>
            </w:r>
            <w:r>
              <w:rPr>
                <w:i/>
                <w:iCs/>
              </w:rPr>
              <w:t xml:space="preserve">owner</w:t>
            </w:r>
            <w:r>
              <w:t xml:space="preserve"> </w:t>
            </w:r>
            <w:r>
              <w:t xml:space="preserve">of that ladder for sibling consumers.</w:t>
            </w:r>
          </w:p>
        </w:tc>
      </w:tr>
    </w:tbl>
    <w:bookmarkEnd w:id="188"/>
    <w:p>
      <w:pPr>
        <w:pStyle w:val="BodyText"/>
      </w:pPr>
      <w:r>
        <w:t xml:space="preserve">Shared-platform dependencies are surfaced at monthly steering. If any</w:t>
      </w:r>
      <w:r>
        <w:t xml:space="preserve"> </w:t>
      </w:r>
      <w:r>
        <w:t xml:space="preserve">upstream owner declares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a component</w:t>
      </w:r>
      <w:r>
        <w:t xml:space="preserve"> </w:t>
      </w:r>
      <w:r>
        <w:t xml:space="preserve">in</w:t>
      </w:r>
      <w:r>
        <w:t xml:space="preserve"> </w:t>
      </w:r>
      <w:hyperlink w:anchor="tab:reg-shared-deps">
        <w:r>
          <w:rPr>
            <w:rStyle w:val="Hyperlink"/>
          </w:rPr>
          <w:t xml:space="preserve">12.5</w:t>
        </w:r>
      </w:hyperlink>
      <w:r>
        <w:t xml:space="preserve">, the affected downstream Must milestone</w:t>
      </w:r>
      <w:r>
        <w:t xml:space="preserve"> </w:t>
      </w:r>
      <w:r>
        <w:t xml:space="preserve">is re-planned at the following steering.</w:t>
      </w:r>
    </w:p>
    <w:bookmarkEnd w:id="189"/>
    <w:bookmarkStart w:id="190" w:name="sec:reg-v2-trigger"/>
    <w:p>
      <w:pPr>
        <w:pStyle w:val="Heading2"/>
      </w:pPr>
      <w:r>
        <w:t xml:space="preserve">v2.0 expansion trigger</w:t>
      </w:r>
    </w:p>
    <w:p>
      <w:pPr>
        <w:pStyle w:val="FirstParagraph"/>
      </w:pPr>
      <w:r>
        <w:t xml:space="preserve">The Could item C01 (REG-V2-EXPLORE) is unlocked only when all of the</w:t>
      </w:r>
      <w:r>
        <w:t xml:space="preserve"> </w:t>
      </w:r>
      <w:r>
        <w:t xml:space="preserve">following are observed after two consecutive quarters of full rollout</w:t>
      </w:r>
      <w:r>
        <w:t xml:space="preserve"> </w:t>
      </w:r>
      <w:r>
        <w:t xml:space="preserve">under v1.0:</w:t>
      </w:r>
    </w:p>
    <w:p>
      <w:pPr>
        <w:numPr>
          <w:ilvl w:val="0"/>
          <w:numId w:val="1031"/>
        </w:numPr>
      </w:pPr>
      <w:r>
        <w:t xml:space="preserve">a second regulator framework (beyond IMDA MGF) is formally</w:t>
      </w:r>
      <w:r>
        <w:t xml:space="preserve"> </w:t>
      </w:r>
      <w:r>
        <w:t xml:space="preserve">adopted as in-scope by the AI Governance Working Group;</w:t>
      </w:r>
    </w:p>
    <w:p>
      <w:pPr>
        <w:numPr>
          <w:ilvl w:val="0"/>
          <w:numId w:val="1031"/>
        </w:numPr>
      </w:pPr>
      <w:r>
        <w:t xml:space="preserve">MGF v1.1 pillars (S03) are fully mapped and at</w:t>
      </w:r>
      <w:r>
        <w:t xml:space="preserve"> </w:t>
      </w:r>
      <w:r>
        <w:rPr>
          <w:i/>
          <w:iCs/>
        </w:rPr>
        <w:t xml:space="preserve">compliant</w:t>
      </w:r>
      <w:r>
        <w:t xml:space="preserve"> </w:t>
      </w:r>
      <w:r>
        <w:t xml:space="preserve">status;</w:t>
      </w:r>
    </w:p>
    <w:p>
      <w:pPr>
        <w:numPr>
          <w:ilvl w:val="0"/>
          <w:numId w:val="1031"/>
        </w:numPr>
      </w:pPr>
      <w:r>
        <w:t xml:space="preserve">business-case refresh (M07) explicitly budgets the v2.0</w:t>
      </w:r>
      <w:r>
        <w:t xml:space="preserve"> </w:t>
      </w:r>
      <w:r>
        <w:t xml:space="preserve">programme.</w:t>
      </w:r>
    </w:p>
    <w:p>
      <w:pPr>
        <w:pStyle w:val="FirstParagraph"/>
      </w:pPr>
      <w:r>
        <w:t xml:space="preserve">If any of the three conditions fails, C01 remains in the Could column</w:t>
      </w:r>
      <w:r>
        <w:t xml:space="preserve"> </w:t>
      </w:r>
      <w:r>
        <w:t xml:space="preserve">and is re-evaluated at the next business-case refresh.</w:t>
      </w:r>
    </w:p>
    <w:bookmarkEnd w:id="190"/>
    <w:bookmarkStart w:id="193" w:name="sec:reg-governance"/>
    <w:p>
      <w:pPr>
        <w:pStyle w:val="Heading2"/>
      </w:pPr>
      <w:r>
        <w:t xml:space="preserve">Governance and business-case cadence</w:t>
      </w:r>
    </w:p>
    <w:bookmarkStart w:id="191" w:name="project-governance."/>
    <w:p>
      <w:pPr>
        <w:pStyle w:val="Heading5"/>
      </w:pPr>
      <w:r>
        <w:t xml:space="preserve">Project governance.</w:t>
      </w:r>
    </w:p>
    <w:p>
      <w:pPr>
        <w:pStyle w:val="FirstParagraph"/>
      </w:pPr>
      <w:r>
        <w:t xml:space="preserve">The Regulations project reports monthly to a project steering (AI</w:t>
      </w:r>
      <w:r>
        <w:t xml:space="preserve"> </w:t>
      </w:r>
      <w:r>
        <w:t xml:space="preserve">Governance Lead, Compliance Officer, Platform Engineer) and quarterly</w:t>
      </w:r>
      <w:r>
        <w:t xml:space="preserve"> </w:t>
      </w:r>
      <w:r>
        <w:t xml:space="preserve">to the cross-project GFAIC, which it also convenes. Monthly steering</w:t>
      </w:r>
      <w:r>
        <w:t xml:space="preserve"> </w:t>
      </w:r>
      <w:r>
        <w:t xml:space="preserve">accepts or rejects amber/red signals on Must items; GFAIC reviews</w:t>
      </w:r>
      <w:r>
        <w:t xml:space="preserve"> </w:t>
      </w:r>
      <w:r>
        <w:t xml:space="preserve">compliance posture and cross-project dependencies (this project’s</w:t>
      </w:r>
      <w:r>
        <w:t xml:space="preserve"> </w:t>
      </w:r>
      <w:r>
        <w:t xml:space="preserve">consumer-integration Should items feed directly into sibling projects’</w:t>
      </w:r>
      <w:r>
        <w:t xml:space="preserve"> </w:t>
      </w:r>
      <w:r>
        <w:t xml:space="preserve">Must items).</w:t>
      </w:r>
    </w:p>
    <w:bookmarkEnd w:id="191"/>
    <w:bookmarkStart w:id="192" w:name="business-case-refresh-m07."/>
    <w:p>
      <w:pPr>
        <w:pStyle w:val="Heading5"/>
      </w:pPr>
      <w:r>
        <w:t xml:space="preserve">Business-case refresh (M07).</w:t>
      </w:r>
    </w:p>
    <w:p>
      <w:pPr>
        <w:pStyle w:val="FirstParagraph"/>
      </w:pPr>
      <w:r>
        <w:t xml:space="preserve">The business case that authorises this project is refreshed on the</w:t>
      </w:r>
      <w:r>
        <w:t xml:space="preserve"> </w:t>
      </w:r>
      <w:r>
        <w:t xml:space="preserve">following rhythm: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Mandatory refresh</w:t>
      </w:r>
      <w:r>
        <w:t xml:space="preserve">: at the first cycle after GA, and</w:t>
      </w:r>
      <w:r>
        <w:t xml:space="preserve"> </w:t>
      </w:r>
      <w:r>
        <w:t xml:space="preserve">annually thereafter (ticket REG-BC-REFRESH, priority M in</w:t>
      </w:r>
      <w:r>
        <w:t xml:space="preserve"> </w:t>
      </w:r>
      <w:hyperlink w:anchor="tab:reg-milestones">
        <w:r>
          <w:rPr>
            <w:rStyle w:val="Hyperlink"/>
          </w:rPr>
          <w:t xml:space="preserve">12.2</w:t>
        </w:r>
      </w:hyperlink>
      <w:r>
        <w:t xml:space="preserve">). Refresh packet includes consumer</w:t>
      </w:r>
      <w:r>
        <w:t xml:space="preserve"> </w:t>
      </w:r>
      <w:r>
        <w:t xml:space="preserve">integration load assumptions, unit economics</w:t>
      </w:r>
      <w:r>
        <w:t xml:space="preserve"> </w:t>
      </w:r>
      <w:r>
        <w:t xml:space="preserve">and platform operating cost</w:t>
      </w:r>
      <w:r>
        <w:t xml:space="preserve"> </w:t>
      </w:r>
      <w:r>
        <w:t xml:space="preserve">realised vs. forecast, and a deviation statement against the</w:t>
      </w:r>
      <w:r>
        <w:t xml:space="preserve"> </w:t>
      </w:r>
      <w:r>
        <w:t xml:space="preserve">baseline.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Trigger-based refresh</w:t>
      </w:r>
      <w:r>
        <w:t xml:space="preserve">: any of</w:t>
      </w:r>
    </w:p>
    <w:p>
      <w:pPr>
        <w:numPr>
          <w:ilvl w:val="1"/>
          <w:numId w:val="1033"/>
        </w:numPr>
      </w:pPr>
      <w:r>
        <w:t xml:space="preserve">consumer-project count in scope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1</m:t>
        </m:r>
      </m:oMath>
      <w:r>
        <w:t xml:space="preserve"> </w:t>
      </w:r>
      <w:r>
        <w:t xml:space="preserve">(new consumer adopts, or one is retired);</w:t>
      </w:r>
    </w:p>
    <w:p>
      <w:pPr>
        <w:numPr>
          <w:ilvl w:val="1"/>
          <w:numId w:val="1033"/>
        </w:numPr>
      </w:pPr>
      <w:r>
        <w:t xml:space="preserve">per-action audit cost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30</m:t>
        </m:r>
      </m:oMath>
      <w:r>
        <w:t xml:space="preserve"> %</w:t>
      </w:r>
      <w:r>
        <w:t xml:space="preserve"> </w:t>
      </w:r>
      <w:r>
        <w:t xml:space="preserve">(storage, indexing, identity-reconciliation throughput);</w:t>
      </w:r>
    </w:p>
    <w:p>
      <w:pPr>
        <w:numPr>
          <w:ilvl w:val="1"/>
          <w:numId w:val="1033"/>
        </w:numPr>
      </w:pPr>
      <w:r>
        <w:t xml:space="preserve">a new MGF pillar, a new regulator framework, or a</w:t>
      </w:r>
      <w:r>
        <w:t xml:space="preserve"> </w:t>
      </w:r>
      <w:r>
        <w:t xml:space="preserve">material change to REG-MGF-2.1.2-002;</w:t>
      </w:r>
    </w:p>
    <w:p>
      <w:pPr>
        <w:numPr>
          <w:ilvl w:val="1"/>
          <w:numId w:val="1033"/>
        </w:numPr>
      </w:pPr>
      <w:r>
        <w:t xml:space="preserve">any kill-switch in</w:t>
      </w:r>
      <w:r>
        <w:t xml:space="preserve"> </w:t>
      </w:r>
      <w:hyperlink w:anchor="tab:reg-kill-switch">
        <w:r>
          <w:rPr>
            <w:rStyle w:val="Hyperlink"/>
          </w:rPr>
          <w:t xml:space="preserve">12.4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tripped.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Owner</w:t>
      </w:r>
      <w:r>
        <w:t xml:space="preserve">: AI Governance Lead. Approval routed through</w:t>
      </w:r>
      <w:r>
        <w:t xml:space="preserve"> </w:t>
      </w:r>
      <w:r>
        <w:t xml:space="preserve">the project steering and filed at</w:t>
      </w:r>
      <w:r>
        <w:t xml:space="preserve"> </w:t>
      </w:r>
      <w:r>
        <w:t xml:space="preserve">.</w:t>
      </w:r>
    </w:p>
    <w:bookmarkEnd w:id="192"/>
    <w:bookmarkEnd w:id="193"/>
    <w:bookmarkEnd w:id="194"/>
    <w:bookmarkStart w:id="239" w:name="ch:agent-impl"/>
    <w:p>
      <w:pPr>
        <w:pStyle w:val="Heading1"/>
      </w:pPr>
      <w:r>
        <w:t xml:space="preserve">Agent Implementation Instructions</w:t>
      </w:r>
    </w:p>
    <w:bookmarkStart w:id="195" w:name="purpose-and-audience"/>
    <w:p>
      <w:pPr>
        <w:pStyle w:val="Heading2"/>
      </w:pPr>
      <w:r>
        <w:t xml:space="preserve">Purpose and audience</w:t>
      </w:r>
    </w:p>
    <w:p>
      <w:pPr>
        <w:pStyle w:val="FirstParagraph"/>
      </w:pPr>
      <w:r>
        <w:t xml:space="preserve">This chapter is the self-contained, intent-based instruction set for</w:t>
      </w:r>
      <w:r>
        <w:t xml:space="preserve"> </w:t>
      </w:r>
      <w:r>
        <w:t xml:space="preserve">implementing the</w:t>
      </w:r>
      <w:r>
        <w:t xml:space="preserve"> </w:t>
      </w:r>
      <w:r>
        <w:rPr>
          <w:i/>
          <w:iCs/>
        </w:rPr>
        <w:t xml:space="preserve">Regulations</w:t>
      </w:r>
      <w:r>
        <w:t xml:space="preserve"> </w:t>
      </w:r>
      <w:r>
        <w:t xml:space="preserve">domain inside the unified SAP</w:t>
      </w:r>
      <w:r>
        <w:t xml:space="preserve"> </w:t>
      </w:r>
      <w:r>
        <w:t xml:space="preserve">OSS platform. Regulations plays two roles at once: it is a persona</w:t>
      </w:r>
      <w:r>
        <w:t xml:space="preserve"> </w:t>
      </w:r>
      <w:r>
        <w:t xml:space="preserve">surface (Compliance Officer) in its own right,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 is the</w:t>
      </w:r>
      <w:r>
        <w:t xml:space="preserve"> </w:t>
      </w:r>
      <w:r>
        <w:t xml:space="preserve">horizontal runtime wrapper that governs the three other domains</w:t>
      </w:r>
      <w:r>
        <w:t xml:space="preserve"> </w:t>
      </w:r>
      <w:r>
        <w:t xml:space="preserve">(Arabic AP, TB, Simula) at every MCP call. This chapter is written</w:t>
      </w:r>
      <w:r>
        <w:t xml:space="preserve"> </w:t>
      </w:r>
      <w:r>
        <w:t xml:space="preserve">for LLM-driven and human implementation agents who will extend</w:t>
      </w:r>
      <w:r>
        <w:t xml:space="preserve"> </w:t>
      </w:r>
      <w:r>
        <w:t xml:space="preserve">existing services to realise both roles. It assumes only this PDF;</w:t>
      </w:r>
      <w:r>
        <w:t xml:space="preserve"> </w:t>
      </w:r>
      <w:r>
        <w:t xml:space="preserve">every platform decision, integration contract, and governance</w:t>
      </w:r>
      <w:r>
        <w:t xml:space="preserve"> </w:t>
      </w:r>
      <w:r>
        <w:t xml:space="preserve">obligation is restated here so that no companion document is</w:t>
      </w:r>
      <w:r>
        <w:t xml:space="preserve"> </w:t>
      </w:r>
      <w:r>
        <w:t xml:space="preserve">required. Existing chapters </w:t>
      </w:r>
      <w:hyperlink w:anchor="ch:overview">
        <w:r>
          <w:rPr>
            <w:rStyle w:val="Hyperlink"/>
          </w:rPr>
          <w:t xml:space="preserve">2</w:t>
        </w:r>
      </w:hyperlink>
      <w:r>
        <w:t xml:space="preserve">–</w:t>
      </w:r>
      <w:hyperlink w:anchor="ch:reg-roadmap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remain the normative source for the regulations domain itself; this</w:t>
      </w:r>
      <w:r>
        <w:t xml:space="preserve"> </w:t>
      </w:r>
      <w:r>
        <w:t xml:space="preserve">chapter tells future agents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build what those chapters</w:t>
      </w:r>
      <w:r>
        <w:t xml:space="preserve"> </w:t>
      </w:r>
      <w:r>
        <w:t xml:space="preserve">describe,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put it in the codebase,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plugs into the wider platform.</w:t>
      </w:r>
    </w:p>
    <w:bookmarkEnd w:id="195"/>
    <w:bookmarkStart w:id="196" w:name="sec:agent-rules"/>
    <w:p>
      <w:pPr>
        <w:pStyle w:val="Heading2"/>
      </w:pPr>
      <w:r>
        <w:t xml:space="preserve">Rules of Engagement for AI Agents</w:t>
      </w:r>
    </w:p>
    <w:p>
      <w:pPr>
        <w:pStyle w:val="FirstParagraph"/>
      </w:pPr>
      <w:r>
        <w:t xml:space="preserve">To ensure safety and architectural integrity, all implementation agents must adhere to the following Prime Directives: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Credential Protection.</w:t>
      </w:r>
      <w:r>
        <w:t xml:space="preserve"> </w:t>
      </w:r>
      <w:r>
        <w:t xml:space="preserve">Never log, print, or commit secrets. Use the</w:t>
      </w:r>
      <w:r>
        <w:t xml:space="preserve"> </w:t>
      </w:r>
      <w:r>
        <w:rPr>
          <w:rStyle w:val="VerbatimChar"/>
        </w:rPr>
        <w:t xml:space="preserve">.secrets.example</w:t>
      </w:r>
      <w:r>
        <w:t xml:space="preserve"> </w:t>
      </w:r>
      <w:r>
        <w:t xml:space="preserve">pattern for all new integrations.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Context Efficiency.</w:t>
      </w:r>
      <w:r>
        <w:t xml:space="preserve"> </w:t>
      </w:r>
      <w:r>
        <w:t xml:space="preserve">Prioritize surgical edits. Request only the minimum required file ranges to satisfy the task intent.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Test-Driven Implementation.</w:t>
      </w:r>
      <w:r>
        <w:t xml:space="preserve"> </w:t>
      </w:r>
      <w:r>
        <w:t xml:space="preserve">No code is complete without a corresponding fixture in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 </w:t>
      </w:r>
      <w:r>
        <w:t xml:space="preserve">and a passing validation run.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Self-Correction.</w:t>
      </w:r>
      <w:r>
        <w:t xml:space="preserve"> </w:t>
      </w:r>
      <w:r>
        <w:t xml:space="preserve">If a schema validation fails, the agent must diagnose the root cause (hallucination vs. schema drift) before re-attempting implementation.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Safety Inheritance.</w:t>
      </w:r>
      <w:r>
        <w:t xml:space="preserve"> </w:t>
      </w:r>
      <w:r>
        <w:t xml:space="preserve">Domain-specific agent rules (</w:t>
      </w:r>
      <w:r>
        <w:rPr>
          <w:rStyle w:val="VerbatimChar"/>
        </w:rPr>
        <w:t xml:space="preserve">.clinerules</w:t>
      </w:r>
      <w:r>
        <w:t xml:space="preserve">) may only</w:t>
      </w:r>
      <w:r>
        <w:t xml:space="preserve"> </w:t>
      </w:r>
      <w:r>
        <w:rPr>
          <w:i/>
          <w:iCs/>
        </w:rPr>
        <w:t xml:space="preserve">tighten</w:t>
      </w:r>
      <w:r>
        <w:t xml:space="preserve"> </w:t>
      </w:r>
      <w:r>
        <w:t xml:space="preserve">(e.g., lower timeout, stricter precision), never</w:t>
      </w:r>
      <w:r>
        <w:t xml:space="preserve"> </w:t>
      </w:r>
      <w:r>
        <w:rPr>
          <w:i/>
          <w:iCs/>
        </w:rPr>
        <w:t xml:space="preserve">loosen</w:t>
      </w:r>
      <w:r>
        <w:t xml:space="preserve"> </w:t>
      </w:r>
      <w:r>
        <w:t xml:space="preserve">regulatory constraints.</w:t>
      </w:r>
    </w:p>
    <w:bookmarkEnd w:id="196"/>
    <w:bookmarkStart w:id="200" w:name="sec:agent-rule-packs"/>
    <w:p>
      <w:pPr>
        <w:pStyle w:val="Heading2"/>
      </w:pPr>
      <w:r>
        <w:t xml:space="preserve">Agent Rule-Pack Architecture (.clinerules)</w:t>
      </w:r>
    </w:p>
    <w:p>
      <w:pPr>
        <w:pStyle w:val="FirstParagraph"/>
      </w:pPr>
      <w:r>
        <w:t xml:space="preserve">The platform mandates a three-tier inheritance hierarchy for agent behavior. Implementation agents must load the relevant rule pack before starting any task.</w:t>
      </w:r>
    </w:p>
    <w:bookmarkStart w:id="197" w:name="inheritance-hierarchy"/>
    <w:p>
      <w:pPr>
        <w:pStyle w:val="Heading3"/>
      </w:pPr>
      <w:r>
        <w:t xml:space="preserve">Inheritance Hierarchy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Repository-level (</w:t>
      </w:r>
      <w:r>
        <w:rPr>
          <w:rStyle w:val="VerbatimChar"/>
          <w:b/>
          <w:bCs/>
        </w:rPr>
        <w:t xml:space="preserve">/.clinerules</w:t>
      </w:r>
      <w:r>
        <w:rPr>
          <w:b/>
          <w:bCs/>
        </w:rPr>
        <w:t xml:space="preserve">):</w:t>
      </w:r>
      <w:r>
        <w:t xml:space="preserve"> </w:t>
      </w:r>
      <w:r>
        <w:t xml:space="preserve">The baseline for all engineering and documentation standards.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Intelligence-level (</w:t>
      </w:r>
      <w:r>
        <w:rPr>
          <w:rStyle w:val="VerbatimChar"/>
          <w:b/>
          <w:bCs/>
        </w:rPr>
        <w:t xml:space="preserve">/src/intelligence/.clinerules</w:t>
      </w:r>
      <w:r>
        <w:rPr>
          <w:b/>
          <w:bCs/>
        </w:rPr>
        <w:t xml:space="preserve">):</w:t>
      </w:r>
      <w:r>
        <w:t xml:space="preserve"> </w:t>
      </w:r>
      <w:r>
        <w:t xml:space="preserve">The regulatory envelope (MAS MGF) that wraps all domains.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Domain-level (</w:t>
      </w:r>
      <w:r>
        <w:rPr>
          <w:rStyle w:val="VerbatimChar"/>
          <w:b/>
          <w:bCs/>
        </w:rPr>
        <w:t xml:space="preserve">/src/&lt;domain&gt;/.clinerules</w:t>
      </w:r>
      <w:r>
        <w:rPr>
          <w:b/>
          <w:bCs/>
        </w:rPr>
        <w:t xml:space="preserve">):</w:t>
      </w:r>
      <w:r>
        <w:t xml:space="preserve"> </w:t>
      </w:r>
      <w:r>
        <w:t xml:space="preserve">Domain-specific constraints (e.g., Arabic character precision).</w:t>
      </w:r>
    </w:p>
    <w:bookmarkEnd w:id="197"/>
    <w:bookmarkStart w:id="199" w:name="safety-critical-flags"/>
    <w:p>
      <w:pPr>
        <w:pStyle w:val="Heading3"/>
      </w:pPr>
      <w:r>
        <w:t xml:space="preserve">Safety-Critical Flags</w:t>
      </w:r>
    </w:p>
    <w:p>
      <w:pPr>
        <w:pStyle w:val="FirstParagraph"/>
      </w:pPr>
      <w:r>
        <w:t xml:space="preserve">The following flags in the rule packs are subject to</w:t>
      </w:r>
      <w:r>
        <w:t xml:space="preserve"> </w:t>
      </w:r>
      <w:r>
        <w:rPr>
          <w:smallCaps/>
        </w:rPr>
        <w:t xml:space="preserve">rule-5</w:t>
      </w:r>
      <w:r>
        <w:t xml:space="preserve"> </w:t>
      </w:r>
      <w:r>
        <w:t xml:space="preserve">(Inherit, Never Weaken):</w:t>
      </w:r>
    </w:p>
    <w:bookmarkStart w:id="198" w:name="tab:safety-flags"/>
    <w:p>
      <w:pPr>
        <w:pStyle w:val="TableCaption"/>
      </w:pPr>
      <w:r>
        <w:t xml:space="preserve">Safety-Critical Agent Flags.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fety-Critical Agent Flag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Value (Regs)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Tightening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deny_by_default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(Cannot be set to false).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(Cannot be bypassed).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only</w:t>
            </w:r>
            <w:r>
              <w:t xml:space="preserve"> </w:t>
            </w:r>
            <w:r>
              <w:rPr>
                <w:i/>
                <w:iCs/>
              </w:rPr>
              <w:t xml:space="preserve">decrease</w:t>
            </w:r>
            <w:r>
              <w:t xml:space="preserve">.</w:t>
            </w:r>
          </w:p>
        </w:tc>
      </w:tr>
    </w:tbl>
    <w:bookmarkEnd w:id="198"/>
    <w:bookmarkEnd w:id="199"/>
    <w:bookmarkEnd w:id="200"/>
    <w:bookmarkStart w:id="203" w:name="sec:agent-platform-overview"/>
    <w:p>
      <w:pPr>
        <w:pStyle w:val="Heading2"/>
      </w:pPr>
      <w:r>
        <w:t xml:space="preserve">Platform Overview — One Codebase, One Instance</w:t>
      </w:r>
    </w:p>
    <w:bookmarkStart w:id="201" w:name="integration-stance"/>
    <w:p>
      <w:pPr>
        <w:pStyle w:val="Heading3"/>
      </w:pPr>
      <w:r>
        <w:t xml:space="preserve">Integration Stance</w:t>
      </w:r>
    </w:p>
    <w:p>
      <w:pPr>
        <w:pStyle w:val="FirstParagraph"/>
      </w:pPr>
      <w:r>
        <w:t xml:space="preserve">The SAP OSS platform is delivered as a single codebase that runs as a single logical instance. All cross-cutting concerns are hosted by existing services.</w:t>
      </w:r>
    </w:p>
    <w:p>
      <w:pPr>
        <w:pStyle w:val="BodyText"/>
      </w:pPr>
      <w:r>
        <w:t xml:space="preserve">One Codebase, One Instance</w:t>
      </w:r>
      <w:r>
        <w:t xml:space="preserve"> </w:t>
      </w:r>
      <w:r>
        <w:t xml:space="preserve">To minimize integration latency and eliminate distributed-system failure modes (e.g., partial partitions), we mandate a single logical instance. All cross-domain orchestration happens via the MCP Gateway layer.</w:t>
      </w:r>
    </w:p>
    <w:bookmarkEnd w:id="201"/>
    <w:bookmarkStart w:id="202" w:name="sec:platform-map"/>
    <w:p>
      <w:pPr>
        <w:pStyle w:val="Heading3"/>
      </w:pPr>
      <w:r>
        <w:t xml:space="preserve">Platform Integration Map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Cross-domain interaction and unified data flow map. Detailed governance logic is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202"/>
    <w:bookmarkEnd w:id="203"/>
    <w:bookmarkStart w:id="206" w:name="sec:agent-sequences"/>
    <w:p>
      <w:pPr>
        <w:pStyle w:val="Heading2"/>
      </w:pPr>
      <w:r>
        <w:t xml:space="preserve">Transactional Sequence Diagrams</w:t>
      </w:r>
    </w:p>
    <w:p>
      <w:pPr>
        <w:pStyle w:val="FirstParagraph"/>
      </w:pPr>
      <w:r>
        <w:t xml:space="preserve">Implementation agents must adhere to the temporal logic defined below. Every cross-domain request MUST be brokered by the Regulations Wrapper.</w:t>
      </w:r>
    </w:p>
    <w:bookmarkStart w:id="204" w:name="universal-governance-handshake"/>
    <w:p>
      <w:pPr>
        <w:pStyle w:val="Heading3"/>
      </w:pPr>
      <w:r>
        <w:t xml:space="preserve">Universal Governance Handshake</w:t>
      </w:r>
    </w:p>
    <w:p>
      <w:pPr>
        <w:pStyle w:val="FirstParagraph"/>
      </w:pPr>
      <w:r>
        <w:t xml:space="preserve">This sequence applies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platform service calls.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Standard platform handshake for governed tool execution. Audit schemas are detailed in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204"/>
    <w:bookmarkStart w:id="205" w:name="arabic-ap-golden-path"/>
    <w:p>
      <w:pPr>
        <w:pStyle w:val="Heading3"/>
      </w:pPr>
      <w:r>
        <w:t xml:space="preserve">Arabic AP Golden Path</w:t>
      </w:r>
    </w:p>
    <w:p>
      <w:pPr>
        <w:pStyle w:val="FirstParagraph"/>
      </w:pPr>
      <w:r>
        <w:t xml:space="preserve">Temporal flow for invoice processing with Arabic context.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Arabic AP sequence: Scanned PDF to Release. VAT rules are specified in</w:t>
      </w:r>
      <w:r>
        <w:t xml:space="preserve"> </w:t>
      </w:r>
      <w:hyperlink w:anchor="ar:ch:vat">
        <w:r>
          <w:rPr>
            <w:rStyle w:val="Hyperlink"/>
          </w:rPr>
          <w:t xml:space="preserve">[ar:ch:vat]</w:t>
        </w:r>
      </w:hyperlink>
      <w:r>
        <w:t xml:space="preserve">.</w:t>
      </w:r>
    </w:p>
    <w:bookmarkEnd w:id="205"/>
    <w:bookmarkEnd w:id="206"/>
    <w:bookmarkStart w:id="208" w:name="sec:hardware-profiles"/>
    <w:p>
      <w:pPr>
        <w:pStyle w:val="Heading2"/>
      </w:pPr>
      <w:r>
        <w:t xml:space="preserve">Compute and Resource Alignment</w:t>
      </w:r>
    </w:p>
    <w:p>
      <w:pPr>
        <w:pStyle w:val="FirstParagraph"/>
      </w:pPr>
      <w:r>
        <w:t xml:space="preserve">AI algorithms are calibrated for the reference infrastructure established in the domain chapters:</w:t>
      </w:r>
    </w:p>
    <w:bookmarkStart w:id="207" w:name="tab:hardware-profiles"/>
    <w:p>
      <w:pPr>
        <w:pStyle w:val="TableCaption"/>
      </w:pPr>
      <w:r>
        <w:t xml:space="preserve">Infrastructure Reference Profiles.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frastructure Reference Profi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L40S (48GB)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AWQ 4-bit / p95 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(40/80GB)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/ p99 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SXM4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throughput parity</w:t>
            </w:r>
          </w:p>
        </w:tc>
      </w:tr>
    </w:tbl>
    <w:bookmarkEnd w:id="207"/>
    <w:bookmarkEnd w:id="208"/>
    <w:bookmarkStart w:id="209" w:name="sec:hitl-gates"/>
    <w:p>
      <w:pPr>
        <w:pStyle w:val="Heading2"/>
      </w:pPr>
      <w:r>
        <w:t xml:space="preserve">Human-in-the-Loop (HITL) Critical Gates</w:t>
      </w:r>
    </w:p>
    <w:p>
      <w:pPr>
        <w:pStyle w:val="FirstParagraph"/>
      </w:pPr>
      <w:r>
        <w:t xml:space="preserve">The following "Four-Eyes" gates are mandatory. AI agents must implement the "Awaiting Sign-off" state for these actions: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VAT Release:</w:t>
      </w:r>
      <w:r>
        <w:t xml:space="preserve"> </w:t>
      </w:r>
      <w:r>
        <w:t xml:space="preserve">No invoice marked as</w:t>
      </w:r>
      <w:r>
        <w:t xml:space="preserve"> </w:t>
      </w:r>
      <w:r>
        <w:rPr>
          <w:smallCaps/>
        </w:rPr>
        <w:t xml:space="preserve">hold</w:t>
      </w:r>
      <w:r>
        <w:t xml:space="preserve"> </w:t>
      </w:r>
      <w:r>
        <w:t xml:space="preserve">can be released without human review (see</w:t>
      </w:r>
      <w:r>
        <w:t xml:space="preserve"> </w:t>
      </w:r>
      <w:hyperlink w:anchor="ar:ch:ap">
        <w:r>
          <w:rPr>
            <w:rStyle w:val="Hyperlink"/>
          </w:rPr>
          <w:t xml:space="preserve">[ar:ch:ap]</w:t>
        </w:r>
      </w:hyperlink>
      <w:r>
        <w:t xml:space="preserve">).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Anomaly Override:</w:t>
      </w:r>
      <w:r>
        <w:t xml:space="preserve"> </w:t>
      </w:r>
      <w:r>
        <w:t xml:space="preserve">Statistical outliers (</w:t>
      </w:r>
      <m:oMath>
        <m:r>
          <m:t>3</m:t>
        </m:r>
        <m:r>
          <m:t>σ</m:t>
        </m:r>
      </m:oMath>
      <w:r>
        <w:t xml:space="preserve">) cannot be dismissed by AI; only "Confirmed" or "Triaged" by human (see</w:t>
      </w:r>
      <w:r>
        <w:t xml:space="preserve"> </w:t>
      </w:r>
      <w:hyperlink w:anchor="tb:ch:controls">
        <w:r>
          <w:rPr>
            <w:rStyle w:val="Hyperlink"/>
          </w:rPr>
          <w:t xml:space="preserve">[tb:ch:controls]</w:t>
        </w:r>
      </w:hyperlink>
      <w:r>
        <w:t xml:space="preserve">).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Journal Posting:</w:t>
      </w:r>
      <w:r>
        <w:t xml:space="preserve"> </w:t>
      </w:r>
      <w:r>
        <w:t xml:space="preserve">Agents may</w:t>
      </w:r>
      <w:r>
        <w:t xml:space="preserve"> </w:t>
      </w:r>
      <w:r>
        <w:rPr>
          <w:i/>
          <w:iCs/>
        </w:rPr>
        <w:t xml:space="preserve">draft</w:t>
      </w:r>
      <w:r>
        <w:t xml:space="preserve"> </w:t>
      </w:r>
      <w:r>
        <w:t xml:space="preserve">journal entries, but only the Financial Controller persona can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to S/4HANA (see</w:t>
      </w:r>
      <w:r>
        <w:t xml:space="preserve"> </w:t>
      </w:r>
      <w:hyperlink w:anchor="tb:ch:controls-engine">
        <w:r>
          <w:rPr>
            <w:rStyle w:val="Hyperlink"/>
          </w:rPr>
          <w:t xml:space="preserve">[tb:ch:controls-engine]</w:t>
        </w:r>
      </w:hyperlink>
      <w:r>
        <w:t xml:space="preserve">).</w:t>
      </w:r>
    </w:p>
    <w:bookmarkEnd w:id="209"/>
    <w:bookmarkStart w:id="210" w:name="sec:registry-integrity"/>
    <w:p>
      <w:pPr>
        <w:pStyle w:val="Heading2"/>
      </w:pPr>
      <w:r>
        <w:t xml:space="preserve">Registry Integrity &amp; Live Status</w:t>
      </w:r>
    </w:p>
    <w:p>
      <w:pPr>
        <w:pStyle w:val="FirstParagraph"/>
      </w:pPr>
      <w:r>
        <w:t xml:space="preserve">Before initiating any schema-dependent task, implementation agents must verify the live status of the Unified Schema Registry (see</w:t>
      </w:r>
      <w:r>
        <w:t xml:space="preserve"> </w:t>
      </w:r>
      <w:hyperlink w:anchor="sim:chap:schema">
        <w:r>
          <w:rPr>
            <w:rStyle w:val="Hyperlink"/>
          </w:rPr>
          <w:t xml:space="preserve">[sim:chap:schema]</w:t>
        </w:r>
      </w:hyperlink>
      <w:r>
        <w:t xml:space="preserve">).</w:t>
      </w:r>
    </w:p>
    <w:p>
      <w:pPr>
        <w:pStyle w:val="BodyText"/>
      </w:pPr>
      <w:r>
        <w:t xml:space="preserve">Registry First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docs/schema/registry.json</w:t>
      </w:r>
      <w:r>
        <w:t xml:space="preserve"> </w:t>
      </w:r>
      <w:r>
        <w:t xml:space="preserve">is out of sync with the codebase, the agent must halt and emit a</w:t>
      </w:r>
      <w:r>
        <w:t xml:space="preserve"> </w:t>
      </w:r>
      <w:r>
        <w:rPr>
          <w:smallCaps/>
        </w:rPr>
        <w:t xml:space="preserve">schema-mismatch</w:t>
      </w:r>
      <w:r>
        <w:t xml:space="preserve"> </w:t>
      </w:r>
      <w:r>
        <w:t xml:space="preserve">event.</w:t>
      </w:r>
    </w:p>
    <w:bookmarkEnd w:id="210"/>
    <w:bookmarkStart w:id="214" w:name="master-implementation-manifest-union"/>
    <w:p>
      <w:pPr>
        <w:pStyle w:val="Heading2"/>
      </w:pPr>
      <w:r>
        <w:t xml:space="preserve">Master Implementation Manifest (Union)</w:t>
      </w:r>
    </w:p>
    <w:p>
      <w:pPr>
        <w:pStyle w:val="FirstParagraph"/>
      </w:pPr>
      <w:r>
        <w:t xml:space="preserve">Implementation runs in three waves across the entire platform.</w:t>
      </w:r>
    </w:p>
    <w:bookmarkStart w:id="211" w:name="wave-1-foundations"/>
    <w:p>
      <w:pPr>
        <w:pStyle w:val="Heading3"/>
      </w:pPr>
      <w:r>
        <w:t xml:space="preserve">Wave 1 — Foundations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HANA schema extraction pipeline (MCP discovery). See</w:t>
      </w:r>
      <w:r>
        <w:t xml:space="preserve"> </w:t>
      </w:r>
      <w:hyperlink w:anchor="sim:chap:extraction">
        <w:r>
          <w:rPr>
            <w:rStyle w:val="Hyperlink"/>
          </w:rPr>
          <w:t xml:space="preserve">[sim:chap:extraction]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MAS MGF Pillar 1 logic (Tool allow-list). See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Invoice Intake &amp; OCR Gateway. See</w:t>
      </w:r>
      <w:r>
        <w:t xml:space="preserve"> </w:t>
      </w:r>
      <w:hyperlink w:anchor="ar:ch:ai">
        <w:r>
          <w:rPr>
            <w:rStyle w:val="Hyperlink"/>
          </w:rPr>
          <w:t xml:space="preserve">[ar:ch:ai]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identity-attribution wiring.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211"/>
    <w:bookmarkStart w:id="212" w:name="wave-2-core-domain-build-out"/>
    <w:p>
      <w:pPr>
        <w:pStyle w:val="Heading3"/>
      </w:pPr>
      <w:r>
        <w:t xml:space="preserve">Wave 2 — Core Domain Build-out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Controls &amp; Commentary Engine (3</w:t>
      </w:r>
      <m:oMath>
        <m:r>
          <m:t>σ</m:t>
        </m:r>
      </m:oMath>
      <w:r>
        <w:t xml:space="preserve"> </w:t>
      </w:r>
      <w:r>
        <w:t xml:space="preserve">anomaly logic). See</w:t>
      </w:r>
      <w:r>
        <w:t xml:space="preserve"> </w:t>
      </w:r>
      <w:hyperlink w:anchor="tb:ch:ai,tb:ch:controls-engine">
        <w:r>
          <w:rPr>
            <w:rStyle w:val="Hyperlink"/>
          </w:rPr>
          <w:t xml:space="preserve">[tb:ch:ai,tb:ch:controls-engine]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multi-country VAT Engine (Saudi, UAE, Bahrain, Oman). See</w:t>
      </w:r>
      <w:r>
        <w:t xml:space="preserve"> </w:t>
      </w:r>
      <w:hyperlink w:anchor="ar:ch:vat,ar:ch:vat-impl">
        <w:r>
          <w:rPr>
            <w:rStyle w:val="Hyperlink"/>
          </w:rPr>
          <w:t xml:space="preserve">[ar:ch:vat,ar:ch:vat-impl]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Taxonomy Generation &amp; Agentic Data Synthesis. See</w:t>
      </w:r>
      <w:r>
        <w:t xml:space="preserve"> </w:t>
      </w:r>
      <w:hyperlink w:anchor="sim:chap:taxonomy,sim:chap:generator">
        <w:r>
          <w:rPr>
            <w:rStyle w:val="Hyperlink"/>
          </w:rPr>
          <w:t xml:space="preserve">[sim:chap:taxonomy,sim:chap:generator]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Realise 28-state BPMN workflow (</w:t>
      </w:r>
      <w:r>
        <w:rPr>
          <w:rStyle w:val="VerbatimChar"/>
        </w:rPr>
        <w:t xml:space="preserve">tb-review-glo</w:t>
      </w:r>
      <w:r>
        <w:t xml:space="preserve">). See</w:t>
      </w:r>
      <w:r>
        <w:t xml:space="preserve"> </w:t>
      </w:r>
      <w:hyperlink w:anchor="tb:ch:workflow">
        <w:r>
          <w:rPr>
            <w:rStyle w:val="Hyperlink"/>
          </w:rPr>
          <w:t xml:space="preserve">[tb:ch:workflow]</w:t>
        </w:r>
      </w:hyperlink>
      <w:r>
        <w:t xml:space="preserve">.</w:t>
      </w:r>
    </w:p>
    <w:bookmarkEnd w:id="212"/>
    <w:bookmarkStart w:id="213" w:name="wave-3-hardening"/>
    <w:p>
      <w:pPr>
        <w:pStyle w:val="Heading3"/>
      </w:pPr>
      <w:r>
        <w:t xml:space="preserve">Wave 3 — Hardening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Per-Request Identity Attribution.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Deliver Human Review Dashboard. See</w:t>
      </w:r>
      <w:r>
        <w:t xml:space="preserve"> </w:t>
      </w:r>
      <w:hyperlink w:anchor="tb:ch:review-dashboard">
        <w:r>
          <w:rPr>
            <w:rStyle w:val="Hyperlink"/>
          </w:rPr>
          <w:t xml:space="preserve">[tb:ch:review-dashboard]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Deliver test fixtures and testing at 85% coverage. See</w:t>
      </w:r>
      <w:r>
        <w:t xml:space="preserve"> </w:t>
      </w:r>
      <w:hyperlink w:anchor="sim:ch:test-fixtures,sim:ch:testing">
        <w:r>
          <w:rPr>
            <w:rStyle w:val="Hyperlink"/>
          </w:rPr>
          <w:t xml:space="preserve">[sim:ch:test-fixtures,sim:ch:testing]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Wire Emergent-Capability monitoring. See</w:t>
      </w:r>
      <w:r>
        <w:t xml:space="preserve"> </w:t>
      </w:r>
      <w:hyperlink w:anchor="reg:ch:monitoring">
        <w:r>
          <w:rPr>
            <w:rStyle w:val="Hyperlink"/>
          </w:rPr>
          <w:t xml:space="preserve">[reg:ch:monitoring]</w:t>
        </w:r>
      </w:hyperlink>
      <w:r>
        <w:t xml:space="preserve">.</w:t>
      </w:r>
    </w:p>
    <w:bookmarkEnd w:id="213"/>
    <w:bookmarkEnd w:id="214"/>
    <w:bookmarkStart w:id="215" w:name="governance-obligations-mas-mgf"/>
    <w:p>
      <w:pPr>
        <w:pStyle w:val="Heading2"/>
      </w:pPr>
      <w:r>
        <w:t xml:space="preserve">Governance Obligations (MAS MGF)</w:t>
      </w:r>
    </w:p>
    <w:p>
      <w:pPr>
        <w:pStyle w:val="FirstParagraph"/>
      </w:pPr>
      <w:r>
        <w:t xml:space="preserve">The regulations domain wraps all service calls at runtime. Agents must implement the following hooks in every domain: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1:</w:t>
      </w:r>
      <w:r>
        <w:t xml:space="preserve"> </w:t>
      </w:r>
      <w:r>
        <w:t xml:space="preserve">Tool allow-list enforcement (deny-by-default).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2:</w:t>
      </w:r>
      <w:r>
        <w:t xml:space="preserve"> </w:t>
      </w:r>
      <w:r>
        <w:t xml:space="preserve">Traceability via the identity attribution envelope.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3:</w:t>
      </w:r>
      <w:r>
        <w:t xml:space="preserve"> </w:t>
      </w:r>
      <w:r>
        <w:t xml:space="preserve">Metric emission to the monitoring sink.</w:t>
      </w:r>
    </w:p>
    <w:p>
      <w:pPr>
        <w:pStyle w:val="FirstParagraph"/>
      </w:pPr>
      <w:r>
        <w:t xml:space="preserve">Detailed pillar requirements are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215"/>
    <w:bookmarkStart w:id="217" w:name="sec:fmea-ai"/>
    <w:p>
      <w:pPr>
        <w:pStyle w:val="Heading2"/>
      </w:pPr>
      <w:r>
        <w:t xml:space="preserve">FMEA: Failure Mode and Effects Analysis for AI</w:t>
      </w:r>
    </w:p>
    <w:p>
      <w:pPr>
        <w:pStyle w:val="FirstParagraph"/>
      </w:pPr>
      <w:r>
        <w:t xml:space="preserve">The following analysis identifies critical AI failure modes within the Regulations governance runtime and their deterministic mitigations.</w:t>
      </w:r>
    </w:p>
    <w:bookmarkStart w:id="216" w:name="tab:reg-fmea"/>
    <w:p>
      <w:pPr>
        <w:pStyle w:val="TableCaption"/>
      </w:pPr>
      <w:r>
        <w:t xml:space="preserve">FMEA for Regulations AI Governance Pipeline.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MEA for Regulations AI Governance Pipelin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allowed to call a non-allow-listed MCP tool.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Deny-by-default hard gate in MCP Gateway middleware.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action emitted without Identity Envelope.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envelope-check hook in PAL evidence-writer.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Blindspot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capability detected but metrics not emitted.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’Heartbeat’ probe to Monitoring Sink.</w:t>
            </w:r>
          </w:p>
        </w:tc>
      </w:tr>
    </w:tbl>
    <w:bookmarkEnd w:id="216"/>
    <w:bookmarkEnd w:id="217"/>
    <w:bookmarkStart w:id="218" w:name="sec:agent-domain-context"/>
    <w:p>
      <w:pPr>
        <w:pStyle w:val="Heading2"/>
      </w:pPr>
      <w:r>
        <w:t xml:space="preserve">This domain in context</w:t>
      </w:r>
    </w:p>
    <w:p>
      <w:pPr>
        <w:pStyle w:val="FirstParagraph"/>
      </w:pPr>
      <w:r>
        <w:t xml:space="preserve">Regulations is unique among the four domains: it is both a persona</w:t>
      </w:r>
      <w:r>
        <w:t xml:space="preserve"> </w:t>
      </w:r>
      <w:r>
        <w:t xml:space="preserve">surface (Compliance Officer) and the horizontal runtime wrapper that</w:t>
      </w:r>
      <w:r>
        <w:t xml:space="preserve"> </w:t>
      </w:r>
      <w:r>
        <w:t xml:space="preserve">governs Arabic, TB, and Simula at every MCP call. As a persona</w:t>
      </w:r>
      <w:r>
        <w:t xml:space="preserve"> </w:t>
      </w:r>
      <w:r>
        <w:t xml:space="preserve">surface, its working view is the governance dashboard surfaced</w:t>
      </w:r>
      <w:r>
        <w:t xml:space="preserve"> </w:t>
      </w:r>
      <w:r>
        <w:t xml:space="preserve">through the shared workspace shell and gated by regulations</w:t>
      </w:r>
      <w:r>
        <w:t xml:space="preserve"> </w:t>
      </w:r>
      <w:r>
        <w:t xml:space="preserve">entitlements. As a runtime wrapper, it has no separate service of</w:t>
      </w:r>
      <w:r>
        <w:t xml:space="preserve"> </w:t>
      </w:r>
      <w:r>
        <w:t xml:space="preserve">its own: the governance hooks are attached to the gateway and to</w:t>
      </w:r>
      <w:r>
        <w:t xml:space="preserve"> </w:t>
      </w:r>
      <w:r>
        <w:t xml:space="preserve">ai-core-pal, and they are exercised on every call the platform</w:t>
      </w:r>
      <w:r>
        <w:t xml:space="preserve"> </w:t>
      </w:r>
      <w:r>
        <w:t xml:space="preserve">handles. Its entry points are (a) any inbound MCP call into any</w:t>
      </w:r>
      <w:r>
        <w:t xml:space="preserve"> </w:t>
      </w:r>
      <w:r>
        <w:t xml:space="preserve">domain, which must pass through the governance gate, and (b) the</w:t>
      </w:r>
      <w:r>
        <w:t xml:space="preserve"> </w:t>
      </w:r>
      <w:r>
        <w:t xml:space="preserve">Compliance Officer’s review queue. Its exit points are</w:t>
      </w:r>
      <w:r>
        <w:t xml:space="preserve"> </w:t>
      </w:r>
      <w:r>
        <w:t xml:space="preserve">(a) governance decisions (allow, deny, degrade) returned to the</w:t>
      </w:r>
      <w:r>
        <w:t xml:space="preserve"> </w:t>
      </w:r>
      <w:r>
        <w:t xml:space="preserve">gateway, (b) evidence records written to the shared governance</w:t>
      </w:r>
      <w:r>
        <w:t xml:space="preserve"> </w:t>
      </w:r>
      <w:r>
        <w:t xml:space="preserve">store, and (c) conformance reports for auditors.</w:t>
      </w:r>
    </w:p>
    <w:bookmarkEnd w:id="218"/>
    <w:bookmarkStart w:id="219" w:name="sec:agent-schema-contrib"/>
    <w:p>
      <w:pPr>
        <w:pStyle w:val="Heading2"/>
      </w:pPr>
      <w:r>
        <w:t xml:space="preserve">Schema contribution</w:t>
      </w:r>
    </w:p>
    <w:p>
      <w:pPr>
        <w:pStyle w:val="FirstParagraph"/>
      </w:pPr>
      <w:r>
        <w:t xml:space="preserve">Regulations owns the schemas catalogued in chapter </w:t>
      </w:r>
      <w:hyperlink w:anchor="ch:schem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listed in </w:t>
      </w:r>
      <w:hyperlink w:anchor="tab:schemas">
        <w:r>
          <w:rPr>
            <w:rStyle w:val="Hyperlink"/>
          </w:rPr>
          <w:t xml:space="preserve">3.1</w:t>
        </w:r>
      </w:hyperlink>
      <w:r>
        <w:t xml:space="preserve">. The canonical set is the</w:t>
      </w:r>
      <w:r>
        <w:t xml:space="preserve"> </w:t>
      </w:r>
      <w:r>
        <w:t xml:space="preserve">requirement record (the linkage schema between source rule, artefact,</w:t>
      </w:r>
      <w:r>
        <w:t xml:space="preserve"> </w:t>
      </w:r>
      <w:r>
        <w:t xml:space="preserve">and evidence), the conformance-tool record, the enum vocabularies</w:t>
      </w:r>
      <w:r>
        <w:t xml:space="preserve"> </w:t>
      </w:r>
      <w:r>
        <w:t xml:space="preserve">in </w:t>
      </w:r>
      <w:hyperlink w:anchor="tab:enums">
        <w:r>
          <w:rPr>
            <w:rStyle w:val="Hyperlink"/>
          </w:rPr>
          <w:t xml:space="preserve">3.2</w:t>
        </w:r>
      </w:hyperlink>
      <w:r>
        <w:t xml:space="preserve">, the capability-monitoring metrics record</w:t>
      </w:r>
      <w:r>
        <w:t xml:space="preserve"> </w:t>
      </w:r>
      <w:r>
        <w:t xml:space="preserve">(chapter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), and the identity and audit-event</w:t>
      </w:r>
      <w:r>
        <w:t xml:space="preserve"> </w:t>
      </w:r>
      <w:r>
        <w:t xml:space="preserve">schemas in 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. These schemas live under</w:t>
      </w:r>
      <w:r>
        <w:t xml:space="preserve"> </w:t>
      </w:r>
      <w:r>
        <w:rPr>
          <w:rStyle w:val="VerbatimChar"/>
        </w:rPr>
        <w:t xml:space="preserve">docs/latex/specs/regulations/</w:t>
      </w:r>
      <w:r>
        <w:t xml:space="preserve"> </w:t>
      </w:r>
      <w:r>
        <w:t xml:space="preserve">as normative text and under</w:t>
      </w:r>
      <w:r>
        <w:t xml:space="preserve"> </w:t>
      </w:r>
      <w:r>
        <w:rPr>
          <w:rStyle w:val="VerbatimChar"/>
        </w:rPr>
        <w:t xml:space="preserve">docs/schema/regulations/</w:t>
      </w:r>
      <w:r>
        <w:t xml:space="preserve"> </w:t>
      </w:r>
      <w:r>
        <w:t xml:space="preserve">as the JSON Schema artefacts consumed at</w:t>
      </w:r>
      <w:r>
        <w:t xml:space="preserve"> </w:t>
      </w:r>
      <w:r>
        <w:t xml:space="preserve">runtime. Registration in the unified registry is additive: each</w:t>
      </w:r>
      <w:r>
        <w:t xml:space="preserve"> </w:t>
      </w:r>
      <w:r>
        <w:t xml:space="preserve">schema is listed in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 </w:t>
      </w:r>
      <w:r>
        <w:t xml:space="preserve">with its URI, owning domain (</w:t>
      </w:r>
      <w:r>
        <w:rPr>
          <w:rStyle w:val="VerbatimChar"/>
        </w:rPr>
        <w:t xml:space="preserve">regulations</w:t>
      </w:r>
      <w:r>
        <w:t xml:space="preserve">), security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confidential</w:t>
      </w:r>
      <w:r>
        <w:t xml:space="preserve">), and LLM routing (</w:t>
      </w:r>
      <w:r>
        <w:rPr>
          <w:rStyle w:val="VerbatimChar"/>
        </w:rPr>
        <w:t xml:space="preserve">vllm-only</w:t>
      </w:r>
      <w:r>
        <w:t xml:space="preserve">),</w:t>
      </w:r>
      <w:r>
        <w:t xml:space="preserve"> </w:t>
      </w:r>
      <w:r>
        <w:t xml:space="preserve">following the ODPS 4.1 pattern. Simula consumes these schemas</w:t>
      </w:r>
      <w:r>
        <w:t xml:space="preserve"> </w:t>
      </w:r>
      <w:r>
        <w:t xml:space="preserve">directly as inputs to its extraction pipeline; it does not transform</w:t>
      </w:r>
      <w:r>
        <w:t xml:space="preserve"> </w:t>
      </w:r>
      <w:r>
        <w:t xml:space="preserve">them. Regulations’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is a distinct</w:t>
      </w:r>
      <w:r>
        <w:t xml:space="preserve"> </w:t>
      </w:r>
      <w:r>
        <w:t xml:space="preserve">URI from TB’s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; the two files are</w:t>
      </w:r>
      <w:r>
        <w:t xml:space="preserve"> </w:t>
      </w:r>
      <w:r>
        <w:t xml:space="preserve">not merged.</w:t>
      </w:r>
    </w:p>
    <w:bookmarkEnd w:id="219"/>
    <w:bookmarkStart w:id="220" w:name="sec:agent-persona"/>
    <w:p>
      <w:pPr>
        <w:pStyle w:val="Heading2"/>
      </w:pPr>
      <w:r>
        <w:t xml:space="preserve">Persona and MCP allow-list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Persona id:</w:t>
      </w:r>
      <w:r>
        <w:t xml:space="preserve"> </w:t>
      </w:r>
      <w:r>
        <w:rPr>
          <w:rStyle w:val="VerbatimChar"/>
        </w:rPr>
        <w:t xml:space="preserve">compliance-officer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requirement registration, governance-policy</w:t>
      </w:r>
      <w:r>
        <w:t xml:space="preserve"> </w:t>
      </w:r>
      <w:r>
        <w:t xml:space="preserve">authoring, conformance-run triage, emergent-capability review,</w:t>
      </w:r>
      <w:r>
        <w:t xml:space="preserve"> </w:t>
      </w:r>
      <w:r>
        <w:t xml:space="preserve">audit-trail inspection.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Entitlements:</w:t>
      </w:r>
      <w:r>
        <w:t xml:space="preserve"> </w:t>
      </w:r>
      <w:r>
        <w:t xml:space="preserve">read/write on the requirement record,</w:t>
      </w:r>
      <w:r>
        <w:t xml:space="preserve"> </w:t>
      </w:r>
      <w:r>
        <w:t xml:space="preserve">conformance-tool record, capability-monitoring record, and the</w:t>
      </w:r>
      <w:r>
        <w:t xml:space="preserve"> </w:t>
      </w:r>
      <w:r>
        <w:t xml:space="preserve">identity-and-audit schemas; read on every other domain’s</w:t>
      </w:r>
      <w:r>
        <w:t xml:space="preserve"> </w:t>
      </w:r>
      <w:r>
        <w:t xml:space="preserve">evidence output (needed to assemble conformance reports);</w:t>
      </w:r>
      <w:r>
        <w:t xml:space="preserve"> </w:t>
      </w:r>
      <w:r>
        <w:t xml:space="preserve">override-write on governance-decision records (rare, audit-logged).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UI route:</w:t>
      </w:r>
      <w:r>
        <w:t xml:space="preserve"> </w:t>
      </w:r>
      <w:r>
        <w:rPr>
          <w:rStyle w:val="VerbatimChar"/>
        </w:rPr>
        <w:t xml:space="preserve">/governance/{tenant}/dashboard</w:t>
      </w:r>
      <w:r>
        <w:t xml:space="preserve"> </w:t>
      </w:r>
      <w:r>
        <w:t xml:space="preserve">on the shared workspace shell; surfaced only to callers whose</w:t>
      </w:r>
      <w:r>
        <w:t xml:space="preserve"> </w:t>
      </w:r>
      <w:r>
        <w:t xml:space="preserve">entitlement set includes</w:t>
      </w:r>
      <w:r>
        <w:t xml:space="preserve"> </w:t>
      </w:r>
      <w:r>
        <w:rPr>
          <w:rStyle w:val="VerbatimChar"/>
        </w:rPr>
        <w:t xml:space="preserve">compliance-officer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MCP tool allow-list:</w:t>
      </w:r>
      <w:r>
        <w:t xml:space="preserve"> </w:t>
      </w:r>
      <w:r>
        <w:rPr>
          <w:rStyle w:val="VerbatimChar"/>
        </w:rPr>
        <w:t xml:space="preserve">gov.requirement.register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gov.policy.publish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gov.conformance.run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gov.conformance.report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gov.monitor.query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gov.audit.query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gov.identity.attest</w:t>
      </w:r>
      <w:r>
        <w:t xml:space="preserve">. All other MCP tools are denied by</w:t>
      </w:r>
      <w:r>
        <w:t xml:space="preserve"> </w:t>
      </w:r>
      <w:r>
        <w:t xml:space="preserve">default per IMDA MGF pillar 1.</w:t>
      </w:r>
    </w:p>
    <w:bookmarkEnd w:id="220"/>
    <w:bookmarkStart w:id="221" w:name="sec:agent-rule-binding"/>
    <w:p>
      <w:pPr>
        <w:pStyle w:val="Heading2"/>
      </w:pPr>
      <w:r>
        <w:t xml:space="preserve">Agent Rule-Pack Binding</w:t>
      </w:r>
    </w:p>
    <w:p>
      <w:pPr>
        <w:pStyle w:val="FirstParagraph"/>
      </w:pPr>
      <w:r>
        <w:t xml:space="preserve">Before initiating any task in this domain, the agent MUST load the following rule packs in order:</w:t>
      </w:r>
    </w:p>
    <w:p>
      <w:pPr>
        <w:numPr>
          <w:ilvl w:val="0"/>
          <w:numId w:val="1042"/>
        </w:numPr>
      </w:pPr>
      <w:r>
        <w:t xml:space="preserve">(Global Standards)</w:t>
      </w:r>
    </w:p>
    <w:p>
      <w:pPr>
        <w:numPr>
          <w:ilvl w:val="0"/>
          <w:numId w:val="1042"/>
        </w:numPr>
      </w:pPr>
      <w:r>
        <w:t xml:space="preserve">(Regulations Envelope)</w:t>
      </w:r>
    </w:p>
    <w:bookmarkEnd w:id="221"/>
    <w:bookmarkStart w:id="229" w:name="sec:agent-tasks"/>
    <w:p>
      <w:pPr>
        <w:pStyle w:val="Heading2"/>
      </w:pPr>
      <w:r>
        <w:t xml:space="preserve">Implementation tasks for this domain</w:t>
      </w:r>
    </w:p>
    <w:p>
      <w:pPr>
        <w:pStyle w:val="FirstParagraph"/>
      </w:pPr>
      <w:r>
        <w:t xml:space="preserve">The tasks below are intent-based: each task states the outcome a</w:t>
      </w:r>
      <w:r>
        <w:t xml:space="preserve"> </w:t>
      </w:r>
      <w:r>
        <w:t xml:space="preserve">future agent must achieve and the location in the existing codebase</w:t>
      </w:r>
      <w:r>
        <w:t xml:space="preserve"> </w:t>
      </w:r>
      <w:r>
        <w:t xml:space="preserve">where the work belongs. None of them contains code; each task binds</w:t>
      </w:r>
      <w:r>
        <w:t xml:space="preserve"> </w:t>
      </w:r>
      <w:r>
        <w:t xml:space="preserve">to the regulations chapters that define the required behaviour.</w:t>
      </w:r>
    </w:p>
    <w:bookmarkStart w:id="222" w:name="task-r1-mgf-four-pillar-runtime-checks"/>
    <w:p>
      <w:pPr>
        <w:pStyle w:val="Heading3"/>
      </w:pPr>
      <w:r>
        <w:t xml:space="preserve">Task R1 — MGF four-pillar runtime checks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Realise the four IMDA MGF pillars defined in</w:t>
      </w:r>
      <w:r>
        <w:t xml:space="preserve"> </w:t>
      </w:r>
      <w:r>
        <w:t xml:space="preserve">chapter </w:t>
      </w:r>
      <w:hyperlink w:anchor="ch:mg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as runtime checks that run on every inbound MCP</w:t>
      </w:r>
      <w:r>
        <w:t xml:space="preserve"> </w:t>
      </w:r>
      <w:r>
        <w:t xml:space="preserve">call in every non-regulations domain.</w:t>
      </w:r>
    </w:p>
    <w:p>
      <w:pPr>
        <w:pStyle w:val="BodyText"/>
      </w:pPr>
      <w:r>
        <w:t xml:space="preserve">Why Pillars over Flat Rules?</w:t>
      </w:r>
      <w:r>
        <w:t xml:space="preserve"> </w:t>
      </w:r>
      <w:r>
        <w:t xml:space="preserve">We adopted the IMDA MGF Pillar structure to ensure that governance is not just a ’checklist’ but a runtime operational model that scales as new domains (e.g., ESG, Supply Chain) are onboarded.</w:t>
      </w:r>
    </w:p>
    <w:p>
      <w:pPr>
        <w:pStyle w:val="BodyText"/>
      </w:pPr>
      <w:r>
        <w:rPr>
          <w:b/>
          <w:bCs/>
        </w:rPr>
        <w:t xml:space="preserve">In-scope.</w:t>
      </w:r>
      <w:r>
        <w:t xml:space="preserve"> </w:t>
      </w:r>
      <w:r>
        <w:t xml:space="preserve">Pillar 1 (assess and bound) via allow-list</w:t>
      </w:r>
      <w:r>
        <w:t xml:space="preserve"> </w:t>
      </w:r>
      <w:r>
        <w:t xml:space="preserve">enforcement at the gateway; pillars 2–4 via the evidence and</w:t>
      </w:r>
      <w:r>
        <w:t xml:space="preserve"> </w:t>
      </w:r>
      <w:r>
        <w:t xml:space="preserve">disclosure hooks on ai-core-pal; pillar binding per</w:t>
      </w:r>
      <w:r>
        <w:t xml:space="preserve"> </w:t>
      </w:r>
      <w:r>
        <w:t xml:space="preserve">§</w:t>
      </w:r>
      <w:hyperlink w:anchor="sec:mgf-p1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and </w:t>
      </w:r>
      <w:hyperlink w:anchor="tab:p1">
        <w:r>
          <w:rPr>
            <w:rStyle w:val="Hyperlink"/>
          </w:rPr>
          <w:t xml:space="preserve">4.1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Re-implementing the MGF rule source; the</w:t>
      </w:r>
      <w:r>
        <w:t xml:space="preserve"> </w:t>
      </w:r>
      <w:r>
        <w:t xml:space="preserve">source document is frozen and referenced by its sha in </w:t>
      </w:r>
      <w:hyperlink w:anchor="tab:src-hashes">
        <w:r>
          <w:rPr>
            <w:rStyle w:val="Hyperlink"/>
          </w:rPr>
          <w:t xml:space="preserve">8.1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Governance hooks in the gateway; evidence</w:t>
      </w:r>
      <w:r>
        <w:t xml:space="preserve"> </w:t>
      </w:r>
      <w:r>
        <w:t xml:space="preserve">writer in ai-core-pal.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allow/deny decision references a</w:t>
      </w:r>
      <w:r>
        <w:t xml:space="preserve"> </w:t>
      </w:r>
      <w:r>
        <w:t xml:space="preserve">pillar; denials are surfaced to the caller with a stable error code;</w:t>
      </w:r>
      <w:r>
        <w:t xml:space="preserve"> </w:t>
      </w:r>
      <w:r>
        <w:t xml:space="preserve">evidence records for each pillar are written for every call.</w:t>
      </w:r>
    </w:p>
    <w:p>
      <w:pPr>
        <w:pStyle w:val="BodyText"/>
      </w:pPr>
      <w:r>
        <w:rPr>
          <w:b/>
          <w:bCs/>
        </w:rPr>
        <w:t xml:space="preserve">Autonomous Verification (Agent Logic):</w:t>
      </w:r>
    </w:p>
    <w:p>
      <w:pPr>
        <w:pStyle w:val="SourceCode"/>
      </w:pPr>
      <w:r>
        <w:rPr>
          <w:rStyle w:val="VerbatimChar"/>
        </w:rPr>
        <w:t xml:space="preserve">// Verify Task R1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"test_fixture": "tests/fixtures/regulations/unauthorized_call.json",</w:t>
      </w:r>
      <w:r>
        <w:br/>
      </w:r>
      <w:r>
        <w:rPr>
          <w:rStyle w:val="VerbatimChar"/>
        </w:rPr>
        <w:t xml:space="preserve">  "expected_outcome": "http_status == 403",</w:t>
      </w:r>
      <w:r>
        <w:br/>
      </w:r>
      <w:r>
        <w:rPr>
          <w:rStyle w:val="VerbatimChar"/>
        </w:rPr>
        <w:t xml:space="preserve">  "validation_command": "make test-gov-runtime --pillar=1"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Running any non-regulations domain’s golden</w:t>
      </w:r>
      <w:r>
        <w:t xml:space="preserve"> </w:t>
      </w:r>
      <w:r>
        <w:t xml:space="preserve">sample produces a governance evidence record per pillar per call;</w:t>
      </w:r>
      <w:r>
        <w:t xml:space="preserve"> </w:t>
      </w:r>
      <w:r>
        <w:rPr>
          <w:rStyle w:val="VerbatimChar"/>
        </w:rPr>
        <w:t xml:space="preserve">make spec-regulations</w:t>
      </w:r>
      <w:r>
        <w:t xml:space="preserve"> </w:t>
      </w:r>
      <w:r>
        <w:t xml:space="preserve">remains green.</w:t>
      </w:r>
    </w:p>
    <w:bookmarkEnd w:id="222"/>
    <w:bookmarkStart w:id="223" w:name="task-r2-ai-agent-index-mapping"/>
    <w:p>
      <w:pPr>
        <w:pStyle w:val="Heading3"/>
      </w:pPr>
      <w:r>
        <w:t xml:space="preserve">Task R2 — AI Agent Index mapping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Operationalise the 2025 AI Agent Index</w:t>
      </w:r>
      <w:r>
        <w:t xml:space="preserve"> </w:t>
      </w:r>
      <w:r>
        <w:t xml:space="preserve">transparency requirements listed in chapter </w:t>
      </w:r>
      <w:hyperlink w:anchor="ch:agent-index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w:r>
        <w:t xml:space="preserve">especially </w:t>
      </w:r>
      <w:hyperlink w:anchor="tab:agentidx-reqs">
        <w:r>
          <w:rPr>
            <w:rStyle w:val="Hyperlink"/>
          </w:rPr>
          <w:t xml:space="preserve">5.1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Requirement registration per row; verification</w:t>
      </w:r>
      <w:r>
        <w:t xml:space="preserve"> </w:t>
      </w:r>
      <w:r>
        <w:t xml:space="preserve">runners that check that each agent surface exposes the required</w:t>
      </w:r>
      <w:r>
        <w:t xml:space="preserve"> </w:t>
      </w:r>
      <w:r>
        <w:t xml:space="preserve">transparency metadata (model, training set summary, known failure</w:t>
      </w:r>
      <w:r>
        <w:t xml:space="preserve"> </w:t>
      </w:r>
      <w:r>
        <w:t xml:space="preserve">modes).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Public disclosure portals.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Requirement record loader; governance</w:t>
      </w:r>
      <w:r>
        <w:t xml:space="preserve"> </w:t>
      </w:r>
      <w:r>
        <w:t xml:space="preserve">dashboard transparency tab.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row in </w:t>
      </w:r>
      <w:hyperlink w:anchor="tab:agentidx-reqs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maps to a runnable verification; failures show up on the dashboard.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Conformance runner report 100% of Agent</w:t>
      </w:r>
      <w:r>
        <w:t xml:space="preserve"> </w:t>
      </w:r>
      <w:r>
        <w:t xml:space="preserve">Index requirements either passing or explicitly waived with</w:t>
      </w:r>
      <w:r>
        <w:t xml:space="preserve"> </w:t>
      </w:r>
      <w:r>
        <w:t xml:space="preserve">attached evidence.</w:t>
      </w:r>
    </w:p>
    <w:bookmarkEnd w:id="223"/>
    <w:bookmarkStart w:id="224" w:name="task-r3-empirical-evaluation-hookup"/>
    <w:p>
      <w:pPr>
        <w:pStyle w:val="Heading3"/>
      </w:pPr>
      <w:r>
        <w:t xml:space="preserve">Task R3 — Empirical evaluation hookup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Encode the requirements extracted from Ju &amp; Aral</w:t>
      </w:r>
      <w:r>
        <w:t xml:space="preserve"> </w:t>
      </w:r>
      <w:r>
        <w:t xml:space="preserve">(2026) in chapter </w:t>
      </w:r>
      <w:hyperlink w:anchor="ch:empiric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 </w:t>
      </w:r>
      <w:hyperlink w:anchor="tab:jural-reqs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runnable empirical checks against the platform.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Test harness that executes the Ju &amp; Aral</w:t>
      </w:r>
      <w:r>
        <w:t xml:space="preserve"> </w:t>
      </w:r>
      <w:r>
        <w:t xml:space="preserve">requirements on Arabic, TB, and Simula outputs; periodic run</w:t>
      </w:r>
      <w:r>
        <w:t xml:space="preserve"> </w:t>
      </w:r>
      <w:r>
        <w:t xml:space="preserve">cadence.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Adding new empirical studies.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Regulations test harness colocated with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fixtures; scheduler hook.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requirement</w:t>
      </w:r>
      <w:r>
        <w:t xml:space="preserve"> </w:t>
      </w:r>
      <w:r>
        <w:t xml:space="preserve">in </w:t>
      </w:r>
      <w:hyperlink w:anchor="tab:jural-reqs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has a callable check; the harness reports</w:t>
      </w:r>
      <w:r>
        <w:t xml:space="preserve"> </w:t>
      </w:r>
      <w:r>
        <w:t xml:space="preserve">pass/fail per requirement on the most recent platform build.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Harness run produces a per-requirement</w:t>
      </w:r>
      <w:r>
        <w:t xml:space="preserve"> </w:t>
      </w:r>
      <w:r>
        <w:t xml:space="preserve">report; failures block the CI gate.</w:t>
      </w:r>
    </w:p>
    <w:bookmarkEnd w:id="224"/>
    <w:bookmarkStart w:id="225" w:name="task-r4-conformance-tooling-integration"/>
    <w:p>
      <w:pPr>
        <w:pStyle w:val="Heading3"/>
      </w:pPr>
      <w:r>
        <w:t xml:space="preserve">Task R4 — Conformance tooling integration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Integrate AI Verify 2.0 and Moonshot CI/CD 1.1.0</w:t>
      </w:r>
      <w:r>
        <w:t xml:space="preserve"> </w:t>
      </w:r>
      <w:r>
        <w:t xml:space="preserve">per chapter 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and the coverage map</w:t>
      </w:r>
      <w:r>
        <w:t xml:space="preserve"> </w:t>
      </w:r>
      <w:r>
        <w:t xml:space="preserve">in </w:t>
      </w:r>
      <w:hyperlink w:anchor="fig:tool-coverage">
        <w:r>
          <w:rPr>
            <w:rStyle w:val="Hyperlink"/>
          </w:rPr>
          <w:t xml:space="preserve">7.1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AI Verify plug-ins listed in </w:t>
      </w:r>
      <w:hyperlink w:anchor="tab:av-plugins">
        <w:r>
          <w:rPr>
            <w:rStyle w:val="Hyperlink"/>
          </w:rPr>
          <w:t xml:space="preserve">7.1</w:t>
        </w:r>
      </w:hyperlink>
      <w:r>
        <w:t xml:space="preserve"> </w:t>
      </w:r>
      <w:r>
        <w:t xml:space="preserve">and Moonshot benchmarks listed in </w:t>
      </w:r>
      <w:hyperlink w:anchor="tab:ms-benchmarks">
        <w:r>
          <w:rPr>
            <w:rStyle w:val="Hyperlink"/>
          </w:rPr>
          <w:t xml:space="preserve">7.2</w:t>
        </w:r>
      </w:hyperlink>
      <w:r>
        <w:t xml:space="preserve">;</w:t>
      </w:r>
      <w:r>
        <w:t xml:space="preserve"> </w:t>
      </w:r>
      <w:r>
        <w:t xml:space="preserve">conformance-run CLI exposed to the Compliance Officer persona.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Upstream changes to AI Verify or Moonshot.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Conformance harness invoked from the</w:t>
      </w:r>
      <w:r>
        <w:t xml:space="preserve"> </w:t>
      </w:r>
      <w:r>
        <w:t xml:space="preserve">gateway; dashboard run-history view.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Running the conformance suite against</w:t>
      </w:r>
      <w:r>
        <w:t xml:space="preserve"> </w:t>
      </w:r>
      <w:r>
        <w:t xml:space="preserve">the platform produces a unified report covering every plug-in and</w:t>
      </w:r>
      <w:r>
        <w:t xml:space="preserve"> </w:t>
      </w:r>
      <w:r>
        <w:t xml:space="preserve">every benchmark in the two tables.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rPr>
          <w:rStyle w:val="VerbatimChar"/>
        </w:rPr>
        <w:t xml:space="preserve">gov.conformance.run</w:t>
      </w:r>
      <w:r>
        <w:t xml:space="preserve"> </w:t>
      </w:r>
      <w:r>
        <w:t xml:space="preserve">returns a report</w:t>
      </w:r>
      <w:r>
        <w:t xml:space="preserve"> </w:t>
      </w:r>
      <w:r>
        <w:t xml:space="preserve">that validates against the conformance-tool schema.</w:t>
      </w:r>
    </w:p>
    <w:bookmarkEnd w:id="225"/>
    <w:bookmarkStart w:id="226" w:name="task-r5-capability-monitoring"/>
    <w:p>
      <w:pPr>
        <w:pStyle w:val="Heading3"/>
      </w:pPr>
      <w:r>
        <w:t xml:space="preserve">Task R5 — Capability monitoring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capability monitoring specification in</w:t>
      </w:r>
      <w:r>
        <w:t xml:space="preserve"> </w:t>
      </w:r>
      <w:r>
        <w:t xml:space="preserve">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, with the architecture</w:t>
      </w:r>
      <w:r>
        <w:t xml:space="preserve"> </w:t>
      </w:r>
      <w:r>
        <w:t xml:space="preserve">in </w:t>
      </w:r>
      <w:hyperlink w:anchor="fig:monitor-arch">
        <w:r>
          <w:rPr>
            <w:rStyle w:val="Hyperlink"/>
          </w:rPr>
          <w:t xml:space="preserve">9.1</w:t>
        </w:r>
      </w:hyperlink>
      <w:r>
        <w:t xml:space="preserve"> </w:t>
      </w:r>
      <w:r>
        <w:t xml:space="preserve">and the metrics in </w:t>
      </w:r>
      <w:hyperlink w:anchor="tab:monitor-metrics">
        <w:r>
          <w:rPr>
            <w:rStyle w:val="Hyperlink"/>
          </w:rPr>
          <w:t xml:space="preserve">9.1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Metrics collection at each of the collection</w:t>
      </w:r>
      <w:r>
        <w:t xml:space="preserve"> </w:t>
      </w:r>
      <w:r>
        <w:t xml:space="preserve">points; storage in the monitoring sink; threshold-based alerts.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Long-term analytics warehouse.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Monitoring hooks on ai-core-pal; alert</w:t>
      </w:r>
      <w:r>
        <w:t xml:space="preserve"> </w:t>
      </w:r>
      <w:r>
        <w:t xml:space="preserve">router.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metric in </w:t>
      </w:r>
      <w:hyperlink w:anchor="tab:monitor-metrics">
        <w:r>
          <w:rPr>
            <w:rStyle w:val="Hyperlink"/>
          </w:rPr>
          <w:t xml:space="preserve">9.1</w:t>
        </w:r>
      </w:hyperlink>
      <w:r>
        <w:t xml:space="preserve"> </w:t>
      </w:r>
      <w:r>
        <w:t xml:space="preserve">is emitted in production; alerts fire on the thresholds the chapter</w:t>
      </w:r>
      <w:r>
        <w:t xml:space="preserve"> </w:t>
      </w:r>
      <w:r>
        <w:t xml:space="preserve">defines.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Synthetic load test shows every required</w:t>
      </w:r>
      <w:r>
        <w:t xml:space="preserve"> </w:t>
      </w:r>
      <w:r>
        <w:t xml:space="preserve">metric at the sink; alerting simulator triggers every configured</w:t>
      </w:r>
      <w:r>
        <w:t xml:space="preserve"> </w:t>
      </w:r>
      <w:r>
        <w:t xml:space="preserve">alert.</w:t>
      </w:r>
    </w:p>
    <w:bookmarkEnd w:id="226"/>
    <w:bookmarkStart w:id="227" w:name="task-r6-identity-attribution"/>
    <w:p>
      <w:pPr>
        <w:pStyle w:val="Heading3"/>
      </w:pPr>
      <w:r>
        <w:t xml:space="preserve">Task R6 — Identity attribution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Realise per-request identity attribution per</w:t>
      </w:r>
      <w:r>
        <w:t xml:space="preserve"> </w:t>
      </w:r>
      <w:r>
        <w:t xml:space="preserve">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, including the agent identity, request</w:t>
      </w:r>
      <w:r>
        <w:t xml:space="preserve"> </w:t>
      </w:r>
      <w:r>
        <w:t xml:space="preserve">identity, and audit-event schemas.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Identity envelope construction at the gateway;</w:t>
      </w:r>
      <w:r>
        <w:t xml:space="preserve"> </w:t>
      </w:r>
      <w:r>
        <w:t xml:space="preserve">propagation through every domain service call; audit writer that</w:t>
      </w:r>
      <w:r>
        <w:t xml:space="preserve"> </w:t>
      </w:r>
      <w:r>
        <w:t xml:space="preserve">emits every required event.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Replacing the existing authentication</w:t>
      </w:r>
      <w:r>
        <w:t xml:space="preserve"> </w:t>
      </w:r>
      <w:r>
        <w:t xml:space="preserve">backend.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Gateway identity middleware; audit writer</w:t>
      </w:r>
      <w:r>
        <w:t xml:space="preserve"> </w:t>
      </w:r>
      <w:r>
        <w:t xml:space="preserve">in ai-core-pal.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No MCP call leaves the gateway without</w:t>
      </w:r>
      <w:r>
        <w:t xml:space="preserve"> </w:t>
      </w:r>
      <w:r>
        <w:t xml:space="preserve">a complete identity envelope; every required audit event is written</w:t>
      </w:r>
      <w:r>
        <w:t xml:space="preserve"> </w:t>
      </w:r>
      <w:r>
        <w:t xml:space="preserve">with the schema’s required fields.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Audit query over a test run surfaces every</w:t>
      </w:r>
      <w:r>
        <w:t xml:space="preserve"> </w:t>
      </w:r>
      <w:r>
        <w:t xml:space="preserve">event class; absent or partial envelopes fail the CI gate.</w:t>
      </w:r>
    </w:p>
    <w:bookmarkEnd w:id="227"/>
    <w:bookmarkStart w:id="228" w:name="task-r7-testing"/>
    <w:p>
      <w:pPr>
        <w:pStyle w:val="Heading3"/>
      </w:pPr>
      <w:r>
        <w:t xml:space="preserve">Task R7 — Testing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regulations testing specification in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at the coverage thresholds</w:t>
      </w:r>
      <w:r>
        <w:t xml:space="preserve"> </w:t>
      </w:r>
      <w:r>
        <w:t xml:space="preserve">in </w:t>
      </w:r>
      <w:hyperlink w:anchor="tab:reg-coverage">
        <w:r>
          <w:rPr>
            <w:rStyle w:val="Hyperlink"/>
          </w:rPr>
          <w:t xml:space="preserve">10.1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Regulation fixtures, conformance-tool fixtures,</w:t>
      </w:r>
      <w:r>
        <w:t xml:space="preserve"> </w:t>
      </w:r>
      <w:r>
        <w:t xml:space="preserve">unit tests for requirement parsing, integration tests over the</w:t>
      </w:r>
      <w:r>
        <w:t xml:space="preserve"> </w:t>
      </w:r>
      <w:r>
        <w:t xml:space="preserve">governance gate.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Load benchmarking beyond what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defines.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Test directory colocated with the</w:t>
      </w:r>
      <w:r>
        <w:t xml:space="preserve"> </w:t>
      </w:r>
      <w:r>
        <w:t xml:space="preserve">regulations service code.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Coverage meets </w:t>
      </w:r>
      <w:hyperlink w:anchor="tab:reg-coverage">
        <w:r>
          <w:rPr>
            <w:rStyle w:val="Hyperlink"/>
          </w:rPr>
          <w:t xml:space="preserve">10.1</w:t>
        </w:r>
      </w:hyperlink>
      <w:r>
        <w:t xml:space="preserve">;</w:t>
      </w:r>
      <w:r>
        <w:t xml:space="preserve"> </w:t>
      </w:r>
      <w:r>
        <w:t xml:space="preserve">CI gates block regressions.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rPr>
          <w:rStyle w:val="VerbatimChar"/>
        </w:rPr>
        <w:t xml:space="preserve">make spec-regulations</w:t>
      </w:r>
      <w:r>
        <w:t xml:space="preserve"> </w:t>
      </w:r>
      <w:r>
        <w:t xml:space="preserve">remains green;</w:t>
      </w:r>
      <w:r>
        <w:t xml:space="preserve"> </w:t>
      </w:r>
      <w:r>
        <w:t xml:space="preserve">the regulations test entry points all run.</w:t>
      </w:r>
    </w:p>
    <w:bookmarkEnd w:id="228"/>
    <w:bookmarkEnd w:id="229"/>
    <w:bookmarkStart w:id="230" w:name="sec:agent-governance"/>
    <w:p>
      <w:pPr>
        <w:pStyle w:val="Heading2"/>
      </w:pPr>
      <w:r>
        <w:t xml:space="preserve">Governance obligations applied to this domain</w:t>
      </w:r>
    </w:p>
    <w:p>
      <w:pPr>
        <w:pStyle w:val="FirstParagraph"/>
      </w:pPr>
      <w:r>
        <w:t xml:space="preserve">Regulations is both the persona surface and the wrapper. The four</w:t>
      </w:r>
      <w:r>
        <w:t xml:space="preserve"> </w:t>
      </w:r>
      <w:r>
        <w:t xml:space="preserve">obligations therefore apply to regulations in two ways: as the</w:t>
      </w:r>
      <w:r>
        <w:t xml:space="preserve"> </w:t>
      </w:r>
      <w:r>
        <w:t xml:space="preserve">author of the obligations (canonical source in this spec’s chapters)</w:t>
      </w:r>
      <w:r>
        <w:t xml:space="preserve"> </w:t>
      </w:r>
      <w:r>
        <w:t xml:space="preserve">and as a subject of the obligations (like every other domain, its</w:t>
      </w:r>
      <w:r>
        <w:t xml:space="preserve"> </w:t>
      </w:r>
      <w:r>
        <w:t xml:space="preserve">own MCP calls pass through the governance gate).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IMDA MGF four pillars</w:t>
      </w:r>
      <w:r>
        <w:t xml:space="preserve"> </w:t>
      </w:r>
      <w:r>
        <w:t xml:space="preserve">(chapter </w:t>
      </w:r>
      <w:hyperlink w:anchor="ch:mgf">
        <w:r>
          <w:rPr>
            <w:rStyle w:val="Hyperlink"/>
          </w:rPr>
          <w:t xml:space="preserve">4</w:t>
        </w:r>
      </w:hyperlink>
      <w:r>
        <w:t xml:space="preserve">). The</w:t>
      </w:r>
      <w:r>
        <w:t xml:space="preserve"> </w:t>
      </w:r>
      <w:r>
        <w:t xml:space="preserve">regulations service authors the pillar definitions; it also</w:t>
      </w:r>
      <w:r>
        <w:t xml:space="preserve"> </w:t>
      </w:r>
      <w:r>
        <w:t xml:space="preserve">executes them against its own MCP tools. Pillar 1 enforcement</w:t>
      </w:r>
      <w:r>
        <w:t xml:space="preserve"> </w:t>
      </w:r>
      <w:r>
        <w:t xml:space="preserve">applies the allow-list in §</w:t>
      </w:r>
      <w:hyperlink w:anchor="sec:agent-persona">
        <w:r>
          <w:rPr>
            <w:rStyle w:val="Hyperlink"/>
          </w:rPr>
          <w:t xml:space="preserve">13.14</w:t>
        </w:r>
      </w:hyperlink>
      <w:r>
        <w:t xml:space="preserve">,</w:t>
      </w:r>
      <w:r>
        <w:t xml:space="preserve"> </w:t>
      </w:r>
      <w:r>
        <w:t xml:space="preserve">deny-by-default.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Identity attribution</w:t>
      </w:r>
      <w:r>
        <w:t xml:space="preserve"> </w:t>
      </w:r>
      <w:r>
        <w:t xml:space="preserve">(chapter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).</w:t>
      </w:r>
      <w:r>
        <w:t xml:space="preserve"> </w:t>
      </w:r>
      <w:r>
        <w:t xml:space="preserve">Regulations owns the identity and audit-event schemas; its own</w:t>
      </w:r>
      <w:r>
        <w:t xml:space="preserve"> </w:t>
      </w:r>
      <w:r>
        <w:t xml:space="preserve">MCP calls carry the identity envelope like any other domain.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Emergent-capability monitoring</w:t>
      </w:r>
      <w:r>
        <w:t xml:space="preserve"> </w:t>
      </w:r>
      <w:r>
        <w:t xml:space="preserve">(chapter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). Regulations authors the metrics</w:t>
      </w:r>
      <w:r>
        <w:t xml:space="preserve"> </w:t>
      </w:r>
      <w:r>
        <w:t xml:space="preserve">model; governance decisions, conformance runs, and audit queries</w:t>
      </w:r>
      <w:r>
        <w:t xml:space="preserve"> </w:t>
      </w:r>
      <w:r>
        <w:t xml:space="preserve">are themselves instrumented.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Conformance tooling</w:t>
      </w:r>
      <w:r>
        <w:t xml:space="preserve"> </w:t>
      </w:r>
      <w:r>
        <w:t xml:space="preserve">(chapter 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).</w:t>
      </w:r>
      <w:r>
        <w:t xml:space="preserve"> </w:t>
      </w:r>
      <w:r>
        <w:t xml:space="preserve">Regulations integrates AI Verify 2.0 and Moonshot CI/CD 1.1.0</w:t>
      </w:r>
      <w:r>
        <w:t xml:space="preserve"> </w:t>
      </w:r>
      <w:r>
        <w:t xml:space="preserve">as runnable suites; the regulations service’s own behaviour is</w:t>
      </w:r>
      <w:r>
        <w:t xml:space="preserve"> </w:t>
      </w:r>
      <w:r>
        <w:t xml:space="preserve">included in every conformance run.</w:t>
      </w:r>
    </w:p>
    <w:bookmarkEnd w:id="230"/>
    <w:bookmarkStart w:id="235" w:name="sec:agent-integration"/>
    <w:p>
      <w:pPr>
        <w:pStyle w:val="Heading2"/>
      </w:pPr>
      <w:r>
        <w:t xml:space="preserve">Cross-spec integration — full detail</w:t>
      </w:r>
    </w:p>
    <w:bookmarkStart w:id="231" w:name="with-arabic-ap"/>
    <w:p>
      <w:pPr>
        <w:pStyle w:val="Heading3"/>
      </w:pPr>
      <w:r>
        <w:t xml:space="preserve">With Arabic AP</w:t>
      </w:r>
    </w:p>
    <w:p>
      <w:pPr>
        <w:pStyle w:val="FirstParagraph"/>
      </w:pPr>
      <w:r>
        <w:t xml:space="preserve">Regulations wraps Arabic at runtime. Every Arabic MCP call is</w:t>
      </w:r>
      <w:r>
        <w:t xml:space="preserve"> </w:t>
      </w:r>
      <w:r>
        <w:t xml:space="preserve">brokered through the regulations governance gate, which applies</w:t>
      </w:r>
      <w:r>
        <w:t xml:space="preserve"> </w:t>
      </w:r>
      <w:r>
        <w:t xml:space="preserve">pillars 1–4 of IMDA MGF, attaches the identity envelope, and routes</w:t>
      </w:r>
      <w:r>
        <w:t xml:space="preserve"> </w:t>
      </w:r>
      <w:r>
        <w:t xml:space="preserve">emergent-capability metrics to the monitoring store. Arabic exports</w:t>
      </w:r>
      <w:r>
        <w:t xml:space="preserve"> </w:t>
      </w:r>
      <w:r>
        <w:t xml:space="preserve">the invoice record, VAT compliance checklist, and payment</w:t>
      </w:r>
      <w:r>
        <w:t xml:space="preserve"> </w:t>
      </w:r>
      <w:r>
        <w:t xml:space="preserve">instruction schemas under</w:t>
      </w:r>
      <w:r>
        <w:t xml:space="preserve"> </w:t>
      </w:r>
      <w:r>
        <w:rPr>
          <w:rStyle w:val="VerbatimChar"/>
        </w:rPr>
        <w:t xml:space="preserve">docs/schema/regulations/</w:t>
      </w:r>
      <w:r>
        <w:t xml:space="preserve"> </w:t>
      </w:r>
      <w:r>
        <w:t xml:space="preserve">and registers</w:t>
      </w:r>
      <w:r>
        <w:t xml:space="preserve"> </w:t>
      </w:r>
      <w:r>
        <w:t xml:space="preserve">its MCP tools with the gateway; the governance gate consumes those</w:t>
      </w:r>
      <w:r>
        <w:t xml:space="preserve"> </w:t>
      </w:r>
      <w:r>
        <w:t xml:space="preserve">registrations but adds no Arabic-specific code paths. Conformance</w:t>
      </w:r>
      <w:r>
        <w:t xml:space="preserve"> </w:t>
      </w:r>
      <w:r>
        <w:t xml:space="preserve">tests defined here execute against the Arabic service as part of</w:t>
      </w:r>
      <w:r>
        <w:t xml:space="preserve"> </w:t>
      </w:r>
      <w:r>
        <w:t xml:space="preserve">the platform CI gate.</w:t>
      </w:r>
    </w:p>
    <w:bookmarkEnd w:id="231"/>
    <w:bookmarkStart w:id="232" w:name="with-trial-balance"/>
    <w:p>
      <w:pPr>
        <w:pStyle w:val="Heading3"/>
      </w:pPr>
      <w:r>
        <w:t xml:space="preserve">With Trial Balance</w:t>
      </w:r>
    </w:p>
    <w:p>
      <w:pPr>
        <w:pStyle w:val="FirstParagraph"/>
      </w:pPr>
      <w:r>
        <w:t xml:space="preserve">Regulations wraps TB at runtime. Every TB MCP call is brokered</w:t>
      </w:r>
      <w:r>
        <w:t xml:space="preserve"> </w:t>
      </w:r>
      <w:r>
        <w:t xml:space="preserve">through the regulations governance gate, which applies pillars 1–4</w:t>
      </w:r>
      <w:r>
        <w:t xml:space="preserve"> </w:t>
      </w:r>
      <w:r>
        <w:t xml:space="preserve">of IMDA MGF, attaches the identity envelope, and routes</w:t>
      </w:r>
      <w:r>
        <w:t xml:space="preserve"> </w:t>
      </w:r>
      <w:r>
        <w:t xml:space="preserve">emergent-capability metrics to the monitoring store. TB exports the</w:t>
      </w:r>
      <w:r>
        <w:t xml:space="preserve"> </w:t>
      </w:r>
      <w:r>
        <w:t xml:space="preserve">control record, decision-point record, workflow record, and its own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docs/schema/regulations/</w:t>
      </w:r>
      <w:r>
        <w:t xml:space="preserve">.</w:t>
      </w:r>
      <w:r>
        <w:t xml:space="preserve"> </w:t>
      </w:r>
      <w:r>
        <w:t xml:space="preserve">Regulations’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is a distinct URI</w:t>
      </w:r>
      <w:r>
        <w:t xml:space="preserve"> </w:t>
      </w:r>
      <w:r>
        <w:t xml:space="preserve">from TB’s; no schema merge takes place.</w:t>
      </w:r>
    </w:p>
    <w:bookmarkEnd w:id="232"/>
    <w:bookmarkStart w:id="233" w:name="with-regulations"/>
    <w:p>
      <w:pPr>
        <w:pStyle w:val="Heading3"/>
      </w:pPr>
      <w:r>
        <w:t xml:space="preserve">With Regulations</w:t>
      </w:r>
    </w:p>
    <w:p>
      <w:pPr>
        <w:pStyle w:val="FirstParagraph"/>
      </w:pPr>
      <w:r>
        <w:t xml:space="preserve">Regulations exports the requirement record, conformance-tool record,</w:t>
      </w:r>
      <w:r>
        <w:t xml:space="preserve"> </w:t>
      </w:r>
      <w:r>
        <w:t xml:space="preserve">enum vocabularies, capability-monitoring metrics record, and the</w:t>
      </w:r>
      <w:r>
        <w:t xml:space="preserve"> </w:t>
      </w:r>
      <w:r>
        <w:t xml:space="preserve">identity and audit-event schemas under</w:t>
      </w:r>
      <w:r>
        <w:t xml:space="preserve"> </w:t>
      </w:r>
      <w:r>
        <w:rPr>
          <w:rStyle w:val="VerbatimChar"/>
        </w:rPr>
        <w:t xml:space="preserve">docs/schema/regulations/</w:t>
      </w:r>
      <w:r>
        <w:t xml:space="preserve">;</w:t>
      </w:r>
      <w:r>
        <w:t xml:space="preserve"> </w:t>
      </w:r>
      <w:r>
        <w:t xml:space="preserve">registers the MCP tools enumerated in §</w:t>
      </w:r>
      <w:hyperlink w:anchor="sec:agent-persona">
        <w:r>
          <w:rPr>
            <w:rStyle w:val="Hyperlink"/>
          </w:rPr>
          <w:t xml:space="preserve">13.14</w:t>
        </w:r>
      </w:hyperlink>
      <w:r>
        <w:t xml:space="preserve">;</w:t>
      </w:r>
      <w:r>
        <w:t xml:space="preserve"> </w:t>
      </w:r>
      <w:r>
        <w:t xml:space="preserve">and applies the four governance hooks in</w:t>
      </w:r>
      <w:r>
        <w:t xml:space="preserve"> </w:t>
      </w:r>
      <w:r>
        <w:t xml:space="preserve">§</w:t>
      </w:r>
      <w:hyperlink w:anchor="sec:agent-governance">
        <w:r>
          <w:rPr>
            <w:rStyle w:val="Hyperlink"/>
          </w:rPr>
          <w:t xml:space="preserve">13.17</w:t>
        </w:r>
      </w:hyperlink>
      <w:r>
        <w:t xml:space="preserve"> </w:t>
      </w:r>
      <w:r>
        <w:t xml:space="preserve">to every call it serves — including</w:t>
      </w:r>
      <w:r>
        <w:t xml:space="preserve"> </w:t>
      </w:r>
      <w:r>
        <w:t xml:space="preserve">its own. External consumers (Arabic, TB, Simula) see regulations</w:t>
      </w:r>
      <w:r>
        <w:t xml:space="preserve"> </w:t>
      </w:r>
      <w:r>
        <w:t xml:space="preserve">only through these contracts and through the wrapper; there are no</w:t>
      </w:r>
      <w:r>
        <w:t xml:space="preserve"> </w:t>
      </w:r>
      <w:r>
        <w:t xml:space="preserve">private back-channels.</w:t>
      </w:r>
    </w:p>
    <w:bookmarkEnd w:id="233"/>
    <w:bookmarkStart w:id="234" w:name="with-simula"/>
    <w:p>
      <w:pPr>
        <w:pStyle w:val="Heading3"/>
      </w:pPr>
      <w:r>
        <w:t xml:space="preserve">With Simula</w:t>
      </w:r>
    </w:p>
    <w:p>
      <w:pPr>
        <w:pStyle w:val="FirstParagraph"/>
      </w:pPr>
      <w:r>
        <w:t xml:space="preserve">Regulations wraps Simula at runtime in the same way it wraps Arabic</w:t>
      </w:r>
      <w:r>
        <w:t xml:space="preserve"> </w:t>
      </w:r>
      <w:r>
        <w:t xml:space="preserve">and TB. Simula also consumes regulations’ schemas (requirement,</w:t>
      </w:r>
      <w:r>
        <w:t xml:space="preserve"> </w:t>
      </w:r>
      <w:r>
        <w:t xml:space="preserve">conformance-tool, monitoring metrics, identity and audit) as</w:t>
      </w:r>
      <w:r>
        <w:t xml:space="preserve"> </w:t>
      </w:r>
      <w:r>
        <w:t xml:space="preserve">training input. The contract is schema-in,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-out: Simula reads the regulations schema</w:t>
      </w:r>
      <w:r>
        <w:t xml:space="preserve"> </w:t>
      </w:r>
      <w:r>
        <w:t xml:space="preserve">set; it produces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 </w:t>
      </w:r>
      <w:r>
        <w:t xml:space="preserve">records. Simula does not</w:t>
      </w:r>
      <w:r>
        <w:t xml:space="preserve"> </w:t>
      </w:r>
      <w:r>
        <w:t xml:space="preserve">call regulations MCP tools at runtime and does not share state with</w:t>
      </w:r>
      <w:r>
        <w:t xml:space="preserve"> </w:t>
      </w:r>
      <w:r>
        <w:t xml:space="preserve">the governance dashboard. No cross-domain operational envelope is</w:t>
      </w:r>
      <w:r>
        <w:t xml:space="preserve"> </w:t>
      </w:r>
      <w:r>
        <w:t xml:space="preserve">introduced.</w:t>
      </w:r>
    </w:p>
    <w:bookmarkEnd w:id="234"/>
    <w:bookmarkEnd w:id="235"/>
    <w:bookmarkStart w:id="236" w:name="sec:agent-waves"/>
    <w:p>
      <w:pPr>
        <w:pStyle w:val="Heading2"/>
      </w:pPr>
      <w:r>
        <w:t xml:space="preserve">Wave assignment and sequencing</w:t>
      </w:r>
    </w:p>
    <w:p>
      <w:pPr>
        <w:pStyle w:val="FirstParagraph"/>
      </w:pPr>
      <w:r>
        <w:t xml:space="preserve">Implementation runs in three waves.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Wave 1 — foundations.</w:t>
      </w:r>
      <w:r>
        <w:t xml:space="preserve"> </w:t>
      </w:r>
      <w:r>
        <w:t xml:space="preserve">Identity schema</w:t>
      </w:r>
      <w:r>
        <w:t xml:space="preserve"> </w:t>
      </w:r>
      <w:r>
        <w:t xml:space="preserve">(chapter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) frozen; gateway identity envelope;</w:t>
      </w:r>
      <w:r>
        <w:t xml:space="preserve"> </w:t>
      </w:r>
      <w:r>
        <w:t xml:space="preserve">persona-gated surface for the Compliance Officer; unified schema</w:t>
      </w:r>
      <w:r>
        <w:t xml:space="preserve"> </w:t>
      </w:r>
      <w:r>
        <w:t xml:space="preserve">registry entries for regulations schemas.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Wave 2 — governance runtime.</w:t>
      </w:r>
      <w:r>
        <w:t xml:space="preserve"> </w:t>
      </w:r>
      <w:r>
        <w:t xml:space="preserve">Tasks R1, R4, R5, R6</w:t>
      </w:r>
      <w:r>
        <w:t xml:space="preserve"> </w:t>
      </w:r>
      <w:r>
        <w:t xml:space="preserve">above. Prerequisites: Wave 1 complete; Simula Wave 1 extraction</w:t>
      </w:r>
      <w:r>
        <w:t xml:space="preserve"> </w:t>
      </w:r>
      <w:r>
        <w:t xml:space="preserve">pipeline available for monitoring metrics ingestion.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Wave 3 — evaluation and hardening.</w:t>
      </w:r>
      <w:r>
        <w:t xml:space="preserve"> </w:t>
      </w:r>
      <w:r>
        <w:t xml:space="preserve">Tasks R2, R3,</w:t>
      </w:r>
      <w:r>
        <w:t xml:space="preserve"> </w:t>
      </w:r>
      <w:r>
        <w:t xml:space="preserve">R7. Prerequisites: Wave 2 complete; monitoring sink live; all</w:t>
      </w:r>
      <w:r>
        <w:t xml:space="preserve"> </w:t>
      </w:r>
      <w:r>
        <w:t xml:space="preserve">non-regulations domains exposing their conformance entry</w:t>
      </w:r>
      <w:r>
        <w:t xml:space="preserve"> </w:t>
      </w:r>
      <w:r>
        <w:t xml:space="preserve">points.</w:t>
      </w:r>
    </w:p>
    <w:p>
      <w:pPr>
        <w:pStyle w:val="FirstParagraph"/>
      </w:pPr>
      <w:r>
        <w:t xml:space="preserve">Regulations is the critical-path domain for Wave 1 (identity) and</w:t>
      </w:r>
      <w:r>
        <w:t xml:space="preserve"> </w:t>
      </w:r>
      <w:r>
        <w:t xml:space="preserve">Wave 2 (governance runtime). Other domains block on regulations’</w:t>
      </w:r>
      <w:r>
        <w:t xml:space="preserve"> </w:t>
      </w:r>
      <w:r>
        <w:t xml:space="preserve">Wave 1 completion.</w:t>
      </w:r>
    </w:p>
    <w:bookmarkEnd w:id="236"/>
    <w:bookmarkStart w:id="237" w:name="sec:agent-acceptance"/>
    <w:p>
      <w:pPr>
        <w:pStyle w:val="Heading2"/>
      </w:pPr>
      <w:r>
        <w:t xml:space="preserve">Acceptance criteria (platform-wide)</w:t>
      </w:r>
    </w:p>
    <w:p>
      <w:pPr>
        <w:pStyle w:val="FirstParagraph"/>
      </w:pPr>
      <w:r>
        <w:t xml:space="preserve">When all four chapter 12 instruction sets are implemented, the</w:t>
      </w:r>
      <w:r>
        <w:t xml:space="preserve"> </w:t>
      </w:r>
      <w:r>
        <w:t xml:space="preserve">platform satisfies the following invariants: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One instance.</w:t>
      </w:r>
      <w:r>
        <w:t xml:space="preserve"> </w:t>
      </w:r>
      <w:r>
        <w:t xml:space="preserve">A single codebase runs a single</w:t>
      </w:r>
      <w:r>
        <w:t xml:space="preserve"> </w:t>
      </w:r>
      <w:r>
        <w:t xml:space="preserve">logical instance; no domain ships as a separate product.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Persona-gated surfaces.</w:t>
      </w:r>
      <w:r>
        <w:t xml:space="preserve"> </w:t>
      </w:r>
      <w:r>
        <w:t xml:space="preserve">The four personas each</w:t>
      </w:r>
      <w:r>
        <w:t xml:space="preserve"> </w:t>
      </w:r>
      <w:r>
        <w:t xml:space="preserve">reach a tailored UI on the shared shell; no route, MCP tool, or</w:t>
      </w:r>
      <w:r>
        <w:t xml:space="preserve"> </w:t>
      </w:r>
      <w:r>
        <w:t xml:space="preserve">data product is visible outside its persona’s entitlement set.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Unified registry.</w:t>
      </w:r>
      <w:r>
        <w:t xml:space="preserve"> </w:t>
      </w:r>
      <w:r>
        <w:t xml:space="preserve">Every schema in use is listed in</w:t>
      </w:r>
      <w:r>
        <w:t xml:space="preserve"> </w:t>
      </w:r>
      <w:r>
        <w:t xml:space="preserve">the ODPS 4.1 registry under its owning domain; validators</w:t>
      </w:r>
      <w:r>
        <w:t xml:space="preserve"> </w:t>
      </w:r>
      <w:r>
        <w:t xml:space="preserve">resolve</w:t>
      </w:r>
      <w:r>
        <w:t xml:space="preserve"> </w:t>
      </w:r>
      <w:r>
        <w:rPr>
          <w:rStyle w:val="VerbatimChar"/>
        </w:rPr>
        <w:t xml:space="preserve">$ref</w:t>
      </w:r>
      <w:r>
        <w:t xml:space="preserve">s through the unified registry only.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No schema merges.</w:t>
      </w:r>
      <w:r>
        <w:t xml:space="preserve"> </w:t>
      </w:r>
      <w:r>
        <w:t xml:space="preserve">The two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files in TB and regulations</w:t>
      </w:r>
      <w:r>
        <w:t xml:space="preserve"> </w:t>
      </w:r>
      <w:r>
        <w:t xml:space="preserve">remain distinct; no cross-domain composite schemas are produced.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No cross-domain operational envelope.</w:t>
      </w:r>
      <w:r>
        <w:t xml:space="preserve"> </w:t>
      </w:r>
      <w:r>
        <w:t xml:space="preserve">Runtime</w:t>
      </w:r>
      <w:r>
        <w:t xml:space="preserve"> </w:t>
      </w:r>
      <w:r>
        <w:t xml:space="preserve">orchestration stays within each domain’s service; only Simula</w:t>
      </w:r>
      <w:r>
        <w:t xml:space="preserve"> </w:t>
      </w:r>
      <w:r>
        <w:t xml:space="preserve">consumes other domains’ outputs, and only as training input.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Governance wraps all three non-regulations domains.</w:t>
      </w:r>
      <w:r>
        <w:t xml:space="preserve"> </w:t>
      </w:r>
      <w:r>
        <w:t xml:space="preserve">Arabic, TB, and Simula service calls pass through the</w:t>
      </w:r>
      <w:r>
        <w:t xml:space="preserve"> </w:t>
      </w:r>
      <w:r>
        <w:t xml:space="preserve">regulations runtime wrapper without exception.</w:t>
      </w:r>
    </w:p>
    <w:bookmarkEnd w:id="237"/>
    <w:bookmarkStart w:id="238" w:name="sec:agent-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Within-spec references:</w:t>
      </w:r>
      <w:r>
        <w:t xml:space="preserve"> </w:t>
      </w:r>
      <w:r>
        <w:t xml:space="preserve">chapter </w:t>
      </w:r>
      <w:hyperlink w:anchor="ch:overview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(overview),</w:t>
      </w:r>
      <w:r>
        <w:t xml:space="preserve"> </w:t>
      </w:r>
      <w:r>
        <w:t xml:space="preserve">chapter </w:t>
      </w:r>
      <w:hyperlink w:anchor="ch:schem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(data schema),</w:t>
      </w:r>
      <w:r>
        <w:t xml:space="preserve"> </w:t>
      </w:r>
      <w:r>
        <w:t xml:space="preserve">chapter </w:t>
      </w:r>
      <w:hyperlink w:anchor="ch:mg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(IMDA MGF framework),</w:t>
      </w:r>
      <w:r>
        <w:t xml:space="preserve"> </w:t>
      </w:r>
      <w:r>
        <w:t xml:space="preserve">chapter </w:t>
      </w:r>
      <w:hyperlink w:anchor="ch:agent-index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(AI Agent Index),</w:t>
      </w:r>
      <w:r>
        <w:t xml:space="preserve"> </w:t>
      </w:r>
      <w:r>
        <w:t xml:space="preserve">chapter </w:t>
      </w:r>
      <w:hyperlink w:anchor="ch:empiric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(Ju &amp; Aral empirical evidence),</w:t>
      </w:r>
      <w:r>
        <w:t xml:space="preserve"> </w:t>
      </w:r>
      <w:r>
        <w:t xml:space="preserve">chapter </w:t>
      </w:r>
      <w:hyperlink w:anchor="ch:tool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(conformance tooling),</w:t>
      </w:r>
      <w:r>
        <w:t xml:space="preserve"> </w:t>
      </w:r>
      <w:r>
        <w:t xml:space="preserve">chapter </w:t>
      </w:r>
      <w:hyperlink w:anchor="ch:ref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(references and traceability),</w:t>
      </w:r>
      <w:r>
        <w:t xml:space="preserve"> </w:t>
      </w:r>
      <w:r>
        <w:t xml:space="preserve">chapter </w:t>
      </w:r>
      <w:hyperlink w:anchor="ch:monitor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(capability monitoring),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(testing specification),</w:t>
      </w:r>
      <w:r>
        <w:t xml:space="preserve"> </w:t>
      </w:r>
      <w:r>
        <w:t xml:space="preserve">chapter </w:t>
      </w:r>
      <w:hyperlink w:anchor="ch:identity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(identity attribution),</w:t>
      </w:r>
      <w:r>
        <w:t xml:space="preserve"> </w:t>
      </w:r>
      <w:r>
        <w:t xml:space="preserve">chapter </w:t>
      </w:r>
      <w:hyperlink w:anchor="ch:reg-roadmap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(project roadmap).</w:t>
      </w:r>
    </w:p>
    <w:p>
      <w:pPr>
        <w:pStyle w:val="BodyText"/>
      </w:pPr>
      <w:r>
        <w:t xml:space="preserve">Peer chapter 12 instruction sets for the other three domains (each</w:t>
      </w:r>
      <w:r>
        <w:t xml:space="preserve"> </w:t>
      </w:r>
      <w:r>
        <w:t xml:space="preserve">is self-contained; consult directly when operating in that domain):</w:t>
      </w:r>
    </w:p>
    <w:p>
      <w:pPr>
        <w:numPr>
          <w:ilvl w:val="0"/>
          <w:numId w:val="1046"/>
        </w:numPr>
      </w:pPr>
      <w:r>
        <w:t xml:space="preserve">Arabic AP:</w:t>
      </w:r>
      <w:r>
        <w:t xml:space="preserve"> </w:t>
      </w:r>
      <w:r>
        <w:rPr>
          <w:rStyle w:val="VerbatimChar"/>
        </w:rPr>
        <w:t xml:space="preserve">docs/latex/specs/arabic/chapters/12-implementation-instructions.tex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Trial Balance:</w:t>
      </w:r>
      <w:r>
        <w:t xml:space="preserve"> </w:t>
      </w:r>
      <w:r>
        <w:rPr>
          <w:rStyle w:val="VerbatimChar"/>
        </w:rPr>
        <w:t xml:space="preserve">docs/latex/specs/tb/chapters/12-implementation-instructions.tex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Simula:</w:t>
      </w:r>
      <w:r>
        <w:t xml:space="preserve"> </w:t>
      </w:r>
      <w:r>
        <w:rPr>
          <w:rStyle w:val="VerbatimChar"/>
        </w:rPr>
        <w:t xml:space="preserve">docs/latex/specs/simula/chapters/12-implementation-instructions.tex</w:t>
      </w:r>
      <w:r>
        <w:t xml:space="preserve">.</w:t>
      </w:r>
    </w:p>
    <w:p>
      <w:pPr>
        <w:pStyle w:val="FirstParagraph"/>
      </w:pPr>
      <w:r>
        <w:t xml:space="preserve">Shared platform artefacts:</w:t>
      </w:r>
    </w:p>
    <w:p>
      <w:pPr>
        <w:numPr>
          <w:ilvl w:val="0"/>
          <w:numId w:val="1047"/>
        </w:numPr>
      </w:pPr>
      <w:r>
        <w:t xml:space="preserve">ODPS 4.1 registry: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Schema pipeline and resolver:</w:t>
      </w:r>
      <w:r>
        <w:t xml:space="preserve"> </w:t>
      </w:r>
      <w:r>
        <w:rPr>
          <w:rStyle w:val="VerbatimChar"/>
        </w:rPr>
        <w:t xml:space="preserve">src/intelligence/schema_pipeline/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Training pipeline (Simula):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Shared workspace shell:</w:t>
      </w:r>
      <w:r>
        <w:t xml:space="preserve"> </w:t>
      </w:r>
      <w:r>
        <w:rPr>
          <w:rStyle w:val="VerbatimChar"/>
        </w:rPr>
        <w:t xml:space="preserve">generativeUI/training-webcomponents-ngx</w:t>
      </w:r>
      <w:r>
        <w:t xml:space="preserve">.</w:t>
      </w:r>
    </w:p>
    <w:bookmarkEnd w:id="238"/>
    <w:bookmarkEnd w:id="239"/>
    <w:bookmarkStart w:id="243" w:name="ch:global-dependencies"/>
    <w:p>
      <w:pPr>
        <w:pStyle w:val="Heading1"/>
      </w:pPr>
      <w:r>
        <w:t xml:space="preserve">Global Wave-Dependency Manifest</w:t>
      </w:r>
    </w:p>
    <w:bookmarkStart w:id="240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240"/>
    <w:bookmarkStart w:id="242" w:name="inter-domain-prerequisite-matrix"/>
    <w:p>
      <w:pPr>
        <w:pStyle w:val="Heading2"/>
      </w:pPr>
      <w:r>
        <w:t xml:space="preserve">Inter-Domain Prerequisite Matrix</w:t>
      </w:r>
    </w:p>
    <w:bookmarkStart w:id="241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241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242"/>
    <w:bookmarkEnd w:id="2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https://aiagentindex.mit.edu/" TargetMode="External" /><Relationship Type="http://schemas.openxmlformats.org/officeDocument/2006/relationships/hyperlink" Id="rId93" Target="https://aiverifyfoundation.sg/project-moonshot/" TargetMode="External" /><Relationship Type="http://schemas.openxmlformats.org/officeDocument/2006/relationships/hyperlink" Id="rId92" Target="https://aiverifyfoundation.sg/what-is-ai-verify/" TargetMode="External" /><Relationship Type="http://schemas.openxmlformats.org/officeDocument/2006/relationships/hyperlink" Id="rId95" Target="https://sap-oss.github.io/schem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aiagentindex.mit.edu/" TargetMode="External" /><Relationship Type="http://schemas.openxmlformats.org/officeDocument/2006/relationships/hyperlink" Id="rId93" Target="https://aiverifyfoundation.sg/project-moonshot/" TargetMode="External" /><Relationship Type="http://schemas.openxmlformats.org/officeDocument/2006/relationships/hyperlink" Id="rId92" Target="https://aiverifyfoundation.sg/what-is-ai-verify/" TargetMode="External" /><Relationship Type="http://schemas.openxmlformats.org/officeDocument/2006/relationships/hyperlink" Id="rId95" Target="https://sap-oss.github.io/schem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Regulations Corpus</dc:title>
  <dc:creator>SCB GCFO, AI Research &amp; Development</dc:creator>
  <cp:keywords/>
  <dcterms:created xsi:type="dcterms:W3CDTF">2026-04-23T08:27:55Z</dcterms:created>
  <dcterms:modified xsi:type="dcterms:W3CDTF">2026-04-23T08:27:55Z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