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ch:overview"/>
    <w:p>
      <w:pPr>
        <w:pStyle w:val="Heading1"/>
      </w:pPr>
      <w:r>
        <w:t xml:space="preserve">Overview and scope</w:t>
      </w:r>
    </w:p>
    <w:bookmarkStart w:id="9" w:name="the-problem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Standard Chartered Bank operates Accounts Payable across a heterogeneous</w:t>
      </w:r>
      <w:r>
        <w:t xml:space="preserve"> </w:t>
      </w:r>
      <w:r>
        <w:t xml:space="preserve">regulatory and linguistic landscape. Depending on the country, an</w:t>
      </w:r>
      <w:r>
        <w:t xml:space="preserve"> </w:t>
      </w:r>
      <w:r>
        <w:t xml:space="preserve">incoming invoice may be:</w:t>
      </w:r>
    </w:p>
    <w:p>
      <w:pPr>
        <w:numPr>
          <w:ilvl w:val="0"/>
          <w:numId w:val="1001"/>
        </w:numPr>
      </w:pPr>
      <w:r>
        <w:t xml:space="preserve">issued by a national e-invoicing portal (Egypt’s ETA, with a</w:t>
      </w:r>
      <w:r>
        <w:t xml:space="preserve"> </w:t>
      </w:r>
      <w:r>
        <w:t xml:space="preserve">26-character</w:t>
      </w:r>
      <w:r>
        <w:t xml:space="preserve"> </w:t>
      </w:r>
      <w:r>
        <w:rPr>
          <w:smallCaps/>
        </w:rPr>
        <w:t xml:space="preserve">electronic_id</w:t>
      </w:r>
      <w:r>
        <w:t xml:space="preserve">; Saudi Arabia’s ZATCA with</w:t>
      </w:r>
      <w:r>
        <w:t xml:space="preserve"> </w:t>
      </w:r>
      <w:r>
        <w:t xml:space="preserve">an analogous assessment reference);</w:t>
      </w:r>
    </w:p>
    <w:p>
      <w:pPr>
        <w:numPr>
          <w:ilvl w:val="0"/>
          <w:numId w:val="1001"/>
        </w:numPr>
      </w:pPr>
      <w:r>
        <w:t xml:space="preserve">purely Arabic (as in the two Egyptian invoices</w:t>
      </w:r>
      <w:r>
        <w:t xml:space="preserve"> </w:t>
      </w:r>
      <w:r>
        <w:rPr>
          <w:rStyle w:val="VerbatimChar"/>
        </w:rPr>
        <w:t xml:space="preserve">3CPJR5CQ…K10.pdf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B1STE8RH…SJ10.pdf</w:t>
      </w:r>
      <w:r>
        <w:t xml:space="preserve"> </w:t>
      </w:r>
      <w:r>
        <w:t xml:space="preserve">and the Saudi VAT assessment );</w:t>
      </w:r>
    </w:p>
    <w:p>
      <w:pPr>
        <w:numPr>
          <w:ilvl w:val="0"/>
          <w:numId w:val="1001"/>
        </w:numPr>
      </w:pPr>
      <w:r>
        <w:t xml:space="preserve">bilingual (Qatar’s QCSD / EDAA memo);</w:t>
      </w:r>
    </w:p>
    <w:p>
      <w:pPr>
        <w:numPr>
          <w:ilvl w:val="0"/>
          <w:numId w:val="1001"/>
        </w:numPr>
      </w:pPr>
      <w:r>
        <w:t xml:space="preserve">wholly English with pre-assigned GL coding (e.g. the Bahrain</w:t>
      </w:r>
      <w:r>
        <w:t xml:space="preserve"> </w:t>
      </w:r>
      <w:r>
        <w:t xml:space="preserve">DOI-covered PO flow).</w:t>
      </w:r>
    </w:p>
    <w:p>
      <w:pPr>
        <w:pStyle w:val="FirstParagraph"/>
      </w:pPr>
      <w:r>
        <w:t xml:space="preserve">Today the Arabic-language material is handled manually: a finance analyst</w:t>
      </w:r>
      <w:r>
        <w:t xml:space="preserve"> </w:t>
      </w:r>
      <w:r>
        <w:t xml:space="preserve">reads the PDF, transcribes key fields into an OTP/VAT checklist (see the</w:t>
      </w:r>
      <w:r>
        <w:t xml:space="preserve"> </w:t>
      </w:r>
      <w:r>
        <w:t xml:space="preserve">Saudi Q3 2025 checklist in</w:t>
      </w:r>
      <w:r>
        <w:t xml:space="preserve"> </w:t>
      </w:r>
      <w:r>
        <w:rPr>
          <w:rStyle w:val="VerbatimChar"/>
        </w:rPr>
        <w:t xml:space="preserve">source/Saudi…OTP…</w:t>
      </w:r>
      <w:r>
        <w:t xml:space="preserve">),</w:t>
      </w:r>
      <w:r>
        <w:t xml:space="preserve"> </w:t>
      </w:r>
      <w:r>
        <w:t xml:space="preserve">and routes it through the DOI approval chain. The November 2025 e-mail</w:t>
      </w:r>
      <w:r>
        <w:t xml:space="preserve"> </w:t>
      </w:r>
      <w:r>
        <w:t xml:space="preserve">thread from Manoj Hemath Kumar identifies this manual path as the target</w:t>
      </w:r>
      <w:r>
        <w:t xml:space="preserve"> </w:t>
      </w:r>
      <w:r>
        <w:t xml:space="preserve">for AI replacement.</w:t>
      </w:r>
    </w:p>
    <w:bookmarkEnd w:id="9"/>
    <w:bookmarkStart w:id="10" w:name="goals"/>
    <w:p>
      <w:pPr>
        <w:pStyle w:val="Heading2"/>
      </w:pPr>
      <w:r>
        <w:t xml:space="preserve">Goals</w:t>
      </w:r>
    </w:p>
    <w:p>
      <w:pPr>
        <w:pStyle w:val="FirstParagraph"/>
      </w:pPr>
      <w:r>
        <w:t xml:space="preserve">The specification targets three outcomes, each with a direct lineage to</w:t>
      </w:r>
      <w:r>
        <w:t xml:space="preserve"> </w:t>
      </w:r>
      <w:r>
        <w:t xml:space="preserve">the sample corpus in</w:t>
      </w:r>
      <w:r>
        <w:t xml:space="preserve"> </w:t>
      </w:r>
      <w:r>
        <w:rPr>
          <w:rStyle w:val="VerbatimChar"/>
        </w:rPr>
        <w:t xml:space="preserve">source/</w:t>
      </w:r>
      <w:r>
        <w:t xml:space="preserve">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Structured ingestion.</w:t>
      </w:r>
      <w:r>
        <w:t xml:space="preserve"> </w:t>
      </w:r>
      <w:r>
        <w:t xml:space="preserve">Every Arabic or bilingual invoice</w:t>
      </w:r>
      <w:r>
        <w:t xml:space="preserve"> </w:t>
      </w:r>
      <w:r>
        <w:t xml:space="preserve">becomes a record conforming to</w:t>
      </w:r>
      <w:r>
        <w:t xml:space="preserve"> </w:t>
      </w:r>
      <w:r>
        <w:rPr>
          <w:rStyle w:val="VerbatimChar"/>
        </w:rPr>
        <w:t xml:space="preserve">structured/schema/invoice.schema.json</w:t>
      </w:r>
      <w:r>
        <w:t xml:space="preserve"> </w:t>
      </w:r>
      <w:r>
        <w:t xml:space="preserve">(</w:t>
      </w:r>
      <w:hyperlink w:anchor="ch:schema">
        <w:r>
          <w:rPr>
            <w:rStyle w:val="Hyperlink"/>
          </w:rPr>
          <w:t xml:space="preserve">[ch:schema]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Deterministic compliance.</w:t>
      </w:r>
      <w:r>
        <w:t xml:space="preserve"> </w:t>
      </w:r>
      <w:r>
        <w:t xml:space="preserve">Every invoice is passed</w:t>
      </w:r>
      <w:r>
        <w:t xml:space="preserve"> </w:t>
      </w:r>
      <w:r>
        <w:t xml:space="preserve">through a rule engine that emits a VAT compliance checklist</w:t>
      </w:r>
      <w:r>
        <w:t xml:space="preserve"> </w:t>
      </w:r>
      <w:r>
        <w:t xml:space="preserve">conforming to</w:t>
      </w:r>
      <w:r>
        <w:t xml:space="preserve"> </w:t>
      </w:r>
      <w:r>
        <w:rPr>
          <w:rStyle w:val="VerbatimChar"/>
        </w:rPr>
        <w:t xml:space="preserve">structured/schema/vat-checklist.schema.json</w:t>
      </w:r>
      <w:r>
        <w:t xml:space="preserve"> </w:t>
      </w:r>
      <w:r>
        <w:t xml:space="preserve">(</w:t>
      </w:r>
      <w:hyperlink w:anchor="ch:vat">
        <w:r>
          <w:rPr>
            <w:rStyle w:val="Hyperlink"/>
          </w:rPr>
          <w:t xml:space="preserve">[ch:vat]</w:t>
        </w:r>
      </w:hyperlink>
      <w:r>
        <w:t xml:space="preserve">), with the rule set derived from the</w:t>
      </w:r>
      <w:r>
        <w:t xml:space="preserve"> </w:t>
      </w:r>
      <w:r>
        <w:t xml:space="preserve">regulator-specific controls in the corpus.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Auditable approval.</w:t>
      </w:r>
      <w:r>
        <w:t xml:space="preserve"> </w:t>
      </w:r>
      <w:r>
        <w:t xml:space="preserve">Every payment follows one of the</w:t>
      </w:r>
      <w:r>
        <w:t xml:space="preserve"> </w:t>
      </w:r>
      <w:r>
        <w:t xml:space="preserve">four state machines in</w:t>
      </w:r>
      <w:r>
        <w:t xml:space="preserve"> </w:t>
      </w:r>
      <w:r>
        <w:rPr>
          <w:rStyle w:val="VerbatimChar"/>
        </w:rPr>
        <w:t xml:space="preserve">structured/workflows/</w:t>
      </w:r>
      <w:r>
        <w:t xml:space="preserve"> </w:t>
      </w:r>
      <w:r>
        <w:t xml:space="preserve">and</w:t>
      </w:r>
      <w:r>
        <w:t xml:space="preserve"> </w:t>
      </w:r>
      <w:r>
        <w:t xml:space="preserve">meets the controls enumerated in the Bahrain DOI</w:t>
      </w:r>
      <w:r>
        <w:t xml:space="preserve"> </w:t>
      </w:r>
      <w:r>
        <w:t xml:space="preserve">(</w:t>
      </w:r>
      <w:hyperlink w:anchor="ch:ap,ch:controls">
        <w:r>
          <w:rPr>
            <w:rStyle w:val="Hyperlink"/>
          </w:rPr>
          <w:t xml:space="preserve">[ch:ap,ch:controls]</w:t>
        </w:r>
      </w:hyperlink>
      <w:r>
        <w:t xml:space="preserve">).</w:t>
      </w:r>
    </w:p>
    <w:bookmarkEnd w:id="10"/>
    <w:bookmarkStart w:id="12" w:name="in-scope-countries-and-counterparties"/>
    <w:p>
      <w:pPr>
        <w:pStyle w:val="Heading2"/>
      </w:pPr>
      <w:r>
        <w:t xml:space="preserve">In-scope countries and counterparties</w:t>
      </w:r>
    </w:p>
    <w:bookmarkStart w:id="11" w:name="tab:countries"/>
    <w:p>
      <w:pPr>
        <w:pStyle w:val="TableCaption"/>
      </w:pPr>
      <w:r>
        <w:t xml:space="preserve">Countries in scope, with the controlling source document and</w:t>
      </w:r>
      <w:r>
        <w:t xml:space="preserve"> </w:t>
      </w:r>
      <w:r>
        <w:t xml:space="preserve">the structured records derived from it.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untries in scope, with the controlling source document and the structured records derived from it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document(s)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Egypt (EG)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3CPJR5CQ…K10.pdf</w:t>
            </w:r>
            <w:r>
              <w:t xml:space="preserve">,</w:t>
            </w:r>
            <w:r>
              <w:br/>
            </w:r>
            <w:r>
              <w:rPr>
                <w:rStyle w:val="VerbatimChar"/>
              </w:rPr>
              <w:t xml:space="preserve">B1STE8RH…SJ10.pdf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Saudi Arabia (SA)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ZATCA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(005).pdf,</w:t>
            </w:r>
            <w:r>
              <w:br/>
            </w:r>
            <w:r>
              <w:t xml:space="preserve">Saudi OTP/VAT Q3’25 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Qatar (QA)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EDAA Annual Fee 2025,</w:t>
            </w:r>
            <w:r>
              <w:br/>
            </w:r>
            <w:r>
              <w:t xml:space="preserve">QCSD payment instruction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Bahrain (BH)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Accounts Payable DOI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Iraq (IQ), UAE,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Planned</w:t>
            </w:r>
            <w:r>
              <w:t xml:space="preserve">; referenced in the initiative e-mail but formally</w:t>
            </w:r>
            <w:r>
              <w:t xml:space="preserve"> </w:t>
            </w:r>
            <w:r>
              <w:t xml:space="preserve">out of scope until at least five sample invoices per jurisdiction</w:t>
            </w:r>
            <w:r>
              <w:t xml:space="preserve"> </w:t>
            </w:r>
            <w:r>
              <w:t xml:space="preserve">are added to</w:t>
            </w:r>
            <w:r>
              <w:t xml:space="preserve"> </w:t>
            </w:r>
            <w:r>
              <w:rPr>
                <w:rStyle w:val="VerbatimChar"/>
              </w:rPr>
              <w:t xml:space="preserve">source/</w:t>
            </w:r>
          </w:p>
        </w:tc>
      </w:tr>
    </w:tbl>
    <w:bookmarkEnd w:id="11"/>
    <w:bookmarkEnd w:id="12"/>
    <w:bookmarkStart w:id="14" w:name="system-context"/>
    <w:p>
      <w:pPr>
        <w:pStyle w:val="Heading2"/>
      </w:pPr>
      <w:r>
        <w:t xml:space="preserve">System context</w:t>
      </w:r>
    </w:p>
    <w:bookmarkStart w:id="13" w:name="fig:context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System context. Regulator portals (blue) and vendor PDFs feed</w:t>
      </w:r>
      <w:r>
        <w:t xml:space="preserve"> </w:t>
      </w:r>
      <w:r>
        <w:t xml:space="preserve">the AI pipeline (orange), which emits canonical records to</w:t>
      </w:r>
      <w:r>
        <w:t xml:space="preserve"> </w:t>
      </w:r>
      <w:r>
        <w:t xml:space="preserve">the deterministic VAT and approval engines (green). Downstream</w:t>
      </w:r>
      <w:r>
        <w:t xml:space="preserve"> </w:t>
      </w:r>
      <w:r>
        <w:t xml:space="preserve">posting to GL is out of scope.</w:t>
      </w:r>
    </w:p>
    <w:bookmarkEnd w:id="13"/>
    <w:bookmarkEnd w:id="14"/>
    <w:bookmarkStart w:id="15" w:name="out-of-scope"/>
    <w:p>
      <w:pPr>
        <w:pStyle w:val="Heading2"/>
      </w:pPr>
      <w:r>
        <w:t xml:space="preserve">Out of scope</w:t>
      </w:r>
    </w:p>
    <w:p>
      <w:pPr>
        <w:pStyle w:val="FirstParagraph"/>
      </w:pPr>
      <w:r>
        <w:t xml:space="preserve">The following are</w:t>
      </w:r>
      <w:r>
        <w:t xml:space="preserve"> </w:t>
      </w:r>
      <w:r>
        <w:rPr>
          <w:i/>
          <w:iCs/>
        </w:rPr>
        <w:t xml:space="preserve">explicitly</w:t>
      </w:r>
      <w:r>
        <w:t xml:space="preserve"> </w:t>
      </w:r>
      <w:r>
        <w:t xml:space="preserve">out of scope for this document:</w:t>
      </w:r>
    </w:p>
    <w:p>
      <w:pPr>
        <w:numPr>
          <w:ilvl w:val="0"/>
          <w:numId w:val="1003"/>
        </w:numPr>
      </w:pPr>
      <w:r>
        <w:t xml:space="preserve">Integration contracts with PeopleSoft PSAP/PSGL, eBBS, eOPS, and</w:t>
      </w:r>
      <w:r>
        <w:t xml:space="preserve"> </w:t>
      </w:r>
      <w:r>
        <w:t xml:space="preserve">Tax-Q. These are covered by a separate interface specification.</w:t>
      </w:r>
    </w:p>
    <w:p>
      <w:pPr>
        <w:numPr>
          <w:ilvl w:val="0"/>
          <w:numId w:val="1003"/>
        </w:numPr>
      </w:pPr>
      <w:r>
        <w:t xml:space="preserve">Vendor master-data on-boarding and the 48-hour screening service</w:t>
      </w:r>
      <w:r>
        <w:t xml:space="preserve"> </w:t>
      </w:r>
      <w:r>
        <w:t xml:space="preserve">itself; this document assumes a screening result is available as</w:t>
      </w:r>
      <w:r>
        <w:t xml:space="preserve"> </w:t>
      </w:r>
      <w:r>
        <w:t xml:space="preserve">a boolean precondition.</w:t>
      </w:r>
    </w:p>
    <w:p>
      <w:pPr>
        <w:numPr>
          <w:ilvl w:val="0"/>
          <w:numId w:val="1003"/>
        </w:numPr>
      </w:pPr>
      <w:r>
        <w:t xml:space="preserve">The encrypted template</w:t>
      </w:r>
      <w:r>
        <w:t xml:space="preserve"> </w:t>
      </w:r>
      <w:r>
        <w:rPr>
          <w:rStyle w:val="VerbatimChar"/>
        </w:rPr>
        <w:t xml:space="preserve">Business Instruction Template - V1.0 (002) (1).xlsm</w:t>
      </w:r>
      <w:r>
        <w:t xml:space="preserve"> </w:t>
      </w:r>
      <w:r>
        <w:t xml:space="preserve">and the</w:t>
      </w:r>
      <w:r>
        <w:t xml:space="preserve"> </w:t>
      </w:r>
      <w:r>
        <w:t xml:space="preserve">duplicate</w:t>
      </w:r>
      <w:r>
        <w:t xml:space="preserve"> </w:t>
      </w:r>
      <w:r>
        <w:rPr>
          <w:rStyle w:val="VerbatimChar"/>
        </w:rPr>
        <w:t xml:space="preserve">EDAA…[65].pdf</w:t>
      </w:r>
      <w:r>
        <w:t xml:space="preserve">; neither is referenced by</w:t>
      </w:r>
      <w:r>
        <w:t xml:space="preserve"> </w:t>
      </w:r>
      <w:r>
        <w:t xml:space="preserve">any structured record.</w:t>
      </w:r>
    </w:p>
    <w:p>
      <w:pPr>
        <w:numPr>
          <w:ilvl w:val="0"/>
          <w:numId w:val="1003"/>
        </w:numPr>
      </w:pPr>
      <w:r>
        <w:t xml:space="preserve">Peer/competitor analysis across jurisdictions, which the e-mail</w:t>
      </w:r>
      <w:r>
        <w:t xml:space="preserve"> </w:t>
      </w:r>
      <w:r>
        <w:t xml:space="preserve">thread itself identifies as a separate initiative.</w:t>
      </w:r>
    </w:p>
    <w:bookmarkEnd w:id="15"/>
    <w:bookmarkStart w:id="17" w:name="five-session-engagement-model"/>
    <w:p>
      <w:pPr>
        <w:pStyle w:val="Heading2"/>
      </w:pPr>
      <w:r>
        <w:t xml:space="preserve">Five-session engagement model</w:t>
      </w:r>
    </w:p>
    <w:p>
      <w:pPr>
        <w:pStyle w:val="FirstParagraph"/>
      </w:pPr>
      <w:r>
        <w:t xml:space="preserve">Per the e-mail, every country instance of this system follows a</w:t>
      </w:r>
      <w:r>
        <w:t xml:space="preserve"> </w:t>
      </w:r>
      <w:r>
        <w:t xml:space="preserve">five-session agile discovery cadence</w:t>
      </w:r>
      <w:r>
        <w:t xml:space="preserve"> </w:t>
      </w:r>
      <w:r>
        <w:t xml:space="preserve">(</w:t>
      </w:r>
      <w:hyperlink w:anchor="tab:sessions">
        <w:r>
          <w:rPr>
            <w:rStyle w:val="Hyperlink"/>
          </w:rPr>
          <w:t xml:space="preserve">1.2</w:t>
        </w:r>
      </w:hyperlink>
      <w:r>
        <w:t xml:space="preserve">); the AI pipeline of</w:t>
      </w:r>
      <w:r>
        <w:t xml:space="preserve"> </w:t>
      </w:r>
      <w:hyperlink w:anchor="ch:ai">
        <w:r>
          <w:rPr>
            <w:rStyle w:val="Hyperlink"/>
          </w:rPr>
          <w:t xml:space="preserve">[ch:ai]</w:t>
        </w:r>
      </w:hyperlink>
      <w:r>
        <w:t xml:space="preserve"> </w:t>
      </w:r>
      <w:r>
        <w:t xml:space="preserve">is designed to</w:t>
      </w:r>
      <w:r>
        <w:t xml:space="preserve"> </w:t>
      </w:r>
      <w:r>
        <w:t xml:space="preserve">advance with that cadence.</w:t>
      </w:r>
    </w:p>
    <w:bookmarkStart w:id="16" w:name="tab:sessions"/>
    <w:p>
      <w:pPr>
        <w:pStyle w:val="TableCaption"/>
      </w:pPr>
      <w:r>
        <w:t xml:space="preserve">Five-session engagement model (codified in</w:t>
      </w:r>
      <w:r>
        <w:t xml:space="preserve"> </w:t>
      </w:r>
      <w:r>
        <w:rPr>
          <w:rStyle w:val="VerbatimChar"/>
        </w:rPr>
        <w:t xml:space="preserve">structured/enums.yaml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ve-session engagement model (codified in structured/enums.yaml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understand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 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problem, define user journey, pick target.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sketch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 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 detailed solution design.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decide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 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Critique approaches, select best path.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prototype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 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practical system for use case.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 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with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</m:oMath>
            <w:r>
              <w:t xml:space="preserve">5 stakeholders, gather feedback.</w:t>
            </w:r>
          </w:p>
        </w:tc>
      </w:tr>
    </w:tbl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2026-04-19T11:01:51Z</dcterms:created>
  <dcterms:modified xsi:type="dcterms:W3CDTF">2026-04-19T11:01:51Z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