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SAP OSS Committee Submission Pack</w:t>
      </w:r>
      <w:r>
        <w:br/>
      </w:r>
      <w:r>
        <w:t xml:space="preserve">Derived from the supporting technical specification in</w:t>
      </w:r>
    </w:p>
    <w:p>
      <w:pPr>
        <w:pStyle w:val="Date"/>
      </w:pPr>
      <w:r>
        <w:t xml:space="preserve">14 April 2026</w:t>
      </w:r>
      <w:r>
        <w:t xml:space="preserve"> </w:t>
      </w:r>
      <m:oMath>
        <m:r>
          <m:rPr>
            <m:sty m:val="p"/>
          </m:rPr>
          <m:t>∣</m:t>
        </m:r>
      </m:oMath>
      <w:r>
        <w:t xml:space="preserve">Version 1.0 Draft</w:t>
      </w:r>
    </w:p>
    <w:bookmarkStart w:id="9" w:name="executive-memo"/>
    <w:p>
      <w:pPr>
        <w:pStyle w:val="Heading1"/>
      </w:pPr>
      <w:r>
        <w:t xml:space="preserve">Executive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AI Safety Review Committee, Architecture Review Board, Information Security, Data Governance, and Operational Risk Committees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SAP OSS Technical and Governance Working Draft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Approval request for a Singapore-aligned AI safety, governance, metrics, and monitoring framework for the SAP OSS repository</w:t>
      </w:r>
      <w:r>
        <w:br/>
      </w:r>
      <w:r>
        <w:rPr>
          <w:b/>
          <w:bCs/>
        </w:rPr>
        <w:t xml:space="preserve">Decision required:</w:t>
      </w:r>
      <w:r>
        <w:t xml:space="preserve"> </w:t>
      </w:r>
      <w:r>
        <w:t xml:space="preserve">Approve the framework design and authorise controlled implementation subject to the conditions below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This memo requests approval for the governance design needed to bring all AI-enabled workflows in the SAP OSS repository under one measurable control regime before implementation. Approval is requested for the framework, its metrics, its committee gates, and the in-scope use-case register.</w:t>
      </w:r>
    </w:p>
    <w:p>
      <w:pPr>
        <w:pStyle w:val="BodyText"/>
      </w:pPr>
      <w:r>
        <w:rPr>
          <w:b/>
          <w:bCs/>
        </w:rPr>
        <w:t xml:space="preserve">Why approval is needed now.</w:t>
      </w:r>
      <w:r>
        <w:t xml:space="preserve"> </w:t>
      </w:r>
      <w:r>
        <w:t xml:space="preserve">The repository already contains multiple AI-enabled surfaces in active development, including chat, approvals, HANA-linked retrieval, OCR, memory, training, deployment, and MCP/LangChain tool orchestration. These do not yet operate under one committee-approved control model. Approval is needed now so implementation uses one shared risk taxonomy, evidence standard, and production gate model.</w:t>
      </w:r>
    </w:p>
    <w:p>
      <w:pPr>
        <w:pStyle w:val="BodyText"/>
      </w:pPr>
      <w:r>
        <w:rPr>
          <w:b/>
          <w:bCs/>
        </w:rPr>
        <w:t xml:space="preserve">Regulatory basis.</w:t>
      </w:r>
      <w:r>
        <w:t xml:space="preserve"> </w:t>
      </w:r>
      <w:r>
        <w:t xml:space="preserve">The framework is aligned to current Singapore guidance as of 14 April 2026, including IMDA’s</w:t>
      </w:r>
      <w:r>
        <w:t xml:space="preserve"> </w:t>
      </w:r>
      <w:r>
        <w:rPr>
          <w:i/>
          <w:iCs/>
        </w:rPr>
        <w:t xml:space="preserve">Model AI Governance Framework for Agentic AI</w:t>
      </w:r>
      <w:r>
        <w:t xml:space="preserve">, IMDA’s LLM testing starter kit, PDPC AI governance and personal-data guidance, and CSA secure-AI guidance, with the CSA agentic-AI addendum treated as supplementary consultation-stage material.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Twelve use-case families are in scope across the repository tree, covering chat, governance-mediated UI actions, HANA query and prompt composition, retrieval/vector operations, personal knowledge memory, OCR, data-cleaning workflows, training and model deployment, pipeline orchestration, MCP/LangChain tool use, audit/governance evidence, and local model serving.</w:t>
      </w:r>
    </w:p>
    <w:p>
      <w:pPr>
        <w:pStyle w:val="BodyText"/>
      </w:pPr>
      <w:r>
        <w:rPr>
          <w:b/>
          <w:bCs/>
        </w:rPr>
        <w:t xml:space="preserve">Recommended decision.</w:t>
      </w:r>
      <w:r>
        <w:t xml:space="preserve"> </w:t>
      </w:r>
      <w:r>
        <w:t xml:space="preserve">Approve the framework design with staged implementation authority, subject to the following conditions:</w:t>
      </w:r>
    </w:p>
    <w:p>
      <w:pPr>
        <w:numPr>
          <w:ilvl w:val="0"/>
          <w:numId w:val="1001"/>
        </w:numPr>
      </w:pPr>
      <w:r>
        <w:t xml:space="preserve">No in-scope use case may move to production until registered and risk-scored.</w:t>
      </w:r>
    </w:p>
    <w:p>
      <w:pPr>
        <w:numPr>
          <w:ilvl w:val="0"/>
          <w:numId w:val="1001"/>
        </w:numPr>
      </w:pPr>
      <w:r>
        <w:t xml:space="preserve">All high-risk and critical use cases must satisfy the defined critical controls and quantitative deployment gates.</w:t>
      </w:r>
    </w:p>
    <w:p>
      <w:pPr>
        <w:numPr>
          <w:ilvl w:val="0"/>
          <w:numId w:val="1001"/>
        </w:numPr>
      </w:pPr>
      <w:r>
        <w:t xml:space="preserve">A governance evidence plane must be implemented in the existing FastAPI server, audit sink, store, and governance UI before production approval is granted to agentic or model-deployment workflows.</w:t>
      </w:r>
    </w:p>
    <w:p>
      <w:pPr>
        <w:numPr>
          <w:ilvl w:val="0"/>
          <w:numId w:val="1001"/>
        </w:numPr>
      </w:pPr>
      <w:r>
        <w:t xml:space="preserve">MCP and tool-executing agent workflows must remain pilot-only until allowlists, delegated identity, and checkpoint controls are implemented.</w:t>
      </w:r>
    </w:p>
    <w:p>
      <w:pPr>
        <w:pStyle w:val="FirstParagraph"/>
      </w:pPr>
      <w:r>
        <w:rPr>
          <w:b/>
          <w:bCs/>
        </w:rPr>
        <w:t xml:space="preserve">Approval requested.</w:t>
      </w:r>
      <w:r>
        <w:t xml:space="preserve"> </w:t>
      </w:r>
      <w:r>
        <w:t xml:space="preserve">Approve the control catalogue, metrics, and score-based gate model; approve the attached use-case register as the baseline scope for governance; approve implementation Wave 1 for the central API server, audit sink, persistence, and governance dashboard; and require re-submission for production sign-off once implementation evidence and test results exist.</w:t>
      </w:r>
    </w:p>
    <w:p>
      <w:pPr>
        <w:pStyle w:val="BodyText"/>
      </w:pPr>
      <w:r>
        <w:rPr>
          <w:b/>
          <w:bCs/>
        </w:rPr>
        <w:t xml:space="preserve">Residual risk position.</w:t>
      </w:r>
      <w:r>
        <w:t xml:space="preserve"> </w:t>
      </w:r>
      <w:r>
        <w:t xml:space="preserve">The design materially lowers governance risk by requiring named ownership, bounded autonomy, quantitative thresholds, durable audit traces, and incident-response hooks. The principal remaining risk before implementation is the absence of the runtime enforcement and evidence plumbing described in the supporting specification.</w:t>
      </w:r>
    </w:p>
    <w:bookmarkEnd w:id="9"/>
    <w:bookmarkStart w:id="13" w:name="approval-summary"/>
    <w:p>
      <w:pPr>
        <w:pStyle w:val="Heading1"/>
      </w:pPr>
      <w:r>
        <w:t xml:space="preserve">Approval Summary</w:t>
      </w:r>
    </w:p>
    <w:bookmarkStart w:id="10" w:name="what-this-pack-approves"/>
    <w:p>
      <w:pPr>
        <w:pStyle w:val="Heading2"/>
      </w:pPr>
      <w:r>
        <w:t xml:space="preserve">What This Pack Approves</w:t>
      </w:r>
    </w:p>
    <w:p>
      <w:pPr>
        <w:pStyle w:val="FirstParagraph"/>
      </w:pPr>
      <w:r>
        <w:t xml:space="preserve">This pack seeks committee approval for:</w:t>
      </w:r>
    </w:p>
    <w:p>
      <w:pPr>
        <w:numPr>
          <w:ilvl w:val="0"/>
          <w:numId w:val="1002"/>
        </w:numPr>
      </w:pPr>
      <w:r>
        <w:t xml:space="preserve">the Singapore-aligned AI safety and governance framework design;</w:t>
      </w:r>
    </w:p>
    <w:p>
      <w:pPr>
        <w:numPr>
          <w:ilvl w:val="0"/>
          <w:numId w:val="1002"/>
        </w:numPr>
      </w:pPr>
      <w:r>
        <w:t xml:space="preserve">the in-scope system surfaces and use-case inventory;</w:t>
      </w:r>
    </w:p>
    <w:p>
      <w:pPr>
        <w:numPr>
          <w:ilvl w:val="0"/>
          <w:numId w:val="1002"/>
        </w:numPr>
      </w:pPr>
      <w:r>
        <w:t xml:space="preserve">the risk-scoring model, mandatory metrics, and release gates;</w:t>
      </w:r>
    </w:p>
    <w:p>
      <w:pPr>
        <w:numPr>
          <w:ilvl w:val="0"/>
          <w:numId w:val="1002"/>
        </w:numPr>
      </w:pPr>
      <w:r>
        <w:t xml:space="preserve">the implementation direction for the repository control plane; and</w:t>
      </w:r>
    </w:p>
    <w:p>
      <w:pPr>
        <w:numPr>
          <w:ilvl w:val="0"/>
          <w:numId w:val="1002"/>
        </w:numPr>
      </w:pPr>
      <w:r>
        <w:t xml:space="preserve">the conditional production posture assigned to each use case.</w:t>
      </w:r>
    </w:p>
    <w:bookmarkEnd w:id="10"/>
    <w:bookmarkStart w:id="11" w:name="what-this-pack-does-not-approve"/>
    <w:p>
      <w:pPr>
        <w:pStyle w:val="Heading2"/>
      </w:pPr>
      <w:r>
        <w:t xml:space="preserve">What This Pack Does Not Approve</w:t>
      </w:r>
    </w:p>
    <w:p>
      <w:pPr>
        <w:pStyle w:val="FirstParagraph"/>
      </w:pPr>
      <w:r>
        <w:t xml:space="preserve">This pack does not by itself approve:</w:t>
      </w:r>
    </w:p>
    <w:p>
      <w:pPr>
        <w:numPr>
          <w:ilvl w:val="0"/>
          <w:numId w:val="1003"/>
        </w:numPr>
      </w:pPr>
      <w:r>
        <w:t xml:space="preserve">unrestricted production use of any specific AI workflow;</w:t>
      </w:r>
    </w:p>
    <w:p>
      <w:pPr>
        <w:numPr>
          <w:ilvl w:val="0"/>
          <w:numId w:val="1003"/>
        </w:numPr>
      </w:pPr>
      <w:r>
        <w:t xml:space="preserve">legal certification or regulatory endorsement;</w:t>
      </w:r>
    </w:p>
    <w:p>
      <w:pPr>
        <w:numPr>
          <w:ilvl w:val="0"/>
          <w:numId w:val="1003"/>
        </w:numPr>
      </w:pPr>
      <w:r>
        <w:t xml:space="preserve">release of critical or high-risk use cases without evidence;</w:t>
      </w:r>
    </w:p>
    <w:p>
      <w:pPr>
        <w:numPr>
          <w:ilvl w:val="0"/>
          <w:numId w:val="1003"/>
        </w:numPr>
      </w:pPr>
      <w:r>
        <w:t xml:space="preserve">use of untrusted MCP servers or unbounded agent tool access; or</w:t>
      </w:r>
    </w:p>
    <w:p>
      <w:pPr>
        <w:numPr>
          <w:ilvl w:val="0"/>
          <w:numId w:val="1003"/>
        </w:numPr>
      </w:pPr>
      <w:r>
        <w:t xml:space="preserve">model deployment without a post-implementation review.</w:t>
      </w:r>
    </w:p>
    <w:bookmarkEnd w:id="11"/>
    <w:bookmarkStart w:id="12" w:name="supporting-artefact"/>
    <w:p>
      <w:pPr>
        <w:pStyle w:val="Heading2"/>
      </w:pPr>
      <w:r>
        <w:t xml:space="preserve">Supporting Artefact</w:t>
      </w:r>
    </w:p>
    <w:p>
      <w:pPr>
        <w:pStyle w:val="FirstParagraph"/>
      </w:pPr>
      <w:r>
        <w:t xml:space="preserve">The detailed basis document is:</w:t>
      </w:r>
    </w:p>
    <w:p>
      <w:pPr>
        <w:pStyle w:val="FirstParagraph"/>
      </w:pPr>
      <w:r>
        <w:t xml:space="preserve">That supporting specification contains the full source hierarchy, control catalogue, formulas, monitoring schema, lifecycle process, and implementation design referenced by this approval pack.</w:t>
      </w:r>
    </w:p>
    <w:bookmarkEnd w:id="12"/>
    <w:bookmarkEnd w:id="13"/>
    <w:bookmarkStart w:id="16" w:name="requested-committee-decisions"/>
    <w:p>
      <w:pPr>
        <w:pStyle w:val="Heading1"/>
      </w:pPr>
      <w:r>
        <w:t xml:space="preserve">Requested Committee Decisions</w:t>
      </w:r>
    </w:p>
    <w:bookmarkStart w:id="14" w:name="primary-decisions"/>
    <w:p>
      <w:pPr>
        <w:pStyle w:val="Heading2"/>
      </w:pPr>
      <w:r>
        <w:t xml:space="preserve">Primary Decisions</w:t>
      </w:r>
    </w:p>
    <w:p>
      <w:pPr>
        <w:pStyle w:val="FirstParagraph"/>
      </w:pPr>
      <w:r>
        <w:t xml:space="preserve">P</w:t>
      </w:r>
      <w:r>
        <w:t xml:space="preserve">0.12</w:t>
      </w:r>
      <w:r>
        <w:t xml:space="preserve">P</w:t>
      </w:r>
      <w:r>
        <w:t xml:space="preserve">0.53</w:t>
      </w:r>
      <w:r>
        <w:t xml:space="preserve">P</w:t>
      </w:r>
      <w:r>
        <w:t xml:space="preserve">0.20</w:t>
      </w:r>
    </w:p>
    <w:p>
      <w:pPr>
        <w:pStyle w:val="BodyText"/>
      </w:pPr>
      <w:r>
        <w:br/>
      </w:r>
      <w:r>
        <w:rPr>
          <w:b/>
          <w:bCs/>
        </w:rPr>
        <w:t xml:space="preserve">Decision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Requested Outcome</w:t>
      </w:r>
      <w:r>
        <w:br/>
      </w:r>
      <w:r>
        <w:rPr>
          <w:b/>
          <w:bCs/>
        </w:rPr>
        <w:t xml:space="preserve">Decision 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Requested Outcome</w:t>
      </w:r>
      <w:r>
        <w:br/>
      </w:r>
      <w:r>
        <w:t xml:space="preserve">DEC-01 &amp; Approve the AI safety framework design, control catalogue, and risk model as the governing baseline for in-scope SAP OSS AI workflows. &amp; Approve</w:t>
      </w:r>
      <w:r>
        <w:br/>
      </w:r>
      <w:r>
        <w:t xml:space="preserve">DEC-02 &amp; Approve the twelve use-case families in Annex A as the mandatory governance scope for the repository. &amp; Approve</w:t>
      </w:r>
      <w:r>
        <w:br/>
      </w:r>
      <w:r>
        <w:t xml:space="preserve">DEC-03 &amp; Approve implementation Wave 1 in the existing FastAPI server, store, audit sink, and governance UI. &amp; Approve with conditions</w:t>
      </w:r>
      <w:r>
        <w:br/>
      </w:r>
      <w:r>
        <w:t xml:space="preserve">DEC-04 &amp; Require high-risk and critical use cases to return for production approval with test evidence, metrics, and rollout controls. &amp; Approve</w:t>
      </w:r>
      <w:r>
        <w:br/>
      </w:r>
      <w:r>
        <w:t xml:space="preserve">DEC-05 &amp; Keep MCP tool-orchestrating workflows and model-deployment workflows under pilot-only governance until critical controls are implemented. &amp; Approve</w:t>
      </w:r>
      <w:r>
        <w:br/>
      </w:r>
    </w:p>
    <w:bookmarkEnd w:id="14"/>
    <w:bookmarkStart w:id="15" w:name="conditions-of-approval"/>
    <w:p>
      <w:pPr>
        <w:pStyle w:val="Heading2"/>
      </w:pPr>
      <w:r>
        <w:t xml:space="preserve">Conditions of Approval</w:t>
      </w:r>
    </w:p>
    <w:p>
      <w:pPr>
        <w:numPr>
          <w:ilvl w:val="0"/>
          <w:numId w:val="1004"/>
        </w:numPr>
      </w:pPr>
      <w:r>
        <w:t xml:space="preserve">The implementation must preserve an auditable mapping from each execution to a registered use-case ID.</w:t>
      </w:r>
    </w:p>
    <w:p>
      <w:pPr>
        <w:numPr>
          <w:ilvl w:val="0"/>
          <w:numId w:val="1004"/>
        </w:numPr>
      </w:pPr>
      <w:r>
        <w:t xml:space="preserve">The implementation must record enough runtime evidence to compute the mandatory metrics.</w:t>
      </w:r>
    </w:p>
    <w:p>
      <w:pPr>
        <w:numPr>
          <w:ilvl w:val="0"/>
          <w:numId w:val="1004"/>
        </w:numPr>
      </w:pPr>
      <w:r>
        <w:t xml:space="preserve">Any material architecture or scope expansion must trigger re-review.</w:t>
      </w:r>
    </w:p>
    <w:p>
      <w:pPr>
        <w:numPr>
          <w:ilvl w:val="0"/>
          <w:numId w:val="1004"/>
        </w:numPr>
      </w:pPr>
      <w:r>
        <w:t xml:space="preserve">Any use case involving personal data, external writes, model deployment, or open-ended tool orchestration requires explicit residual-risk owner sign-off before production.</w:t>
      </w:r>
    </w:p>
    <w:bookmarkEnd w:id="15"/>
    <w:bookmarkEnd w:id="16"/>
    <w:bookmarkStart w:id="17" w:name="X03f20ce339a8ae0fcc7f8f40f248460593df88a"/>
    <w:p>
      <w:pPr>
        <w:pStyle w:val="Heading1"/>
      </w:pPr>
      <w:r>
        <w:t xml:space="preserve">Approval Recommendation by Use-Case Family</w:t>
      </w:r>
    </w:p>
    <w:p>
      <w:pPr>
        <w:pStyle w:val="FirstParagraph"/>
      </w:pPr>
      <w:r>
        <w:t xml:space="preserve">P</w:t>
      </w:r>
      <w:r>
        <w:t xml:space="preserve">0.08</w:t>
      </w:r>
      <w:r>
        <w:t xml:space="preserve">P</w:t>
      </w:r>
      <w:r>
        <w:t xml:space="preserve">0.24</w:t>
      </w:r>
      <w:r>
        <w:t xml:space="preserve">P</w:t>
      </w:r>
      <w:r>
        <w:t xml:space="preserve">0.12</w:t>
      </w:r>
      <w:r>
        <w:t xml:space="preserve">P</w:t>
      </w:r>
      <w:r>
        <w:t xml:space="preserve">0.24</w:t>
      </w:r>
      <w:r>
        <w:t xml:space="preserve">P</w:t>
      </w:r>
      <w:r>
        <w:t xml:space="preserve">0.18</w:t>
      </w:r>
    </w:p>
    <w:p>
      <w:pPr>
        <w:pStyle w:val="BodyText"/>
      </w:pP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Initial Risk Tier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Recommended Committee Posture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Priority</w:t>
      </w: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Initial Risk Tier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Recommended Committee Posture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Implementation Priority</w:t>
      </w:r>
      <w:r>
        <w:br/>
      </w:r>
      <w:r>
        <w:t xml:space="preserve">UC-01 &amp; OpenAI-compatible chat and prompt-response synthesis &amp; Medium/High &amp; Allow implementation; production conditional on logging, routing governance, and baseline testing. &amp; Wave 1</w:t>
      </w:r>
      <w:r>
        <w:br/>
      </w:r>
      <w:r>
        <w:t xml:space="preserve">UC-02 &amp; AI-generated UI actions and approval workflows &amp; High &amp; Allow implementation; production conditional on approval integrity and oversight auditability. &amp; Wave 1</w:t>
      </w:r>
      <w:r>
        <w:br/>
      </w:r>
      <w:r>
        <w:t xml:space="preserve">UC-03 &amp; HANA query and data-product prompt composition &amp; High &amp; Allow implementation; production conditional on access controls, read-only guarantees, and leakage testing. &amp; Wave 1</w:t>
      </w:r>
      <w:r>
        <w:br/>
      </w:r>
      <w:r>
        <w:t xml:space="preserve">UC-04 &amp; Retrieval, embeddings, and vector-store operations &amp; High &amp; Allow implementation; production conditional on retention, provenance, and leakage controls. &amp; Wave 1</w:t>
      </w:r>
      <w:r>
        <w:br/>
      </w:r>
      <w:r>
        <w:t xml:space="preserve">UC-05 &amp; Personal knowledge and durable memory &amp; High &amp; Allow implementation; production conditional on user ownership, retention, and privacy safeguards. &amp; Wave 2</w:t>
      </w:r>
      <w:r>
        <w:br/>
      </w:r>
      <w:r>
        <w:t xml:space="preserve">UC-06 &amp; OCR document extraction and translation &amp; High &amp; Allow implementation; production conditional on document sensitivity handling and output QA. &amp; Wave 2</w:t>
      </w:r>
      <w:r>
        <w:br/>
      </w:r>
      <w:r>
        <w:t xml:space="preserve">UC-07 &amp; Data-cleaning workflow generation &amp; Medium &amp; Allow implementation; production conditional on recommendation/execution boundary and audit completeness. &amp; Wave 2</w:t>
      </w:r>
      <w:r>
        <w:br/>
      </w:r>
      <w:r>
        <w:t xml:space="preserve">UC-08 &amp; Training generation, fine-tuning, and model deployment &amp; Critical &amp; Implementation only after framework plumbing exists; production requires full gate review. &amp; Wave 3</w:t>
      </w:r>
      <w:r>
        <w:br/>
      </w:r>
      <w:r>
        <w:t xml:space="preserve">UC-09 &amp; Pipeline orchestration and batch generation &amp; High &amp; Allow implementation; production conditional on alerting, rollback, and operational evidence. &amp; Wave 2</w:t>
      </w:r>
      <w:r>
        <w:br/>
      </w:r>
      <w:r>
        <w:t xml:space="preserve">UC-10 &amp; MCP and LangChain tool orchestration &amp; Critical &amp; Pilot only until allowlists, delegated identity, sandboxing, and checkpoints are in place. &amp; Wave 3</w:t>
      </w:r>
      <w:r>
        <w:br/>
      </w:r>
      <w:r>
        <w:t xml:space="preserve">UC-11 &amp; Governance, approvals, notifications, and audit ingestion &amp; High &amp; Must be implemented early because it is the evidence plane for all other approvals. &amp; Wave 1</w:t>
      </w:r>
      <w:r>
        <w:br/>
      </w:r>
      <w:r>
        <w:t xml:space="preserve">UC-12 &amp; Local/private model serving &amp; High &amp; Allow implementation; production conditional on runtime monitoring, model versioning, and fallback control. &amp; Wave 2</w:t>
      </w:r>
      <w:r>
        <w:br/>
      </w:r>
    </w:p>
    <w:bookmarkEnd w:id="17"/>
    <w:bookmarkStart w:id="21" w:name="implementation-approval-scope"/>
    <w:p>
      <w:pPr>
        <w:pStyle w:val="Heading1"/>
      </w:pPr>
      <w:r>
        <w:t xml:space="preserve">Implementation Approval Scope</w:t>
      </w:r>
    </w:p>
    <w:bookmarkStart w:id="18" w:name="Xe85682d23a1988d9fc54b415d5d9a25c08d76c8"/>
    <w:p>
      <w:pPr>
        <w:pStyle w:val="Heading2"/>
      </w:pPr>
      <w:r>
        <w:t xml:space="preserve">Wave 1: Approved for Immediate Implementation</w:t>
      </w:r>
    </w:p>
    <w:p>
      <w:pPr>
        <w:pStyle w:val="FirstParagraph"/>
      </w:pPr>
      <w:r>
        <w:t xml:space="preserve">Wave 1 should establish the central governance and evidence plane:</w:t>
      </w:r>
    </w:p>
    <w:p>
      <w:pPr>
        <w:numPr>
          <w:ilvl w:val="0"/>
          <w:numId w:val="1005"/>
        </w:numPr>
      </w:pPr>
      <w:r>
        <w:t xml:space="preserve">AI safety policy/evaluation module in the FastAPI server;</w:t>
      </w:r>
    </w:p>
    <w:p>
      <w:pPr>
        <w:numPr>
          <w:ilvl w:val="0"/>
          <w:numId w:val="1005"/>
        </w:numPr>
      </w:pPr>
      <w:r>
        <w:t xml:space="preserve">persistence for evaluations, incidents, and gate records;</w:t>
      </w:r>
    </w:p>
    <w:p>
      <w:pPr>
        <w:numPr>
          <w:ilvl w:val="0"/>
          <w:numId w:val="1005"/>
        </w:numPr>
      </w:pPr>
      <w:r>
        <w:t xml:space="preserve">governance profile and summary APIs;</w:t>
      </w:r>
    </w:p>
    <w:p>
      <w:pPr>
        <w:numPr>
          <w:ilvl w:val="0"/>
          <w:numId w:val="1005"/>
        </w:numPr>
      </w:pPr>
      <w:r>
        <w:t xml:space="preserve">audit-sink extension for completeness metrics;</w:t>
      </w:r>
    </w:p>
    <w:p>
      <w:pPr>
        <w:numPr>
          <w:ilvl w:val="0"/>
          <w:numId w:val="1005"/>
        </w:numPr>
      </w:pPr>
      <w:r>
        <w:t xml:space="preserve">governance dashboard summary in the Angular governance page;</w:t>
      </w:r>
    </w:p>
    <w:p>
      <w:pPr>
        <w:numPr>
          <w:ilvl w:val="0"/>
          <w:numId w:val="1005"/>
        </w:numPr>
      </w:pPr>
      <w:r>
        <w:t xml:space="preserve">instrumentation of the chat path, approval path, and audit path.</w:t>
      </w:r>
    </w:p>
    <w:bookmarkEnd w:id="18"/>
    <w:bookmarkStart w:id="19" w:name="wave-2-approved-conditionally"/>
    <w:p>
      <w:pPr>
        <w:pStyle w:val="Heading2"/>
      </w:pPr>
      <w:r>
        <w:t xml:space="preserve">Wave 2: Approved Conditionally</w:t>
      </w:r>
    </w:p>
    <w:p>
      <w:pPr>
        <w:pStyle w:val="FirstParagraph"/>
      </w:pPr>
      <w:r>
        <w:t xml:space="preserve">Wave 2 may proceed after Wave 1 interfaces exist:</w:t>
      </w:r>
    </w:p>
    <w:p>
      <w:pPr>
        <w:numPr>
          <w:ilvl w:val="0"/>
          <w:numId w:val="1006"/>
        </w:numPr>
      </w:pPr>
      <w:r>
        <w:t xml:space="preserve">retrieval/vector operations integration;</w:t>
      </w:r>
    </w:p>
    <w:p>
      <w:pPr>
        <w:numPr>
          <w:ilvl w:val="0"/>
          <w:numId w:val="1006"/>
        </w:numPr>
      </w:pPr>
      <w:r>
        <w:t xml:space="preserve">personal knowledge and OCR monitoring integration;</w:t>
      </w:r>
    </w:p>
    <w:p>
      <w:pPr>
        <w:numPr>
          <w:ilvl w:val="0"/>
          <w:numId w:val="1006"/>
        </w:numPr>
      </w:pPr>
      <w:r>
        <w:t xml:space="preserve">data-cleaning and pipeline workflow governance;</w:t>
      </w:r>
    </w:p>
    <w:p>
      <w:pPr>
        <w:numPr>
          <w:ilvl w:val="0"/>
          <w:numId w:val="1006"/>
        </w:numPr>
      </w:pPr>
      <w:r>
        <w:t xml:space="preserve">local model-serving monitoring enhancements.</w:t>
      </w:r>
    </w:p>
    <w:bookmarkEnd w:id="19"/>
    <w:bookmarkStart w:id="20" w:name="wave-3-reserved-for-further-review"/>
    <w:p>
      <w:pPr>
        <w:pStyle w:val="Heading2"/>
      </w:pPr>
      <w:r>
        <w:t xml:space="preserve">Wave 3: Reserved for Further Review</w:t>
      </w:r>
    </w:p>
    <w:p>
      <w:pPr>
        <w:pStyle w:val="FirstParagraph"/>
      </w:pPr>
      <w:r>
        <w:t xml:space="preserve">Wave 3 requires a follow-on committee checkpoint:</w:t>
      </w:r>
    </w:p>
    <w:p>
      <w:pPr>
        <w:numPr>
          <w:ilvl w:val="0"/>
          <w:numId w:val="1007"/>
        </w:numPr>
      </w:pPr>
      <w:r>
        <w:t xml:space="preserve">model training and deployment gates;</w:t>
      </w:r>
    </w:p>
    <w:p>
      <w:pPr>
        <w:numPr>
          <w:ilvl w:val="0"/>
          <w:numId w:val="1007"/>
        </w:numPr>
      </w:pPr>
      <w:r>
        <w:t xml:space="preserve">MCP and LangChain tool-orchestration controls;</w:t>
      </w:r>
    </w:p>
    <w:p>
      <w:pPr>
        <w:numPr>
          <w:ilvl w:val="0"/>
          <w:numId w:val="1007"/>
        </w:numPr>
      </w:pPr>
      <w:r>
        <w:t xml:space="preserve">any workflow with open-ended external write authority;</w:t>
      </w:r>
    </w:p>
    <w:p>
      <w:pPr>
        <w:numPr>
          <w:ilvl w:val="0"/>
          <w:numId w:val="1007"/>
        </w:numPr>
      </w:pPr>
      <w:r>
        <w:t xml:space="preserve">any multi-agent execution beyond bounded, approved SOPs.</w:t>
      </w:r>
    </w:p>
    <w:bookmarkEnd w:id="20"/>
    <w:bookmarkEnd w:id="21"/>
    <w:bookmarkStart w:id="24" w:name="annex-a-master-use-case-register"/>
    <w:p>
      <w:pPr>
        <w:pStyle w:val="Heading1"/>
      </w:pPr>
      <w:r>
        <w:t xml:space="preserve">Annex A: Master Use-Case Register</w:t>
      </w:r>
    </w:p>
    <w:bookmarkStart w:id="22" w:name="register-columns"/>
    <w:p>
      <w:pPr>
        <w:pStyle w:val="Heading2"/>
      </w:pPr>
      <w:r>
        <w:t xml:space="preserve">Register Columns</w:t>
      </w:r>
    </w:p>
    <w:p>
      <w:pPr>
        <w:pStyle w:val="FirstParagraph"/>
      </w:pPr>
      <w:r>
        <w:t xml:space="preserve">The master register is the authoritative governance inventory. Each registered use case must maintain:</w:t>
      </w:r>
    </w:p>
    <w:p>
      <w:pPr>
        <w:numPr>
          <w:ilvl w:val="0"/>
          <w:numId w:val="1008"/>
        </w:numPr>
      </w:pPr>
      <w:r>
        <w:t xml:space="preserve">use-case ID;</w:t>
      </w:r>
    </w:p>
    <w:p>
      <w:pPr>
        <w:numPr>
          <w:ilvl w:val="0"/>
          <w:numId w:val="1008"/>
        </w:numPr>
      </w:pPr>
      <w:r>
        <w:t xml:space="preserve">named business and technical owner;</w:t>
      </w:r>
    </w:p>
    <w:p>
      <w:pPr>
        <w:numPr>
          <w:ilvl w:val="0"/>
          <w:numId w:val="1008"/>
        </w:numPr>
      </w:pPr>
      <w:r>
        <w:t xml:space="preserve">primary repository surfaces;</w:t>
      </w:r>
    </w:p>
    <w:p>
      <w:pPr>
        <w:numPr>
          <w:ilvl w:val="0"/>
          <w:numId w:val="1008"/>
        </w:numPr>
      </w:pPr>
      <w:r>
        <w:t xml:space="preserve">AI pattern;</w:t>
      </w:r>
    </w:p>
    <w:p>
      <w:pPr>
        <w:numPr>
          <w:ilvl w:val="0"/>
          <w:numId w:val="1008"/>
        </w:numPr>
      </w:pPr>
      <w:r>
        <w:t xml:space="preserve">data classes touched;</w:t>
      </w:r>
    </w:p>
    <w:p>
      <w:pPr>
        <w:numPr>
          <w:ilvl w:val="0"/>
          <w:numId w:val="1008"/>
        </w:numPr>
      </w:pPr>
      <w:r>
        <w:t xml:space="preserve">action authority;</w:t>
      </w:r>
    </w:p>
    <w:p>
      <w:pPr>
        <w:numPr>
          <w:ilvl w:val="0"/>
          <w:numId w:val="1008"/>
        </w:numPr>
      </w:pPr>
      <w:r>
        <w:t xml:space="preserve">autonomy level;</w:t>
      </w:r>
    </w:p>
    <w:p>
      <w:pPr>
        <w:numPr>
          <w:ilvl w:val="0"/>
          <w:numId w:val="1008"/>
        </w:numPr>
      </w:pPr>
      <w:r>
        <w:t xml:space="preserve">required checkpoints;</w:t>
      </w:r>
    </w:p>
    <w:p>
      <w:pPr>
        <w:numPr>
          <w:ilvl w:val="0"/>
          <w:numId w:val="1008"/>
        </w:numPr>
      </w:pPr>
      <w:r>
        <w:t xml:space="preserve">required metrics;</w:t>
      </w:r>
    </w:p>
    <w:p>
      <w:pPr>
        <w:numPr>
          <w:ilvl w:val="0"/>
          <w:numId w:val="1008"/>
        </w:numPr>
      </w:pPr>
      <w:r>
        <w:t xml:space="preserve">initial risk tier; and</w:t>
      </w:r>
    </w:p>
    <w:p>
      <w:pPr>
        <w:numPr>
          <w:ilvl w:val="0"/>
          <w:numId w:val="1008"/>
        </w:numPr>
      </w:pPr>
      <w:r>
        <w:t xml:space="preserve">approved implementation wave and production posture.</w:t>
      </w:r>
    </w:p>
    <w:bookmarkEnd w:id="22"/>
    <w:bookmarkStart w:id="23" w:name="master-register"/>
    <w:p>
      <w:pPr>
        <w:pStyle w:val="Heading2"/>
      </w:pPr>
      <w:r>
        <w:t xml:space="preserve">Master Register</w:t>
      </w:r>
    </w:p>
    <w:p>
      <w:pPr>
        <w:pStyle w:val="FirstParagraph"/>
      </w:pPr>
      <w:r>
        <w:t xml:space="preserve">P</w:t>
      </w:r>
      <w:r>
        <w:t xml:space="preserve">0.07</w:t>
      </w:r>
      <w:r>
        <w:t xml:space="preserve">P</w:t>
      </w:r>
      <w:r>
        <w:t xml:space="preserve">0.17</w:t>
      </w:r>
      <w:r>
        <w:t xml:space="preserve">P</w:t>
      </w:r>
      <w:r>
        <w:t xml:space="preserve">0.16</w:t>
      </w:r>
      <w:r>
        <w:t xml:space="preserve">P</w:t>
      </w:r>
      <w:r>
        <w:t xml:space="preserve">0.12</w:t>
      </w:r>
      <w:r>
        <w:t xml:space="preserve">P</w:t>
      </w:r>
      <w:r>
        <w:t xml:space="preserve">0.12</w:t>
      </w:r>
      <w:r>
        <w:t xml:space="preserve">P</w:t>
      </w:r>
      <w:r>
        <w:t xml:space="preserve">0.12</w:t>
      </w:r>
      <w:r>
        <w:t xml:space="preserve">P</w:t>
      </w:r>
      <w:r>
        <w:t xml:space="preserve">0.14</w:t>
      </w:r>
    </w:p>
    <w:p>
      <w:pPr>
        <w:pStyle w:val="BodyText"/>
      </w:pP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Primary Surface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AI Pattern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Data Class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Risk Tier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Committee Posture</w:t>
      </w:r>
      <w:r>
        <w:br/>
      </w:r>
      <w:r>
        <w:rPr>
          <w:b/>
          <w:bCs/>
        </w:rPr>
        <w:t xml:space="preserve">ID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Primary Surface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AI Pattern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Data Class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Risk Tier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Committee Posture</w:t>
      </w:r>
      <w:r>
        <w:br/>
      </w:r>
      <w:r>
        <w:t xml:space="preserve">UC-01 &amp; OpenAI-compatible chat &amp; &amp; LLM response synthesis &amp; Internal / confidential by route &amp; Medium/High &amp; Conditional production after Wave 1</w:t>
      </w:r>
      <w:r>
        <w:br/>
      </w:r>
      <w:r>
        <w:t xml:space="preserve">UC-02 &amp; Governance-mediated UI actions &amp; GenUI governance + approvals &amp; AI-assisted action proposal and approval &amp; Internal / business data &amp; High &amp; Conditional production after Wave 1</w:t>
      </w:r>
      <w:r>
        <w:br/>
      </w:r>
      <w:r>
        <w:t xml:space="preserve">UC-03 &amp; HANA query and prompt composition &amp; , data products &amp; AI-assisted analytics and prompt composition &amp; Confidential / enterprise data &amp; High &amp; Conditional production after Wave 1</w:t>
      </w:r>
      <w:r>
        <w:br/>
      </w:r>
      <w:r>
        <w:t xml:space="preserve">UC-04 &amp; Retrieval and vector operations &amp; &amp; RAG, embeddings, retrieval &amp; Internal / confidential / personal possible &amp; High &amp; Conditional production after Wave 1</w:t>
      </w:r>
      <w:r>
        <w:br/>
      </w:r>
      <w:r>
        <w:t xml:space="preserve">UC-05 &amp; Personal knowledge memory &amp; &amp; Memory, retrieval, summarisation &amp; Personal / internal &amp; High &amp; Conditional production after Wave 2</w:t>
      </w:r>
      <w:r>
        <w:br/>
      </w:r>
      <w:r>
        <w:t xml:space="preserve">UC-06 &amp; OCR extraction and translation &amp; OCR routes/services &amp; Document AI extraction &amp; Confidential / personal possible &amp; High &amp; Conditional production after Wave 2</w:t>
      </w:r>
      <w:r>
        <w:br/>
      </w:r>
      <w:r>
        <w:t xml:space="preserve">UC-07 &amp; Data-cleaning workflow generation &amp; &amp; Workflow recommendation &amp; Internal analytics &amp; Medium &amp; Conditional production after Wave 2</w:t>
      </w:r>
      <w:r>
        <w:br/>
      </w:r>
      <w:r>
        <w:t xml:space="preserve">UC-08 &amp; Training and deployment workflows &amp; , deploy routes &amp; Model/training lifecycle &amp; Training data, model artefacts &amp; Critical &amp; Not for production until follow-on review</w:t>
      </w:r>
      <w:r>
        <w:br/>
      </w:r>
      <w:r>
        <w:t xml:space="preserve">UC-09 &amp; Pipeline orchestration &amp; &amp; Batch workflow automation &amp; Internal operational data &amp; High &amp; Conditional production after Wave 2</w:t>
      </w:r>
      <w:r>
        <w:br/>
      </w:r>
      <w:r>
        <w:t xml:space="preserve">UC-10 &amp; MCP / LangChain tool orchestration &amp; MCP server, HANA agent &amp; Agentic tool use &amp; Confidential / enterprise systems &amp; Critical &amp; Pilot only</w:t>
      </w:r>
      <w:r>
        <w:br/>
      </w:r>
      <w:r>
        <w:t xml:space="preserve">UC-11 &amp; Governance and audit evidence plane &amp; , &amp; Oversight and evidence &amp; Governance records &amp; High &amp; Must be implemented first</w:t>
      </w:r>
      <w:r>
        <w:br/>
      </w:r>
      <w:r>
        <w:t xml:space="preserve">UC-12 &amp; Local/private model serving &amp; and local inference &amp; Private inference runtime &amp; Model inputs may be confidential &amp; High &amp; Conditional production after Wave 2</w:t>
      </w:r>
      <w:r>
        <w:br/>
      </w:r>
    </w:p>
    <w:bookmarkEnd w:id="23"/>
    <w:bookmarkEnd w:id="24"/>
    <w:bookmarkStart w:id="37" w:name="annex-b-detailed-use-case-register-cards"/>
    <w:p>
      <w:pPr>
        <w:pStyle w:val="Heading1"/>
      </w:pPr>
      <w:r>
        <w:t xml:space="preserve">Annex B: Detailed Use-Case Register Cards</w:t>
      </w:r>
    </w:p>
    <w:bookmarkStart w:id="25" w:name="X8cb3d2a7f37b375decbbf08267cccc7da6ccba9"/>
    <w:p>
      <w:pPr>
        <w:pStyle w:val="Heading2"/>
      </w:pPr>
      <w:r>
        <w:t xml:space="preserve">UC-01 OpenAI-Compatible Chat and Prompt-Response Synthesis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Provide a common chat and completion interface for AI-assisted user interactions.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LLM generation with privacy-aware routing and native fallback.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Internal by default; may become confidential depending on prompts and routed backend.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Generate/read only unless combined with other flows.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Low to medium.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DATA-01, SEC-01, MON-01, EVAL-01.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PAR, ADR, DLR, HER, ATC.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 and conditional production after Wave 1 evidence.</w:t>
      </w:r>
    </w:p>
    <w:bookmarkEnd w:id="25"/>
    <w:bookmarkStart w:id="26" w:name="Xbffbc35703126ea24ccb5173fef677c283a0cf9"/>
    <w:p>
      <w:pPr>
        <w:pStyle w:val="Heading2"/>
      </w:pPr>
      <w:r>
        <w:t xml:space="preserve">UC-02 AI-Generated UI Actions and Approval Workflows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AI-assisted UI actions while enforcing user and approver oversight.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governance page, approval routes.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Action proposal with human confirmation.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Internal operational and user context data.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Potential write actions behind approval gates.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Medium.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HUM-01, HUM-02, HUM-03, MON-01.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HCC, OFR, ATC, MTTE.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implementation; production only after checkpoint integrity and oversight auditability are evidenced.</w:t>
      </w:r>
    </w:p>
    <w:bookmarkEnd w:id="26"/>
    <w:bookmarkStart w:id="27" w:name="Xe5128c50e7cf21bdce93cea17659829a181339d"/>
    <w:p>
      <w:pPr>
        <w:pStyle w:val="Heading2"/>
      </w:pPr>
      <w:r>
        <w:t xml:space="preserve">UC-03 HANA Query and Data-Product Prompt Composition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governed interaction with enterprise data products and HANA-backed analytical queries.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, HANA-linked routes.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Query assistance, prompt composition, product-level policy application.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Confidential enterprise data; possible personal data depending on datasets.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Read-only by intended design, but high sensitivity.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Low to medium.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DATA-01, DATA-02, AGT-02, SEC-01, MON-01.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PAR, DLR, ATC, UAR.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implementation; production conditional on leakage testing and read-only enforcement evidence.</w:t>
      </w:r>
    </w:p>
    <w:bookmarkEnd w:id="27"/>
    <w:bookmarkStart w:id="28" w:name="Xfd092e50e7a7313b18a332e587aae34d66ddef3"/>
    <w:p>
      <w:pPr>
        <w:pStyle w:val="Heading2"/>
      </w:pPr>
      <w:r>
        <w:t xml:space="preserve">UC-04 Retrieval, Embeddings, and Vector Operations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Support document ingestion, embedding generation, vector retrieval, and translation-memory enrichment.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vector-store routes.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Retrieval-augmented generation and vector persistence.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Internal, confidential, or personal depending on corpus.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Read and write to vector stores.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Medium.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DATA-03, AGT-02, EVAL-01, MON-01.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TCA, DLR, ATC, SER.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implementation; production conditional on retention, deletion, and provenance controls.</w:t>
      </w:r>
    </w:p>
    <w:bookmarkEnd w:id="28"/>
    <w:bookmarkStart w:id="29" w:name="X8685fd56b147898830debc0c803b882514769eb"/>
    <w:p>
      <w:pPr>
        <w:pStyle w:val="Heading2"/>
      </w:pPr>
      <w:r>
        <w:t xml:space="preserve">UC-05 Personal Knowledge and Durable Memory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user-scoped knowledge stores, wiki summaries, and retrieval outputs.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User memory, summarisation, retrieval.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Personal and internal data.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Read/write knowledge artefacts within user scope.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Medium.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DATA-02, DATA-03, USR-01, MON-01.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DLR, HER, ATC, MTTE.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 after Wave 1 plumbing; production conditional on privacy and retention evidence.</w:t>
      </w:r>
    </w:p>
    <w:bookmarkEnd w:id="29"/>
    <w:bookmarkStart w:id="30" w:name="Xbaceb8e5ffe3838c429df739b6f336caeac05ef"/>
    <w:p>
      <w:pPr>
        <w:pStyle w:val="Heading2"/>
      </w:pPr>
      <w:r>
        <w:t xml:space="preserve">UC-06 OCR Document Extraction and Translation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 and translate structured or semi-structured document content.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OCR routes and OCR service modules.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OCR, extraction, translation, document understanding.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Confidential and potentially personal data.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Read/extract only, but with high information sensitivity.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Low.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DATA-01, DATA-02, EVAL-01, MON-01.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HER, DLR, ATC.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 after Wave 1 plumbing; production conditional on sample QA and retention boundaries.</w:t>
      </w:r>
    </w:p>
    <w:bookmarkEnd w:id="30"/>
    <w:bookmarkStart w:id="31" w:name="uc-07-data-cleaning-workflow-generation"/>
    <w:p>
      <w:pPr>
        <w:pStyle w:val="Heading2"/>
      </w:pPr>
      <w:r>
        <w:t xml:space="preserve">UC-07 Data-Cleaning Workflow Generation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Generate checks and workflow guidance for data-cleaning and training-data preparation.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Recommendation and workflow generation.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Internal analytics and dataset metadata.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Recommendation-focused, not direct execution by default.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Medium.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HUM-01 where execution is added, MON-01, EVAL-01.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PAR, HER, ATC.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 after Wave 1; production conditional on clear boundary between advice and execution.</w:t>
      </w:r>
    </w:p>
    <w:bookmarkEnd w:id="31"/>
    <w:bookmarkStart w:id="32" w:name="Xcf1ed39c4793abb6ed0762104c0a8530db2de0c"/>
    <w:p>
      <w:pPr>
        <w:pStyle w:val="Heading2"/>
      </w:pPr>
      <w:r>
        <w:t xml:space="preserve">UC-08 Training Generation, Fine-Tuning, and Model Deployment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Produce training artefacts, run jobs, and deploy resulting models.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training job routes, deployment routes, training modules.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Model lifecycle and promotion.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Training corpora, generated artefacts, model checkpoints.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Create and deploy model artefacts.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High operational impact.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GOV-03, HUM-01, MON-03, EVAL-03.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DRS, RRS, ATC, MTTC, SER.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Implementation only after control plane exists; production requires separate gate approval.</w:t>
      </w:r>
    </w:p>
    <w:bookmarkEnd w:id="32"/>
    <w:bookmarkStart w:id="33" w:name="X7c34bad6b31caffcf4957f12aaed406a3154943"/>
    <w:p>
      <w:pPr>
        <w:pStyle w:val="Heading2"/>
      </w:pPr>
      <w:r>
        <w:t xml:space="preserve">UC-09 Pipeline Orchestration and Batch Generation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Run longer-lived batch and generation workflows.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training and batch jobs.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Operational workflow automation.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Internal operational and data-generation artefacts.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Process execution with downstream effects.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Medium to high.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MON-02, MON-03, MON-01.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ATC, MTTE, MTTC.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 after Wave 1; production conditional on rollback and alerting proof.</w:t>
      </w:r>
    </w:p>
    <w:bookmarkEnd w:id="33"/>
    <w:bookmarkStart w:id="34" w:name="Xab192a2bae59883a39aed86c3b0c4a9b9312f4b"/>
    <w:p>
      <w:pPr>
        <w:pStyle w:val="Heading2"/>
      </w:pPr>
      <w:r>
        <w:t xml:space="preserve">UC-10 MCP and LangChain Tool Orchestration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multi-step agentic tool use, HANA tool access, and MCP-mediated actions.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Agentic planning and tool use.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Confidential enterprise data and tool outputs.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Read, and potentially write or modify through tools depending on configuration.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High to critical.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AGT-02, AGT-03, AGT-04, HUM-01, SEC-02.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TCA, HCC, UAR, SER, ATC.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Pilot only until trusted-server, delegated identity, sandbox, and checkpoint controls are implemented and tested.</w:t>
      </w:r>
    </w:p>
    <w:bookmarkEnd w:id="34"/>
    <w:bookmarkStart w:id="35" w:name="X1ac84f495129760675c7196671c1b1c90dc69b7"/>
    <w:p>
      <w:pPr>
        <w:pStyle w:val="Heading2"/>
      </w:pPr>
      <w:r>
        <w:t xml:space="preserve">UC-11 Governance, Approvals, Notifications, and Audit Ingestion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Serve as the evidence and oversight plane for all governed workflows.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, store audit tables.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Governance and evidence rather than content generation.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Internal governance and audit records.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Approval, audit intake, evidence query.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Medium but systemically critical.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MON-01, HUM-03, MON-03.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ATC, OFR, MTTE.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Must be approved and implemented first because all other approvals depend on it.</w:t>
      </w:r>
    </w:p>
    <w:bookmarkEnd w:id="35"/>
    <w:bookmarkStart w:id="36" w:name="uc-12-local-and-private-model-serving"/>
    <w:p>
      <w:pPr>
        <w:pStyle w:val="Heading2"/>
      </w:pPr>
      <w:r>
        <w:t xml:space="preserve">UC-12 Local and Private Model Serving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Serve local/private models and manage private routing for confidential workloads.</w:t>
      </w:r>
      <w:r>
        <w:br/>
      </w:r>
      <w:r>
        <w:rPr>
          <w:b/>
          <w:bCs/>
        </w:rPr>
        <w:t xml:space="preserve">Primary surfaces:</w:t>
      </w:r>
      <w:r>
        <w:t xml:space="preserve"> </w:t>
      </w:r>
      <w:r>
        <w:t xml:space="preserve">, local inference paths.</w:t>
      </w:r>
      <w:r>
        <w:br/>
      </w:r>
      <w:r>
        <w:rPr>
          <w:b/>
          <w:bCs/>
        </w:rPr>
        <w:t xml:space="preserve">AI pattern:</w:t>
      </w:r>
      <w:r>
        <w:t xml:space="preserve"> </w:t>
      </w:r>
      <w:r>
        <w:t xml:space="preserve">Private inference runtime.</w:t>
      </w:r>
      <w:r>
        <w:br/>
      </w:r>
      <w:r>
        <w:rPr>
          <w:b/>
          <w:bCs/>
        </w:rPr>
        <w:t xml:space="preserve">Likely data classes:</w:t>
      </w:r>
      <w:r>
        <w:t xml:space="preserve"> </w:t>
      </w:r>
      <w:r>
        <w:t xml:space="preserve">Inputs may be internal or confidential.</w:t>
      </w:r>
      <w:r>
        <w:br/>
      </w:r>
      <w:r>
        <w:rPr>
          <w:b/>
          <w:bCs/>
        </w:rPr>
        <w:t xml:space="preserve">Action authority:</w:t>
      </w:r>
      <w:r>
        <w:t xml:space="preserve"> </w:t>
      </w:r>
      <w:r>
        <w:t xml:space="preserve">Inference only, but critical for confidentiality routing and resilience.</w:t>
      </w:r>
      <w:r>
        <w:br/>
      </w:r>
      <w:r>
        <w:rPr>
          <w:b/>
          <w:bCs/>
        </w:rPr>
        <w:t xml:space="preserve">Autonomy level:</w:t>
      </w:r>
      <w:r>
        <w:t xml:space="preserve"> </w:t>
      </w:r>
      <w:r>
        <w:t xml:space="preserve">Low to medium; high architectural importance.</w:t>
      </w:r>
      <w:r>
        <w:br/>
      </w:r>
      <w:r>
        <w:rPr>
          <w:b/>
          <w:bCs/>
        </w:rPr>
        <w:t xml:space="preserve">Mandatory controls:</w:t>
      </w:r>
      <w:r>
        <w:t xml:space="preserve"> </w:t>
      </w:r>
      <w:r>
        <w:t xml:space="preserve">GOV-03, MON-02, MON-03, DATA-01.</w:t>
      </w:r>
      <w:r>
        <w:br/>
      </w:r>
      <w:r>
        <w:rPr>
          <w:b/>
          <w:bCs/>
        </w:rPr>
        <w:t xml:space="preserve">Mandatory metrics:</w:t>
      </w:r>
      <w:r>
        <w:t xml:space="preserve"> </w:t>
      </w:r>
      <w:r>
        <w:t xml:space="preserve">ATC, PAR, MTTE, DLR.</w:t>
      </w:r>
      <w:r>
        <w:br/>
      </w:r>
      <w:r>
        <w:rPr>
          <w:b/>
          <w:bCs/>
        </w:rPr>
        <w:t xml:space="preserve">Recommended posture:</w:t>
      </w:r>
      <w:r>
        <w:t xml:space="preserve"> </w:t>
      </w:r>
      <w:r>
        <w:t xml:space="preserve">Approve implementation after Wave 1; production conditional on versioning and monitoring evidence.</w:t>
      </w:r>
    </w:p>
    <w:bookmarkEnd w:id="36"/>
    <w:bookmarkEnd w:id="37"/>
    <w:bookmarkStart w:id="40" w:name="annex-c-approval-sign-off-sheet"/>
    <w:p>
      <w:pPr>
        <w:pStyle w:val="Heading1"/>
      </w:pPr>
      <w:r>
        <w:t xml:space="preserve">Annex C: Approval Sign-Off Sheet</w:t>
      </w:r>
    </w:p>
    <w:bookmarkStart w:id="38" w:name="committee-sign-off-template"/>
    <w:p>
      <w:pPr>
        <w:pStyle w:val="Heading2"/>
      </w:pPr>
      <w:r>
        <w:t xml:space="preserve">Committee Sign-Off Template</w:t>
      </w:r>
    </w:p>
    <w:p>
      <w:pPr>
        <w:pStyle w:val="FirstParagraph"/>
      </w:pPr>
      <w:r>
        <w:t xml:space="preserve">P</w:t>
      </w:r>
      <w:r>
        <w:t xml:space="preserve">0.28</w:t>
      </w:r>
      <w:r>
        <w:t xml:space="preserve">P</w:t>
      </w:r>
      <w:r>
        <w:t xml:space="preserve">0.22</w:t>
      </w:r>
      <w:r>
        <w:t xml:space="preserve">P</w:t>
      </w:r>
      <w:r>
        <w:t xml:space="preserve">0.18</w:t>
      </w:r>
      <w:r>
        <w:t xml:space="preserve">P</w:t>
      </w:r>
      <w:r>
        <w:t xml:space="preserve">0.18</w:t>
      </w:r>
    </w:p>
    <w:p>
      <w:pPr>
        <w:pStyle w:val="BodyText"/>
      </w:pPr>
      <w:r>
        <w:br/>
      </w:r>
      <w:r>
        <w:rPr>
          <w:b/>
          <w:bCs/>
        </w:rPr>
        <w:t xml:space="preserve">Committee / Function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Date</w:t>
      </w:r>
      <w:r>
        <w:br/>
      </w:r>
      <w:r>
        <w:rPr>
          <w:b/>
          <w:bCs/>
        </w:rPr>
        <w:t xml:space="preserve">Committee / Function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Date</w:t>
      </w:r>
      <w:r>
        <w:br/>
      </w:r>
      <w:r>
        <w:t xml:space="preserve">AI Safety Review &amp; &amp; Approve / Conditional / Reject &amp;</w:t>
      </w:r>
      <w:r>
        <w:br/>
      </w:r>
      <w:r>
        <w:t xml:space="preserve">Architecture Review Board &amp; &amp; Approve / Conditional / Reject &amp;</w:t>
      </w:r>
      <w:r>
        <w:br/>
      </w:r>
      <w:r>
        <w:t xml:space="preserve">Information Security &amp; &amp; Approve / Conditional / Reject &amp;</w:t>
      </w:r>
      <w:r>
        <w:br/>
      </w:r>
      <w:r>
        <w:t xml:space="preserve">Data Governance / Privacy &amp; &amp; Approve / Conditional / Reject &amp;</w:t>
      </w:r>
      <w:r>
        <w:br/>
      </w:r>
      <w:r>
        <w:t xml:space="preserve">Operational Risk &amp; &amp; Approve / Conditional / Reject &amp;</w:t>
      </w:r>
      <w:r>
        <w:br/>
      </w:r>
      <w:r>
        <w:t xml:space="preserve">Business Owner &amp; &amp; Approve / Conditional / Reject &amp;</w:t>
      </w:r>
      <w:r>
        <w:br/>
      </w:r>
    </w:p>
    <w:bookmarkEnd w:id="38"/>
    <w:bookmarkStart w:id="39" w:name="residual-risk-acceptance"/>
    <w:p>
      <w:pPr>
        <w:pStyle w:val="Heading2"/>
      </w:pPr>
      <w:r>
        <w:t xml:space="preserve">Residual-Risk Acceptance</w:t>
      </w:r>
    </w:p>
    <w:p>
      <w:pPr>
        <w:pStyle w:val="FirstParagraph"/>
      </w:pPr>
      <w:r>
        <w:rPr>
          <w:b/>
          <w:bCs/>
        </w:rPr>
        <w:t xml:space="preserve">Residual-risk owner: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Residual risks accepted subject to conditions:</w:t>
      </w:r>
    </w:p>
    <w:p>
      <w:pPr>
        <w:pStyle w:val="BodyText"/>
      </w:pPr>
      <w:r>
        <w:rPr>
          <w:b/>
          <w:bCs/>
        </w:rP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9"/>
        </w:numPr>
      </w:pPr>
      <w:r>
        <w:t xml:space="preserve">Supporting specification:</w:t>
      </w:r>
    </w:p>
    <w:p>
      <w:pPr>
        <w:numPr>
          <w:ilvl w:val="0"/>
          <w:numId w:val="1009"/>
        </w:numPr>
      </w:pPr>
      <w:r>
        <w:t xml:space="preserve">IMDA,</w:t>
      </w:r>
      <w:r>
        <w:t xml:space="preserve"> </w:t>
      </w:r>
      <w:r>
        <w:rPr>
          <w:i/>
          <w:iCs/>
        </w:rPr>
        <w:t xml:space="preserve">Model AI Governance Framework for Agentic AI</w:t>
      </w:r>
      <w:r>
        <w:t xml:space="preserve">, 22 January 2026.</w:t>
      </w:r>
    </w:p>
    <w:p>
      <w:pPr>
        <w:numPr>
          <w:ilvl w:val="0"/>
          <w:numId w:val="1009"/>
        </w:numPr>
      </w:pPr>
      <w:r>
        <w:t xml:space="preserve">IMDA,</w:t>
      </w:r>
      <w:r>
        <w:t xml:space="preserve"> </w:t>
      </w:r>
      <w:r>
        <w:rPr>
          <w:i/>
          <w:iCs/>
        </w:rPr>
        <w:t xml:space="preserve">Starter Kit for Testing LLM-Based Applications for Safety and Reliability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PDPC,</w:t>
      </w:r>
      <w:r>
        <w:t xml:space="preserve"> </w:t>
      </w:r>
      <w:r>
        <w:rPr>
          <w:i/>
          <w:iCs/>
        </w:rPr>
        <w:t xml:space="preserve">Singapore’s Approach to AI Governance</w:t>
      </w:r>
      <w:r>
        <w:t xml:space="preserve">, including the second edition Model AI Governance Framework.</w:t>
      </w:r>
    </w:p>
    <w:p>
      <w:pPr>
        <w:numPr>
          <w:ilvl w:val="0"/>
          <w:numId w:val="1009"/>
        </w:numPr>
      </w:pPr>
      <w:r>
        <w:t xml:space="preserve">PDPC,</w:t>
      </w:r>
      <w:r>
        <w:t xml:space="preserve"> </w:t>
      </w:r>
      <w:r>
        <w:rPr>
          <w:i/>
          <w:iCs/>
        </w:rPr>
        <w:t xml:space="preserve">Advisory Guidelines on Use of Personal Data in AI Recommendation and Decision Systems</w:t>
      </w:r>
      <w:r>
        <w:t xml:space="preserve">, updated 1 April 2024.</w:t>
      </w:r>
    </w:p>
    <w:p>
      <w:pPr>
        <w:numPr>
          <w:ilvl w:val="0"/>
          <w:numId w:val="1009"/>
        </w:numPr>
      </w:pPr>
      <w:r>
        <w:t xml:space="preserve">IMDA,</w:t>
      </w:r>
      <w:r>
        <w:t xml:space="preserve"> </w:t>
      </w:r>
      <w:r>
        <w:rPr>
          <w:i/>
          <w:iCs/>
        </w:rPr>
        <w:t xml:space="preserve">Project Moonshot, powered by AI Verify, and AI Collaborations</w:t>
      </w:r>
      <w:r>
        <w:t xml:space="preserve">, 31 May 2024.</w:t>
      </w:r>
    </w:p>
    <w:p>
      <w:pPr>
        <w:numPr>
          <w:ilvl w:val="0"/>
          <w:numId w:val="1009"/>
        </w:numPr>
      </w:pPr>
      <w:r>
        <w:t xml:space="preserve">CSA,</w:t>
      </w:r>
      <w:r>
        <w:t xml:space="preserve"> </w:t>
      </w:r>
      <w:r>
        <w:rPr>
          <w:i/>
          <w:iCs/>
        </w:rPr>
        <w:t xml:space="preserve">Guidelines and Companion Guide on Securing Artificial Intelligence Systems</w:t>
      </w:r>
      <w:r>
        <w:t xml:space="preserve">, 15 October 2024.</w:t>
      </w:r>
    </w:p>
    <w:p>
      <w:pPr>
        <w:numPr>
          <w:ilvl w:val="0"/>
          <w:numId w:val="1009"/>
        </w:numPr>
      </w:pPr>
      <w:r>
        <w:t xml:space="preserve">CSA,</w:t>
      </w:r>
      <w:r>
        <w:t xml:space="preserve"> </w:t>
      </w:r>
      <w:r>
        <w:rPr>
          <w:i/>
          <w:iCs/>
        </w:rPr>
        <w:t xml:space="preserve">Public Consultation on Securing Agentic AI - An Addendum to the Guidelines and Companion Guide on Securing AI Systems</w:t>
      </w:r>
      <w:r>
        <w:t xml:space="preserve">, 22 October 2025.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 OSS Committee Submission Pack Derived from the supporting technical specification in</dc:creator>
  <cp:keywords/>
  <dcterms:created xsi:type="dcterms:W3CDTF">2026-04-14T00:45:07Z</dcterms:created>
  <dcterms:modified xsi:type="dcterms:W3CDTF">2026-04-14T00:45:07Z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April 2026 \midVersion 1.0 Draft</vt:lpwstr>
  </property>
</Properties>
</file>