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Singapore AI Safety Framework</w:t>
      </w:r>
    </w:p>
    <w:p>
      <w:pPr>
        <w:pStyle w:val="Author"/>
      </w:pPr>
      <w:r>
        <w:t xml:space="preserve">SCB GCFO, AI Research &amp; Development</w:t>
      </w:r>
    </w:p>
    <w:p>
      <w:pPr>
        <w:pStyle w:val="Date"/>
      </w:pPr>
      <w:r>
        <w:t xml:space="preserve">April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This specification establishes a single governance baseline across all AI-enabled</w:t>
      </w:r>
      <w:r>
        <w:t xml:space="preserve"> </w:t>
      </w:r>
      <w:r>
        <w:t xml:space="preserve">system surfaces in the SAP-OSS repository. The framework is aligned with</w:t>
      </w:r>
      <w:r>
        <w:t xml:space="preserve"> </w:t>
      </w:r>
      <w:r>
        <w:t xml:space="preserve">Singapore’s regulatory guidance on AI governance and safety, particularly:</w:t>
      </w:r>
    </w:p>
    <w:p>
      <w:pPr>
        <w:numPr>
          <w:ilvl w:val="0"/>
          <w:numId w:val="1001"/>
        </w:numPr>
      </w:pPr>
      <w:r>
        <w:t xml:space="preserve">IMDA Model AI Governance Framework for Agentic AI (January 2026)</w:t>
      </w:r>
    </w:p>
    <w:p>
      <w:pPr>
        <w:numPr>
          <w:ilvl w:val="0"/>
          <w:numId w:val="1001"/>
        </w:numPr>
      </w:pPr>
      <w:r>
        <w:t xml:space="preserve">IMDA Starter Kit for Testing LLM-Based Applications</w:t>
      </w:r>
    </w:p>
    <w:p>
      <w:pPr>
        <w:numPr>
          <w:ilvl w:val="0"/>
          <w:numId w:val="1001"/>
        </w:numPr>
      </w:pPr>
      <w:r>
        <w:t xml:space="preserve">PDPC Model AI Governance Framework (Second Edition)</w:t>
      </w:r>
    </w:p>
    <w:p>
      <w:pPr>
        <w:numPr>
          <w:ilvl w:val="0"/>
          <w:numId w:val="1001"/>
        </w:numPr>
      </w:pPr>
      <w:r>
        <w:t xml:space="preserve">PDPC Advisory Guidelines on Use of Personal Data in AI</w:t>
      </w:r>
    </w:p>
    <w:p>
      <w:pPr>
        <w:numPr>
          <w:ilvl w:val="0"/>
          <w:numId w:val="1001"/>
        </w:numPr>
      </w:pPr>
      <w:r>
        <w:t xml:space="preserve">CSA Guidelines on Securing AI Systems</w:t>
      </w:r>
    </w:p>
    <w:p>
      <w:pPr>
        <w:pStyle w:val="FirstParagraph"/>
      </w:pPr>
      <w:r>
        <w:t xml:space="preserve">The specification covers five core artefacts: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Normative source hierarchy</w:t>
      </w:r>
      <w:r>
        <w:t xml:space="preserve"> </w:t>
      </w:r>
      <w:r>
        <w:t xml:space="preserve">— exact regulatory documents and</w:t>
      </w:r>
      <w:r>
        <w:t xml:space="preserve"> </w:t>
      </w:r>
      <w:r>
        <w:t xml:space="preserve">their precedence order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System use-case inventory</w:t>
      </w:r>
      <w:r>
        <w:t xml:space="preserve"> </w:t>
      </w:r>
      <w:r>
        <w:t xml:space="preserve">— 12 operational use cases with</w:t>
      </w:r>
      <w:r>
        <w:t xml:space="preserve"> </w:t>
      </w:r>
      <w:r>
        <w:t xml:space="preserve">risk classifications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Mandatory control catalogue</w:t>
      </w:r>
      <w:r>
        <w:t xml:space="preserve"> </w:t>
      </w:r>
      <w:r>
        <w:t xml:space="preserve">— 23 controls with evidence</w:t>
      </w:r>
      <w:r>
        <w:t xml:space="preserve"> </w:t>
      </w:r>
      <w:r>
        <w:t xml:space="preserve">requirements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Quantitative metrics</w:t>
      </w:r>
      <w:r>
        <w:t xml:space="preserve"> </w:t>
      </w:r>
      <w:r>
        <w:t xml:space="preserve">— 12 metrics with mathematical scoring</w:t>
      </w:r>
      <w:r>
        <w:t xml:space="preserve"> </w:t>
      </w:r>
      <w:r>
        <w:t xml:space="preserve">models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Implementation design</w:t>
      </w:r>
      <w:r>
        <w:t xml:space="preserve"> </w:t>
      </w:r>
      <w:r>
        <w:t xml:space="preserve">— repository structure and compliance</w:t>
      </w:r>
      <w:r>
        <w:t xml:space="preserve"> </w:t>
      </w:r>
      <w:r>
        <w:t xml:space="preserve">mapping</w:t>
      </w:r>
    </w:p>
    <w:bookmarkStart w:id="9" w:name="universal-policy-position"/>
    <w:p>
      <w:pPr>
        <w:pStyle w:val="Heading2"/>
      </w:pPr>
      <w:r>
        <w:t xml:space="preserve">Universal Policy Position</w:t>
      </w:r>
    </w:p>
    <w:p>
      <w:pPr>
        <w:pStyle w:val="FirstParagraph"/>
      </w:pPr>
      <w:r>
        <w:t xml:space="preserve">No AI-enabled use case may enter production, or remain in production, unless it has:</w:t>
      </w:r>
    </w:p>
    <w:p>
      <w:pPr>
        <w:numPr>
          <w:ilvl w:val="0"/>
          <w:numId w:val="1003"/>
        </w:numPr>
      </w:pPr>
      <w:r>
        <w:t xml:space="preserve">a registered owner</w:t>
      </w:r>
    </w:p>
    <w:p>
      <w:pPr>
        <w:numPr>
          <w:ilvl w:val="0"/>
          <w:numId w:val="1003"/>
        </w:numPr>
      </w:pPr>
      <w:r>
        <w:t xml:space="preserve">a bounded use-case profile</w:t>
      </w:r>
    </w:p>
    <w:p>
      <w:pPr>
        <w:numPr>
          <w:ilvl w:val="0"/>
          <w:numId w:val="1003"/>
        </w:numPr>
      </w:pPr>
      <w:r>
        <w:t xml:space="preserve">a quantitative risk score</w:t>
      </w:r>
    </w:p>
    <w:p>
      <w:pPr>
        <w:numPr>
          <w:ilvl w:val="0"/>
          <w:numId w:val="1003"/>
        </w:numPr>
      </w:pPr>
      <w:r>
        <w:t xml:space="preserve">an applicable control profile</w:t>
      </w:r>
    </w:p>
    <w:p>
      <w:pPr>
        <w:numPr>
          <w:ilvl w:val="0"/>
          <w:numId w:val="1003"/>
        </w:numPr>
      </w:pPr>
      <w:r>
        <w:t xml:space="preserve">documented test results against thresholds</w:t>
      </w:r>
    </w:p>
    <w:p>
      <w:pPr>
        <w:numPr>
          <w:ilvl w:val="0"/>
          <w:numId w:val="1003"/>
        </w:numPr>
      </w:pPr>
      <w:r>
        <w:t xml:space="preserve">production monitoring and incident handling</w:t>
      </w:r>
    </w:p>
    <w:p>
      <w:pPr>
        <w:numPr>
          <w:ilvl w:val="0"/>
          <w:numId w:val="1003"/>
        </w:numPr>
      </w:pPr>
      <w:r>
        <w:t xml:space="preserve">a complete audit and evidence trail</w:t>
      </w:r>
    </w:p>
    <w:bookmarkEnd w:id="9"/>
    <w:bookmarkStart w:id="10" w:name="production-gate-summary"/>
    <w:p>
      <w:pPr>
        <w:pStyle w:val="Heading2"/>
      </w:pPr>
      <w:r>
        <w:t xml:space="preserve">Production Gate Summary</w:t>
      </w:r>
    </w:p>
    <w:p>
      <w:pPr>
        <w:pStyle w:val="FirstParagraph"/>
      </w:pPr>
      <w:r>
        <w:t xml:space="preserve">A use case is eligible for production deployment if and only if:</w:t>
      </w:r>
    </w:p>
    <w:p>
      <w:pPr>
        <w:numPr>
          <w:ilvl w:val="0"/>
          <w:numId w:val="1004"/>
        </w:numPr>
      </w:pPr>
      <w:r>
        <w:t xml:space="preserve">Residual Risk Score (RRS)</w:t>
      </w:r>
      <w:r>
        <w:t xml:space="preserve"> </w:t>
      </w:r>
      <m:oMath>
        <m:r>
          <m:rPr>
            <m:sty m:val="p"/>
          </m:rPr>
          <m:t>≤</m:t>
        </m:r>
        <m:r>
          <m:t>45</m:t>
        </m:r>
      </m:oMath>
    </w:p>
    <w:p>
      <w:pPr>
        <w:numPr>
          <w:ilvl w:val="0"/>
          <w:numId w:val="1004"/>
        </w:numPr>
      </w:pPr>
      <w:r>
        <w:t xml:space="preserve">Deployment Readiness Score (DRS)</w:t>
      </w:r>
      <w:r>
        <w:t xml:space="preserve"> </w:t>
      </w:r>
      <m:oMath>
        <m:r>
          <m:rPr>
            <m:sty m:val="p"/>
          </m:rPr>
          <m:t>≥</m:t>
        </m:r>
        <m:r>
          <m:t>70</m:t>
        </m:r>
      </m:oMath>
    </w:p>
    <w:p>
      <w:pPr>
        <w:numPr>
          <w:ilvl w:val="0"/>
          <w:numId w:val="1004"/>
        </w:numPr>
      </w:pPr>
      <w:r>
        <w:t xml:space="preserve">All critical controls pass</w:t>
      </w:r>
    </w:p>
    <w:p>
      <w:pPr>
        <w:numPr>
          <w:ilvl w:val="0"/>
          <w:numId w:val="1004"/>
        </w:numPr>
      </w:pPr>
      <w:r>
        <w:t xml:space="preserve">All metric</w:t>
      </w:r>
      <w:r>
        <w:t xml:space="preserve"> </w:t>
      </w:r>
      <m:oMath>
        <m:r>
          <m:t>L</m:t>
        </m:r>
        <m:r>
          <m:t>C</m:t>
        </m:r>
        <m:sSub>
          <m:e>
            <m:r>
              <m:t>B</m:t>
            </m:r>
          </m:e>
          <m:sub>
            <m:r>
              <m:t>95</m:t>
            </m:r>
          </m:sub>
        </m:sSub>
      </m:oMath>
      <w:r>
        <w:t xml:space="preserve"> </w:t>
      </w:r>
      <w:r>
        <w:t xml:space="preserve">values meet thresholds</w:t>
      </w:r>
    </w:p>
    <w:bookmarkEnd w:id="10"/>
    <w:bookmarkEnd w:id="11"/>
    <w:bookmarkStart w:id="26" w:name="ch:sources"/>
    <w:p>
      <w:pPr>
        <w:pStyle w:val="Heading1"/>
      </w:pPr>
      <w:r>
        <w:t xml:space="preserve">Normative Source Hierarchy</w:t>
      </w:r>
    </w:p>
    <w:bookmarkStart w:id="12" w:name="why-a-source-hierarchy-matters"/>
    <w:p>
      <w:pPr>
        <w:pStyle w:val="Heading2"/>
      </w:pPr>
      <w:r>
        <w:t xml:space="preserve">Why a source hierarchy matters</w:t>
      </w:r>
    </w:p>
    <w:p>
      <w:pPr>
        <w:pStyle w:val="FirstParagraph"/>
      </w:pPr>
      <w:r>
        <w:t xml:space="preserve">Singapore’s AI governance landscape comprises multiple overlapping documents</w:t>
      </w:r>
      <w:r>
        <w:t xml:space="preserve"> </w:t>
      </w:r>
      <w:r>
        <w:t xml:space="preserve">from different agencies (IMDA, PDPC, CSA) with different publication statuses</w:t>
      </w:r>
      <w:r>
        <w:t xml:space="preserve"> </w:t>
      </w:r>
      <w:r>
        <w:t xml:space="preserve">(official, consultation, reference). Without explicit precedence, an</w:t>
      </w:r>
      <w:r>
        <w:t xml:space="preserve"> </w:t>
      </w:r>
      <w:r>
        <w:t xml:space="preserve">organisation cannot answer the question</w:t>
      </w:r>
      <w:r>
        <w:t xml:space="preserve"> </w:t>
      </w:r>
      <w:r>
        <w:rPr>
          <w:i/>
          <w:iCs/>
        </w:rPr>
        <w:t xml:space="preserve">“Which source should I follow</w:t>
      </w:r>
      <w:r>
        <w:rPr>
          <w:i/>
          <w:iCs/>
        </w:rPr>
        <w:t xml:space="preserve"> </w:t>
      </w:r>
      <w:r>
        <w:rPr>
          <w:i/>
          <w:iCs/>
        </w:rPr>
        <w:t xml:space="preserve">when guidance conflicts?”</w:t>
      </w:r>
    </w:p>
    <w:p>
      <w:pPr>
        <w:pStyle w:val="BodyText"/>
      </w:pPr>
      <w:r>
        <w:t xml:space="preserve">This chapter establishes the authoritative ordering and explains how each</w:t>
      </w:r>
      <w:r>
        <w:t xml:space="preserve"> </w:t>
      </w:r>
      <w:r>
        <w:t xml:space="preserve">source class contributes to the overall framework.</w:t>
      </w:r>
    </w:p>
    <w:bookmarkEnd w:id="12"/>
    <w:bookmarkStart w:id="13" w:name="source-precedence"/>
    <w:p>
      <w:pPr>
        <w:pStyle w:val="Heading2"/>
      </w:pPr>
      <w:r>
        <w:t xml:space="preserve">Source precedence</w:t>
      </w:r>
    </w:p>
    <w:p>
      <w:pPr>
        <w:pStyle w:val="FirstParagraph"/>
      </w:pPr>
      <w:r>
        <w:t xml:space="preserve">Sources are applied in the following order: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Normative Singapore governance baseline</w:t>
      </w:r>
      <w:r>
        <w:t xml:space="preserve">: Official IMDA and</w:t>
      </w:r>
      <w:r>
        <w:t xml:space="preserve"> </w:t>
      </w:r>
      <w:r>
        <w:t xml:space="preserve">PDPC guidance on AI governance, agentic AI, LLM testing, and personal</w:t>
      </w:r>
      <w:r>
        <w:t xml:space="preserve"> </w:t>
      </w:r>
      <w:r>
        <w:t xml:space="preserve">data use in AI.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Normative operational assurance baseline</w:t>
      </w:r>
      <w:r>
        <w:t xml:space="preserve">: Official IMDA/AI</w:t>
      </w:r>
      <w:r>
        <w:t xml:space="preserve"> </w:t>
      </w:r>
      <w:r>
        <w:t xml:space="preserve">Verify materials on LLM testing and AI assurance.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Supplementary security baseline</w:t>
      </w:r>
      <w:r>
        <w:t xml:space="preserve">: Official CSA secure-AI</w:t>
      </w:r>
      <w:r>
        <w:t xml:space="preserve"> </w:t>
      </w:r>
      <w:r>
        <w:t xml:space="preserve">guidance, with explicit notation where guidance is draft or</w:t>
      </w:r>
      <w:r>
        <w:t xml:space="preserve"> </w:t>
      </w:r>
      <w:r>
        <w:t xml:space="preserve">consultation-stage.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Supporting reference material</w:t>
      </w:r>
      <w:r>
        <w:t xml:space="preserve">: AI Verify open-source</w:t>
      </w:r>
      <w:r>
        <w:t xml:space="preserve"> </w:t>
      </w:r>
      <w:r>
        <w:t xml:space="preserve">artefacts and academic references.</w:t>
      </w:r>
    </w:p>
    <w:bookmarkEnd w:id="13"/>
    <w:bookmarkStart w:id="15" w:name="normative-singapore-sources"/>
    <w:p>
      <w:pPr>
        <w:pStyle w:val="Heading2"/>
      </w:pPr>
      <w:r>
        <w:t xml:space="preserve">Normative Singapore sources</w:t>
      </w:r>
    </w:p>
    <w:bookmarkStart w:id="14" w:name="tab:sources"/>
    <w:p>
      <w:pPr>
        <w:pStyle w:val="TableCaption"/>
      </w:pPr>
      <w:r>
        <w:t xml:space="preserve">Normative and Supplementary Source Set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rmative and Supplementary Source Set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IMDA MGF for Agentic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normative baseline for agentic use-case selection, bounded autonomy, human accountability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IMDA Starter Kit for LLM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baseline for pre-deployment testing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PDPC Model AI Governance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governance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PDPC Advisory Guidelines (Personal Data in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PDPA-aligned data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SG-05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IMDA Project Moonshot / AI 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Benchmarking and red-teaming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SG-06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Singapore’s Approach to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risk-based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SG-07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CSA Guidelines on Securing AI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secure-by-design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SG-08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CSA Agentic AI Addendum (Consultation)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security input (consultation-stage)</w:t>
            </w:r>
          </w:p>
        </w:tc>
      </w:tr>
    </w:tbl>
    <w:bookmarkEnd w:id="14"/>
    <w:bookmarkEnd w:id="15"/>
    <w:bookmarkStart w:id="23" w:name="source-class-descriptions"/>
    <w:p>
      <w:pPr>
        <w:pStyle w:val="Heading2"/>
      </w:pPr>
      <w:r>
        <w:t xml:space="preserve">Source class descriptions</w:t>
      </w:r>
    </w:p>
    <w:bookmarkStart w:id="16" w:name="Xc910f5aff537cab2a003f71057f170ec6e94377"/>
    <w:p>
      <w:pPr>
        <w:pStyle w:val="Heading3"/>
      </w:pPr>
      <w:r>
        <w:t xml:space="preserve">SG-01: IMDA Model Governance Framework for Agentic AI</w:t>
      </w:r>
    </w:p>
    <w:p>
      <w:pPr>
        <w:pStyle w:val="FirstParagraph"/>
      </w:pPr>
      <w:r>
        <w:t xml:space="preserve">The MGF for Agentic AI is the primary normative source. It defines four</w:t>
      </w:r>
      <w:r>
        <w:t xml:space="preserve"> </w:t>
      </w:r>
      <w:r>
        <w:t xml:space="preserve">pillars: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Pillar 1</w:t>
      </w:r>
      <w:r>
        <w:t xml:space="preserve">: Assess and Bound Risks Upfront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Pillar 2</w:t>
      </w:r>
      <w:r>
        <w:t xml:space="preserve">: Make Humans Meaningfully Accountable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Pillar 3</w:t>
      </w:r>
      <w:r>
        <w:t xml:space="preserve">: Implement Technical Controls and Processes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Pillar 4</w:t>
      </w:r>
      <w:r>
        <w:t xml:space="preserve">: Enable End-User Responsibility</w:t>
      </w:r>
    </w:p>
    <w:p>
      <w:pPr>
        <w:pStyle w:val="FirstParagraph"/>
      </w:pPr>
      <w:r>
        <w:t xml:space="preserve">Each requirement in this specification traces back to one or more MGF sections.</w:t>
      </w:r>
    </w:p>
    <w:bookmarkEnd w:id="16"/>
    <w:bookmarkStart w:id="17" w:name="Xc5077b7667776365badb862a2077b56712d7a57"/>
    <w:p>
      <w:pPr>
        <w:pStyle w:val="Heading3"/>
      </w:pPr>
      <w:r>
        <w:t xml:space="preserve">SG-02: IMDA Starter Kit for Testing LLM-Based Applications</w:t>
      </w:r>
    </w:p>
    <w:p>
      <w:pPr>
        <w:pStyle w:val="FirstParagraph"/>
      </w:pPr>
      <w:r>
        <w:t xml:space="preserve">Provides the structure for pre-deployment safety testing:</w:t>
      </w:r>
    </w:p>
    <w:p>
      <w:pPr>
        <w:numPr>
          <w:ilvl w:val="0"/>
          <w:numId w:val="1007"/>
        </w:numPr>
      </w:pPr>
      <w:r>
        <w:t xml:space="preserve">Baseline safety evaluation methodology</w:t>
      </w:r>
    </w:p>
    <w:p>
      <w:pPr>
        <w:numPr>
          <w:ilvl w:val="0"/>
          <w:numId w:val="1007"/>
        </w:numPr>
      </w:pPr>
      <w:r>
        <w:t xml:space="preserve">Statistical sufficiency requirements</w:t>
      </w:r>
    </w:p>
    <w:p>
      <w:pPr>
        <w:numPr>
          <w:ilvl w:val="0"/>
          <w:numId w:val="1007"/>
        </w:numPr>
      </w:pPr>
      <w:r>
        <w:t xml:space="preserve">Red-teaming and adversarial testing guidance</w:t>
      </w:r>
    </w:p>
    <w:bookmarkEnd w:id="17"/>
    <w:bookmarkStart w:id="18" w:name="sg-03-pdpc-model-ai-governance-framework"/>
    <w:p>
      <w:pPr>
        <w:pStyle w:val="Heading3"/>
      </w:pPr>
      <w:r>
        <w:t xml:space="preserve">SG-03: PDPC Model AI Governance Framework</w:t>
      </w:r>
    </w:p>
    <w:p>
      <w:pPr>
        <w:pStyle w:val="FirstParagraph"/>
      </w:pPr>
      <w:r>
        <w:t xml:space="preserve">The foundational governance document establishing:</w:t>
      </w:r>
    </w:p>
    <w:p>
      <w:pPr>
        <w:numPr>
          <w:ilvl w:val="0"/>
          <w:numId w:val="1008"/>
        </w:numPr>
      </w:pPr>
      <w:r>
        <w:t xml:space="preserve">Named accountable ownership requirement</w:t>
      </w:r>
    </w:p>
    <w:p>
      <w:pPr>
        <w:numPr>
          <w:ilvl w:val="0"/>
          <w:numId w:val="1008"/>
        </w:numPr>
      </w:pPr>
      <w:r>
        <w:t xml:space="preserve">Risk-based approach to AI deployment</w:t>
      </w:r>
    </w:p>
    <w:p>
      <w:pPr>
        <w:numPr>
          <w:ilvl w:val="0"/>
          <w:numId w:val="1008"/>
        </w:numPr>
      </w:pPr>
      <w:r>
        <w:t xml:space="preserve">Internal governance structures</w:t>
      </w:r>
    </w:p>
    <w:bookmarkEnd w:id="18"/>
    <w:bookmarkStart w:id="19" w:name="X2253c4d97340660be77f34c488cf3a734c072fc"/>
    <w:p>
      <w:pPr>
        <w:pStyle w:val="Heading3"/>
      </w:pPr>
      <w:r>
        <w:t xml:space="preserve">SG-04: PDPC Advisory Guidelines on Personal Data in AI</w:t>
      </w:r>
    </w:p>
    <w:p>
      <w:pPr>
        <w:pStyle w:val="FirstParagraph"/>
      </w:pPr>
      <w:r>
        <w:t xml:space="preserve">PDPA-aligned guidance for personal data handling:</w:t>
      </w:r>
    </w:p>
    <w:p>
      <w:pPr>
        <w:numPr>
          <w:ilvl w:val="0"/>
          <w:numId w:val="1009"/>
        </w:numPr>
      </w:pPr>
      <w:r>
        <w:t xml:space="preserve">Lawful basis for AI processing</w:t>
      </w:r>
    </w:p>
    <w:p>
      <w:pPr>
        <w:numPr>
          <w:ilvl w:val="0"/>
          <w:numId w:val="1009"/>
        </w:numPr>
      </w:pPr>
      <w:r>
        <w:t xml:space="preserve">Data minimisation requirements</w:t>
      </w:r>
    </w:p>
    <w:p>
      <w:pPr>
        <w:numPr>
          <w:ilvl w:val="0"/>
          <w:numId w:val="1009"/>
        </w:numPr>
      </w:pPr>
      <w:r>
        <w:t xml:space="preserve">Retention and deletion obligations</w:t>
      </w:r>
    </w:p>
    <w:bookmarkEnd w:id="19"/>
    <w:bookmarkStart w:id="20" w:name="sg-05-imda-project-moonshot-ai-verify"/>
    <w:p>
      <w:pPr>
        <w:pStyle w:val="Heading3"/>
      </w:pPr>
      <w:r>
        <w:t xml:space="preserve">SG-05: IMDA Project Moonshot / AI Verify</w:t>
      </w:r>
    </w:p>
    <w:p>
      <w:pPr>
        <w:pStyle w:val="FirstParagraph"/>
      </w:pPr>
      <w:r>
        <w:t xml:space="preserve">Operationalisation tooling:</w:t>
      </w:r>
    </w:p>
    <w:p>
      <w:pPr>
        <w:numPr>
          <w:ilvl w:val="0"/>
          <w:numId w:val="1010"/>
        </w:numPr>
      </w:pPr>
      <w:r>
        <w:t xml:space="preserve">AI Verify benchmarking framework</w:t>
      </w:r>
    </w:p>
    <w:p>
      <w:pPr>
        <w:numPr>
          <w:ilvl w:val="0"/>
          <w:numId w:val="1010"/>
        </w:numPr>
      </w:pPr>
      <w:r>
        <w:t xml:space="preserve">Moonshot red-teaming capabilities</w:t>
      </w:r>
    </w:p>
    <w:p>
      <w:pPr>
        <w:numPr>
          <w:ilvl w:val="0"/>
          <w:numId w:val="1010"/>
        </w:numPr>
      </w:pPr>
      <w:r>
        <w:t xml:space="preserve">Testing artefact structure</w:t>
      </w:r>
    </w:p>
    <w:bookmarkEnd w:id="20"/>
    <w:bookmarkStart w:id="21" w:name="Xe2ceb250d35483f1486b93d710156da4c772a38"/>
    <w:p>
      <w:pPr>
        <w:pStyle w:val="Heading3"/>
      </w:pPr>
      <w:r>
        <w:t xml:space="preserve">SG-07: CSA Guidelines on Securing AI Systems</w:t>
      </w:r>
    </w:p>
    <w:p>
      <w:pPr>
        <w:pStyle w:val="FirstParagraph"/>
      </w:pPr>
      <w:r>
        <w:t xml:space="preserve">Security baseline covering:</w:t>
      </w:r>
    </w:p>
    <w:p>
      <w:pPr>
        <w:numPr>
          <w:ilvl w:val="0"/>
          <w:numId w:val="1011"/>
        </w:numPr>
      </w:pPr>
      <w:r>
        <w:t xml:space="preserve">Secure-by-design principles</w:t>
      </w:r>
    </w:p>
    <w:p>
      <w:pPr>
        <w:numPr>
          <w:ilvl w:val="0"/>
          <w:numId w:val="1011"/>
        </w:numPr>
      </w:pPr>
      <w:r>
        <w:t xml:space="preserve">Adversarial resilience</w:t>
      </w:r>
    </w:p>
    <w:p>
      <w:pPr>
        <w:numPr>
          <w:ilvl w:val="0"/>
          <w:numId w:val="1011"/>
        </w:numPr>
      </w:pPr>
      <w:r>
        <w:t xml:space="preserve">Incident response</w:t>
      </w:r>
    </w:p>
    <w:bookmarkEnd w:id="21"/>
    <w:bookmarkStart w:id="22" w:name="Xec6e28faf093427392ec9dbf41dbd73a585b667"/>
    <w:p>
      <w:pPr>
        <w:pStyle w:val="Heading3"/>
      </w:pPr>
      <w:r>
        <w:t xml:space="preserve">SG-08: CSA Agentic AI Addendum (Consultation)</w:t>
      </w:r>
    </w:p>
    <w:p>
      <w:pPr>
        <w:pStyle w:val="FirstParagraph"/>
      </w:pPr>
      <w:r>
        <w:t xml:space="preserve">This source is in public consultation as of October 2025. Requirements derived</w:t>
      </w:r>
      <w:r>
        <w:t xml:space="preserve"> </w:t>
      </w:r>
      <w:r>
        <w:t xml:space="preserve">from SG-08 are marked as</w:t>
      </w:r>
      <w:r>
        <w:t xml:space="preserve"> </w:t>
      </w:r>
      <w:r>
        <w:rPr>
          <w:b/>
          <w:bCs/>
        </w:rPr>
        <w:t xml:space="preserve">supplementary</w:t>
      </w:r>
      <w:r>
        <w:t xml:space="preserve"> </w:t>
      </w:r>
      <w:r>
        <w:t xml:space="preserve">and may change when the final</w:t>
      </w:r>
      <w:r>
        <w:t xml:space="preserve"> </w:t>
      </w:r>
      <w:r>
        <w:t xml:space="preserve">version is published.</w:t>
      </w:r>
    </w:p>
    <w:p>
      <w:pPr>
        <w:pStyle w:val="BodyText"/>
      </w:pPr>
      <w:r>
        <w:t xml:space="preserve">Covers agentic-specific security concerns:</w:t>
      </w:r>
    </w:p>
    <w:p>
      <w:pPr>
        <w:numPr>
          <w:ilvl w:val="0"/>
          <w:numId w:val="1012"/>
        </w:numPr>
      </w:pPr>
      <w:r>
        <w:t xml:space="preserve">Tool access sandboxing</w:t>
      </w:r>
    </w:p>
    <w:p>
      <w:pPr>
        <w:numPr>
          <w:ilvl w:val="0"/>
          <w:numId w:val="1012"/>
        </w:numPr>
      </w:pPr>
      <w:r>
        <w:t xml:space="preserve">Agent identity attestation</w:t>
      </w:r>
    </w:p>
    <w:p>
      <w:pPr>
        <w:numPr>
          <w:ilvl w:val="0"/>
          <w:numId w:val="1012"/>
        </w:numPr>
      </w:pPr>
      <w:r>
        <w:t xml:space="preserve">Least-privilege tool boundaries</w:t>
      </w:r>
    </w:p>
    <w:bookmarkEnd w:id="22"/>
    <w:bookmarkEnd w:id="23"/>
    <w:bookmarkStart w:id="24" w:name="source-document-locations"/>
    <w:p>
      <w:pPr>
        <w:pStyle w:val="Heading2"/>
      </w:pPr>
      <w:r>
        <w:t xml:space="preserve">Source document locations</w:t>
      </w:r>
    </w:p>
    <w:p>
      <w:pPr>
        <w:pStyle w:val="TableCaption"/>
      </w:pPr>
      <w:r>
        <w:t xml:space="preserve">Source Document Repository Paths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ource Document Repository Path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SG-01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docs/regulations/mgf-for-agentic-ai.pdf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SG-02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docs/regulations/aiverify-main/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SG-05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docs/regulations/moonshot-cicd-main/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SG-06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docs/pdf/technical-reports/06-singapore-ai-safety-framework.pdf</w:t>
            </w:r>
          </w:p>
        </w:tc>
      </w:tr>
    </w:tbl>
    <w:bookmarkEnd w:id="24"/>
    <w:bookmarkStart w:id="25" w:name="cross-referencing-peer-specifications"/>
    <w:p>
      <w:pPr>
        <w:pStyle w:val="Heading2"/>
      </w:pPr>
      <w:r>
        <w:t xml:space="preserve">Cross-referencing peer specifications</w:t>
      </w:r>
    </w:p>
    <w:p>
      <w:pPr>
        <w:pStyle w:val="FirstParagraph"/>
      </w:pPr>
      <w:r>
        <w:t xml:space="preserve">This specification cross-references the following peer documents: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Regulations Corpus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docs/latex/specs/regulations/</w:t>
      </w:r>
      <w:r>
        <w:t xml:space="preserve">) —</w:t>
      </w:r>
      <w:r>
        <w:t xml:space="preserve"> </w:t>
      </w:r>
      <w:r>
        <w:t xml:space="preserve">Agentic AI regulatory requirements and implementation evidence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Clinerules-Agents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docs/latex/specs/clinerules-agents/</w:t>
      </w:r>
      <w:r>
        <w:t xml:space="preserve">) —</w:t>
      </w:r>
      <w:r>
        <w:t xml:space="preserve"> </w:t>
      </w:r>
      <w:r>
        <w:t xml:space="preserve">Agent rule-pack architecture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TB-HITL Specification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docs/latex/specs/tb/</w:t>
      </w:r>
      <w:r>
        <w:t xml:space="preserve">) —</w:t>
      </w:r>
      <w:r>
        <w:t xml:space="preserve"> </w:t>
      </w:r>
      <w:r>
        <w:t xml:space="preserve">Trial Balance human-in-the-loop workflow</w:t>
      </w:r>
    </w:p>
    <w:bookmarkEnd w:id="25"/>
    <w:bookmarkEnd w:id="26"/>
    <w:bookmarkStart w:id="37" w:name="ch:usecases"/>
    <w:p>
      <w:pPr>
        <w:pStyle w:val="Heading1"/>
      </w:pPr>
      <w:r>
        <w:t xml:space="preserve">System Use Cases in Scope</w:t>
      </w:r>
    </w:p>
    <w:bookmarkStart w:id="27" w:name="use-case-inventory-purpose"/>
    <w:p>
      <w:pPr>
        <w:pStyle w:val="Heading2"/>
      </w:pPr>
      <w:r>
        <w:t xml:space="preserve">Use-case inventory purpose</w:t>
      </w:r>
    </w:p>
    <w:p>
      <w:pPr>
        <w:pStyle w:val="FirstParagraph"/>
      </w:pPr>
      <w:r>
        <w:t xml:space="preserve">Every AI-enabled capability in the repository must be registered as a use case</w:t>
      </w:r>
      <w:r>
        <w:t xml:space="preserve"> </w:t>
      </w:r>
      <w:r>
        <w:t xml:space="preserve">before implementation begins. This chapter defines the operational use-case</w:t>
      </w:r>
      <w:r>
        <w:t xml:space="preserve"> </w:t>
      </w:r>
      <w:r>
        <w:t xml:space="preserve">inventory that is subject to governance controls.</w:t>
      </w:r>
    </w:p>
    <w:bookmarkEnd w:id="27"/>
    <w:bookmarkStart w:id="28" w:name="operational-use-case-inventory"/>
    <w:p>
      <w:pPr>
        <w:pStyle w:val="Heading2"/>
      </w:pPr>
      <w:r>
        <w:t xml:space="preserve">Operational use-case inventory</w:t>
      </w:r>
    </w:p>
    <w:p>
      <w:pPr>
        <w:pStyle w:val="TableCaption"/>
      </w:pPr>
      <w:r>
        <w:t xml:space="preserve">Use-Case Inventory for Committee Review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se-Case Inventory for Committee Review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Core Risk Drivers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Table  – continued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Core Risk Drivers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right"/>
            </w:pPr>
            <w:r>
              <w:t xml:space="preserve">Continued on next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and prompt-response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injection, hallucination, confidentiality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AI-generated UI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bias, hidden writes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HANA query and data-product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exposure, SQL guardrails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 and vector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Read/write vectors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ingestion, retrieval leakage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knowledge and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Read/write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Retention, user boundaries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document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sensitivity, 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Data-cleaning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Recommend/process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assurance, traceability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and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Provenance, validation sufficiency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chaining, silent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Agent/tool orchestration (MCP)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use/plan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misuse, dynamic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and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Oversight/evidence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integrity, completeness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model serving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Inference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 routing, resilience</w:t>
            </w:r>
          </w:p>
        </w:tc>
      </w:tr>
    </w:tbl>
    <w:bookmarkEnd w:id="28"/>
    <w:bookmarkStart w:id="34" w:name="use-case-descriptions"/>
    <w:p>
      <w:pPr>
        <w:pStyle w:val="Heading2"/>
      </w:pPr>
      <w:r>
        <w:t xml:space="preserve">Use-case descriptions</w:t>
      </w:r>
    </w:p>
    <w:bookmarkStart w:id="29" w:name="uc-01-chat-and-prompt-response-synthesis"/>
    <w:p>
      <w:pPr>
        <w:pStyle w:val="Heading3"/>
      </w:pPr>
      <w:r>
        <w:t xml:space="preserve">UC-01: Chat and prompt-response synthesis</w:t>
      </w:r>
    </w:p>
    <w:p>
      <w:pPr>
        <w:pStyle w:val="DefinitionTerm"/>
      </w:pPr>
      <w:r>
        <w:t xml:space="preserve">Description</w:t>
      </w:r>
    </w:p>
    <w:p>
      <w:pPr>
        <w:pStyle w:val="Definition"/>
      </w:pPr>
      <w:r>
        <w:t xml:space="preserve">Interactive chat interfaces where users submit prompts and</w:t>
      </w:r>
      <w:r>
        <w:t xml:space="preserve"> </w:t>
      </w:r>
      <w:r>
        <w:t xml:space="preserve">receive LLM-generated responses.</w:t>
      </w:r>
    </w:p>
    <w:p>
      <w:pPr>
        <w:pStyle w:val="DefinitionTerm"/>
      </w:pPr>
      <w:r>
        <w:t xml:space="preserve">Action Type</w:t>
      </w:r>
    </w:p>
    <w:p>
      <w:pPr>
        <w:pStyle w:val="Definition"/>
      </w:pPr>
      <w:r>
        <w:t xml:space="preserve">Read/generate — reads context, generates new content.</w:t>
      </w:r>
    </w:p>
    <w:p>
      <w:pPr>
        <w:pStyle w:val="DefinitionTerm"/>
      </w:pPr>
      <w:r>
        <w:t xml:space="preserve">Risk Tier</w:t>
      </w:r>
    </w:p>
    <w:p>
      <w:pPr>
        <w:pStyle w:val="Definition"/>
      </w:pPr>
      <w:r>
        <w:t xml:space="preserve">Medium</w:t>
      </w:r>
    </w:p>
    <w:p>
      <w:pPr>
        <w:pStyle w:val="DefinitionTerm"/>
      </w:pPr>
      <w:r>
        <w:t xml:space="preserve">Primary Risks</w:t>
      </w:r>
    </w:p>
    <w:p>
      <w:pPr>
        <w:pStyle w:val="Definition"/>
      </w:pPr>
      <w:r>
        <w:t xml:space="preserve">Prompt injection, hallucination, confidentiality leakage.</w:t>
      </w:r>
    </w:p>
    <w:p>
      <w:pPr>
        <w:pStyle w:val="DefinitionTerm"/>
      </w:pPr>
      <w:r>
        <w:t xml:space="preserve">Key Controls</w:t>
      </w:r>
    </w:p>
    <w:p>
      <w:pPr>
        <w:pStyle w:val="Definition"/>
      </w:pPr>
      <w:r>
        <w:rPr>
          <w:rStyle w:val="VerbatimChar"/>
        </w:rPr>
        <w:t xml:space="preserve">SEC-01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EVAL-01</w:t>
      </w:r>
      <w:r>
        <w:t xml:space="preserve">,</w:t>
      </w:r>
      <w:r>
        <w:t xml:space="preserve"> </w:t>
      </w:r>
      <w:r>
        <w:rPr>
          <w:rStyle w:val="VerbatimChar"/>
        </w:rPr>
        <w:t xml:space="preserve">USR-01</w:t>
      </w:r>
    </w:p>
    <w:bookmarkEnd w:id="29"/>
    <w:bookmarkStart w:id="30" w:name="uc-02-ai-generated-ui-actions"/>
    <w:p>
      <w:pPr>
        <w:pStyle w:val="Heading3"/>
      </w:pPr>
      <w:r>
        <w:t xml:space="preserve">UC-02: AI-generated UI actions</w:t>
      </w:r>
    </w:p>
    <w:p>
      <w:pPr>
        <w:pStyle w:val="DefinitionTerm"/>
      </w:pPr>
      <w:r>
        <w:t xml:space="preserve">Description</w:t>
      </w:r>
    </w:p>
    <w:p>
      <w:pPr>
        <w:pStyle w:val="Definition"/>
      </w:pPr>
      <w:r>
        <w:t xml:space="preserve">AI assists users by suggesting or executing UI actions</w:t>
      </w:r>
      <w:r>
        <w:t xml:space="preserve"> </w:t>
      </w:r>
      <w:r>
        <w:t xml:space="preserve">based on context.</w:t>
      </w:r>
    </w:p>
    <w:p>
      <w:pPr>
        <w:pStyle w:val="DefinitionTerm"/>
      </w:pPr>
      <w:r>
        <w:t xml:space="preserve">Action Type</w:t>
      </w:r>
    </w:p>
    <w:p>
      <w:pPr>
        <w:pStyle w:val="Definition"/>
      </w:pPr>
      <w:r>
        <w:t xml:space="preserve">Assist/approve — proposes actions for human approval.</w:t>
      </w:r>
    </w:p>
    <w:p>
      <w:pPr>
        <w:pStyle w:val="DefinitionTerm"/>
      </w:pPr>
      <w:r>
        <w:t xml:space="preserve">Risk Tier</w:t>
      </w:r>
    </w:p>
    <w:p>
      <w:pPr>
        <w:pStyle w:val="Definition"/>
      </w:pPr>
      <w:r>
        <w:t xml:space="preserve">High</w:t>
      </w:r>
    </w:p>
    <w:p>
      <w:pPr>
        <w:pStyle w:val="DefinitionTerm"/>
      </w:pPr>
      <w:r>
        <w:t xml:space="preserve">Primary Risks</w:t>
      </w:r>
    </w:p>
    <w:p>
      <w:pPr>
        <w:pStyle w:val="Definition"/>
      </w:pPr>
      <w:r>
        <w:t xml:space="preserve">Automation bias, hidden writes to backend systems.</w:t>
      </w:r>
    </w:p>
    <w:p>
      <w:pPr>
        <w:pStyle w:val="DefinitionTerm"/>
      </w:pPr>
      <w:r>
        <w:t xml:space="preserve">Key Controls</w:t>
      </w:r>
    </w:p>
    <w:p>
      <w:pPr>
        <w:pStyle w:val="Definition"/>
      </w:pPr>
      <w:r>
        <w:rPr>
          <w:rStyle w:val="VerbatimChar"/>
        </w:rPr>
        <w:t xml:space="preserve">HUM-01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HUM-02</w:t>
      </w:r>
      <w:r>
        <w:t xml:space="preserve">,</w:t>
      </w:r>
      <w:r>
        <w:t xml:space="preserve"> </w:t>
      </w:r>
      <w:r>
        <w:rPr>
          <w:rStyle w:val="VerbatimChar"/>
        </w:rPr>
        <w:t xml:space="preserve">AGT-01</w:t>
      </w:r>
    </w:p>
    <w:bookmarkEnd w:id="30"/>
    <w:bookmarkStart w:id="31" w:name="X577f91d821acb6c6d0d75c8654975360a23fd7a"/>
    <w:p>
      <w:pPr>
        <w:pStyle w:val="Heading3"/>
      </w:pPr>
      <w:r>
        <w:t xml:space="preserve">UC-03: HANA query and data-product prompts</w:t>
      </w:r>
    </w:p>
    <w:p>
      <w:pPr>
        <w:pStyle w:val="DefinitionTerm"/>
      </w:pPr>
      <w:r>
        <w:t xml:space="preserve">Description</w:t>
      </w:r>
    </w:p>
    <w:p>
      <w:pPr>
        <w:pStyle w:val="Definition"/>
      </w:pPr>
      <w:r>
        <w:t xml:space="preserve">Natural language queries translated to SQL against SAP HANA.</w:t>
      </w:r>
    </w:p>
    <w:p>
      <w:pPr>
        <w:pStyle w:val="DefinitionTerm"/>
      </w:pPr>
      <w:r>
        <w:t xml:space="preserve">Action Type</w:t>
      </w:r>
    </w:p>
    <w:p>
      <w:pPr>
        <w:pStyle w:val="Definition"/>
      </w:pPr>
      <w:r>
        <w:t xml:space="preserve">Read/query — reads data, executes queries.</w:t>
      </w:r>
    </w:p>
    <w:p>
      <w:pPr>
        <w:pStyle w:val="DefinitionTerm"/>
      </w:pPr>
      <w:r>
        <w:t xml:space="preserve">Risk Tier</w:t>
      </w:r>
    </w:p>
    <w:p>
      <w:pPr>
        <w:pStyle w:val="Definition"/>
      </w:pPr>
      <w:r>
        <w:t xml:space="preserve">High</w:t>
      </w:r>
    </w:p>
    <w:p>
      <w:pPr>
        <w:pStyle w:val="DefinitionTerm"/>
      </w:pPr>
      <w:r>
        <w:t xml:space="preserve">Primary Risks</w:t>
      </w:r>
    </w:p>
    <w:p>
      <w:pPr>
        <w:pStyle w:val="Definition"/>
      </w:pPr>
      <w:r>
        <w:t xml:space="preserve">Schema exposure, SQL injection, guardrail bypass.</w:t>
      </w:r>
    </w:p>
    <w:p>
      <w:pPr>
        <w:pStyle w:val="DefinitionTerm"/>
      </w:pPr>
      <w:r>
        <w:t xml:space="preserve">Key Controls</w:t>
      </w:r>
    </w:p>
    <w:p>
      <w:pPr>
        <w:pStyle w:val="Definition"/>
      </w:pPr>
      <w:r>
        <w:rPr>
          <w:rStyle w:val="VerbatimChar"/>
        </w:rPr>
        <w:t xml:space="preserve">DATA-01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SEC-01</w:t>
      </w:r>
      <w:r>
        <w:t xml:space="preserve">,</w:t>
      </w:r>
      <w:r>
        <w:t xml:space="preserve"> </w:t>
      </w:r>
      <w:r>
        <w:rPr>
          <w:rStyle w:val="VerbatimChar"/>
        </w:rPr>
        <w:t xml:space="preserve">AGT-02</w:t>
      </w:r>
    </w:p>
    <w:bookmarkEnd w:id="31"/>
    <w:bookmarkStart w:id="32" w:name="uc-08-training-and-deployment"/>
    <w:p>
      <w:pPr>
        <w:pStyle w:val="Heading3"/>
      </w:pPr>
      <w:r>
        <w:t xml:space="preserve">UC-08: Training and deployment</w:t>
      </w:r>
    </w:p>
    <w:p>
      <w:pPr>
        <w:pStyle w:val="DefinitionTerm"/>
      </w:pPr>
      <w:r>
        <w:t xml:space="preserve">Description</w:t>
      </w:r>
    </w:p>
    <w:p>
      <w:pPr>
        <w:pStyle w:val="Definition"/>
      </w:pPr>
      <w:r>
        <w:t xml:space="preserve">Model training, fine-tuning, and deployment to production.</w:t>
      </w:r>
    </w:p>
    <w:p>
      <w:pPr>
        <w:pStyle w:val="DefinitionTerm"/>
      </w:pPr>
      <w:r>
        <w:t xml:space="preserve">Action Type</w:t>
      </w:r>
    </w:p>
    <w:p>
      <w:pPr>
        <w:pStyle w:val="Definition"/>
      </w:pPr>
      <w:r>
        <w:t xml:space="preserve">Create/deploy — creates new model artefacts.</w:t>
      </w:r>
    </w:p>
    <w:p>
      <w:pPr>
        <w:pStyle w:val="DefinitionTerm"/>
      </w:pPr>
      <w:r>
        <w:t xml:space="preserve">Risk Tier</w:t>
      </w:r>
    </w:p>
    <w:p>
      <w:pPr>
        <w:pStyle w:val="Definition"/>
      </w:pPr>
      <w:r>
        <w:t xml:space="preserve">Critical</w:t>
      </w:r>
    </w:p>
    <w:p>
      <w:pPr>
        <w:pStyle w:val="DefinitionTerm"/>
      </w:pPr>
      <w:r>
        <w:t xml:space="preserve">Primary Risks</w:t>
      </w:r>
    </w:p>
    <w:p>
      <w:pPr>
        <w:pStyle w:val="Definition"/>
      </w:pPr>
      <w:r>
        <w:t xml:space="preserve">Training data provenance, validation sufficiency.</w:t>
      </w:r>
    </w:p>
    <w:p>
      <w:pPr>
        <w:pStyle w:val="DefinitionTerm"/>
      </w:pPr>
      <w:r>
        <w:t xml:space="preserve">Key Controls</w:t>
      </w:r>
    </w:p>
    <w:p>
      <w:pPr>
        <w:pStyle w:val="Definition"/>
      </w:pPr>
      <w:r>
        <w:rPr>
          <w:rStyle w:val="VerbatimChar"/>
        </w:rPr>
        <w:t xml:space="preserve">GOV-03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EVAL-01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EVAL-03</w:t>
      </w:r>
    </w:p>
    <w:bookmarkEnd w:id="32"/>
    <w:bookmarkStart w:id="33" w:name="uc-10-agenttool-orchestration-mcp"/>
    <w:p>
      <w:pPr>
        <w:pStyle w:val="Heading3"/>
      </w:pPr>
      <w:r>
        <w:t xml:space="preserve">UC-10: Agent/tool orchestration (MCP)</w:t>
      </w:r>
    </w:p>
    <w:p>
      <w:pPr>
        <w:pStyle w:val="DefinitionTerm"/>
      </w:pPr>
      <w:r>
        <w:t xml:space="preserve">Description</w:t>
      </w:r>
    </w:p>
    <w:p>
      <w:pPr>
        <w:pStyle w:val="Definition"/>
      </w:pPr>
      <w:r>
        <w:t xml:space="preserve">Multi-step agent planning with tool invocation via MCP.</w:t>
      </w:r>
    </w:p>
    <w:p>
      <w:pPr>
        <w:pStyle w:val="DefinitionTerm"/>
      </w:pPr>
      <w:r>
        <w:t xml:space="preserve">Action Type</w:t>
      </w:r>
    </w:p>
    <w:p>
      <w:pPr>
        <w:pStyle w:val="Definition"/>
      </w:pPr>
      <w:r>
        <w:t xml:space="preserve">Tool use/plan — invokes external tools and services.</w:t>
      </w:r>
    </w:p>
    <w:p>
      <w:pPr>
        <w:pStyle w:val="DefinitionTerm"/>
      </w:pPr>
      <w:r>
        <w:t xml:space="preserve">Risk Tier</w:t>
      </w:r>
    </w:p>
    <w:p>
      <w:pPr>
        <w:pStyle w:val="Definition"/>
      </w:pPr>
      <w:r>
        <w:t xml:space="preserve">Critical</w:t>
      </w:r>
    </w:p>
    <w:p>
      <w:pPr>
        <w:pStyle w:val="DefinitionTerm"/>
      </w:pPr>
      <w:r>
        <w:t xml:space="preserve">Primary Risks</w:t>
      </w:r>
    </w:p>
    <w:p>
      <w:pPr>
        <w:pStyle w:val="Definition"/>
      </w:pPr>
      <w:r>
        <w:t xml:space="preserve">Tool misuse, dynamic planning errors, unbounded autonomy.</w:t>
      </w:r>
    </w:p>
    <w:p>
      <w:pPr>
        <w:pStyle w:val="DefinitionTerm"/>
      </w:pPr>
      <w:r>
        <w:t xml:space="preserve">Key Controls</w:t>
      </w:r>
    </w:p>
    <w:p>
      <w:pPr>
        <w:pStyle w:val="Definition"/>
      </w:pPr>
      <w:r>
        <w:rPr>
          <w:rStyle w:val="VerbatimChar"/>
        </w:rPr>
        <w:t xml:space="preserve">AGT-01</w:t>
      </w:r>
      <w:r>
        <w:t xml:space="preserve">,</w:t>
      </w:r>
      <w:r>
        <w:t xml:space="preserve"> </w:t>
      </w:r>
      <w:r>
        <w:rPr>
          <w:rStyle w:val="VerbatimChar"/>
        </w:rPr>
        <w:t xml:space="preserve">AGT-02</w:t>
      </w:r>
      <w:r>
        <w:t xml:space="preserve">,</w:t>
      </w:r>
      <w:r>
        <w:t xml:space="preserve"> </w:t>
      </w:r>
      <w:r>
        <w:rPr>
          <w:rStyle w:val="VerbatimChar"/>
        </w:rPr>
        <w:t xml:space="preserve">AGT-03</w:t>
      </w:r>
      <w:r>
        <w:t xml:space="preserve">,</w:t>
      </w:r>
      <w:r>
        <w:t xml:space="preserve"> </w:t>
      </w:r>
      <w:r>
        <w:rPr>
          <w:rStyle w:val="VerbatimChar"/>
        </w:rPr>
        <w:t xml:space="preserve">AGT-04</w:t>
      </w:r>
      <w:r>
        <w:t xml:space="preserve">,</w:t>
      </w:r>
      <w:r>
        <w:t xml:space="preserve"> </w:t>
      </w:r>
      <w:r>
        <w:rPr>
          <w:rStyle w:val="VerbatimChar"/>
        </w:rPr>
        <w:t xml:space="preserve">HUM-01</w:t>
      </w:r>
      <w:r>
        <w:t xml:space="preserve">,</w:t>
      </w:r>
      <w:r>
        <w:t xml:space="preserve"> </w:t>
      </w:r>
      <w:r>
        <w:rPr>
          <w:rStyle w:val="VerbatimChar"/>
        </w:rPr>
        <w:t xml:space="preserve">MON-01</w:t>
      </w:r>
    </w:p>
    <w:bookmarkEnd w:id="33"/>
    <w:bookmarkEnd w:id="34"/>
    <w:bookmarkStart w:id="35" w:name="risk-tier-definitions"/>
    <w:p>
      <w:pPr>
        <w:pStyle w:val="Heading2"/>
      </w:pPr>
      <w:r>
        <w:t xml:space="preserve">Risk tier definitions</w:t>
      </w:r>
    </w:p>
    <w:p>
      <w:pPr>
        <w:pStyle w:val="TableCaption"/>
      </w:pPr>
      <w:r>
        <w:t xml:space="preserve">Risk Tier Definitions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isk Tier Definition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IRS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25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Minimal risk, standard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25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50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Moderate risk, enhanced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50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75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Significant risk, critical controls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75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≤</m:t>
              </m:r>
              <m:r>
                <m:t>100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Highest risk, full control suite and review board</w:t>
            </w:r>
          </w:p>
        </w:tc>
      </w:tr>
    </w:tbl>
    <w:bookmarkEnd w:id="35"/>
    <w:bookmarkStart w:id="36" w:name="use-case-registration-process"/>
    <w:p>
      <w:pPr>
        <w:pStyle w:val="Heading2"/>
      </w:pPr>
      <w:r>
        <w:t xml:space="preserve">Use-case registration process</w:t>
      </w:r>
    </w:p>
    <w:p>
      <w:pPr>
        <w:pStyle w:val="FirstParagraph"/>
      </w:pPr>
      <w:r>
        <w:t xml:space="preserve">Before implementation, each use case must be registered with: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Use-case card</w:t>
      </w:r>
      <w:r>
        <w:t xml:space="preserve"> </w:t>
      </w:r>
      <w:r>
        <w:t xml:space="preserve">— structured description including ID, name,</w:t>
      </w:r>
      <w:r>
        <w:t xml:space="preserve"> </w:t>
      </w:r>
      <w:r>
        <w:t xml:space="preserve">action type, data classification, autonomy level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Risk assessment</w:t>
      </w:r>
      <w:r>
        <w:t xml:space="preserve"> </w:t>
      </w:r>
      <w:r>
        <w:t xml:space="preserve">— calculated Inherent Risk Score (IRS)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Control profile</w:t>
      </w:r>
      <w:r>
        <w:t xml:space="preserve"> </w:t>
      </w:r>
      <w:r>
        <w:t xml:space="preserve">— applicable controls identified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Owner assignment</w:t>
      </w:r>
      <w:r>
        <w:t xml:space="preserve"> </w:t>
      </w:r>
      <w:r>
        <w:t xml:space="preserve">— named business and technical owners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Ticket reference</w:t>
      </w:r>
      <w:r>
        <w:t xml:space="preserve"> </w:t>
      </w:r>
      <w:r>
        <w:t xml:space="preserve">— tracking ticket for governance approval</w:t>
      </w:r>
    </w:p>
    <w:p>
      <w:pPr>
        <w:pStyle w:val="FirstParagraph"/>
      </w:pPr>
      <w:r>
        <w:t xml:space="preserve">Registration is tracked in the use-case section of the regulations</w:t>
      </w:r>
      <w:r>
        <w:t xml:space="preserve"> </w:t>
      </w:r>
      <w:r>
        <w:t xml:space="preserve">requirement corpus at</w:t>
      </w:r>
      <w:r>
        <w:t xml:space="preserve"> </w:t>
      </w:r>
      <w:r>
        <w:rPr>
          <w:rStyle w:val="VerbatimChar"/>
        </w:rPr>
        <w:t xml:space="preserve">docs/regulations/machine-readable/specification-addendum.yaml</w:t>
      </w:r>
      <w:r>
        <w:t xml:space="preserve"> </w:t>
      </w:r>
      <w:r>
        <w:t xml:space="preserve">(key</w:t>
      </w:r>
      <w:r>
        <w:t xml:space="preserve"> </w:t>
      </w:r>
      <w:r>
        <w:rPr>
          <w:rStyle w:val="VerbatimChar"/>
        </w:rPr>
        <w:t xml:space="preserve">use_cases</w:t>
      </w:r>
      <w:r>
        <w:t xml:space="preserve">), validated against the schemas under</w:t>
      </w:r>
      <w:r>
        <w:t xml:space="preserve"> </w:t>
      </w:r>
      <w:r>
        <w:rPr>
          <w:rStyle w:val="VerbatimChar"/>
        </w:rPr>
        <w:t xml:space="preserve">docs/schema/regulations/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docs/schema/validate.py</w:t>
      </w:r>
      <w:r>
        <w:t xml:space="preserve">.</w:t>
      </w:r>
    </w:p>
    <w:bookmarkEnd w:id="36"/>
    <w:bookmarkEnd w:id="37"/>
    <w:bookmarkStart w:id="51" w:name="ch:controls"/>
    <w:p>
      <w:pPr>
        <w:pStyle w:val="Heading1"/>
      </w:pPr>
      <w:r>
        <w:t xml:space="preserve">Control Framework</w:t>
      </w:r>
    </w:p>
    <w:bookmarkStart w:id="38" w:name="control-design-principles"/>
    <w:p>
      <w:pPr>
        <w:pStyle w:val="Heading2"/>
      </w:pPr>
      <w:r>
        <w:t xml:space="preserve">Control design principles</w:t>
      </w:r>
    </w:p>
    <w:p>
      <w:pPr>
        <w:pStyle w:val="FirstParagraph"/>
      </w:pPr>
      <w:r>
        <w:t xml:space="preserve">Five principles guide the control framework design: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Bound the use case</w:t>
      </w:r>
      <w:r>
        <w:t xml:space="preserve"> </w:t>
      </w:r>
      <w:r>
        <w:t xml:space="preserve">before building or deploying it.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Make a human unambiguously accountable</w:t>
      </w:r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Treat tools, memory, and data access</w:t>
      </w:r>
      <w:r>
        <w:t xml:space="preserve"> </w:t>
      </w:r>
      <w:r>
        <w:t xml:space="preserve">as first-class risk surfaces.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Require evidence-driven go/no-go decisions</w:t>
      </w:r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Monitor after deployment</w:t>
      </w:r>
      <w:r>
        <w:t xml:space="preserve"> </w:t>
      </w:r>
      <w:r>
        <w:t xml:space="preserve">because pre-deployment testing is</w:t>
      </w:r>
      <w:r>
        <w:t xml:space="preserve"> </w:t>
      </w:r>
      <w:r>
        <w:t xml:space="preserve">necessary but insufficient.</w:t>
      </w:r>
    </w:p>
    <w:bookmarkEnd w:id="38"/>
    <w:bookmarkStart w:id="39" w:name="mandatory-control-catalogue"/>
    <w:p>
      <w:pPr>
        <w:pStyle w:val="Heading2"/>
      </w:pPr>
      <w:r>
        <w:t xml:space="preserve">Mandatory control catalogue</w:t>
      </w:r>
    </w:p>
    <w:p>
      <w:pPr>
        <w:pStyle w:val="TableCaption"/>
      </w:pPr>
      <w:r>
        <w:t xml:space="preserve">Mandatory Control Catalogue (23 Controls)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ndatory Control Catalogue (23 Controls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Sources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Table  – continued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Sources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right"/>
            </w:pPr>
            <w:r>
              <w:t xml:space="preserve">Continued on next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accountable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owner, technical owner, security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Use-case registry, RACI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Use-case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register before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Use-case card, 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Model/dependency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models and tools inventoried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table, SBOM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SG-05, SG-07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 as public/internal/confidential/personal/restricted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map, access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SG-03, SG-04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minimisation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Personal-data use documented and PDPA-aligned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DPIA/LIA, consent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and 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and purge rules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SG-04, SG-07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autonomy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autonomy level declared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Autonomy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Least-privilege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allow-list, least privilege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allowlist,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identity and delegation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ID, approval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High-risk execution sandboxed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SG-07, SG-08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High-stakes actions require human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approval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Contextual, concise, auditable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payload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Oversight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Approvals sampled for effectiveness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sample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Prompt-injection 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 against injection and exfiltration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Red-team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SG-02, SG-07, SG-08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Trusted protocol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approved MCP/APIs/services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Allowlist, trust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safety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for hallucination, bias, leakage, adversarial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plan, benchmarks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SG-02, SG-05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sufficiency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sample sizes and confidence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Stage-gate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readiness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decision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SG-02, SG-03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audit 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execution records required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logs,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anomaly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High-risk anomalies trigger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definitions, runbooks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SG-07, SG-08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and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incidents triaged and contained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informed of AI involvement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notice,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SG-03, SG-04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and reviewer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on failure modes and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SG-03</w:t>
            </w:r>
          </w:p>
        </w:tc>
      </w:tr>
    </w:tbl>
    <w:bookmarkEnd w:id="39"/>
    <w:bookmarkStart w:id="40" w:name="critical-controls"/>
    <w:p>
      <w:pPr>
        <w:pStyle w:val="Heading2"/>
      </w:pPr>
      <w:r>
        <w:t xml:space="preserve">Critical controls</w:t>
      </w:r>
    </w:p>
    <w:p>
      <w:pPr>
        <w:pStyle w:val="FirstParagraph"/>
      </w:pPr>
      <w:r>
        <w:t xml:space="preserve">The following controls are</w:t>
      </w:r>
      <w:r>
        <w:t xml:space="preserve"> </w:t>
      </w:r>
      <w:r>
        <w:rPr>
          <w:b/>
          <w:bCs/>
        </w:rPr>
        <w:t xml:space="preserve">critical controls</w:t>
      </w:r>
      <w:r>
        <w:t xml:space="preserve">. They must pass with no</w:t>
      </w:r>
      <w:r>
        <w:t xml:space="preserve"> </w:t>
      </w:r>
      <w:r>
        <w:t xml:space="preserve">exception for any high-risk or critical use case: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GOV-01</w:t>
      </w:r>
      <w:r>
        <w:t xml:space="preserve">,</w:t>
      </w:r>
      <w:r>
        <w:t xml:space="preserve"> </w:t>
      </w:r>
      <w:r>
        <w:rPr>
          <w:rStyle w:val="VerbatimChar"/>
        </w:rPr>
        <w:t xml:space="preserve">GOV-02</w:t>
      </w:r>
      <w:r>
        <w:t xml:space="preserve"> </w:t>
      </w:r>
      <w:r>
        <w:t xml:space="preserve">— Governance ownership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DATA-01</w:t>
      </w:r>
      <w:r>
        <w:t xml:space="preserve"> </w:t>
      </w:r>
      <w:r>
        <w:t xml:space="preserve">— Data classification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AGT-02</w:t>
      </w:r>
      <w:r>
        <w:t xml:space="preserve">,</w:t>
      </w:r>
      <w:r>
        <w:t xml:space="preserve"> </w:t>
      </w:r>
      <w:r>
        <w:rPr>
          <w:rStyle w:val="VerbatimChar"/>
        </w:rPr>
        <w:t xml:space="preserve">AGT-03</w:t>
      </w:r>
      <w:r>
        <w:t xml:space="preserve"> </w:t>
      </w:r>
      <w:r>
        <w:t xml:space="preserve">— Agent tool and identity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HUM-01</w:t>
      </w:r>
      <w:r>
        <w:t xml:space="preserve"> </w:t>
      </w:r>
      <w:r>
        <w:t xml:space="preserve">— Human checkpoint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SEC-01</w:t>
      </w:r>
      <w:r>
        <w:t xml:space="preserve"> </w:t>
      </w:r>
      <w:r>
        <w:t xml:space="preserve">— Prompt-injection resilience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EVAL-01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EVAL-03</w:t>
      </w:r>
      <w:r>
        <w:t xml:space="preserve"> </w:t>
      </w:r>
      <w:r>
        <w:t xml:space="preserve">— Evaluation and gating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MON-01</w:t>
      </w:r>
      <w:r>
        <w:t xml:space="preserve">,</w:t>
      </w:r>
      <w:r>
        <w:t xml:space="preserve"> </w:t>
      </w:r>
      <w:r>
        <w:rPr>
          <w:rStyle w:val="VerbatimChar"/>
        </w:rPr>
        <w:t xml:space="preserve">MON-02</w:t>
      </w:r>
      <w:r>
        <w:t xml:space="preserve">,</w:t>
      </w:r>
      <w:r>
        <w:t xml:space="preserve"> </w:t>
      </w:r>
      <w:r>
        <w:rPr>
          <w:rStyle w:val="VerbatimChar"/>
        </w:rPr>
        <w:t xml:space="preserve">MON-03</w:t>
      </w:r>
      <w:r>
        <w:t xml:space="preserve"> </w:t>
      </w:r>
      <w:r>
        <w:t xml:space="preserve">— Monitoring</w:t>
      </w:r>
    </w:p>
    <w:p>
      <w:pPr>
        <w:pStyle w:val="FirstParagraph"/>
      </w:pPr>
      <w:r>
        <w:t xml:space="preserve">A use case that fails any critical control cannot be approved for production.</w:t>
      </w:r>
    </w:p>
    <w:bookmarkEnd w:id="40"/>
    <w:bookmarkStart w:id="49" w:name="control-category-descriptions"/>
    <w:p>
      <w:pPr>
        <w:pStyle w:val="Heading2"/>
      </w:pPr>
      <w:r>
        <w:t xml:space="preserve">Control category descriptions</w:t>
      </w:r>
    </w:p>
    <w:bookmarkStart w:id="41" w:name="governance-controls-gov"/>
    <w:p>
      <w:pPr>
        <w:pStyle w:val="Heading3"/>
      </w:pPr>
      <w:r>
        <w:t xml:space="preserve">Governance controls (GOV)</w:t>
      </w:r>
    </w:p>
    <w:p>
      <w:pPr>
        <w:pStyle w:val="FirstParagraph"/>
      </w:pPr>
      <w:r>
        <w:t xml:space="preserve">Governance controls ensure accountable ownership and proper registration:</w:t>
      </w:r>
    </w:p>
    <w:p>
      <w:pPr>
        <w:pStyle w:val="DefinitionTerm"/>
      </w:pPr>
      <w:r>
        <w:rPr>
          <w:rStyle w:val="VerbatimChar"/>
        </w:rPr>
        <w:t xml:space="preserve">GOV-01</w:t>
      </w:r>
    </w:p>
    <w:p>
      <w:pPr>
        <w:pStyle w:val="Definition"/>
      </w:pPr>
      <w:r>
        <w:t xml:space="preserve">Every use case must have a named business owner</w:t>
      </w:r>
      <w:r>
        <w:t xml:space="preserve"> </w:t>
      </w:r>
      <w:r>
        <w:t xml:space="preserve">(accountable for outcomes), technical owner (responsible for</w:t>
      </w:r>
      <w:r>
        <w:t xml:space="preserve"> </w:t>
      </w:r>
      <w:r>
        <w:t xml:space="preserve">implementation), and security reviewer.</w:t>
      </w:r>
    </w:p>
    <w:p>
      <w:pPr>
        <w:pStyle w:val="DefinitionTerm"/>
      </w:pPr>
      <w:r>
        <w:rPr>
          <w:rStyle w:val="VerbatimChar"/>
        </w:rPr>
        <w:t xml:space="preserve">GOV-02</w:t>
      </w:r>
    </w:p>
    <w:p>
      <w:pPr>
        <w:pStyle w:val="Definition"/>
      </w:pPr>
      <w:r>
        <w:t xml:space="preserve">Use cases must be registered in the governance</w:t>
      </w:r>
      <w:r>
        <w:t xml:space="preserve"> </w:t>
      </w:r>
      <w:r>
        <w:t xml:space="preserve">system before implementation begins.</w:t>
      </w:r>
    </w:p>
    <w:p>
      <w:pPr>
        <w:pStyle w:val="DefinitionTerm"/>
      </w:pPr>
      <w:r>
        <w:rPr>
          <w:rStyle w:val="VerbatimChar"/>
        </w:rPr>
        <w:t xml:space="preserve">GOV-03</w:t>
      </w:r>
    </w:p>
    <w:p>
      <w:pPr>
        <w:pStyle w:val="Definition"/>
      </w:pPr>
      <w:r>
        <w:t xml:space="preserve">All models, tools, and dependencies must be</w:t>
      </w:r>
      <w:r>
        <w:t xml:space="preserve"> </w:t>
      </w:r>
      <w:r>
        <w:t xml:space="preserve">inventoried with version tracking and SBOM generation.</w:t>
      </w:r>
    </w:p>
    <w:bookmarkEnd w:id="41"/>
    <w:bookmarkStart w:id="42" w:name="data-controls-data"/>
    <w:p>
      <w:pPr>
        <w:pStyle w:val="Heading3"/>
      </w:pPr>
      <w:r>
        <w:t xml:space="preserve">Data controls (DATA)</w:t>
      </w:r>
    </w:p>
    <w:p>
      <w:pPr>
        <w:pStyle w:val="FirstParagraph"/>
      </w:pPr>
      <w:r>
        <w:t xml:space="preserve">Data controls address classification, minimisation, and retention:</w:t>
      </w:r>
    </w:p>
    <w:p>
      <w:pPr>
        <w:pStyle w:val="DefinitionTerm"/>
      </w:pPr>
      <w:r>
        <w:rPr>
          <w:rStyle w:val="VerbatimChar"/>
        </w:rPr>
        <w:t xml:space="preserve">DATA-01</w:t>
      </w:r>
    </w:p>
    <w:p>
      <w:pPr>
        <w:pStyle w:val="Definition"/>
      </w:pPr>
      <w:r>
        <w:t xml:space="preserve">All data must be classified according to</w:t>
      </w:r>
      <w:r>
        <w:t xml:space="preserve"> </w:t>
      </w:r>
      <w:r>
        <w:t xml:space="preserve">sensitivity levels: public, internal, confidential, personal, restricted.</w:t>
      </w:r>
    </w:p>
    <w:p>
      <w:pPr>
        <w:pStyle w:val="DefinitionTerm"/>
      </w:pPr>
      <w:r>
        <w:rPr>
          <w:rStyle w:val="VerbatimChar"/>
        </w:rPr>
        <w:t xml:space="preserve">DATA-02</w:t>
      </w:r>
    </w:p>
    <w:p>
      <w:pPr>
        <w:pStyle w:val="Definition"/>
      </w:pPr>
      <w:r>
        <w:t xml:space="preserve">Personal data use must be documented with lawful</w:t>
      </w:r>
      <w:r>
        <w:t xml:space="preserve"> </w:t>
      </w:r>
      <w:r>
        <w:t xml:space="preserve">basis under PDPA and subject to minimisation requirements.</w:t>
      </w:r>
    </w:p>
    <w:p>
      <w:pPr>
        <w:pStyle w:val="DefinitionTerm"/>
      </w:pPr>
      <w:r>
        <w:rPr>
          <w:rStyle w:val="VerbatimChar"/>
        </w:rPr>
        <w:t xml:space="preserve">DATA-03</w:t>
      </w:r>
    </w:p>
    <w:p>
      <w:pPr>
        <w:pStyle w:val="Definition"/>
      </w:pPr>
      <w:r>
        <w:t xml:space="preserve">Retention periods and purge schedules must be</w:t>
      </w:r>
      <w:r>
        <w:t xml:space="preserve"> </w:t>
      </w:r>
      <w:r>
        <w:t xml:space="preserve">defined for all AI-processed data.</w:t>
      </w:r>
    </w:p>
    <w:bookmarkEnd w:id="42"/>
    <w:bookmarkStart w:id="43" w:name="agent-controls-agt"/>
    <w:p>
      <w:pPr>
        <w:pStyle w:val="Heading3"/>
      </w:pPr>
      <w:r>
        <w:t xml:space="preserve">Agent controls (AGT)</w:t>
      </w:r>
    </w:p>
    <w:p>
      <w:pPr>
        <w:pStyle w:val="FirstParagraph"/>
      </w:pPr>
      <w:r>
        <w:t xml:space="preserve">Agent controls bound autonomy and tool access:</w:t>
      </w:r>
    </w:p>
    <w:p>
      <w:pPr>
        <w:pStyle w:val="DefinitionTerm"/>
      </w:pPr>
      <w:r>
        <w:rPr>
          <w:rStyle w:val="VerbatimChar"/>
        </w:rPr>
        <w:t xml:space="preserve">AGT-01</w:t>
      </w:r>
    </w:p>
    <w:p>
      <w:pPr>
        <w:pStyle w:val="Definition"/>
      </w:pPr>
      <w:r>
        <w:t xml:space="preserve">Each agent must declare its maximum autonomy level</w:t>
      </w:r>
      <w:r>
        <w:t xml:space="preserve"> </w:t>
      </w:r>
      <w:r>
        <w:t xml:space="preserve">(L1-Observe, L2-Collaborate, L3-Delegate, L4-Autonomous).</w:t>
      </w:r>
    </w:p>
    <w:p>
      <w:pPr>
        <w:pStyle w:val="DefinitionTerm"/>
      </w:pPr>
      <w:r>
        <w:rPr>
          <w:rStyle w:val="VerbatimChar"/>
        </w:rPr>
        <w:t xml:space="preserve">AGT-02</w:t>
      </w:r>
    </w:p>
    <w:p>
      <w:pPr>
        <w:pStyle w:val="Definition"/>
      </w:pPr>
      <w:r>
        <w:t xml:space="preserve">Tools must be explicitly allow-listed; agents</w:t>
      </w:r>
      <w:r>
        <w:t xml:space="preserve"> </w:t>
      </w:r>
      <w:r>
        <w:t xml:space="preserve">operate with least-privilege tool access.</w:t>
      </w:r>
    </w:p>
    <w:p>
      <w:pPr>
        <w:pStyle w:val="DefinitionTerm"/>
      </w:pPr>
      <w:r>
        <w:rPr>
          <w:rStyle w:val="VerbatimChar"/>
        </w:rPr>
        <w:t xml:space="preserve">AGT-03</w:t>
      </w:r>
    </w:p>
    <w:p>
      <w:pPr>
        <w:pStyle w:val="Definition"/>
      </w:pPr>
      <w:r>
        <w:t xml:space="preserve">Each agent must have a unique identity with</w:t>
      </w:r>
      <w:r>
        <w:t xml:space="preserve"> </w:t>
      </w:r>
      <w:r>
        <w:t xml:space="preserve">delegation records for audit attribution.</w:t>
      </w:r>
    </w:p>
    <w:p>
      <w:pPr>
        <w:pStyle w:val="DefinitionTerm"/>
      </w:pPr>
      <w:r>
        <w:rPr>
          <w:rStyle w:val="VerbatimChar"/>
        </w:rPr>
        <w:t xml:space="preserve">AGT-04</w:t>
      </w:r>
    </w:p>
    <w:p>
      <w:pPr>
        <w:pStyle w:val="Definition"/>
      </w:pPr>
      <w:r>
        <w:t xml:space="preserve">High-risk agent executions must be sandboxed.</w:t>
      </w:r>
    </w:p>
    <w:bookmarkEnd w:id="43"/>
    <w:bookmarkStart w:id="44" w:name="human-controls-hum"/>
    <w:p>
      <w:pPr>
        <w:pStyle w:val="Heading3"/>
      </w:pPr>
      <w:r>
        <w:t xml:space="preserve">Human controls (HUM)</w:t>
      </w:r>
    </w:p>
    <w:p>
      <w:pPr>
        <w:pStyle w:val="FirstParagraph"/>
      </w:pPr>
      <w:r>
        <w:t xml:space="preserve">Human controls ensure meaningful human accountability:</w:t>
      </w:r>
    </w:p>
    <w:p>
      <w:pPr>
        <w:pStyle w:val="DefinitionTerm"/>
      </w:pPr>
      <w:r>
        <w:rPr>
          <w:rStyle w:val="VerbatimChar"/>
        </w:rPr>
        <w:t xml:space="preserve">HUM-01</w:t>
      </w:r>
    </w:p>
    <w:p>
      <w:pPr>
        <w:pStyle w:val="Definition"/>
      </w:pPr>
      <w:r>
        <w:t xml:space="preserve">High-stakes actions must require human approval</w:t>
      </w:r>
      <w:r>
        <w:t xml:space="preserve"> </w:t>
      </w:r>
      <w:r>
        <w:t xml:space="preserve">before execution.</w:t>
      </w:r>
    </w:p>
    <w:p>
      <w:pPr>
        <w:pStyle w:val="DefinitionTerm"/>
      </w:pPr>
      <w:r>
        <w:rPr>
          <w:rStyle w:val="VerbatimChar"/>
        </w:rPr>
        <w:t xml:space="preserve">HUM-02</w:t>
      </w:r>
    </w:p>
    <w:p>
      <w:pPr>
        <w:pStyle w:val="Definition"/>
      </w:pPr>
      <w:r>
        <w:t xml:space="preserve">Approval UX must be contextual, concise, and</w:t>
      </w:r>
      <w:r>
        <w:t xml:space="preserve"> </w:t>
      </w:r>
      <w:r>
        <w:t xml:space="preserve">provide actionable information.</w:t>
      </w:r>
    </w:p>
    <w:p>
      <w:pPr>
        <w:pStyle w:val="DefinitionTerm"/>
      </w:pPr>
      <w:r>
        <w:rPr>
          <w:rStyle w:val="VerbatimChar"/>
        </w:rPr>
        <w:t xml:space="preserve">HUM-03</w:t>
      </w:r>
    </w:p>
    <w:p>
      <w:pPr>
        <w:pStyle w:val="Definition"/>
      </w:pPr>
      <w:r>
        <w:t xml:space="preserve">Approval decisions must be sampled and audited</w:t>
      </w:r>
      <w:r>
        <w:t xml:space="preserve"> </w:t>
      </w:r>
      <w:r>
        <w:t xml:space="preserve">for effectiveness.</w:t>
      </w:r>
    </w:p>
    <w:bookmarkEnd w:id="44"/>
    <w:bookmarkStart w:id="45" w:name="security-controls-sec"/>
    <w:p>
      <w:pPr>
        <w:pStyle w:val="Heading3"/>
      </w:pPr>
      <w:r>
        <w:t xml:space="preserve">Security controls (SEC)</w:t>
      </w:r>
    </w:p>
    <w:p>
      <w:pPr>
        <w:pStyle w:val="FirstParagraph"/>
      </w:pPr>
      <w:r>
        <w:t xml:space="preserve">Security controls address adversarial resilience:</w:t>
      </w:r>
    </w:p>
    <w:p>
      <w:pPr>
        <w:pStyle w:val="DefinitionTerm"/>
      </w:pPr>
      <w:r>
        <w:rPr>
          <w:rStyle w:val="VerbatimChar"/>
        </w:rPr>
        <w:t xml:space="preserve">SEC-01</w:t>
      </w:r>
    </w:p>
    <w:p>
      <w:pPr>
        <w:pStyle w:val="Definition"/>
      </w:pPr>
      <w:r>
        <w:t xml:space="preserve">Systems must defend against prompt injection,</w:t>
      </w:r>
      <w:r>
        <w:t xml:space="preserve"> </w:t>
      </w:r>
      <w:r>
        <w:t xml:space="preserve">jailbreaking, and data exfiltration.</w:t>
      </w:r>
    </w:p>
    <w:p>
      <w:pPr>
        <w:pStyle w:val="DefinitionTerm"/>
      </w:pPr>
      <w:r>
        <w:rPr>
          <w:rStyle w:val="VerbatimChar"/>
        </w:rPr>
        <w:t xml:space="preserve">SEC-02</w:t>
      </w:r>
    </w:p>
    <w:p>
      <w:pPr>
        <w:pStyle w:val="Definition"/>
      </w:pPr>
      <w:r>
        <w:t xml:space="preserve">Only approved MCP servers, APIs, and services</w:t>
      </w:r>
      <w:r>
        <w:t xml:space="preserve"> </w:t>
      </w:r>
      <w:r>
        <w:t xml:space="preserve">may be accessed.</w:t>
      </w:r>
    </w:p>
    <w:bookmarkEnd w:id="45"/>
    <w:bookmarkStart w:id="46" w:name="evaluation-controls-eval"/>
    <w:p>
      <w:pPr>
        <w:pStyle w:val="Heading3"/>
      </w:pPr>
      <w:r>
        <w:t xml:space="preserve">Evaluation controls (EVAL)</w:t>
      </w:r>
    </w:p>
    <w:p>
      <w:pPr>
        <w:pStyle w:val="FirstParagraph"/>
      </w:pPr>
      <w:r>
        <w:t xml:space="preserve">Evaluation controls ensure pre-deployment readiness:</w:t>
      </w:r>
    </w:p>
    <w:p>
      <w:pPr>
        <w:pStyle w:val="DefinitionTerm"/>
      </w:pPr>
      <w:r>
        <w:rPr>
          <w:rStyle w:val="VerbatimChar"/>
        </w:rPr>
        <w:t xml:space="preserve">EVAL-01</w:t>
      </w:r>
    </w:p>
    <w:p>
      <w:pPr>
        <w:pStyle w:val="Definition"/>
      </w:pPr>
      <w:r>
        <w:t xml:space="preserve">Baseline safety evaluation must test for</w:t>
      </w:r>
      <w:r>
        <w:t xml:space="preserve"> </w:t>
      </w:r>
      <w:r>
        <w:t xml:space="preserve">hallucination, bias, data leakage, and adversarial robustness.</w:t>
      </w:r>
    </w:p>
    <w:p>
      <w:pPr>
        <w:pStyle w:val="DefinitionTerm"/>
      </w:pPr>
      <w:r>
        <w:rPr>
          <w:rStyle w:val="VerbatimChar"/>
        </w:rPr>
        <w:t xml:space="preserve">EVAL-02</w:t>
      </w:r>
    </w:p>
    <w:p>
      <w:pPr>
        <w:pStyle w:val="Definition"/>
      </w:pPr>
      <w:r>
        <w:t xml:space="preserve">Sample sizes and statistical methods must be</w:t>
      </w:r>
      <w:r>
        <w:t xml:space="preserve"> </w:t>
      </w:r>
      <w:r>
        <w:t xml:space="preserve">defined to ensure confidence in results.</w:t>
      </w:r>
    </w:p>
    <w:p>
      <w:pPr>
        <w:pStyle w:val="DefinitionTerm"/>
      </w:pPr>
      <w:r>
        <w:rPr>
          <w:rStyle w:val="VerbatimChar"/>
        </w:rPr>
        <w:t xml:space="preserve">EVAL-03</w:t>
      </w:r>
    </w:p>
    <w:p>
      <w:pPr>
        <w:pStyle w:val="Definition"/>
      </w:pPr>
      <w:r>
        <w:t xml:space="preserve">Numeric stage gates must be met before</w:t>
      </w:r>
      <w:r>
        <w:t xml:space="preserve"> </w:t>
      </w:r>
      <w:r>
        <w:t xml:space="preserve">deployment proceeds.</w:t>
      </w:r>
    </w:p>
    <w:bookmarkEnd w:id="46"/>
    <w:bookmarkStart w:id="47" w:name="monitoring-controls-mon"/>
    <w:p>
      <w:pPr>
        <w:pStyle w:val="Heading3"/>
      </w:pPr>
      <w:r>
        <w:t xml:space="preserve">Monitoring controls (MON)</w:t>
      </w:r>
    </w:p>
    <w:p>
      <w:pPr>
        <w:pStyle w:val="FirstParagraph"/>
      </w:pPr>
      <w:r>
        <w:t xml:space="preserve">Monitoring controls ensure post-deployment oversight:</w:t>
      </w:r>
    </w:p>
    <w:p>
      <w:pPr>
        <w:pStyle w:val="DefinitionTerm"/>
      </w:pPr>
      <w:r>
        <w:rPr>
          <w:rStyle w:val="VerbatimChar"/>
        </w:rPr>
        <w:t xml:space="preserve">MON-01</w:t>
      </w:r>
    </w:p>
    <w:p>
      <w:pPr>
        <w:pStyle w:val="Definition"/>
      </w:pPr>
      <w:r>
        <w:t xml:space="preserve">Every governed execution must produce a complete</w:t>
      </w:r>
      <w:r>
        <w:t xml:space="preserve"> </w:t>
      </w:r>
      <w:r>
        <w:t xml:space="preserve">audit record with required fields.</w:t>
      </w:r>
    </w:p>
    <w:p>
      <w:pPr>
        <w:pStyle w:val="DefinitionTerm"/>
      </w:pPr>
      <w:r>
        <w:rPr>
          <w:rStyle w:val="VerbatimChar"/>
        </w:rPr>
        <w:t xml:space="preserve">MON-02</w:t>
      </w:r>
    </w:p>
    <w:p>
      <w:pPr>
        <w:pStyle w:val="Definition"/>
      </w:pPr>
      <w:r>
        <w:t xml:space="preserve">Real-time monitoring must detect anomalies and</w:t>
      </w:r>
      <w:r>
        <w:t xml:space="preserve"> </w:t>
      </w:r>
      <w:r>
        <w:t xml:space="preserve">trigger alerts.</w:t>
      </w:r>
    </w:p>
    <w:p>
      <w:pPr>
        <w:pStyle w:val="DefinitionTerm"/>
      </w:pPr>
      <w:r>
        <w:rPr>
          <w:rStyle w:val="VerbatimChar"/>
        </w:rPr>
        <w:t xml:space="preserve">MON-03</w:t>
      </w:r>
    </w:p>
    <w:p>
      <w:pPr>
        <w:pStyle w:val="Definition"/>
      </w:pPr>
      <w:r>
        <w:t xml:space="preserve">AI incidents must be triaged, contained, and</w:t>
      </w:r>
      <w:r>
        <w:t xml:space="preserve"> </w:t>
      </w:r>
      <w:r>
        <w:t xml:space="preserve">rolled back when necessary.</w:t>
      </w:r>
    </w:p>
    <w:bookmarkEnd w:id="47"/>
    <w:bookmarkStart w:id="48" w:name="user-controls-usr"/>
    <w:p>
      <w:pPr>
        <w:pStyle w:val="Heading3"/>
      </w:pPr>
      <w:r>
        <w:t xml:space="preserve">User controls (USR)</w:t>
      </w:r>
    </w:p>
    <w:p>
      <w:pPr>
        <w:pStyle w:val="FirstParagraph"/>
      </w:pPr>
      <w:r>
        <w:t xml:space="preserve">User controls address transparency and training:</w:t>
      </w:r>
    </w:p>
    <w:p>
      <w:pPr>
        <w:pStyle w:val="DefinitionTerm"/>
      </w:pPr>
      <w:r>
        <w:rPr>
          <w:rStyle w:val="VerbatimChar"/>
        </w:rPr>
        <w:t xml:space="preserve">USR-01</w:t>
      </w:r>
    </w:p>
    <w:p>
      <w:pPr>
        <w:pStyle w:val="Definition"/>
      </w:pPr>
      <w:r>
        <w:t xml:space="preserve">Users must be informed when they are interacting</w:t>
      </w:r>
      <w:r>
        <w:t xml:space="preserve"> </w:t>
      </w:r>
      <w:r>
        <w:t xml:space="preserve">with AI-generated content or recommendations.</w:t>
      </w:r>
    </w:p>
    <w:p>
      <w:pPr>
        <w:pStyle w:val="DefinitionTerm"/>
      </w:pPr>
      <w:r>
        <w:rPr>
          <w:rStyle w:val="VerbatimChar"/>
        </w:rPr>
        <w:t xml:space="preserve">USR-02</w:t>
      </w:r>
    </w:p>
    <w:p>
      <w:pPr>
        <w:pStyle w:val="Definition"/>
      </w:pPr>
      <w:r>
        <w:t xml:space="preserve">Users and reviewers must be trained on AI failure</w:t>
      </w:r>
      <w:r>
        <w:t xml:space="preserve"> </w:t>
      </w:r>
      <w:r>
        <w:t xml:space="preserve">modes and escalation procedures.</w:t>
      </w:r>
    </w:p>
    <w:bookmarkEnd w:id="48"/>
    <w:bookmarkEnd w:id="49"/>
    <w:bookmarkStart w:id="50" w:name="control-to-source-traceability"/>
    <w:p>
      <w:pPr>
        <w:pStyle w:val="Heading2"/>
      </w:pPr>
      <w:r>
        <w:t xml:space="preserve">Control-to-source traceability</w:t>
      </w:r>
    </w:p>
    <w:p>
      <w:pPr>
        <w:pStyle w:val="TableCaption"/>
      </w:pPr>
      <w:r>
        <w:t xml:space="preserve">Control-to-Source Traceability Matrix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trol-to-Source Traceability Matrix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SG-01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SG-02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SG-03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SG-04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SG-05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SG-07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SG-08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AGT-01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AGT-02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AGT-03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AGT-04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USR-01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USR-02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0"/>
    <w:bookmarkEnd w:id="51"/>
    <w:bookmarkStart w:id="68" w:name="ch:risk"/>
    <w:p>
      <w:pPr>
        <w:pStyle w:val="Heading1"/>
      </w:pPr>
      <w:r>
        <w:t xml:space="preserve">Risk Scoring Model</w:t>
      </w:r>
    </w:p>
    <w:bookmarkStart w:id="52" w:name="purpose-of-risk-scoring"/>
    <w:p>
      <w:pPr>
        <w:pStyle w:val="Heading2"/>
      </w:pPr>
      <w:r>
        <w:t xml:space="preserve">Purpose of risk scoring</w:t>
      </w:r>
    </w:p>
    <w:p>
      <w:pPr>
        <w:pStyle w:val="FirstParagraph"/>
      </w:pPr>
      <w:r>
        <w:t xml:space="preserve">The risk scoring model provides a quantitative, repeatable method to:</w:t>
      </w:r>
    </w:p>
    <w:p>
      <w:pPr>
        <w:numPr>
          <w:ilvl w:val="0"/>
          <w:numId w:val="1017"/>
        </w:numPr>
      </w:pPr>
      <w:r>
        <w:t xml:space="preserve">Classify use cases into risk tiers (Low, Medium, High, Critical)</w:t>
      </w:r>
    </w:p>
    <w:p>
      <w:pPr>
        <w:numPr>
          <w:ilvl w:val="0"/>
          <w:numId w:val="1017"/>
        </w:numPr>
      </w:pPr>
      <w:r>
        <w:t xml:space="preserve">Determine applicable control profiles</w:t>
      </w:r>
    </w:p>
    <w:p>
      <w:pPr>
        <w:numPr>
          <w:ilvl w:val="0"/>
          <w:numId w:val="1017"/>
        </w:numPr>
      </w:pPr>
      <w:r>
        <w:t xml:space="preserve">Calculate residual risk after controls are applied</w:t>
      </w:r>
    </w:p>
    <w:p>
      <w:pPr>
        <w:numPr>
          <w:ilvl w:val="0"/>
          <w:numId w:val="1017"/>
        </w:numPr>
      </w:pPr>
      <w:r>
        <w:t xml:space="preserve">Gate production deployment based on numeric thresholds</w:t>
      </w:r>
    </w:p>
    <w:bookmarkEnd w:id="52"/>
    <w:bookmarkStart w:id="54" w:name="normalized-risk-factors"/>
    <w:p>
      <w:pPr>
        <w:pStyle w:val="Heading2"/>
      </w:pPr>
      <w:r>
        <w:t xml:space="preserve">Normalized risk factors</w:t>
      </w:r>
    </w:p>
    <w:p>
      <w:pPr>
        <w:pStyle w:val="FirstParagraph"/>
      </w:pPr>
      <w:r>
        <w:t xml:space="preserve">For each use case</w:t>
      </w:r>
      <w:r>
        <w:t xml:space="preserve"> </w:t>
      </w:r>
      <m:oMath>
        <m:r>
          <m:t>u</m:t>
        </m:r>
      </m:oMath>
      <w:r>
        <w:t xml:space="preserve">, assign the following normalized factors in the</w:t>
      </w:r>
      <w:r>
        <w:t xml:space="preserve"> </w:t>
      </w:r>
      <w:r>
        <w:t xml:space="preserve">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bookmarkStart w:id="53" w:name="tab:risk-factors"/>
    <w:p>
      <w:pPr>
        <w:pStyle w:val="TableCaption"/>
      </w:pPr>
      <w:r>
        <w:t xml:space="preserve">Normalized Risk Factors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rmalized Risk Factor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Normalisation Rule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sSub>
                <m:e>
                  <m:r>
                    <m:t>S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Data sensitivity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Public=0.10, internal=0.35, confidential=0.70, personal=0.90, restricted=1.00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sSub>
                <m:e>
                  <m:r>
                    <m:t>A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Action authority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Read-only=0.10, internal write=0.50, external write=0.80, payment/delete/deploy=1.00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Autonomy level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operates=0.10, collaborate=0.40, human approves critical=0.70, human observes only=1.00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sSub>
                <m:e>
                  <m:r>
                    <m:t>C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Environmental connectivity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None=0.10, internal services=0.40, third-party APIs=0.70, browser/MCP=1.00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sSub>
                <m:e>
                  <m:r>
                    <m:t>V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Irreversibility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reversible=0.10, partially=0.60, irreversible=1.00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sSub>
                <m:e>
                  <m:r>
                    <m:t>I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User/legal impact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Low=0.20, medium=0.50, high=0.80, critical=1.00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sSub>
                <m:e>
                  <m:r>
                    <m:t>U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Model uncertainty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Deterministic=0.20, narrow model=0.50, general LLM=0.80, multi-agent=1.00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sSub>
                <m:e>
                  <m:r>
                    <m:t>D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Third-party dependency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None=0.10, controlled vendor=0.50, unverified=1.00</w:t>
            </w:r>
          </w:p>
        </w:tc>
      </w:tr>
    </w:tbl>
    <w:bookmarkEnd w:id="53"/>
    <w:bookmarkEnd w:id="54"/>
    <w:bookmarkStart w:id="58" w:name="inherent-risk-score-irs"/>
    <w:p>
      <w:pPr>
        <w:pStyle w:val="Heading2"/>
      </w:pPr>
      <w:r>
        <w:t xml:space="preserve">Inherent Risk Score (IRS)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Inherent Risk Score</w:t>
      </w:r>
      <w:r>
        <w:t xml:space="preserve"> </w:t>
      </w:r>
      <w:r>
        <w:t xml:space="preserve">for use case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weighted sum of</w:t>
      </w:r>
      <w:r>
        <w:t xml:space="preserve"> </w:t>
      </w:r>
      <w:r>
        <w:t xml:space="preserve">normalized risk factors: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t>R</m:t>
              </m:r>
              <m:sSub>
                <m:e>
                  <m:r>
                    <m:t>S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0.20</m:t>
                  </m:r>
                  <m:r>
                    <m:rPr>
                      <m:sty m:val="p"/>
                    </m:rPr>
                    <m:t>⋅</m:t>
                  </m:r>
                  <m:r>
                    <m:t>D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0.20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0.15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0.15</m:t>
                  </m:r>
                  <m:r>
                    <m:rPr>
                      <m:sty m:val="p"/>
                    </m:rPr>
                    <m:t>⋅</m:t>
                  </m:r>
                  <m:r>
                    <m:t>E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0.10</m:t>
                  </m:r>
                  <m:r>
                    <m:rPr>
                      <m:sty m:val="p"/>
                    </m:rPr>
                    <m:t>⋅</m:t>
                  </m:r>
                  <m:r>
                    <m:t>R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0.10</m:t>
                  </m:r>
                  <m:r>
                    <m:rPr>
                      <m:sty m:val="p"/>
                    </m:rPr>
                    <m:t>⋅</m:t>
                  </m:r>
                  <m:r>
                    <m:t>U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0.05</m:t>
                  </m:r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0.05</m:t>
                  </m:r>
                  <m:r>
                    <m:rPr>
                      <m:sty m:val="p"/>
                    </m:rPr>
                    <m:t>⋅</m:t>
                  </m:r>
                  <m:r>
                    <m:t>T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u</m:t>
                      </m:r>
                    </m:sub>
                  </m:sSub>
                </m:e>
              </m:d>
            </m:e>
          </m:borderBox>
        </m:oMath>
      </m:oMathPara>
    </w:p>
    <w:bookmarkStart w:id="56" w:name="irs-interpretation"/>
    <w:p>
      <w:pPr>
        <w:pStyle w:val="Heading3"/>
      </w:pPr>
      <w:r>
        <w:t xml:space="preserve">IRS interpretation</w:t>
      </w:r>
    </w:p>
    <w:bookmarkStart w:id="55" w:name="tab:irs-interpretation"/>
    <w:p>
      <w:pPr>
        <w:pStyle w:val="TableCaption"/>
      </w:pPr>
      <w:r>
        <w:t xml:space="preserve">Inherent Risk Score Interpretation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herent Risk Score Interpretatio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Score Band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 Implications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25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controls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25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50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controls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50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75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controls required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75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≤</m:t>
              </m:r>
              <m:r>
                <m:t>100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control suite + review board</w:t>
            </w:r>
          </w:p>
        </w:tc>
      </w:tr>
    </w:tbl>
    <w:bookmarkEnd w:id="55"/>
    <w:bookmarkEnd w:id="56"/>
    <w:bookmarkStart w:id="57" w:name="X1c2ef3504950d68a4cd1d5f6ca2268b7c72c614"/>
    <w:p>
      <w:pPr>
        <w:pStyle w:val="Heading3"/>
      </w:pPr>
      <w:r>
        <w:t xml:space="preserve">Worked example: UC-10 Agent/tool orchestration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0.70</m:t>
              </m:r>
              <m:r>
                <m:t> </m:t>
              </m:r>
              <m:r>
                <m:rPr>
                  <m:nor/>
                  <m:sty m:val="p"/>
                </m:rPr>
                <m:t>(confidential data)</m:t>
              </m:r>
            </m:e>
            <m:e>
              <m:r>
                <m:t>A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0.80</m:t>
              </m:r>
              <m:r>
                <m:t> </m:t>
              </m:r>
              <m:r>
                <m:rPr>
                  <m:nor/>
                  <m:sty m:val="p"/>
                </m:rPr>
                <m:t>(external writes via MCP)</m:t>
              </m:r>
            </m:e>
            <m:e>
              <m:r>
                <m:t>A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0.70</m:t>
              </m:r>
              <m:r>
                <m:t> </m:t>
              </m:r>
              <m:r>
                <m:rPr>
                  <m:nor/>
                  <m:sty m:val="p"/>
                </m:rPr>
                <m:t>(human approves critical only)</m:t>
              </m:r>
            </m:e>
            <m:e>
              <m:r>
                <m:t>E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1.00</m:t>
              </m:r>
              <m:r>
                <m:t> </m:t>
              </m:r>
              <m:r>
                <m:rPr>
                  <m:nor/>
                  <m:sty m:val="p"/>
                </m:rPr>
                <m:t>(MCP/browser connectivity)</m:t>
              </m:r>
            </m:e>
            <m:e>
              <m:r>
                <m:t>R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t> </m:t>
              </m:r>
              <m:r>
                <m:rPr>
                  <m:nor/>
                  <m:sty m:val="p"/>
                </m:rPr>
                <m:t>(partially reversible)</m:t>
              </m:r>
            </m:e>
            <m:e>
              <m:r>
                <m:t>U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0.80</m:t>
              </m:r>
              <m:r>
                <m:t> </m:t>
              </m:r>
              <m:r>
                <m:rPr>
                  <m:nor/>
                  <m:sty m:val="p"/>
                </m:rPr>
                <m:t>(high user impact)</m:t>
              </m:r>
            </m:e>
            <m:e>
              <m:r>
                <m:t>M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1.00</m:t>
              </m:r>
              <m:r>
                <m:t> </m:t>
              </m:r>
              <m:r>
                <m:rPr>
                  <m:nor/>
                  <m:sty m:val="p"/>
                </m:rPr>
                <m:t>(multi-agent)</m:t>
              </m:r>
            </m:e>
            <m:e>
              <m:r>
                <m:t>T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t> </m:t>
              </m:r>
              <m:r>
                <m:rPr>
                  <m:nor/>
                  <m:sty m:val="p"/>
                </m:rPr>
                <m:t>(controlled vendor)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t>R</m:t>
              </m:r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0.20</m:t>
              </m:r>
              <m:r>
                <m:rPr>
                  <m:sty m:val="p"/>
                </m:rPr>
                <m:t>×</m:t>
              </m:r>
              <m:r>
                <m:t>0.70</m:t>
              </m:r>
              <m:r>
                <m:rPr>
                  <m:sty m:val="p"/>
                </m:rPr>
                <m:t>+</m:t>
              </m:r>
              <m:r>
                <m:t>0.20</m:t>
              </m:r>
              <m:r>
                <m:rPr>
                  <m:sty m:val="p"/>
                </m:rPr>
                <m:t>×</m:t>
              </m:r>
              <m:r>
                <m:t>0.80</m:t>
              </m:r>
              <m:r>
                <m:rPr>
                  <m:sty m:val="p"/>
                </m:rPr>
                <m:t>+</m:t>
              </m:r>
              <m:r>
                <m:t>0.15</m:t>
              </m:r>
              <m:r>
                <m:rPr>
                  <m:sty m:val="p"/>
                </m:rPr>
                <m:t>×</m:t>
              </m:r>
              <m:r>
                <m:t>0.70</m:t>
              </m:r>
              <m:r>
                <m:rPr>
                  <m:sty m:val="p"/>
                </m:rPr>
                <m:t>+</m:t>
              </m:r>
              <m:r>
                <m:t>0.15</m:t>
              </m:r>
              <m:r>
                <m:rPr>
                  <m:sty m:val="p"/>
                </m:rPr>
                <m:t>×</m:t>
              </m:r>
              <m:r>
                <m:t>1.00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t>0.10</m:t>
              </m:r>
              <m:r>
                <m:rPr>
                  <m:sty m:val="p"/>
                </m:rPr>
                <m:t>×</m:t>
              </m:r>
              <m:r>
                <m:t>0.60</m:t>
              </m:r>
              <m:r>
                <m:rPr>
                  <m:sty m:val="p"/>
                </m:rPr>
                <m:t>+</m:t>
              </m:r>
              <m:r>
                <m:t>0.10</m:t>
              </m:r>
              <m:r>
                <m:rPr>
                  <m:sty m:val="p"/>
                </m:rPr>
                <m:t>×</m:t>
              </m:r>
              <m:r>
                <m:t>0.80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0.50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0.14</m:t>
              </m:r>
              <m:r>
                <m:rPr>
                  <m:sty m:val="p"/>
                </m:rPr>
                <m:t>+</m:t>
              </m:r>
              <m:r>
                <m:t>0.16</m:t>
              </m:r>
              <m:r>
                <m:rPr>
                  <m:sty m:val="p"/>
                </m:rPr>
                <m:t>+</m:t>
              </m:r>
              <m:r>
                <m:t>0.105</m:t>
              </m:r>
              <m:r>
                <m:rPr>
                  <m:sty m:val="p"/>
                </m:rPr>
                <m:t>+</m:t>
              </m:r>
              <m:r>
                <m:t>0.15</m:t>
              </m:r>
              <m:r>
                <m:rPr>
                  <m:sty m:val="p"/>
                </m:rPr>
                <m:t>+</m:t>
              </m:r>
              <m:r>
                <m:t>0.06</m:t>
              </m:r>
              <m:r>
                <m:rPr>
                  <m:sty m:val="p"/>
                </m:rPr>
                <m:t>+</m:t>
              </m:r>
              <m:r>
                <m:t>0.08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+</m:t>
              </m:r>
              <m:r>
                <m:t>0.025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×</m:t>
              </m:r>
              <m:r>
                <m:t>0.77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77</m:t>
              </m:r>
            </m:e>
          </m:eqArr>
        </m:oMath>
      </m:oMathPara>
    </w:p>
    <w:p>
      <w:pPr>
        <w:pStyle w:val="FirstParagraph"/>
      </w:pPr>
      <w:r>
        <w:t xml:space="preserve">Result:</w:t>
      </w:r>
      <w:r>
        <w:t xml:space="preserve"> </w:t>
      </w:r>
      <w:r>
        <w:rPr>
          <w:b/>
          <w:bCs/>
        </w:rPr>
        <w:t xml:space="preserve">Critical tier</w:t>
      </w:r>
      <w:r>
        <w:t xml:space="preserve"> </w:t>
      </w:r>
      <w:r>
        <w:t xml:space="preserve">(</w:t>
      </w:r>
      <m:oMath>
        <m:r>
          <m:t>I</m:t>
        </m:r>
        <m:r>
          <m:t>R</m:t>
        </m:r>
        <m:r>
          <m:t>S</m:t>
        </m:r>
        <m:r>
          <m:rPr>
            <m:sty m:val="p"/>
          </m:rPr>
          <m:t>≥</m:t>
        </m:r>
        <m:r>
          <m:t>75</m:t>
        </m:r>
      </m:oMath>
      <w:r>
        <w:t xml:space="preserve">).</w:t>
      </w:r>
    </w:p>
    <w:bookmarkEnd w:id="57"/>
    <w:bookmarkEnd w:id="58"/>
    <w:bookmarkStart w:id="60" w:name="Xda71e4099977d303c09c525d8f012e56f026ba6"/>
    <w:p>
      <w:pPr>
        <w:pStyle w:val="Heading2"/>
      </w:pPr>
      <w:r>
        <w:t xml:space="preserve">Applicability-Weighted Control Coverage (AWCC)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control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applies to use case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be the control outcome score: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u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1.0</m:t>
                    </m:r>
                  </m:e>
                  <m:e>
                    <m:r>
                      <m:rPr>
                        <m:nor/>
                        <m:sty m:val="p"/>
                      </m:rPr>
                      <m:t>control passes</m:t>
                    </m:r>
                  </m:e>
                </m:mr>
                <m:mr>
                  <m:e>
                    <m:r>
                      <m:t>0.5</m:t>
                    </m:r>
                  </m:e>
                  <m:e>
                    <m:r>
                      <m:rPr>
                        <m:nor/>
                        <m:sty m:val="p"/>
                      </m:rPr>
                      <m:t>partial or compensating pass</m:t>
                    </m:r>
                  </m:e>
                </m:mr>
                <m:mr>
                  <m:e>
                    <m:r>
                      <m:t>0.0</m:t>
                    </m:r>
                  </m:e>
                  <m:e>
                    <m:r>
                      <m:rPr>
                        <m:nor/>
                        <m:sty m:val="p"/>
                      </m:rPr>
                      <m:t>control fails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Applicability-Weighted Control Coverage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t>W</m:t>
              </m:r>
              <m:r>
                <m:t>C</m:t>
              </m:r>
              <m:sSub>
                <m:e>
                  <m:r>
                    <m:t>C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23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u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23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u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den>
              </m:f>
            </m:e>
          </m:borderBox>
        </m:oMath>
      </m:oMathPara>
    </w:p>
    <w:bookmarkStart w:id="59" w:name="awcc-interpretation"/>
    <w:p>
      <w:pPr>
        <w:pStyle w:val="Heading3"/>
      </w:pPr>
      <w:r>
        <w:t xml:space="preserve">AWCC interpretation</w:t>
      </w:r>
    </w:p>
    <w:p>
      <w:pPr>
        <w:pStyle w:val="TableCaption"/>
      </w:pPr>
      <w:r>
        <w:t xml:space="preserve">Control Coverage Interpretation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trol Coverage Interpreta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AWCC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t>W</m:t>
              </m:r>
              <m:r>
                <m:t>C</m:t>
              </m:r>
              <m:r>
                <m:t>C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Full coverage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0.85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t>W</m:t>
              </m:r>
              <m:r>
                <m:t>C</m:t>
              </m:r>
              <m:r>
                <m:t>C</m:t>
              </m:r>
              <m:r>
                <m:rPr>
                  <m:sty m:val="p"/>
                </m:rPr>
                <m:t>&lt;</m:t>
              </m:r>
              <m:r>
                <m:t>0.95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Acceptable with monitoring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0.70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t>W</m:t>
              </m:r>
              <m:r>
                <m:t>C</m:t>
              </m:r>
              <m:r>
                <m:t>C</m:t>
              </m:r>
              <m:r>
                <m:rPr>
                  <m:sty m:val="p"/>
                </m:rPr>
                <m:t>&lt;</m:t>
              </m:r>
              <m:r>
                <m:t>0.85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Gaps require remediation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t>W</m:t>
              </m:r>
              <m:r>
                <m:t>C</m:t>
              </m:r>
              <m:r>
                <m:t>C</m:t>
              </m:r>
              <m:r>
                <m:rPr>
                  <m:sty m:val="p"/>
                </m:rPr>
                <m:t>&lt;</m:t>
              </m:r>
              <m:r>
                <m:t>0.70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Significant gaps, not production-ready</w:t>
            </w:r>
          </w:p>
        </w:tc>
      </w:tr>
    </w:tbl>
    <w:bookmarkEnd w:id="59"/>
    <w:bookmarkEnd w:id="60"/>
    <w:bookmarkStart w:id="61" w:name="penalty-terms"/>
    <w:p>
      <w:pPr>
        <w:pStyle w:val="Heading2"/>
      </w:pPr>
      <w:r>
        <w:t xml:space="preserve">Penalty terms</w:t>
      </w:r>
    </w:p>
    <w:p>
      <w:pPr>
        <w:pStyle w:val="FirstParagraph"/>
      </w:pPr>
      <w:r>
        <w:t xml:space="preserve">Penalty terms add fixed risk points for specific control failures: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P</m:t>
              </m:r>
              <m:r>
                <m:t>e</m:t>
              </m:r>
              <m:r>
                <m:t>n</m:t>
              </m:r>
              <m:r>
                <m:t>a</m:t>
              </m:r>
              <m:r>
                <m:t>l</m:t>
              </m:r>
              <m:r>
                <m:t>t</m:t>
              </m:r>
              <m:sSub>
                <m:e>
                  <m:r>
                    <m:t>y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⋅</m:t>
              </m:r>
              <m:sSubSup>
                <m:e>
                  <m:r>
                    <m:t>N</m:t>
                  </m:r>
                </m:e>
                <m:sub>
                  <m:r>
                    <m:t>u</m:t>
                  </m:r>
                </m:sub>
                <m:sup>
                  <m:r>
                    <m:t>a</m:t>
                  </m:r>
                  <m:r>
                    <m:t>u</m:t>
                  </m:r>
                  <m:r>
                    <m:t>d</m:t>
                  </m:r>
                  <m:r>
                    <m:t>i</m:t>
                  </m:r>
                  <m:r>
                    <m:t>t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15</m:t>
              </m:r>
              <m:r>
                <m:rPr>
                  <m:sty m:val="p"/>
                </m:rPr>
                <m:t>⋅</m:t>
              </m:r>
              <m:sSubSup>
                <m:e>
                  <m:r>
                    <m:t>N</m:t>
                  </m:r>
                </m:e>
                <m:sub>
                  <m:r>
                    <m:t>u</m:t>
                  </m:r>
                </m:sub>
                <m:sup>
                  <m:r>
                    <m:t>c</m:t>
                  </m:r>
                  <m:r>
                    <m:t>h</m:t>
                  </m:r>
                  <m:r>
                    <m:t>e</m:t>
                  </m:r>
                  <m:r>
                    <m:t>c</m:t>
                  </m:r>
                  <m:r>
                    <m:t>k</m:t>
                  </m:r>
                  <m:r>
                    <m:t>p</m:t>
                  </m:r>
                  <m:r>
                    <m:t>o</m:t>
                  </m:r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⋅</m:t>
              </m:r>
              <m:sSubSup>
                <m:e>
                  <m:r>
                    <m:t>N</m:t>
                  </m:r>
                </m:e>
                <m:sub>
                  <m:r>
                    <m:t>u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t</m:t>
                  </m:r>
                  <m:r>
                    <m:t>e</m:t>
                  </m:r>
                  <m:r>
                    <m:t>r</m:t>
                  </m:r>
                  <m:r>
                    <m:t>n</m:t>
                  </m:r>
                  <m:r>
                    <m:t>a</m:t>
                  </m:r>
                  <m:r>
                    <m:t>l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20</m:t>
              </m:r>
              <m:r>
                <m:rPr>
                  <m:sty m:val="p"/>
                </m:rPr>
                <m:t>⋅</m:t>
              </m:r>
              <m:sSubSup>
                <m:e>
                  <m:r>
                    <m:t>N</m:t>
                  </m:r>
                </m:e>
                <m:sub>
                  <m:r>
                    <m:t>u</m:t>
                  </m:r>
                </m:sub>
                <m:sup>
                  <m:r>
                    <m:t>p</m:t>
                  </m:r>
                  <m:r>
                    <m:t>r</m:t>
                  </m:r>
                  <m:r>
                    <m:t>i</m:t>
                  </m:r>
                  <m:r>
                    <m:t>v</m:t>
                  </m:r>
                  <m:r>
                    <m:t>a</m:t>
                  </m:r>
                  <m:r>
                    <m:t>c</m:t>
                  </m:r>
                  <m:r>
                    <m:t>y</m:t>
                  </m:r>
                </m:sup>
              </m:sSubSup>
            </m:e>
          </m:borderBox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18"/>
        </w:numPr>
      </w:pPr>
      <m:oMath>
        <m:sSubSup>
          <m:e>
            <m:r>
              <m:t>N</m:t>
            </m:r>
          </m:e>
          <m:sub>
            <m:r>
              <m:t>u</m:t>
            </m:r>
          </m:sub>
          <m:sup>
            <m:r>
              <m:t>a</m:t>
            </m:r>
            <m:r>
              <m:t>u</m:t>
            </m:r>
            <m:r>
              <m:t>d</m:t>
            </m:r>
            <m:r>
              <m:t>i</m:t>
            </m:r>
            <m:r>
              <m:t>t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full audit trace is missing (</w:t>
      </w:r>
      <w:r>
        <w:rPr>
          <w:rStyle w:val="VerbatimChar"/>
        </w:rPr>
        <w:t xml:space="preserve">MON-01</w:t>
      </w:r>
      <w:r>
        <w:t xml:space="preserve"> </w:t>
      </w:r>
      <w:r>
        <w:t xml:space="preserve">fails), else</w:t>
      </w:r>
      <w:r>
        <w:t xml:space="preserve"> </w:t>
      </w:r>
      <m:oMath>
        <m:r>
          <m:t>0</m:t>
        </m:r>
      </m:oMath>
    </w:p>
    <w:p>
      <w:pPr>
        <w:numPr>
          <w:ilvl w:val="0"/>
          <w:numId w:val="1018"/>
        </w:numPr>
      </w:pPr>
      <m:oMath>
        <m:sSubSup>
          <m:e>
            <m:r>
              <m:t>N</m:t>
            </m:r>
          </m:e>
          <m:sub>
            <m:r>
              <m:t>u</m:t>
            </m:r>
          </m:sub>
          <m:sup>
            <m:r>
              <m:t>c</m:t>
            </m:r>
            <m:r>
              <m:t>h</m:t>
            </m:r>
            <m:r>
              <m:t>e</m:t>
            </m:r>
            <m:r>
              <m:t>c</m:t>
            </m:r>
            <m:r>
              <m:t>k</m:t>
            </m:r>
            <m:r>
              <m:t>p</m:t>
            </m:r>
            <m:r>
              <m:t>o</m:t>
            </m:r>
            <m:r>
              <m:t>i</m:t>
            </m:r>
            <m:r>
              <m:t>n</m:t>
            </m:r>
            <m:r>
              <m:t>t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 required human checkpoint is missing</w:t>
      </w:r>
      <w:r>
        <w:t xml:space="preserve"> </w:t>
      </w:r>
      <w:r>
        <w:t xml:space="preserve">(</w:t>
      </w:r>
      <w:r>
        <w:rPr>
          <w:rStyle w:val="VerbatimChar"/>
        </w:rPr>
        <w:t xml:space="preserve">HUM-01</w:t>
      </w:r>
      <w:r>
        <w:t xml:space="preserve"> </w:t>
      </w:r>
      <w:r>
        <w:t xml:space="preserve">fails), else</w:t>
      </w:r>
      <w:r>
        <w:t xml:space="preserve"> </w:t>
      </w:r>
      <m:oMath>
        <m:r>
          <m:t>0</m:t>
        </m:r>
      </m:oMath>
    </w:p>
    <w:p>
      <w:pPr>
        <w:numPr>
          <w:ilvl w:val="0"/>
          <w:numId w:val="1018"/>
        </w:numPr>
      </w:pPr>
      <m:oMath>
        <m:sSubSup>
          <m:e>
            <m:r>
              <m:t>N</m:t>
            </m:r>
          </m:e>
          <m:sub>
            <m:r>
              <m:t>u</m:t>
            </m:r>
          </m:sub>
          <m:sup>
            <m:r>
              <m:t>e</m:t>
            </m:r>
            <m:r>
              <m:t>x</m:t>
            </m:r>
            <m:r>
              <m:t>t</m:t>
            </m:r>
            <m:r>
              <m:t>e</m:t>
            </m:r>
            <m:r>
              <m:t>r</m:t>
            </m:r>
            <m:r>
              <m:t>n</m:t>
            </m:r>
            <m:r>
              <m:t>a</m:t>
            </m:r>
            <m:r>
              <m:t>l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untrusted external tools/services are used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SEC-02</w:t>
      </w:r>
      <w:r>
        <w:t xml:space="preserve"> </w:t>
      </w:r>
      <w:r>
        <w:t xml:space="preserve">fails), else</w:t>
      </w:r>
      <w:r>
        <w:t xml:space="preserve"> </w:t>
      </w:r>
      <m:oMath>
        <m:r>
          <m:t>0</m:t>
        </m:r>
      </m:oMath>
    </w:p>
    <w:p>
      <w:pPr>
        <w:numPr>
          <w:ilvl w:val="0"/>
          <w:numId w:val="1018"/>
        </w:numPr>
      </w:pPr>
      <m:oMath>
        <m:sSubSup>
          <m:e>
            <m:r>
              <m:t>N</m:t>
            </m:r>
          </m:e>
          <m:sub>
            <m:r>
              <m:t>u</m:t>
            </m:r>
          </m:sub>
          <m:sup>
            <m:r>
              <m:t>p</m:t>
            </m:r>
            <m:r>
              <m:t>r</m:t>
            </m:r>
            <m:r>
              <m:t>i</m:t>
            </m:r>
            <m:r>
              <m:t>v</m:t>
            </m:r>
            <m:r>
              <m:t>a</m:t>
            </m:r>
            <m:r>
              <m:t>c</m:t>
            </m:r>
            <m:r>
              <m:t>y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personal-data handling lacks lawful basis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DATA-02</w:t>
      </w:r>
      <w:r>
        <w:t xml:space="preserve"> </w:t>
      </w:r>
      <w:r>
        <w:t xml:space="preserve">fails), else</w:t>
      </w:r>
      <w:r>
        <w:t xml:space="preserve"> </w:t>
      </w:r>
      <m:oMath>
        <m:r>
          <m:t>0</m:t>
        </m:r>
      </m:oMath>
    </w:p>
    <w:bookmarkEnd w:id="61"/>
    <w:bookmarkStart w:id="64" w:name="residual-risk-score-rrs"/>
    <w:p>
      <w:pPr>
        <w:pStyle w:val="Heading2"/>
      </w:pPr>
      <w:r>
        <w:t xml:space="preserve">Residual Risk Score (RRS)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Residual Risk Score</w:t>
      </w:r>
      <w:r>
        <w:t xml:space="preserve"> </w:t>
      </w:r>
      <w:r>
        <w:t xml:space="preserve">combines inherent risk, control coverage, and</w:t>
      </w:r>
      <w:r>
        <w:t xml:space="preserve"> </w:t>
      </w:r>
      <w:r>
        <w:t xml:space="preserve">penalties: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R</m:t>
              </m:r>
              <m:r>
                <m:t>R</m:t>
              </m:r>
              <m:sSub>
                <m:e>
                  <m:r>
                    <m:t>S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I</m:t>
                  </m:r>
                  <m:r>
                    <m:t>R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0.55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t>W</m:t>
                  </m:r>
                  <m:r>
                    <m:t>C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r>
                    <m:t>e</m:t>
                  </m:r>
                  <m:r>
                    <m:t>n</m:t>
                  </m:r>
                  <m:r>
                    <m:t>a</m:t>
                  </m:r>
                  <m:r>
                    <m:t>l</m:t>
                  </m:r>
                  <m:r>
                    <m:t>t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u</m:t>
                      </m:r>
                    </m:sub>
                  </m:sSub>
                </m:e>
              </m:d>
            </m:e>
          </m:borderBox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0.55</m:t>
        </m:r>
      </m:oMath>
      <w:r>
        <w:t xml:space="preserve"> </w:t>
      </w:r>
      <w:r>
        <w:t xml:space="preserve">coefficient means that perfect control coverage (</w:t>
      </w:r>
      <m:oMath>
        <m:r>
          <m:t>A</m:t>
        </m:r>
        <m:r>
          <m:t>W</m:t>
        </m:r>
        <m:r>
          <m:t>C</m:t>
        </m:r>
        <m:r>
          <m:t>C</m:t>
        </m:r>
        <m:r>
          <m:rPr>
            <m:sty m:val="p"/>
          </m:rPr>
          <m:t>=</m:t>
        </m:r>
        <m:r>
          <m:t>1.0</m:t>
        </m:r>
      </m:oMath>
      <w:r>
        <w:t xml:space="preserve">)</w:t>
      </w:r>
      <w:r>
        <w:t xml:space="preserve"> </w:t>
      </w:r>
      <w:r>
        <w:t xml:space="preserve">reduces inherent risk by 55%.</w:t>
      </w:r>
    </w:p>
    <w:bookmarkStart w:id="63" w:name="rrs-interpretation"/>
    <w:p>
      <w:pPr>
        <w:pStyle w:val="Heading3"/>
      </w:pPr>
      <w:r>
        <w:t xml:space="preserve">RRS interpretation</w:t>
      </w:r>
    </w:p>
    <w:bookmarkStart w:id="62" w:name="tab:rrs-interpretation"/>
    <w:p>
      <w:pPr>
        <w:pStyle w:val="TableCaption"/>
      </w:pPr>
      <w:r>
        <w:t xml:space="preserve">Residual Risk Score Interpretation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idual Risk Score Interpreta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Score Band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≤</m:t>
              </m:r>
              <m:r>
                <m:t>20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Acceptable for defined control context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20</m:t>
              </m:r>
              <m:r>
                <m:rPr>
                  <m:sty m:val="p"/>
                </m:rPr>
                <m:t>&lt;</m:t>
              </m:r>
              <m:r>
                <m:t>R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≤</m:t>
              </m:r>
              <m:r>
                <m:t>30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Acceptable with enhanced monitoring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30</m:t>
              </m:r>
              <m:r>
                <m:rPr>
                  <m:sty m:val="p"/>
                </m:rPr>
                <m:t>&lt;</m:t>
              </m:r>
              <m:r>
                <m:t>R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≤</m:t>
              </m:r>
              <m:r>
                <m:t>45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Review-board approval required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45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production-ready</w:t>
            </w:r>
          </w:p>
        </w:tc>
      </w:tr>
    </w:tbl>
    <w:bookmarkEnd w:id="62"/>
    <w:p>
      <w:pPr>
        <w:pStyle w:val="BodyText"/>
      </w:pPr>
      <w:r>
        <w:t xml:space="preserve">A use case with</w:t>
      </w:r>
      <w:r>
        <w:t xml:space="preserve"> </w:t>
      </w:r>
      <m:oMath>
        <m:r>
          <m:t>R</m:t>
        </m:r>
        <m:r>
          <m:t>R</m:t>
        </m:r>
        <m:r>
          <m:t>S</m:t>
        </m:r>
        <m:r>
          <m:rPr>
            <m:sty m:val="p"/>
          </m:rPr>
          <m:t>&gt;</m:t>
        </m:r>
        <m:r>
          <m:t>45</m:t>
        </m:r>
      </m:oMath>
      <w:r>
        <w:t xml:space="preserve"> </w:t>
      </w:r>
      <w:r>
        <w:t xml:space="preserve">cannot be approved for production deployment.</w:t>
      </w:r>
    </w:p>
    <w:bookmarkEnd w:id="63"/>
    <w:bookmarkEnd w:id="64"/>
    <w:bookmarkStart w:id="66" w:name="deployment-readiness-score-drs"/>
    <w:p>
      <w:pPr>
        <w:pStyle w:val="Heading2"/>
      </w:pPr>
      <w:r>
        <w:t xml:space="preserve">Deployment Readiness Score (DRS)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Deployment Readiness Score</w:t>
      </w:r>
      <w:r>
        <w:t xml:space="preserve"> </w:t>
      </w:r>
      <w:r>
        <w:t xml:space="preserve">is a composite metric combining</w:t>
      </w:r>
      <w:r>
        <w:t xml:space="preserve"> </w:t>
      </w:r>
      <w:r>
        <w:t xml:space="preserve">evaluation results, residual risk, control coverage, and training: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r>
                <m:t>R</m:t>
              </m:r>
              <m:sSub>
                <m:e>
                  <m:r>
                    <m:t>S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t>V</m:t>
              </m:r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100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R</m:t>
              </m:r>
              <m:sSub>
                <m:e>
                  <m:r>
                    <m:t>S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W</m:t>
              </m:r>
              <m:r>
                <m:t>C</m:t>
              </m:r>
              <m:sSub>
                <m:e>
                  <m:r>
                    <m:t>C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⋅</m:t>
              </m:r>
              <m:r>
                <m:t>T</m:t>
              </m:r>
              <m:sSub>
                <m:e>
                  <m:r>
                    <m:t>C</m:t>
                  </m:r>
                </m:e>
                <m:sub>
                  <m:r>
                    <m:t>u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19"/>
        </w:numPr>
      </w:pPr>
      <m:oMath>
        <m:r>
          <m:t>E</m:t>
        </m:r>
        <m:r>
          <m:t>V</m:t>
        </m:r>
        <m:r>
          <m:t>A</m:t>
        </m:r>
        <m:sSub>
          <m:e>
            <m:r>
              <m:t>L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is the evaluation score (see Chapter </w:t>
      </w:r>
      <w:hyperlink w:anchor="ch:metrics">
        <w:r>
          <w:rPr>
            <w:rStyle w:val="Hyperlink"/>
          </w:rPr>
          <w:t xml:space="preserve">5</w:t>
        </w:r>
      </w:hyperlink>
      <w:r>
        <w:t xml:space="preserve">)</w:t>
      </w:r>
    </w:p>
    <w:p>
      <w:pPr>
        <w:numPr>
          <w:ilvl w:val="0"/>
          <w:numId w:val="1019"/>
        </w:numPr>
      </w:pPr>
      <m:oMath>
        <m:r>
          <m:t>R</m:t>
        </m:r>
        <m:r>
          <m:t>R</m:t>
        </m:r>
        <m:sSub>
          <m:e>
            <m:r>
              <m:t>S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is the residual risk score</w:t>
      </w:r>
    </w:p>
    <w:p>
      <w:pPr>
        <w:numPr>
          <w:ilvl w:val="0"/>
          <w:numId w:val="1019"/>
        </w:numPr>
      </w:pPr>
      <m:oMath>
        <m:r>
          <m:t>A</m:t>
        </m:r>
        <m:r>
          <m:t>W</m:t>
        </m:r>
        <m:r>
          <m:t>C</m:t>
        </m:r>
        <m:sSub>
          <m:e>
            <m:r>
              <m:t>C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is the control coverage</w:t>
      </w:r>
    </w:p>
    <w:p>
      <w:pPr>
        <w:numPr>
          <w:ilvl w:val="0"/>
          <w:numId w:val="1019"/>
        </w:numPr>
      </w:pPr>
      <m:oMath>
        <m:r>
          <m:t>T</m:t>
        </m:r>
        <m:sSub>
          <m:e>
            <m:r>
              <m:t>C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is the training coverage percentage</w:t>
      </w:r>
    </w:p>
    <w:bookmarkStart w:id="65" w:name="drs-interpretation"/>
    <w:p>
      <w:pPr>
        <w:pStyle w:val="Heading3"/>
      </w:pPr>
      <w:r>
        <w:t xml:space="preserve">DRS interpretation</w:t>
      </w:r>
    </w:p>
    <w:p>
      <w:pPr>
        <w:pStyle w:val="TableCaption"/>
      </w:pPr>
      <w:r>
        <w:t xml:space="preserve">Deployment Readiness Score Interpretation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ployment Readiness Score Interpreta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Score Band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85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Fully ready for production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70</m:t>
              </m:r>
              <m:r>
                <m:rPr>
                  <m:sty m:val="p"/>
                </m:rPr>
                <m:t>≤</m:t>
              </m:r>
              <m:r>
                <m:t>D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85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Ready with conditions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55</m:t>
              </m:r>
              <m:r>
                <m:rPr>
                  <m:sty m:val="p"/>
                </m:rPr>
                <m:t>≤</m:t>
              </m:r>
              <m:r>
                <m:t>D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70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Needs improvement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55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ready for production</w:t>
            </w:r>
          </w:p>
        </w:tc>
      </w:tr>
    </w:tbl>
    <w:bookmarkEnd w:id="65"/>
    <w:bookmarkEnd w:id="66"/>
    <w:bookmarkStart w:id="67" w:name="production-gate-summary-1"/>
    <w:p>
      <w:pPr>
        <w:pStyle w:val="Heading2"/>
      </w:pPr>
      <w:r>
        <w:t xml:space="preserve">Production gate summary</w:t>
      </w:r>
    </w:p>
    <w:p>
      <w:pPr>
        <w:pStyle w:val="FirstParagraph"/>
      </w:pPr>
      <w:r>
        <w:t xml:space="preserve">A use case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eligible for production deployment if and only if:</w:t>
      </w:r>
    </w:p>
    <w:p>
      <w:pPr>
        <w:numPr>
          <w:ilvl w:val="0"/>
          <w:numId w:val="1020"/>
        </w:numPr>
      </w:pPr>
      <m:oMath>
        <m:r>
          <m:t>R</m:t>
        </m:r>
        <m:r>
          <m:t>R</m:t>
        </m:r>
        <m:sSub>
          <m:e>
            <m:r>
              <m:t>S</m:t>
            </m:r>
          </m:e>
          <m:sub>
            <m:r>
              <m:t>u</m:t>
            </m:r>
          </m:sub>
        </m:sSub>
        <m:r>
          <m:rPr>
            <m:sty m:val="p"/>
          </m:rPr>
          <m:t>≤</m:t>
        </m:r>
        <m:r>
          <m:t>45</m:t>
        </m:r>
      </m:oMath>
      <w:r>
        <w:t xml:space="preserve"> </w:t>
      </w:r>
      <w:r>
        <w:t xml:space="preserve">(residual risk within tolerance)</w:t>
      </w:r>
    </w:p>
    <w:p>
      <w:pPr>
        <w:numPr>
          <w:ilvl w:val="0"/>
          <w:numId w:val="1020"/>
        </w:numPr>
      </w:pPr>
      <m:oMath>
        <m:r>
          <m:t>D</m:t>
        </m:r>
        <m:r>
          <m:t>R</m:t>
        </m:r>
        <m:sSub>
          <m:e>
            <m:r>
              <m:t>S</m:t>
            </m:r>
          </m:e>
          <m:sub>
            <m:r>
              <m:t>u</m:t>
            </m:r>
          </m:sub>
        </m:sSub>
        <m:r>
          <m:rPr>
            <m:sty m:val="p"/>
          </m:rPr>
          <m:t>≥</m:t>
        </m:r>
        <m:r>
          <m:t>70</m:t>
        </m:r>
      </m:oMath>
      <w:r>
        <w:t xml:space="preserve"> </w:t>
      </w:r>
      <w:r>
        <w:t xml:space="preserve">(deployment readiness met)</w:t>
      </w:r>
    </w:p>
    <w:p>
      <w:pPr>
        <w:numPr>
          <w:ilvl w:val="0"/>
          <w:numId w:val="1020"/>
        </w:numPr>
      </w:pPr>
      <w:r>
        <w:t xml:space="preserve">All critical controls pass (see Chapter </w:t>
      </w:r>
      <w:hyperlink w:anchor="ch:controls">
        <w:r>
          <w:rPr>
            <w:rStyle w:val="Hyperlink"/>
          </w:rPr>
          <w:t xml:space="preserve">3</w:t>
        </w:r>
      </w:hyperlink>
      <w:r>
        <w:t xml:space="preserve">)</w:t>
      </w:r>
    </w:p>
    <w:p>
      <w:pPr>
        <w:numPr>
          <w:ilvl w:val="0"/>
          <w:numId w:val="1020"/>
        </w:numPr>
      </w:pPr>
      <w:r>
        <w:t xml:space="preserve">All metric</w:t>
      </w:r>
      <w:r>
        <w:t xml:space="preserve"> </w:t>
      </w:r>
      <m:oMath>
        <m:r>
          <m:t>L</m:t>
        </m:r>
        <m:r>
          <m:t>C</m:t>
        </m:r>
        <m:sSub>
          <m:e>
            <m:r>
              <m:t>B</m:t>
            </m:r>
          </m:e>
          <m:sub>
            <m:r>
              <m:t>95</m:t>
            </m:r>
          </m:sub>
        </m:sSub>
      </m:oMath>
      <w:r>
        <w:t xml:space="preserve"> </w:t>
      </w:r>
      <w:r>
        <w:t xml:space="preserve">values meet thresholds (see Chapter </w:t>
      </w:r>
      <w:hyperlink w:anchor="ch:metrics">
        <w:r>
          <w:rPr>
            <w:rStyle w:val="Hyperlink"/>
          </w:rPr>
          <w:t xml:space="preserve">5</w:t>
        </w:r>
      </w:hyperlink>
      <w:r>
        <w:t xml:space="preserve">)</w:t>
      </w:r>
    </w:p>
    <w:p>
      <w:pPr>
        <w:pStyle w:val="FirstParagraph"/>
      </w:pPr>
      <w:r>
        <w:t xml:space="preserve">All four conditions must be satisfied; failing any one blocks production</w:t>
      </w:r>
      <w:r>
        <w:t xml:space="preserve"> </w:t>
      </w:r>
      <w:r>
        <w:t xml:space="preserve">deployment.</w:t>
      </w:r>
    </w:p>
    <w:bookmarkEnd w:id="67"/>
    <w:bookmarkEnd w:id="68"/>
    <w:bookmarkStart w:id="109" w:name="ch:metrics"/>
    <w:p>
      <w:pPr>
        <w:pStyle w:val="Heading1"/>
      </w:pPr>
      <w:r>
        <w:t xml:space="preserve">Metrics and Mathematical Gate Model</w:t>
      </w:r>
    </w:p>
    <w:bookmarkStart w:id="69" w:name="purpose-of-quantitative-metrics"/>
    <w:p>
      <w:pPr>
        <w:pStyle w:val="Heading2"/>
      </w:pPr>
      <w:r>
        <w:t xml:space="preserve">Purpose of quantitative metrics</w:t>
      </w:r>
    </w:p>
    <w:p>
      <w:pPr>
        <w:pStyle w:val="FirstParagraph"/>
      </w:pPr>
      <w:r>
        <w:t xml:space="preserve">Metrics provide objective evidence of system behavior. This chapter defines:</w:t>
      </w:r>
    </w:p>
    <w:p>
      <w:pPr>
        <w:numPr>
          <w:ilvl w:val="0"/>
          <w:numId w:val="1021"/>
        </w:numPr>
      </w:pPr>
      <w:r>
        <w:t xml:space="preserve">12 mandatory metrics linked to controls</w:t>
      </w:r>
    </w:p>
    <w:p>
      <w:pPr>
        <w:numPr>
          <w:ilvl w:val="0"/>
          <w:numId w:val="1021"/>
        </w:numPr>
      </w:pPr>
      <w:r>
        <w:t xml:space="preserve">Formal mathematical definitions</w:t>
      </w:r>
    </w:p>
    <w:p>
      <w:pPr>
        <w:numPr>
          <w:ilvl w:val="0"/>
          <w:numId w:val="1021"/>
        </w:numPr>
      </w:pPr>
      <w:r>
        <w:t xml:space="preserve">Statistical confidence requirements</w:t>
      </w:r>
    </w:p>
    <w:p>
      <w:pPr>
        <w:numPr>
          <w:ilvl w:val="0"/>
          <w:numId w:val="1021"/>
        </w:numPr>
      </w:pPr>
      <w:r>
        <w:t xml:space="preserve">Minimum sample sizes by risk tier</w:t>
      </w:r>
    </w:p>
    <w:bookmarkEnd w:id="69"/>
    <w:bookmarkStart w:id="71" w:name="mandatory-metric-set"/>
    <w:p>
      <w:pPr>
        <w:pStyle w:val="Heading2"/>
      </w:pPr>
      <w:r>
        <w:t xml:space="preserve">Mandatory metric set</w:t>
      </w:r>
    </w:p>
    <w:bookmarkStart w:id="70" w:name="tab:metrics"/>
    <w:p>
      <w:pPr>
        <w:pStyle w:val="TableCaption"/>
      </w:pPr>
      <w:r>
        <w:t xml:space="preserve">Mandatory Quantitative Metrics (12 Metrics)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ndatory Quantitative Metrics (12 Metrics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Adherence Rate (PAR)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executions within approved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AGT-02, HUM-01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Call Accuracy (TCA)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tool invocations correct and in-policy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AGT-02, SEC-01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High-Stakes Checkpoint Coverage (HCC)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high-stakes actions with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HUM-01, HUM-02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Trace Completeness (ATC)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events with all required audit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Adversarial Defense Rate (ADR)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adversarial tests safely handled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SEC-01, EVAL-01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Leakage Rate (DLR)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tests exposing protected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DATA-02, SEC-01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Hallucination/Error Rate (HER)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unsupported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 Access Rate (UAR)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Attempts per 1</w:t>
            </w:r>
            <w:r>
              <w:t xml:space="preserve">,</w:t>
            </w:r>
            <w:r>
              <w:t xml:space="preserve">000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AGT-02, MON-02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Enforcement Ratio (SER)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high-risk runs in 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AGT-04, SEC-02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Time to Escalation (MTTE)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time to human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MON-02, MON-03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Time to Containment (MTTC)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time to containment/rollback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Oversight Effectiveness Failure (OFR)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approvals overturned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HUM-03</w:t>
            </w:r>
          </w:p>
        </w:tc>
      </w:tr>
    </w:tbl>
    <w:bookmarkEnd w:id="70"/>
    <w:bookmarkEnd w:id="71"/>
    <w:bookmarkStart w:id="81" w:name="formal-metric-definitions"/>
    <w:p>
      <w:pPr>
        <w:pStyle w:val="Heading2"/>
      </w:pPr>
      <w:r>
        <w:t xml:space="preserve">Formal metric definitions</w:t>
      </w:r>
    </w:p>
    <w:bookmarkStart w:id="72" w:name="m-01-policy-adherence-rate-par"/>
    <w:p>
      <w:pPr>
        <w:pStyle w:val="Heading3"/>
      </w:pPr>
      <w:r>
        <w:t xml:space="preserve">M-01: Policy Adherence Rate (PAR)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P</m:t>
              </m:r>
              <m:r>
                <m:t>A</m:t>
              </m:r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policy-compliant executions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governed executions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DefinitionTerm"/>
      </w:pPr>
      <w:r>
        <w:t xml:space="preserve">Direction</w:t>
      </w:r>
    </w:p>
    <w:p>
      <w:pPr>
        <w:pStyle w:val="Definition"/>
      </w:pPr>
      <w:r>
        <w:t xml:space="preserve">Higher is better</w:t>
      </w:r>
    </w:p>
    <w:p>
      <w:pPr>
        <w:pStyle w:val="DefinitionTerm"/>
      </w:pPr>
      <w:r>
        <w:t xml:space="preserve">Threshold</w:t>
      </w:r>
    </w:p>
    <w:p>
      <w:pPr>
        <w:pStyle w:val="Definition"/>
      </w:pPr>
      <m:oMath>
        <m:r>
          <m:t>P</m:t>
        </m:r>
        <m:r>
          <m:t>A</m:t>
        </m:r>
        <m:r>
          <m:t>R</m:t>
        </m:r>
        <m:r>
          <m:rPr>
            <m:sty m:val="p"/>
          </m:rPr>
          <m:t>≥</m:t>
        </m:r>
        <m:r>
          <m:t>0.95</m:t>
        </m:r>
      </m:oMath>
      <w:r>
        <w:t xml:space="preserve"> </w:t>
      </w:r>
      <w:r>
        <w:t xml:space="preserve">required</w:t>
      </w:r>
    </w:p>
    <w:p>
      <w:pPr>
        <w:pStyle w:val="DefinitionTerm"/>
      </w:pPr>
      <w:r>
        <w:t xml:space="preserve">Controls</w:t>
      </w:r>
    </w:p>
    <w:p>
      <w:pPr>
        <w:pStyle w:val="Definition"/>
      </w:pPr>
      <w:r>
        <w:rPr>
          <w:rStyle w:val="VerbatimChar"/>
        </w:rPr>
        <w:t xml:space="preserve">AGT-02</w:t>
      </w:r>
      <w:r>
        <w:t xml:space="preserve">,</w:t>
      </w:r>
      <w:r>
        <w:t xml:space="preserve"> </w:t>
      </w:r>
      <w:r>
        <w:rPr>
          <w:rStyle w:val="VerbatimChar"/>
        </w:rPr>
        <w:t xml:space="preserve">HUM-01</w:t>
      </w:r>
    </w:p>
    <w:bookmarkEnd w:id="72"/>
    <w:bookmarkStart w:id="73" w:name="m-02-tool-call-accuracy-tca"/>
    <w:p>
      <w:pPr>
        <w:pStyle w:val="Heading3"/>
      </w:pPr>
      <w:r>
        <w:t xml:space="preserve">M-02: Tool Call Accuracy (TCA)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T</m:t>
              </m:r>
              <m:r>
                <m:t>C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correct and authorised tool calls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total tool calls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DefinitionTerm"/>
      </w:pPr>
      <w:r>
        <w:t xml:space="preserve">Direction</w:t>
      </w:r>
    </w:p>
    <w:p>
      <w:pPr>
        <w:pStyle w:val="Definition"/>
      </w:pPr>
      <w:r>
        <w:t xml:space="preserve">Higher is better</w:t>
      </w:r>
    </w:p>
    <w:p>
      <w:pPr>
        <w:pStyle w:val="DefinitionTerm"/>
      </w:pPr>
      <w:r>
        <w:t xml:space="preserve">Threshold</w:t>
      </w:r>
    </w:p>
    <w:p>
      <w:pPr>
        <w:pStyle w:val="Definition"/>
      </w:pPr>
      <m:oMath>
        <m:r>
          <m:t>T</m:t>
        </m:r>
        <m:r>
          <m:t>C</m:t>
        </m:r>
        <m:r>
          <m:t>A</m:t>
        </m:r>
        <m:r>
          <m:rPr>
            <m:sty m:val="p"/>
          </m:rPr>
          <m:t>≥</m:t>
        </m:r>
        <m:r>
          <m:t>0.90</m:t>
        </m:r>
      </m:oMath>
      <w:r>
        <w:t xml:space="preserve"> </w:t>
      </w:r>
      <w:r>
        <w:t xml:space="preserve">required</w:t>
      </w:r>
    </w:p>
    <w:p>
      <w:pPr>
        <w:pStyle w:val="DefinitionTerm"/>
      </w:pPr>
      <w:r>
        <w:t xml:space="preserve">Controls</w:t>
      </w:r>
    </w:p>
    <w:p>
      <w:pPr>
        <w:pStyle w:val="Definition"/>
      </w:pPr>
      <w:r>
        <w:rPr>
          <w:rStyle w:val="VerbatimChar"/>
        </w:rPr>
        <w:t xml:space="preserve">AGT-02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SEC-01</w:t>
      </w:r>
    </w:p>
    <w:bookmarkEnd w:id="73"/>
    <w:bookmarkStart w:id="74" w:name="m-03-high-stakes-checkpoint-coverage-hcc"/>
    <w:p>
      <w:pPr>
        <w:pStyle w:val="Heading3"/>
      </w:pPr>
      <w:r>
        <w:t xml:space="preserve">M-03: High-Stakes Checkpoint Coverage (HCC)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H</m:t>
              </m:r>
              <m:r>
                <m:t>C</m:t>
              </m:r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high-stakes events with valid approval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high-stakes events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DefinitionTerm"/>
      </w:pPr>
      <w:r>
        <w:t xml:space="preserve">Direction</w:t>
      </w:r>
    </w:p>
    <w:p>
      <w:pPr>
        <w:pStyle w:val="Definition"/>
      </w:pPr>
      <w:r>
        <w:t xml:space="preserve">Higher is better</w:t>
      </w:r>
    </w:p>
    <w:p>
      <w:pPr>
        <w:pStyle w:val="DefinitionTerm"/>
      </w:pPr>
      <w:r>
        <w:t xml:space="preserve">Threshold</w:t>
      </w:r>
    </w:p>
    <w:p>
      <w:pPr>
        <w:pStyle w:val="Definition"/>
      </w:pPr>
      <m:oMath>
        <m:r>
          <m:t>H</m:t>
        </m:r>
        <m:r>
          <m:t>C</m:t>
        </m:r>
        <m:r>
          <m:t>C</m:t>
        </m:r>
        <m:r>
          <m:rPr>
            <m:sty m:val="p"/>
          </m:rPr>
          <m:t>=</m:t>
        </m:r>
        <m:r>
          <m:t>1.00</m:t>
        </m:r>
      </m:oMath>
      <w:r>
        <w:t xml:space="preserve"> </w:t>
      </w:r>
      <w:r>
        <w:t xml:space="preserve">required (no exceptions)</w:t>
      </w:r>
    </w:p>
    <w:p>
      <w:pPr>
        <w:pStyle w:val="DefinitionTerm"/>
      </w:pPr>
      <w:r>
        <w:t xml:space="preserve">Controls</w:t>
      </w:r>
    </w:p>
    <w:p>
      <w:pPr>
        <w:pStyle w:val="Definition"/>
      </w:pPr>
      <w:r>
        <w:rPr>
          <w:rStyle w:val="VerbatimChar"/>
        </w:rPr>
        <w:t xml:space="preserve">HUM-01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HUM-02</w:t>
      </w:r>
    </w:p>
    <w:bookmarkEnd w:id="74"/>
    <w:bookmarkStart w:id="75" w:name="m-04-audit-trace-completeness-atc"/>
    <w:p>
      <w:pPr>
        <w:pStyle w:val="Heading3"/>
      </w:pPr>
      <w:r>
        <w:t xml:space="preserve">M-04: Audit Trace Completeness (ATC)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t>T</m:t>
              </m:r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events with complete audit payload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governed events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DefinitionTerm"/>
      </w:pPr>
      <w:r>
        <w:t xml:space="preserve">Direction</w:t>
      </w:r>
    </w:p>
    <w:p>
      <w:pPr>
        <w:pStyle w:val="Definition"/>
      </w:pPr>
      <w:r>
        <w:t xml:space="preserve">Higher is better</w:t>
      </w:r>
    </w:p>
    <w:p>
      <w:pPr>
        <w:pStyle w:val="DefinitionTerm"/>
      </w:pPr>
      <w:r>
        <w:t xml:space="preserve">Threshold</w:t>
      </w:r>
    </w:p>
    <w:p>
      <w:pPr>
        <w:pStyle w:val="Definition"/>
      </w:pPr>
      <m:oMath>
        <m:r>
          <m:t>A</m:t>
        </m:r>
        <m:r>
          <m:t>T</m:t>
        </m:r>
        <m:r>
          <m:t>C</m:t>
        </m:r>
        <m:r>
          <m:rPr>
            <m:sty m:val="p"/>
          </m:rPr>
          <m:t>≥</m:t>
        </m:r>
        <m:r>
          <m:t>0.99</m:t>
        </m:r>
      </m:oMath>
      <w:r>
        <w:t xml:space="preserve"> </w:t>
      </w:r>
      <w:r>
        <w:t xml:space="preserve">required</w:t>
      </w:r>
    </w:p>
    <w:p>
      <w:pPr>
        <w:pStyle w:val="DefinitionTerm"/>
      </w:pPr>
      <w:r>
        <w:t xml:space="preserve">Controls</w:t>
      </w:r>
    </w:p>
    <w:p>
      <w:pPr>
        <w:pStyle w:val="Definition"/>
      </w:pPr>
      <w:r>
        <w:rPr>
          <w:rStyle w:val="VerbatimChar"/>
        </w:rPr>
        <w:t xml:space="preserve">MON-01</w:t>
      </w:r>
    </w:p>
    <w:bookmarkEnd w:id="75"/>
    <w:bookmarkStart w:id="76" w:name="m-05-adversarial-defense-rate-adr"/>
    <w:p>
      <w:pPr>
        <w:pStyle w:val="Heading3"/>
      </w:pPr>
      <w:r>
        <w:t xml:space="preserve">M-05: Adversarial Defense Rate (ADR)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t>D</m:t>
              </m:r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adversarial tests safely handled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adversarial tests executed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DefinitionTerm"/>
      </w:pPr>
      <w:r>
        <w:t xml:space="preserve">Direction</w:t>
      </w:r>
    </w:p>
    <w:p>
      <w:pPr>
        <w:pStyle w:val="Definition"/>
      </w:pPr>
      <w:r>
        <w:t xml:space="preserve">Higher is better</w:t>
      </w:r>
    </w:p>
    <w:p>
      <w:pPr>
        <w:pStyle w:val="DefinitionTerm"/>
      </w:pPr>
      <w:r>
        <w:t xml:space="preserve">Threshold</w:t>
      </w:r>
    </w:p>
    <w:p>
      <w:pPr>
        <w:pStyle w:val="Definition"/>
      </w:pPr>
      <m:oMath>
        <m:r>
          <m:t>A</m:t>
        </m:r>
        <m:r>
          <m:t>D</m:t>
        </m:r>
        <m:r>
          <m:t>R</m:t>
        </m:r>
        <m:r>
          <m:rPr>
            <m:sty m:val="p"/>
          </m:rPr>
          <m:t>≥</m:t>
        </m:r>
        <m:r>
          <m:t>0.85</m:t>
        </m:r>
      </m:oMath>
      <w:r>
        <w:t xml:space="preserve"> </w:t>
      </w:r>
      <w:r>
        <w:t xml:space="preserve">required</w:t>
      </w:r>
    </w:p>
    <w:p>
      <w:pPr>
        <w:pStyle w:val="DefinitionTerm"/>
      </w:pPr>
      <w:r>
        <w:t xml:space="preserve">Controls</w:t>
      </w:r>
    </w:p>
    <w:p>
      <w:pPr>
        <w:pStyle w:val="Definition"/>
      </w:pPr>
      <w:r>
        <w:rPr>
          <w:rStyle w:val="VerbatimChar"/>
        </w:rPr>
        <w:t xml:space="preserve">SEC-01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EVAL-01</w:t>
      </w:r>
    </w:p>
    <w:bookmarkEnd w:id="76"/>
    <w:bookmarkStart w:id="77" w:name="m-06-data-leakage-rate-dlr"/>
    <w:p>
      <w:pPr>
        <w:pStyle w:val="Heading3"/>
      </w:pPr>
      <w:r>
        <w:t xml:space="preserve">M-06: Data Leakage Rate (DLR)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D</m:t>
              </m:r>
              <m:r>
                <m:t>L</m:t>
              </m:r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tests exposing protected data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total tests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DefinitionTerm"/>
      </w:pPr>
      <w:r>
        <w:t xml:space="preserve">Direction</w:t>
      </w:r>
    </w:p>
    <w:p>
      <w:pPr>
        <w:pStyle w:val="Definition"/>
      </w:pPr>
      <w:r>
        <w:t xml:space="preserve">Lower is better</w:t>
      </w:r>
    </w:p>
    <w:p>
      <w:pPr>
        <w:pStyle w:val="DefinitionTerm"/>
      </w:pPr>
      <w:r>
        <w:t xml:space="preserve">Threshold</w:t>
      </w:r>
    </w:p>
    <w:p>
      <w:pPr>
        <w:pStyle w:val="Definition"/>
      </w:pPr>
      <m:oMath>
        <m:r>
          <m:t>D</m:t>
        </m:r>
        <m:r>
          <m:t>L</m:t>
        </m:r>
        <m:r>
          <m:t>R</m:t>
        </m:r>
        <m:r>
          <m:rPr>
            <m:sty m:val="p"/>
          </m:rPr>
          <m:t>≤</m:t>
        </m:r>
        <m:r>
          <m:t>0.01</m:t>
        </m:r>
      </m:oMath>
      <w:r>
        <w:t xml:space="preserve"> </w:t>
      </w:r>
      <w:r>
        <w:t xml:space="preserve">required</w:t>
      </w:r>
    </w:p>
    <w:p>
      <w:pPr>
        <w:pStyle w:val="DefinitionTerm"/>
      </w:pPr>
      <w:r>
        <w:t xml:space="preserve">Controls</w:t>
      </w:r>
    </w:p>
    <w:p>
      <w:pPr>
        <w:pStyle w:val="Definition"/>
      </w:pPr>
      <w:r>
        <w:rPr>
          <w:rStyle w:val="VerbatimChar"/>
        </w:rPr>
        <w:t xml:space="preserve">DATA-02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SEC-01</w:t>
      </w:r>
    </w:p>
    <w:bookmarkEnd w:id="77"/>
    <w:bookmarkStart w:id="78" w:name="m-07-hallucinationerror-rate-her"/>
    <w:p>
      <w:pPr>
        <w:pStyle w:val="Heading3"/>
      </w:pPr>
      <w:r>
        <w:t xml:space="preserve">M-07: Hallucination/Error Rate (HER)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H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unsupported or factually incorrect claims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total claims evaluated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DefinitionTerm"/>
      </w:pPr>
      <w:r>
        <w:t xml:space="preserve">Direction</w:t>
      </w:r>
    </w:p>
    <w:p>
      <w:pPr>
        <w:pStyle w:val="Definition"/>
      </w:pPr>
      <w:r>
        <w:t xml:space="preserve">Lower is better</w:t>
      </w:r>
    </w:p>
    <w:p>
      <w:pPr>
        <w:pStyle w:val="DefinitionTerm"/>
      </w:pPr>
      <w:r>
        <w:t xml:space="preserve">Threshold</w:t>
      </w:r>
    </w:p>
    <w:p>
      <w:pPr>
        <w:pStyle w:val="Definition"/>
      </w:pPr>
      <m:oMath>
        <m:r>
          <m:t>H</m:t>
        </m:r>
        <m:r>
          <m:t>E</m:t>
        </m:r>
        <m:r>
          <m:t>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required</w:t>
      </w:r>
    </w:p>
    <w:p>
      <w:pPr>
        <w:pStyle w:val="DefinitionTerm"/>
      </w:pPr>
      <w:r>
        <w:t xml:space="preserve">Controls</w:t>
      </w:r>
    </w:p>
    <w:p>
      <w:pPr>
        <w:pStyle w:val="Definition"/>
      </w:pPr>
      <w:r>
        <w:rPr>
          <w:rStyle w:val="VerbatimChar"/>
        </w:rPr>
        <w:t xml:space="preserve">EVAL-01</w:t>
      </w:r>
    </w:p>
    <w:bookmarkEnd w:id="78"/>
    <w:bookmarkStart w:id="79" w:name="m-08-unauthorized-access-rate-uar"/>
    <w:p>
      <w:pPr>
        <w:pStyle w:val="Heading3"/>
      </w:pPr>
      <w:r>
        <w:t xml:space="preserve">M-08: Unauthorized Access Rate (UAR)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U</m:t>
              </m:r>
              <m:r>
                <m:t>A</m:t>
              </m:r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unauthorized access attempts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total runs</m:t>
                      </m:r>
                    </m:sub>
                  </m:sSub>
                </m:den>
              </m:f>
              <m:r>
                <m:rPr>
                  <m:sty m:val="p"/>
                </m:rPr>
                <m:t>×</m:t>
              </m:r>
              <m:r>
                <m:t>1000</m:t>
              </m:r>
            </m:e>
          </m:borderBox>
        </m:oMath>
      </m:oMathPara>
    </w:p>
    <w:p>
      <w:pPr>
        <w:pStyle w:val="DefinitionTerm"/>
      </w:pPr>
      <w:r>
        <w:t xml:space="preserve">Direction</w:t>
      </w:r>
    </w:p>
    <w:p>
      <w:pPr>
        <w:pStyle w:val="Definition"/>
      </w:pPr>
      <w:r>
        <w:t xml:space="preserve">Lower is better</w:t>
      </w:r>
    </w:p>
    <w:p>
      <w:pPr>
        <w:pStyle w:val="DefinitionTerm"/>
      </w:pPr>
      <w:r>
        <w:t xml:space="preserve">Threshold</w:t>
      </w:r>
    </w:p>
    <w:p>
      <w:pPr>
        <w:pStyle w:val="Definition"/>
      </w:pPr>
      <m:oMath>
        <m:r>
          <m:t>U</m:t>
        </m:r>
        <m:r>
          <m:t>A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per 1</w:t>
      </w:r>
      <w:r>
        <w:t xml:space="preserve">,</w:t>
      </w:r>
      <w:r>
        <w:t xml:space="preserve">000 runs</w:t>
      </w:r>
    </w:p>
    <w:p>
      <w:pPr>
        <w:pStyle w:val="DefinitionTerm"/>
      </w:pPr>
      <w:r>
        <w:t xml:space="preserve">Controls</w:t>
      </w:r>
    </w:p>
    <w:p>
      <w:pPr>
        <w:pStyle w:val="Definition"/>
      </w:pPr>
      <w:r>
        <w:rPr>
          <w:rStyle w:val="VerbatimChar"/>
        </w:rPr>
        <w:t xml:space="preserve">AGT-02</w:t>
      </w:r>
      <w:r>
        <w:t xml:space="preserve">,</w:t>
      </w:r>
      <w:r>
        <w:t xml:space="preserve"> </w:t>
      </w:r>
      <w:r>
        <w:rPr>
          <w:rStyle w:val="VerbatimChar"/>
        </w:rPr>
        <w:t xml:space="preserve">MON-02</w:t>
      </w:r>
    </w:p>
    <w:bookmarkEnd w:id="79"/>
    <w:bookmarkStart w:id="80" w:name="m-09-sandbox-enforcement-ratio-ser"/>
    <w:p>
      <w:pPr>
        <w:pStyle w:val="Heading3"/>
      </w:pPr>
      <w:r>
        <w:t xml:space="preserve">M-09: Sandbox Enforcement Ratio (SER)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S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high-risk runs in sandbox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high-risk runs total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DefinitionTerm"/>
      </w:pPr>
      <w:r>
        <w:t xml:space="preserve">Direction</w:t>
      </w:r>
    </w:p>
    <w:p>
      <w:pPr>
        <w:pStyle w:val="Definition"/>
      </w:pPr>
      <w:r>
        <w:t xml:space="preserve">Higher is better</w:t>
      </w:r>
    </w:p>
    <w:p>
      <w:pPr>
        <w:pStyle w:val="DefinitionTerm"/>
      </w:pPr>
      <w:r>
        <w:t xml:space="preserve">Threshold</w:t>
      </w:r>
    </w:p>
    <w:p>
      <w:pPr>
        <w:pStyle w:val="Definition"/>
      </w:pPr>
      <m:oMath>
        <m:r>
          <m:t>S</m:t>
        </m:r>
        <m:r>
          <m:t>E</m:t>
        </m:r>
        <m:r>
          <m:t>R</m:t>
        </m:r>
        <m:r>
          <m:rPr>
            <m:sty m:val="p"/>
          </m:rPr>
          <m:t>=</m:t>
        </m:r>
        <m:r>
          <m:t>1.00</m:t>
        </m:r>
      </m:oMath>
      <w:r>
        <w:t xml:space="preserve"> </w:t>
      </w:r>
      <w:r>
        <w:t xml:space="preserve">required for critical tier</w:t>
      </w:r>
    </w:p>
    <w:p>
      <w:pPr>
        <w:pStyle w:val="DefinitionTerm"/>
      </w:pPr>
      <w:r>
        <w:t xml:space="preserve">Controls</w:t>
      </w:r>
    </w:p>
    <w:p>
      <w:pPr>
        <w:pStyle w:val="Definition"/>
      </w:pPr>
      <w:r>
        <w:rPr>
          <w:rStyle w:val="VerbatimChar"/>
        </w:rPr>
        <w:t xml:space="preserve">AGT-04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SEC-02</w:t>
      </w:r>
    </w:p>
    <w:bookmarkEnd w:id="80"/>
    <w:bookmarkEnd w:id="81"/>
    <w:bookmarkStart w:id="85" w:name="statistical-evaluation-rules"/>
    <w:p>
      <w:pPr>
        <w:pStyle w:val="Heading2"/>
      </w:pPr>
      <w:r>
        <w:t xml:space="preserve">Statistical evaluation rules</w:t>
      </w:r>
    </w:p>
    <w:bookmarkStart w:id="82" w:name="wilson-lower-confidence-bound"/>
    <w:p>
      <w:pPr>
        <w:pStyle w:val="Heading3"/>
      </w:pPr>
      <w:r>
        <w:t xml:space="preserve">Wilson Lower Confidence Bound</w:t>
      </w:r>
    </w:p>
    <w:p>
      <w:pPr>
        <w:pStyle w:val="FirstParagraph"/>
      </w:pPr>
      <w:r>
        <w:t xml:space="preserve">For metrics where</w:t>
      </w:r>
      <w:r>
        <w:t xml:space="preserve"> </w:t>
      </w:r>
      <w:r>
        <w:t xml:space="preserve">“higher is better”</w:t>
      </w:r>
      <w:r>
        <w:t xml:space="preserve"> </w:t>
      </w:r>
      <w:r>
        <w:t xml:space="preserve">(PAR, TCA, ADR, HCC, ATC, SER), use the</w:t>
      </w:r>
      <w:r>
        <w:t xml:space="preserve"> </w:t>
      </w:r>
      <w:r>
        <w:t xml:space="preserve">95% Wilson lower confidence bound: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L</m:t>
              </m:r>
              <m:r>
                <m:t>C</m:t>
              </m:r>
              <m:sSub>
                <m:e>
                  <m:r>
                    <m:t>B</m:t>
                  </m:r>
                </m:e>
                <m:sub>
                  <m:r>
                    <m:t>95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acc>
                            <m:accPr>
                              <m:chr m:val="̂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n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z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4</m:t>
                          </m:r>
                          <m:sSup>
                            <m:e>
                              <m:r>
                                <m:t>n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den>
              </m:f>
              <m:r>
                <m:t> </m:t>
              </m:r>
              <m:r>
                <m:rPr>
                  <m:nor/>
                  <m:sty m:val="p"/>
                </m:rPr>
                <m:t>where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1.96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Production gate rule:</w:t>
      </w:r>
      <w:r>
        <w:t xml:space="preserve"> </w:t>
      </w:r>
      <w:r>
        <w:t xml:space="preserve">A metric passes only if</w:t>
      </w:r>
      <w:r>
        <w:t xml:space="preserve"> </w:t>
      </w:r>
      <m:oMath>
        <m:r>
          <m:t>L</m:t>
        </m:r>
        <m:r>
          <m:t>C</m:t>
        </m:r>
        <m:sSub>
          <m:e>
            <m:r>
              <m:t>B</m:t>
            </m:r>
          </m:e>
          <m:sub>
            <m:r>
              <m:t>95</m:t>
            </m:r>
          </m:sub>
        </m:sSub>
      </m:oMath>
      <w:r>
        <w:t xml:space="preserve"> </w:t>
      </w:r>
      <w:r>
        <w:t xml:space="preserve">is greater</w:t>
      </w:r>
      <w:r>
        <w:t xml:space="preserve"> </w:t>
      </w:r>
      <w:r>
        <w:t xml:space="preserve">than or equal to the required threshold.</w:t>
      </w:r>
    </w:p>
    <w:bookmarkEnd w:id="82"/>
    <w:bookmarkStart w:id="83" w:name="why-wilson-bounds"/>
    <w:p>
      <w:pPr>
        <w:pStyle w:val="Heading3"/>
      </w:pPr>
      <w:r>
        <w:t xml:space="preserve">Why Wilson bounds?</w:t>
      </w:r>
    </w:p>
    <w:p>
      <w:pPr>
        <w:numPr>
          <w:ilvl w:val="0"/>
          <w:numId w:val="1022"/>
        </w:numPr>
      </w:pPr>
      <w:r>
        <w:t xml:space="preserve">Wilson bounds are valid for small samples (unlike normal approximation)</w:t>
      </w:r>
    </w:p>
    <w:p>
      <w:pPr>
        <w:numPr>
          <w:ilvl w:val="0"/>
          <w:numId w:val="1022"/>
        </w:numPr>
      </w:pPr>
      <w:r>
        <w:t xml:space="preserve">They handle edge cases (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) correctly</w:t>
      </w:r>
    </w:p>
    <w:p>
      <w:pPr>
        <w:numPr>
          <w:ilvl w:val="0"/>
          <w:numId w:val="1022"/>
        </w:numPr>
      </w:pPr>
      <w:r>
        <w:t xml:space="preserve">They provide conservative estimates appropriate for safety-critical</w:t>
      </w:r>
      <w:r>
        <w:t xml:space="preserve"> </w:t>
      </w:r>
      <w:r>
        <w:t xml:space="preserve">applications</w:t>
      </w:r>
    </w:p>
    <w:bookmarkEnd w:id="83"/>
    <w:bookmarkStart w:id="84" w:name="worked-example"/>
    <w:p>
      <w:pPr>
        <w:pStyle w:val="Heading3"/>
      </w:pPr>
      <w:r>
        <w:t xml:space="preserve">Worked example</w:t>
      </w:r>
    </w:p>
    <w:p>
      <w:pPr>
        <w:pStyle w:val="FirstParagraph"/>
      </w:pPr>
      <w:r>
        <w:t xml:space="preserve">Suppose we observe 190 successes out of 200 trials (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0.95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t>C</m:t>
              </m:r>
              <m:sSub>
                <m:e>
                  <m:r>
                    <m:t>B</m:t>
                  </m:r>
                </m:e>
                <m:sub>
                  <m:r>
                    <m:t>95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0.95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1.96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400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1.96</m:t>
                  </m:r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0.95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0.05</m:t>
                          </m:r>
                        </m:num>
                        <m:den>
                          <m:r>
                            <m:t>200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1.96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160000</m:t>
                          </m:r>
                        </m:den>
                      </m:f>
                    </m:e>
                  </m:ra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1.96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200</m:t>
                      </m:r>
                    </m:den>
                  </m:f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0.95</m:t>
                  </m:r>
                  <m:r>
                    <m:rPr>
                      <m:sty m:val="p"/>
                    </m:rPr>
                    <m:t>+</m:t>
                  </m:r>
                  <m:r>
                    <m:t>0.0096</m:t>
                  </m:r>
                  <m:r>
                    <m:rPr>
                      <m:sty m:val="p"/>
                    </m:rPr>
                    <m:t>−</m:t>
                  </m:r>
                  <m:r>
                    <m:t>1.96</m:t>
                  </m:r>
                  <m:rad>
                    <m:radPr>
                      <m:degHide m:val="on"/>
                    </m:radPr>
                    <m:deg/>
                    <m:e>
                      <m:r>
                        <m:t>0.000238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0.000024</m:t>
                      </m:r>
                    </m:e>
                  </m:rad>
                </m:num>
                <m:den>
                  <m:r>
                    <m:t>1.019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0.9596</m:t>
                  </m:r>
                  <m:r>
                    <m:rPr>
                      <m:sty m:val="p"/>
                    </m:rPr>
                    <m:t>−</m:t>
                  </m:r>
                  <m:r>
                    <m:t>0.0317</m:t>
                  </m:r>
                </m:num>
                <m:den>
                  <m:r>
                    <m:t>1.019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0.911</m:t>
              </m:r>
            </m:e>
          </m:eqArr>
        </m:oMath>
      </m:oMathPara>
    </w:p>
    <w:p>
      <w:pPr>
        <w:pStyle w:val="FirstParagraph"/>
      </w:pPr>
      <w:r>
        <w:t xml:space="preserve">If the threshold is 0.90, the metric passes because</w:t>
      </w:r>
      <w:r>
        <w:t xml:space="preserve"> </w:t>
      </w:r>
      <m:oMath>
        <m:r>
          <m:t>L</m:t>
        </m:r>
        <m:r>
          <m:t>C</m:t>
        </m:r>
        <m:sSub>
          <m:e>
            <m:r>
              <m:t>B</m:t>
            </m:r>
          </m:e>
          <m:sub>
            <m:r>
              <m:t>95</m:t>
            </m:r>
          </m:sub>
        </m:sSub>
        <m:r>
          <m:rPr>
            <m:sty m:val="p"/>
          </m:rPr>
          <m:t>=</m:t>
        </m:r>
        <m:r>
          <m:t>0.911</m:t>
        </m:r>
        <m:r>
          <m:rPr>
            <m:sty m:val="p"/>
          </m:rPr>
          <m:t>&gt;</m:t>
        </m:r>
        <m:r>
          <m:t>0.90</m:t>
        </m:r>
      </m:oMath>
      <w:r>
        <w:t xml:space="preserve">.</w:t>
      </w:r>
    </w:p>
    <w:bookmarkEnd w:id="84"/>
    <w:bookmarkEnd w:id="85"/>
    <w:bookmarkStart w:id="87" w:name="minimum-sample-sizes"/>
    <w:p>
      <w:pPr>
        <w:pStyle w:val="Heading2"/>
      </w:pPr>
      <w:r>
        <w:t xml:space="preserve">Minimum sample sizes</w:t>
      </w:r>
    </w:p>
    <w:bookmarkStart w:id="86" w:name="tab:sample-sizes"/>
    <w:p>
      <w:pPr>
        <w:pStyle w:val="TableCaption"/>
      </w:pPr>
      <w:r>
        <w:t xml:space="preserve">Minimum Sample Sizes by Risk Tier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inimum Sample Sizes by Risk Tier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 Scenarios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Repetitions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</w:tbl>
    <w:bookmarkEnd w:id="86"/>
    <w:bookmarkEnd w:id="87"/>
    <w:bookmarkStart w:id="89" w:name="composite-evaluation-score"/>
    <w:p>
      <w:pPr>
        <w:pStyle w:val="Heading2"/>
      </w:pPr>
      <w:r>
        <w:t xml:space="preserve">Composite evaluation score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Evaluation Score</w:t>
      </w:r>
      <w:r>
        <w:t xml:space="preserve"> </w:t>
      </w:r>
      <w:r>
        <w:t xml:space="preserve">combines multiple metrics: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E</m:t>
              </m:r>
              <m:r>
                <m:t>V</m:t>
              </m:r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0.20</m:t>
                  </m:r>
                  <m:r>
                    <m:rPr>
                      <m:sty m:val="p"/>
                    </m:rPr>
                    <m:t>⋅</m:t>
                  </m:r>
                  <m:r>
                    <m:t>P</m:t>
                  </m:r>
                  <m:r>
                    <m:t>A</m:t>
                  </m:r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0.15</m:t>
                  </m:r>
                  <m:r>
                    <m:rPr>
                      <m:sty m:val="p"/>
                    </m:rPr>
                    <m:t>⋅</m:t>
                  </m:r>
                  <m:r>
                    <m:t>T</m:t>
                  </m:r>
                  <m:r>
                    <m:t>C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0.15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t>D</m:t>
                  </m:r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0.15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t>T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0.10</m:t>
                  </m:r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  <m:r>
                    <m:t>C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0.10</m:t>
                  </m:r>
                  <m:r>
                    <m:rPr>
                      <m:sty m:val="p"/>
                    </m:rPr>
                    <m:t>⋅</m:t>
                  </m:r>
                  <m:r>
                    <m:t>S</m:t>
                  </m:r>
                  <m:r>
                    <m:t>E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−</m:t>
              </m:r>
              <m:r>
                <m:t>100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0.10</m:t>
                  </m:r>
                  <m:r>
                    <m:rPr>
                      <m:sty m:val="p"/>
                    </m:rPr>
                    <m:t>⋅</m:t>
                  </m:r>
                  <m:r>
                    <m:t>D</m:t>
                  </m:r>
                  <m:r>
                    <m:t>L</m:t>
                  </m:r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0.05</m:t>
                  </m:r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  <m:r>
                    <m:t>E</m:t>
                  </m:r>
                  <m:r>
                    <m:t>R</m:t>
                  </m:r>
                </m:e>
              </m:d>
            </m:e>
          </m:borderBox>
        </m:oMath>
      </m:oMathPara>
    </w:p>
    <w:bookmarkStart w:id="88" w:name="eval-interpretation"/>
    <w:p>
      <w:pPr>
        <w:pStyle w:val="Heading3"/>
      </w:pPr>
      <w:r>
        <w:t xml:space="preserve">EVAL interpretation</w:t>
      </w:r>
    </w:p>
    <w:p>
      <w:pPr>
        <w:pStyle w:val="TableCaption"/>
      </w:pPr>
      <w:r>
        <w:t xml:space="preserve">Evaluation Score Interpretation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valuation Score Interpreta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Score Band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t>V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85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Excellent, ready for production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70</m:t>
              </m:r>
              <m:r>
                <m:rPr>
                  <m:sty m:val="p"/>
                </m:rPr>
                <m:t>≤</m:t>
              </m:r>
              <m:r>
                <m:t>E</m:t>
              </m:r>
              <m:r>
                <m:t>V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85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Good, minor improvements recommended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55</m:t>
              </m:r>
              <m:r>
                <m:rPr>
                  <m:sty m:val="p"/>
                </m:rPr>
                <m:t>≤</m:t>
              </m:r>
              <m:r>
                <m:t>E</m:t>
              </m:r>
              <m:r>
                <m:t>V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70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Acceptable with conditions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t>V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55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Not acceptable for production</w:t>
            </w:r>
          </w:p>
        </w:tc>
      </w:tr>
    </w:tbl>
    <w:bookmarkEnd w:id="88"/>
    <w:bookmarkEnd w:id="89"/>
    <w:bookmarkStart w:id="91" w:name="metric-thresholds-summary"/>
    <w:p>
      <w:pPr>
        <w:pStyle w:val="Heading2"/>
      </w:pPr>
      <w:r>
        <w:t xml:space="preserve">Metric thresholds summary</w:t>
      </w:r>
    </w:p>
    <w:bookmarkStart w:id="90" w:name="tab:thresholds"/>
    <w:p>
      <w:pPr>
        <w:pStyle w:val="TableCaption"/>
      </w:pPr>
      <w:r>
        <w:t xml:space="preserve">Metric Thresholds for Production Gate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etric Thresholds for Production Gat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0.95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t>C</m:t>
              </m:r>
              <m:sSub>
                <m:e>
                  <m:r>
                    <m:t>B</m:t>
                  </m:r>
                </m:e>
                <m:sub>
                  <m:r>
                    <m:t>95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0.90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t>C</m:t>
              </m:r>
              <m:sSub>
                <m:e>
                  <m:r>
                    <m:t>B</m:t>
                  </m:r>
                </m:e>
                <m:sub>
                  <m:r>
                    <m:t>95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=</m:t>
              </m:r>
              <m:r>
                <m:t>1.00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0.99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t>C</m:t>
              </m:r>
              <m:sSub>
                <m:e>
                  <m:r>
                    <m:t>B</m:t>
                  </m:r>
                </m:e>
                <m:sub>
                  <m:r>
                    <m:t>95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0.85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t>C</m:t>
              </m:r>
              <m:sSub>
                <m:e>
                  <m:r>
                    <m:t>B</m:t>
                  </m:r>
                </m:e>
                <m:sub>
                  <m:r>
                    <m:t>95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0.01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t>C</m:t>
              </m:r>
              <m:sSub>
                <m:e>
                  <m:r>
                    <m:t>B</m:t>
                  </m:r>
                </m:e>
                <m:sub>
                  <m:r>
                    <m:t>95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0.05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t>C</m:t>
              </m:r>
              <m:sSub>
                <m:e>
                  <m:r>
                    <m:t>B</m:t>
                  </m:r>
                </m:e>
                <m:sub>
                  <m:r>
                    <m:t>95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t>C</m:t>
              </m:r>
              <m:sSub>
                <m:e>
                  <m:r>
                    <m:t>B</m:t>
                  </m:r>
                </m:e>
                <m:sub>
                  <m:r>
                    <m:t>95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=</m:t>
              </m:r>
              <m:r>
                <m:t>1.00</m:t>
              </m:r>
            </m:oMath>
            <w:r>
              <w:t xml:space="preserve"> </w:t>
            </w:r>
            <w:r>
              <w:t xml:space="preserve">(critical)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</w:t>
            </w:r>
          </w:p>
        </w:tc>
      </w:tr>
    </w:tbl>
    <w:bookmarkEnd w:id="90"/>
    <w:bookmarkEnd w:id="91"/>
    <w:bookmarkStart w:id="98" w:name="sec:tts-metrics-extension"/>
    <w:p>
      <w:pPr>
        <w:pStyle w:val="Heading2"/>
      </w:pPr>
      <w:r>
        <w:t xml:space="preserve">Domain-Specific Metrics: Text-to-SQL</w:t>
      </w:r>
    </w:p>
    <w:p>
      <w:pPr>
        <w:pStyle w:val="FirstParagraph"/>
      </w:pPr>
      <w:r>
        <w:t xml:space="preserve">For Text-to-SQL deployments, an additional 12 metrics extend the core safety</w:t>
      </w:r>
      <w:r>
        <w:t xml:space="preserve"> </w:t>
      </w:r>
      <w:r>
        <w:t xml:space="preserve">framework to address drift between HANA schemas, prompts, and generated SQL.</w:t>
      </w:r>
      <w:r>
        <w:t xml:space="preserve"> </w:t>
      </w:r>
      <w:r>
        <w:t xml:space="preserve">These metrics are fully specified in Chapter 18 of the Simula specification.</w:t>
      </w:r>
    </w:p>
    <w:bookmarkStart w:id="93" w:name="tts-metric-summary"/>
    <w:p>
      <w:pPr>
        <w:pStyle w:val="Heading3"/>
      </w:pPr>
      <w:r>
        <w:t xml:space="preserve">TTS Metric Summary</w:t>
      </w:r>
    </w:p>
    <w:bookmarkStart w:id="92" w:name="tab:tts-metrics-summary"/>
    <w:p>
      <w:pPr>
        <w:pStyle w:val="TableCaption"/>
      </w:pPr>
      <w:r>
        <w:t xml:space="preserve">Text-to-SQL Drift Metrics (Extension)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xt-to-SQL Drift Metrics (Extension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TTS-M01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Coverage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HANA columns in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TTS-M02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Staleness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Age-weighted unsynced schema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TTS-M03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 Type Mismatch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Type-incompatible SQL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TTS-M04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JOINs following valid FKs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TTS-M05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Alignment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Prompt-SQL embedding 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TTS-M06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 Preservation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Correctly answered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TTS-M07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Terminology Drift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Vocabulary divergence (JSD)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TTS-M08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Ambiguity Resolution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Disambiguated ambiguous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TTS-M09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Success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executing without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TTS-M10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Fidelity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vs actual result 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TTS-M11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 Distribution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 divergence train vs 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TTS-M12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 Coverage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in taxonomy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</w:t>
            </w:r>
          </w:p>
        </w:tc>
      </w:tr>
    </w:tbl>
    <w:bookmarkEnd w:id="92"/>
    <w:bookmarkEnd w:id="93"/>
    <w:bookmarkStart w:id="94" w:name="tts-eval-composite-score"/>
    <w:p>
      <w:pPr>
        <w:pStyle w:val="Heading3"/>
      </w:pPr>
      <w:r>
        <w:t xml:space="preserve">TTS-EVAL Composite Score</w:t>
      </w:r>
    </w:p>
    <w:p>
      <w:pPr>
        <w:pStyle w:val="FirstParagraph"/>
      </w:pPr>
      <w:r>
        <w:t xml:space="preserve">The TTS Evaluation Score follows the same weighted composite pattern as EVAL: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eqArr>
                <m:e>
                  <m:r>
                    <m:t>T</m:t>
                  </m:r>
                  <m:r>
                    <m:t>T</m:t>
                  </m:r>
                  <m:r>
                    <m:t>S</m:t>
                  </m:r>
                  <m:r>
                    <m:rPr>
                      <m:sty m:val="p"/>
                    </m:rPr>
                    <m:t>_</m:t>
                  </m:r>
                  <m:r>
                    <m:t>E</m:t>
                  </m:r>
                  <m:r>
                    <m:t>V</m:t>
                  </m:r>
                  <m:r>
                    <m:t>A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t>&amp;</m:t>
                  </m:r>
                  <m:r>
                    <m:t>0.15</m:t>
                  </m:r>
                  <m:r>
                    <m:rPr>
                      <m:sty m:val="p"/>
                    </m:rPr>
                    <m:t>⋅</m:t>
                  </m:r>
                  <m:r>
                    <m:t>S</m:t>
                  </m:r>
                  <m:r>
                    <m:t>C</m:t>
                  </m:r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0.10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S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norm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0.10</m:t>
                  </m:r>
                  <m:r>
                    <m:rPr>
                      <m:sty m:val="p"/>
                    </m:rPr>
                    <m:t>⋅</m:t>
                  </m:r>
                  <m:r>
                    <m:t>F</m:t>
                  </m:r>
                  <m:r>
                    <m:t>K</m:t>
                  </m:r>
                  <m:r>
                    <m:t>C</m:t>
                  </m:r>
                  <m:r>
                    <m:t>R</m:t>
                  </m:r>
                </m:e>
                <m:e>
                  <m:r>
                    <m:t>&amp;</m:t>
                  </m:r>
                  <m:r>
                    <m:rPr>
                      <m:sty m:val="p"/>
                    </m:rPr>
                    <m:t>+</m:t>
                  </m:r>
                  <m:r>
                    <m:t>0.15</m:t>
                  </m:r>
                  <m:r>
                    <m:rPr>
                      <m:sty m:val="p"/>
                    </m:rPr>
                    <m:t>⋅</m:t>
                  </m:r>
                  <m:r>
                    <m:t>S</m:t>
                  </m:r>
                  <m:r>
                    <m:t>A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0.10</m:t>
                  </m:r>
                  <m:r>
                    <m:rPr>
                      <m:sty m:val="p"/>
                    </m:rPr>
                    <m:t>⋅</m:t>
                  </m:r>
                  <m:r>
                    <m:t>I</m:t>
                  </m:r>
                  <m:r>
                    <m:t>P</m:t>
                  </m:r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0.15</m:t>
                  </m:r>
                  <m:r>
                    <m:rPr>
                      <m:sty m:val="p"/>
                    </m:rPr>
                    <m:t>⋅</m:t>
                  </m:r>
                  <m:r>
                    <m:t>E</m:t>
                  </m:r>
                  <m:r>
                    <m:t>S</m:t>
                  </m:r>
                  <m:r>
                    <m:t>R</m:t>
                  </m:r>
                </m:e>
                <m:e>
                  <m:r>
                    <m:t>&amp;</m:t>
                  </m:r>
                  <m:r>
                    <m:rPr>
                      <m:sty m:val="p"/>
                    </m:rPr>
                    <m:t>+</m:t>
                  </m:r>
                  <m:r>
                    <m:t>0.10</m:t>
                  </m:r>
                  <m:r>
                    <m:rPr>
                      <m:sty m:val="p"/>
                    </m:rPr>
                    <m:t>⋅</m:t>
                  </m:r>
                  <m:r>
                    <m:t>R</m:t>
                  </m:r>
                  <m:r>
                    <m:t>F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0.05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t>R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100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t>&amp;</m:t>
                  </m:r>
                  <m:r>
                    <m:t>0.05</m:t>
                  </m:r>
                  <m:r>
                    <m:rPr>
                      <m:sty m:val="p"/>
                    </m:rPr>
                    <m:t>⋅</m:t>
                  </m:r>
                  <m:r>
                    <m:t>C</m:t>
                  </m:r>
                  <m:r>
                    <m:t>T</m:t>
                  </m:r>
                  <m:r>
                    <m:t>M</m:t>
                  </m:r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0.03</m:t>
                  </m:r>
                  <m:r>
                    <m:rPr>
                      <m:sty m:val="p"/>
                    </m:rPr>
                    <m:t>⋅</m:t>
                  </m:r>
                  <m:r>
                    <m:t>T</m:t>
                  </m:r>
                  <m:r>
                    <m:t>D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0.02</m:t>
                  </m:r>
                  <m:r>
                    <m:rPr>
                      <m:sty m:val="p"/>
                    </m:rPr>
                    <m:t>⋅</m:t>
                  </m:r>
                  <m:r>
                    <m:t>C</m:t>
                  </m:r>
                  <m:r>
                    <m:t>D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eqArr>
            </m:e>
          </m:borderBox>
        </m:oMath>
      </m:oMathPara>
    </w:p>
    <w:bookmarkEnd w:id="94"/>
    <w:bookmarkStart w:id="96" w:name="tts-metric-thresholds"/>
    <w:p>
      <w:pPr>
        <w:pStyle w:val="Heading3"/>
      </w:pPr>
      <w:r>
        <w:t xml:space="preserve">TTS Metric Thresholds</w:t>
      </w:r>
    </w:p>
    <w:bookmarkStart w:id="95" w:name="tab:tts-thresholds"/>
    <w:p>
      <w:pPr>
        <w:pStyle w:val="TableCaption"/>
      </w:pPr>
      <w:r>
        <w:t xml:space="preserve">TTS Metric Thresholds for Production Gate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TS Metric Thresholds for Production Gate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TTS-M01 (SCR)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0.85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TTS-M02 (SSS)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7.0</m:t>
              </m:r>
            </m:oMath>
            <w:r>
              <w:t xml:space="preserve"> </w:t>
            </w:r>
            <w:r>
              <w:t xml:space="preserve">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TTS-M03 (CTMR)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0.02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TTS-M04 (FKCR)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0.95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TTS-M05 (SAS)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0.80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TTS-M06 (IPR)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0.90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TTS-M07 (TDS)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0.15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TTS-M08 (ARR)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0.75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TTS-M09 (ESR)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0.95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TTS-M10 (RFS)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0.85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TTS-M11 (CDD)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0.10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TTS-M12 (TCD)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0.05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TTS-EVAL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70</m:t>
              </m:r>
            </m:oMath>
            <w:r>
              <w:t xml:space="preserve"> </w:t>
            </w:r>
            <w:r>
              <w:t xml:space="preserve">(production)</w:t>
            </w:r>
          </w:p>
        </w:tc>
      </w:tr>
    </w:tbl>
    <w:bookmarkEnd w:id="95"/>
    <w:bookmarkEnd w:id="96"/>
    <w:bookmarkStart w:id="97" w:name="relationship-to-core-safety-metrics"/>
    <w:p>
      <w:pPr>
        <w:pStyle w:val="Heading3"/>
      </w:pPr>
      <w:r>
        <w:t xml:space="preserve">Relationship to Core Safety Metrics</w:t>
      </w:r>
    </w:p>
    <w:p>
      <w:pPr>
        <w:pStyle w:val="FirstParagraph"/>
      </w:pPr>
      <w:r>
        <w:t xml:space="preserve">The TTS metrics complement, not replace, the core 12 safety metrics: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M-02 (Tool Call Accuracy)</w:t>
      </w:r>
      <w:r>
        <w:t xml:space="preserve"> </w:t>
      </w:r>
      <w:r>
        <w:t xml:space="preserve">maps to</w:t>
      </w:r>
      <w:r>
        <w:t xml:space="preserve"> </w:t>
      </w:r>
      <w:r>
        <w:rPr>
          <w:b/>
          <w:bCs/>
        </w:rPr>
        <w:t xml:space="preserve">TTS-M09 (ESR)</w:t>
      </w:r>
      <w:r>
        <w:t xml:space="preserve"> </w:t>
      </w:r>
      <w:r>
        <w:t xml:space="preserve">for SQL execution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M-04 (Audit Trace Completeness)</w:t>
      </w:r>
      <w:r>
        <w:t xml:space="preserve"> </w:t>
      </w:r>
      <w:r>
        <w:t xml:space="preserve">is satisfied by TTS drift telemetry tables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M-07 (Hallucination Rate)</w:t>
      </w:r>
      <w:r>
        <w:t xml:space="preserve"> </w:t>
      </w:r>
      <w:r>
        <w:t xml:space="preserve">maps to</w:t>
      </w:r>
      <w:r>
        <w:t xml:space="preserve"> </w:t>
      </w:r>
      <w:r>
        <w:rPr>
          <w:b/>
          <w:bCs/>
        </w:rPr>
        <w:t xml:space="preserve">TTS-M06 (IPR)</w:t>
      </w:r>
      <w:r>
        <w:t xml:space="preserve"> </w:t>
      </w:r>
      <w:r>
        <w:t xml:space="preserve">for intent preservation</w:t>
      </w:r>
    </w:p>
    <w:p>
      <w:pPr>
        <w:pStyle w:val="FirstParagraph"/>
      </w:pPr>
      <w:r>
        <w:t xml:space="preserve">For complete TTS drift metric definitions, formulas, and implementation details,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docs/latex/specs/simula/chapters/18-text-to-sql-drift.tex</w:t>
      </w:r>
      <w:r>
        <w:t xml:space="preserve">.</w:t>
      </w:r>
    </w:p>
    <w:bookmarkEnd w:id="97"/>
    <w:bookmarkEnd w:id="98"/>
    <w:bookmarkStart w:id="108" w:name="sec:persona-safety-metrics"/>
    <w:p>
      <w:pPr>
        <w:pStyle w:val="Heading2"/>
      </w:pPr>
      <w:r>
        <w:t xml:space="preserve">Persona-Aware Safety Metrics (PER-M01 to PER-M04)</w:t>
      </w:r>
    </w:p>
    <w:p>
      <w:pPr>
        <w:pStyle w:val="FirstParagraph"/>
      </w:pPr>
      <w:r>
        <w:t xml:space="preserve">For AI systems serving diverse user populations and agent workers with varying</w:t>
      </w:r>
      <w:r>
        <w:t xml:space="preserve"> </w:t>
      </w:r>
      <w:r>
        <w:t xml:space="preserve">levels of domain expertise, the following persona-aware metrics ensure fair</w:t>
      </w:r>
      <w:r>
        <w:t xml:space="preserve"> </w:t>
      </w:r>
      <w:r>
        <w:t xml:space="preserve">and appropriate treatment across all communicator types.</w:t>
      </w:r>
    </w:p>
    <w:bookmarkStart w:id="100" w:name="metric-definitions"/>
    <w:p>
      <w:pPr>
        <w:pStyle w:val="Heading3"/>
      </w:pPr>
      <w:r>
        <w:t xml:space="preserve">Metric Definitions</w:t>
      </w:r>
    </w:p>
    <w:bookmarkStart w:id="99" w:name="tab:persona-metrics"/>
    <w:p>
      <w:pPr>
        <w:pStyle w:val="TableCaption"/>
      </w:pPr>
      <w:r>
        <w:t xml:space="preserve">Persona-Aware Safety Metrics (4 Metrics)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sona-Aware Safety Metrics (4 Metrics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Safety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PER-M01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Coverage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personas with adequate training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S-08 (Data Quality)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PER-M02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Expertise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prompts matching persona expertise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S-01 (Accuracy)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PER-M03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Cross-Persona 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deviation from uniform persona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S-04 (Fairness)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PER-M04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Per-Persona Drift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SSG Z-score computed per 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S-02 (Robustness)</w:t>
            </w:r>
          </w:p>
        </w:tc>
      </w:tr>
    </w:tbl>
    <w:bookmarkEnd w:id="99"/>
    <w:bookmarkEnd w:id="100"/>
    <w:bookmarkStart w:id="101" w:name="per-m01-persona-coverage-rate"/>
    <w:p>
      <w:pPr>
        <w:pStyle w:val="Heading3"/>
      </w:pPr>
      <w:r>
        <w:t xml:space="preserve">PER-M01: Persona Coverage Rate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P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_</m:t>
              </m:r>
              <m:r>
                <m:t>M</m:t>
              </m:r>
              <m:r>
                <m:t>01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{</m:t>
                  </m:r>
                  <m:r>
                    <m:t>p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|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P</m:t>
                  </m:r>
                  <m:r>
                    <m:rPr>
                      <m:sty m:val="p"/>
                    </m:rPr>
                    <m:t>|</m:t>
                  </m:r>
                </m:den>
              </m:f>
            </m:e>
          </m:borderBox>
        </m:oMath>
      </m:oMathPara>
    </w:p>
    <w:p>
      <w:pPr>
        <w:pStyle w:val="DefinitionTerm"/>
      </w:pPr>
      <w:r>
        <w:t xml:space="preserve">Variables</w:t>
      </w:r>
    </w:p>
    <w:p>
      <w:pPr>
        <w:pStyle w:val="Definition"/>
      </w:pPr>
      <m:oMath>
        <m:r>
          <m:t>P</m:t>
        </m:r>
      </m:oMath>
      <w:r>
        <w:t xml:space="preserve"> </w:t>
      </w:r>
      <w:r>
        <w:t xml:space="preserve">= set of all defined personas;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= training samples for persona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= minimum samples (default 100)</w:t>
      </w:r>
    </w:p>
    <w:p>
      <w:pPr>
        <w:pStyle w:val="DefinitionTerm"/>
      </w:pPr>
      <w:r>
        <w:t xml:space="preserve">Direction</w:t>
      </w:r>
    </w:p>
    <w:p>
      <w:pPr>
        <w:pStyle w:val="Definition"/>
      </w:pPr>
      <w:r>
        <w:t xml:space="preserve">Higher is better</w:t>
      </w:r>
    </w:p>
    <w:p>
      <w:pPr>
        <w:pStyle w:val="DefinitionTerm"/>
      </w:pPr>
      <w:r>
        <w:t xml:space="preserve">Threshold</w:t>
      </w:r>
    </w:p>
    <w:p>
      <w:pPr>
        <w:pStyle w:val="Definition"/>
      </w:pPr>
      <m:oMath>
        <m:r>
          <m:t>P</m:t>
        </m:r>
        <m:r>
          <m:t>E</m:t>
        </m:r>
        <m:r>
          <m:t>R</m:t>
        </m:r>
        <m:r>
          <m:rPr>
            <m:sty m:val="p"/>
          </m:rPr>
          <m:t>_</m:t>
        </m:r>
        <m:r>
          <m:t>M</m:t>
        </m:r>
        <m:r>
          <m:t>01</m:t>
        </m:r>
        <m:r>
          <m:rPr>
            <m:sty m:val="p"/>
          </m:rPr>
          <m:t>≥</m:t>
        </m:r>
        <m:r>
          <m:t>0.95</m:t>
        </m:r>
      </m:oMath>
      <w:r>
        <w:t xml:space="preserve"> </w:t>
      </w:r>
      <w:r>
        <w:t xml:space="preserve">required</w:t>
      </w:r>
    </w:p>
    <w:p>
      <w:pPr>
        <w:pStyle w:val="DefinitionTerm"/>
      </w:pPr>
      <w:r>
        <w:t xml:space="preserve">Safety Link</w:t>
      </w:r>
    </w:p>
    <w:p>
      <w:pPr>
        <w:pStyle w:val="Definition"/>
      </w:pPr>
      <w:r>
        <w:t xml:space="preserve">S-08 (Data Quality) — ensures training data represents all user types</w:t>
      </w:r>
    </w:p>
    <w:bookmarkEnd w:id="101"/>
    <w:bookmarkStart w:id="102" w:name="per-m02-expertise-consistency-rate"/>
    <w:p>
      <w:pPr>
        <w:pStyle w:val="Heading3"/>
      </w:pPr>
      <w:r>
        <w:t xml:space="preserve">PER-M02: Expertise Consistency Rate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P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_</m:t>
              </m:r>
              <m:r>
                <m:t>M</m:t>
              </m:r>
              <m:r>
                <m:t>02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prompts matching persona complexity/terminology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total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DefinitionTerm"/>
      </w:pPr>
      <w:r>
        <w:t xml:space="preserve">Definition</w:t>
      </w:r>
    </w:p>
    <w:p>
      <w:pPr>
        <w:pStyle w:val="Definition"/>
      </w:pPr>
      <w:r>
        <w:t xml:space="preserve">A prompt</w:t>
      </w:r>
      <w:r>
        <w:t xml:space="preserve"> </w:t>
      </w:r>
      <w:r>
        <w:t xml:space="preserve">“matches”</w:t>
      </w:r>
      <w:r>
        <w:t xml:space="preserve"> </w:t>
      </w:r>
      <w:r>
        <w:t xml:space="preserve">if its complexity and terminology precision</w:t>
      </w:r>
      <w:r>
        <w:t xml:space="preserve"> </w:t>
      </w:r>
      <w:r>
        <w:t xml:space="preserve">fall within the expected range for its persona</w:t>
      </w:r>
    </w:p>
    <w:p>
      <w:pPr>
        <w:pStyle w:val="DefinitionTerm"/>
      </w:pPr>
      <w:r>
        <w:t xml:space="preserve">Direction</w:t>
      </w:r>
    </w:p>
    <w:p>
      <w:pPr>
        <w:pStyle w:val="Definition"/>
      </w:pPr>
      <w:r>
        <w:t xml:space="preserve">Higher is better</w:t>
      </w:r>
    </w:p>
    <w:p>
      <w:pPr>
        <w:pStyle w:val="DefinitionTerm"/>
      </w:pPr>
      <w:r>
        <w:t xml:space="preserve">Threshold</w:t>
      </w:r>
    </w:p>
    <w:p>
      <w:pPr>
        <w:pStyle w:val="Definition"/>
      </w:pPr>
      <m:oMath>
        <m:r>
          <m:t>P</m:t>
        </m:r>
        <m:r>
          <m:t>E</m:t>
        </m:r>
        <m:r>
          <m:t>R</m:t>
        </m:r>
        <m:r>
          <m:rPr>
            <m:sty m:val="p"/>
          </m:rPr>
          <m:t>_</m:t>
        </m:r>
        <m:r>
          <m:t>M</m:t>
        </m:r>
        <m:r>
          <m:t>02</m:t>
        </m:r>
        <m:r>
          <m:rPr>
            <m:sty m:val="p"/>
          </m:rPr>
          <m:t>≥</m:t>
        </m:r>
        <m:r>
          <m:t>0.90</m:t>
        </m:r>
      </m:oMath>
      <w:r>
        <w:t xml:space="preserve"> </w:t>
      </w:r>
      <w:r>
        <w:t xml:space="preserve">required</w:t>
      </w:r>
    </w:p>
    <w:p>
      <w:pPr>
        <w:pStyle w:val="DefinitionTerm"/>
      </w:pPr>
      <w:r>
        <w:t xml:space="preserve">Safety Link</w:t>
      </w:r>
    </w:p>
    <w:p>
      <w:pPr>
        <w:pStyle w:val="Definition"/>
      </w:pPr>
      <w:r>
        <w:t xml:space="preserve">S-01 (Accuracy) — system accurately reflects user expertise</w:t>
      </w:r>
    </w:p>
    <w:bookmarkEnd w:id="102"/>
    <w:bookmarkStart w:id="103" w:name="per-m03-cross-persona-fairness"/>
    <w:p>
      <w:pPr>
        <w:pStyle w:val="Heading3"/>
      </w:pPr>
      <w:r>
        <w:t xml:space="preserve">PER-M03: Cross-Persona Fairness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P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_</m:t>
              </m:r>
              <m:r>
                <m:t>M</m:t>
              </m:r>
              <m:r>
                <m:t>03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P</m:t>
                  </m:r>
                </m:lim>
              </m:limLow>
              <m:r>
                <m:rPr>
                  <m:sty m:val="p"/>
                </m:rPr>
                <m:t>|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|</m:t>
              </m:r>
              <m:r>
                <m:t> </m:t>
              </m:r>
              <m:r>
                <m:rPr>
                  <m:nor/>
                  <m:sty m:val="p"/>
                </m:rPr>
                <m:t>where</m:t>
              </m:r>
              <m:r>
                <m:t> 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P</m:t>
                  </m:r>
                  <m:r>
                    <m:rPr>
                      <m:sty m:val="p"/>
                    </m:rPr>
                    <m:t>|</m:t>
                  </m:r>
                </m:den>
              </m:f>
            </m:e>
          </m:borderBox>
        </m:oMath>
      </m:oMathPara>
    </w:p>
    <w:p>
      <w:pPr>
        <w:pStyle w:val="DefinitionTerm"/>
      </w:pPr>
      <w:r>
        <w:t xml:space="preserve">Definition</w:t>
      </w:r>
    </w:p>
    <w:p>
      <w:pPr>
        <w:pStyle w:val="Definition"/>
      </w:pPr>
      <w:r>
        <w:t xml:space="preserve">Maximum deviation from uniform persona distribution</w:t>
      </w:r>
    </w:p>
    <w:p>
      <w:pPr>
        <w:pStyle w:val="DefinitionTerm"/>
      </w:pPr>
      <w:r>
        <w:t xml:space="preserve">Direction</w:t>
      </w:r>
    </w:p>
    <w:p>
      <w:pPr>
        <w:pStyle w:val="Definition"/>
      </w:pPr>
      <w:r>
        <w:t xml:space="preserve">Lower is better</w:t>
      </w:r>
    </w:p>
    <w:p>
      <w:pPr>
        <w:pStyle w:val="DefinitionTerm"/>
      </w:pPr>
      <w:r>
        <w:t xml:space="preserve">Threshold</w:t>
      </w:r>
    </w:p>
    <w:p>
      <w:pPr>
        <w:pStyle w:val="Definition"/>
      </w:pPr>
      <m:oMath>
        <m:r>
          <m:t>P</m:t>
        </m:r>
        <m:r>
          <m:t>E</m:t>
        </m:r>
        <m:r>
          <m:t>R</m:t>
        </m:r>
        <m:r>
          <m:rPr>
            <m:sty m:val="p"/>
          </m:rPr>
          <m:t>_</m:t>
        </m:r>
        <m:r>
          <m:t>M</m:t>
        </m:r>
        <m:r>
          <m:t>03</m:t>
        </m:r>
        <m:r>
          <m:rPr>
            <m:sty m:val="p"/>
          </m:rPr>
          <m:t>≤</m:t>
        </m:r>
        <m:r>
          <m:t>0.10</m:t>
        </m:r>
      </m:oMath>
      <w:r>
        <w:t xml:space="preserve"> </w:t>
      </w:r>
      <w:r>
        <w:t xml:space="preserve">required (no persona overrepresented by</w:t>
      </w:r>
      <w:r>
        <w:t xml:space="preserve"> </w:t>
      </w:r>
      <m:oMath>
        <m:r>
          <m:rPr>
            <m:sty m:val="p"/>
          </m:rPr>
          <m:t>&gt;</m:t>
        </m:r>
        <m:r>
          <m:t>10</m:t>
        </m:r>
        <m:r>
          <m:rPr>
            <m:sty m:val="p"/>
          </m:rPr>
          <m:t>%</m:t>
        </m:r>
      </m:oMath>
      <w:r>
        <w:t xml:space="preserve">)</w:t>
      </w:r>
    </w:p>
    <w:p>
      <w:pPr>
        <w:pStyle w:val="DefinitionTerm"/>
      </w:pPr>
      <w:r>
        <w:t xml:space="preserve">Safety Link</w:t>
      </w:r>
    </w:p>
    <w:p>
      <w:pPr>
        <w:pStyle w:val="Definition"/>
      </w:pPr>
      <w:r>
        <w:t xml:space="preserve">S-04 (Fairness) — no persona is disadvantaged</w:t>
      </w:r>
    </w:p>
    <w:bookmarkEnd w:id="103"/>
    <w:bookmarkStart w:id="104" w:name="per-m04-per-persona-drift-score"/>
    <w:p>
      <w:pPr>
        <w:pStyle w:val="Heading3"/>
      </w:pPr>
      <w:r>
        <w:t xml:space="preserve">PER-M04: Per-Persona Drift Score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P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_</m:t>
              </m:r>
              <m:r>
                <m:t>M</m:t>
              </m:r>
              <m:sSup>
                <m:e>
                  <m:r>
                    <m:t>04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|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den>
              </m:f>
            </m:e>
          </m:borderBox>
        </m:oMath>
      </m:oMathPara>
    </w:p>
    <w:p>
      <w:pPr>
        <w:pStyle w:val="DefinitionTerm"/>
      </w:pPr>
      <w:r>
        <w:t xml:space="preserve">Observable</w:t>
      </w:r>
    </w:p>
    <w:p>
      <w:pPr>
        <w:pStyle w:val="Definition"/>
      </w:pPr>
      <w:r>
        <w:t xml:space="preserve">Prompt embedding distance from persona</w:t>
      </w:r>
      <w:r>
        <w:t xml:space="preserve"> </w:t>
      </w:r>
      <m:oMath>
        <m:r>
          <m:t>p</m:t>
        </m:r>
      </m:oMath>
      <w:r>
        <w:t xml:space="preserve">’s training centroid</w:t>
      </w:r>
    </w:p>
    <w:p>
      <w:pPr>
        <w:pStyle w:val="DefinitionTerm"/>
      </w:pPr>
      <w:r>
        <w:t xml:space="preserve">Direction</w:t>
      </w:r>
    </w:p>
    <w:p>
      <w:pPr>
        <w:pStyle w:val="Definition"/>
      </w:pPr>
      <w:r>
        <w:t xml:space="preserve">Lower is better</w:t>
      </w:r>
    </w:p>
    <w:p>
      <w:pPr>
        <w:pStyle w:val="DefinitionTerm"/>
      </w:pPr>
      <w:r>
        <w:t xml:space="preserve">Threshold</w:t>
      </w:r>
    </w:p>
    <w:p>
      <w:pPr>
        <w:pStyle w:val="Definition"/>
      </w:pPr>
      <m:oMath>
        <m:r>
          <m:t>P</m:t>
        </m:r>
        <m:r>
          <m:t>E</m:t>
        </m:r>
        <m:r>
          <m:t>R</m:t>
        </m:r>
        <m:r>
          <m:rPr>
            <m:sty m:val="p"/>
          </m:rPr>
          <m:t>_</m:t>
        </m:r>
        <m:r>
          <m:t>M</m:t>
        </m:r>
        <m:sSup>
          <m:e>
            <m:r>
              <m:t>04</m:t>
            </m:r>
          </m:e>
          <m:sup>
            <m:r>
              <m:rPr>
                <m:sty m:val="p"/>
              </m:rPr>
              <m:t>(</m:t>
            </m:r>
            <m:r>
              <m:t>p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&lt;</m:t>
        </m:r>
        <m:r>
          <m:t>2.0</m:t>
        </m:r>
      </m:oMath>
      <w:r>
        <w:t xml:space="preserve"> </w:t>
      </w:r>
      <w:r>
        <w:t xml:space="preserve">for each persona (95% confidence)</w:t>
      </w:r>
    </w:p>
    <w:p>
      <w:pPr>
        <w:pStyle w:val="DefinitionTerm"/>
      </w:pPr>
      <w:r>
        <w:t xml:space="preserve">Safety Link</w:t>
      </w:r>
    </w:p>
    <w:p>
      <w:pPr>
        <w:pStyle w:val="Definition"/>
      </w:pPr>
      <w:r>
        <w:t xml:space="preserve">S-02 (Robustness) — system remains stable across persona drift</w:t>
      </w:r>
    </w:p>
    <w:bookmarkEnd w:id="104"/>
    <w:bookmarkStart w:id="106" w:name="persona-metric-thresholds"/>
    <w:p>
      <w:pPr>
        <w:pStyle w:val="Heading3"/>
      </w:pPr>
      <w:r>
        <w:t xml:space="preserve">Persona Metric Thresholds</w:t>
      </w:r>
    </w:p>
    <w:bookmarkStart w:id="105" w:name="tab:persona-thresholds"/>
    <w:p>
      <w:pPr>
        <w:pStyle w:val="TableCaption"/>
      </w:pPr>
      <w:r>
        <w:t xml:space="preserve">Persona Metric Thresholds by Population Type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sona Metric Thresholds by Population Typ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Human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Agent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PER-M01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0.95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0.95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Equal coverage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PER-M02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0.85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0.95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Agents must be more 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PER-M03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0.10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0.10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Fairness for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PER-M04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&lt;</m:t>
              </m:r>
              <m:r>
                <m:t>2.5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&lt;</m:t>
              </m:r>
              <m:r>
                <m:t>2.0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Agents have stricter drift tolerance</w:t>
            </w:r>
          </w:p>
        </w:tc>
      </w:tr>
    </w:tbl>
    <w:bookmarkEnd w:id="105"/>
    <w:bookmarkEnd w:id="106"/>
    <w:bookmarkStart w:id="107" w:name="relationship-to-core-safety-metrics-1"/>
    <w:p>
      <w:pPr>
        <w:pStyle w:val="Heading3"/>
      </w:pPr>
      <w:r>
        <w:t xml:space="preserve">Relationship to Core Safety Metrics</w:t>
      </w:r>
    </w:p>
    <w:p>
      <w:pPr>
        <w:pStyle w:val="FirstParagraph"/>
      </w:pPr>
      <w:r>
        <w:t xml:space="preserve">The persona metrics extend the core safety framework: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S-01 (Accuracy)</w:t>
      </w:r>
      <w:r>
        <w:t xml:space="preserve"> </w:t>
      </w:r>
      <w:r>
        <w:t xml:space="preserve">is decomposed by persona via</w:t>
      </w:r>
      <w:r>
        <w:t xml:space="preserve"> </w:t>
      </w:r>
      <w:r>
        <w:rPr>
          <w:b/>
          <w:bCs/>
        </w:rPr>
        <w:t xml:space="preserve">PER-M02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S-02 (Robustness)</w:t>
      </w:r>
      <w:r>
        <w:t xml:space="preserve"> </w:t>
      </w:r>
      <w:r>
        <w:t xml:space="preserve">is monitored per-persona via</w:t>
      </w:r>
      <w:r>
        <w:t xml:space="preserve"> </w:t>
      </w:r>
      <w:r>
        <w:rPr>
          <w:b/>
          <w:bCs/>
        </w:rPr>
        <w:t xml:space="preserve">PER-M04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S-04 (Fairness)</w:t>
      </w:r>
      <w:r>
        <w:t xml:space="preserve"> </w:t>
      </w:r>
      <w:r>
        <w:t xml:space="preserve">is quantified via</w:t>
      </w:r>
      <w:r>
        <w:t xml:space="preserve"> </w:t>
      </w:r>
      <w:r>
        <w:rPr>
          <w:b/>
          <w:bCs/>
        </w:rPr>
        <w:t xml:space="preserve">PER-M03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S-06 (Explainability)</w:t>
      </w:r>
      <w:r>
        <w:t xml:space="preserve"> </w:t>
      </w:r>
      <w:r>
        <w:t xml:space="preserve">requires persona classification rationale in audit trails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S-08 (Data Quality)</w:t>
      </w:r>
      <w:r>
        <w:t xml:space="preserve"> </w:t>
      </w:r>
      <w:r>
        <w:t xml:space="preserve">is ensured via</w:t>
      </w:r>
      <w:r>
        <w:t xml:space="preserve"> </w:t>
      </w:r>
      <w:r>
        <w:rPr>
          <w:b/>
          <w:bCs/>
        </w:rPr>
        <w:t xml:space="preserve">PER-M01</w:t>
      </w:r>
    </w:p>
    <w:p>
      <w:pPr>
        <w:pStyle w:val="FirstParagraph"/>
      </w:pPr>
      <w:r>
        <w:t xml:space="preserve">For complete persona taxonomy and generation pipeline details,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docs/latex/specs/simula/chapters/19-financial-prompt-generation.tex</w:t>
      </w:r>
      <w:r>
        <w:t xml:space="preserve">.</w:t>
      </w:r>
    </w:p>
    <w:bookmarkEnd w:id="107"/>
    <w:bookmarkEnd w:id="108"/>
    <w:bookmarkEnd w:id="109"/>
    <w:bookmarkStart w:id="129" w:name="ch:monitoring"/>
    <w:p>
      <w:pPr>
        <w:pStyle w:val="Heading1"/>
      </w:pPr>
      <w:r>
        <w:t xml:space="preserve">Monitoring, Alerting, and Audit Schema</w:t>
      </w:r>
    </w:p>
    <w:bookmarkStart w:id="110" w:name="monitoring-objectives"/>
    <w:p>
      <w:pPr>
        <w:pStyle w:val="Heading2"/>
      </w:pPr>
      <w:r>
        <w:t xml:space="preserve">Monitoring objectives</w:t>
      </w:r>
    </w:p>
    <w:p>
      <w:pPr>
        <w:pStyle w:val="FirstParagraph"/>
      </w:pPr>
      <w:r>
        <w:t xml:space="preserve">Post-deployment monitoring serves four objectives: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Detect policy violations and drift</w:t>
      </w:r>
      <w:r>
        <w:t xml:space="preserve"> </w:t>
      </w:r>
      <w:r>
        <w:t xml:space="preserve">in real-time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Maintain complete audit trail</w:t>
      </w:r>
      <w:r>
        <w:t xml:space="preserve"> </w:t>
      </w:r>
      <w:r>
        <w:t xml:space="preserve">for governance evidence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Enable rapid incident response</w:t>
      </w:r>
      <w:r>
        <w:t xml:space="preserve"> </w:t>
      </w:r>
      <w:r>
        <w:t xml:space="preserve">and containment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Support continuous improvement</w:t>
      </w:r>
      <w:r>
        <w:t xml:space="preserve"> </w:t>
      </w:r>
      <w:r>
        <w:t xml:space="preserve">through metrics analysis</w:t>
      </w:r>
    </w:p>
    <w:bookmarkEnd w:id="110"/>
    <w:bookmarkStart w:id="112" w:name="required-audit-schema"/>
    <w:p>
      <w:pPr>
        <w:pStyle w:val="Heading2"/>
      </w:pPr>
      <w:r>
        <w:t xml:space="preserve">Required audit schema</w:t>
      </w:r>
    </w:p>
    <w:p>
      <w:pPr>
        <w:pStyle w:val="FirstParagraph"/>
      </w:pPr>
      <w:r>
        <w:t xml:space="preserve">Every governed execution must record the following fields per</w:t>
      </w:r>
      <w:r>
        <w:t xml:space="preserve"> </w:t>
      </w:r>
      <w:r>
        <w:rPr>
          <w:rStyle w:val="VerbatimChar"/>
        </w:rPr>
        <w:t xml:space="preserve">docs/schema/regulations/audit-event.schema.json</w:t>
      </w:r>
      <w:r>
        <w:t xml:space="preserve">:</w:t>
      </w:r>
    </w:p>
    <w:bookmarkStart w:id="111" w:name="tab:audit-fields"/>
    <w:p>
      <w:pPr>
        <w:pStyle w:val="TableCaption"/>
      </w:pPr>
      <w:r>
        <w:t xml:space="preserve">Required Audit Event Fields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quired Audit Event Field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audit event identifier (e.g., evt-20260422-abc123)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Discriminator: agent_inference, agent_write, review_requested, review_approved, review_rejected, agent_error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8601 timestamp when event was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request_identity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ID, correlation ID, user ID, tenant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ID, type, version, service name, deployment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type, entity ID, input/output hashes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 approval steps if HITL invoked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(success/failure/pending), duration_ms, error_code</w:t>
            </w:r>
          </w:p>
        </w:tc>
      </w:tr>
    </w:tbl>
    <w:bookmarkEnd w:id="111"/>
    <w:bookmarkEnd w:id="112"/>
    <w:bookmarkStart w:id="115" w:name="identity-attribution-requirements"/>
    <w:p>
      <w:pPr>
        <w:pStyle w:val="Heading2"/>
      </w:pPr>
      <w:r>
        <w:t xml:space="preserve">Identity attribution requirements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AGT-03</w:t>
      </w:r>
      <w:r>
        <w:t xml:space="preserve"> </w:t>
      </w:r>
      <w:r>
        <w:t xml:space="preserve">and REG-MGF-2.1.2-002, every action must be attributable:</w:t>
      </w:r>
    </w:p>
    <w:bookmarkStart w:id="113" w:name="agent-identity-fields"/>
    <w:p>
      <w:pPr>
        <w:pStyle w:val="Heading3"/>
      </w:pPr>
      <w:r>
        <w:t xml:space="preserve">Agent identity fields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agent_id</w:t>
      </w:r>
      <w:r>
        <w:t xml:space="preserve">: Unique identifier for the agent instance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agent_type</w:t>
      </w:r>
      <w:r>
        <w:t xml:space="preserve">: Classification (e.g., predictive-analytics)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agent_version</w:t>
      </w:r>
      <w:r>
        <w:t xml:space="preserve">: Semantic version of agent code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service_name</w:t>
      </w:r>
      <w:r>
        <w:t xml:space="preserve">: Hosting service identifier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deployment_id</w:t>
      </w:r>
      <w:r>
        <w:t xml:space="preserve">: Specific deployment instance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model_id</w:t>
      </w:r>
      <w:r>
        <w:t xml:space="preserve">: Underlying model identifier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trust_level</w:t>
      </w:r>
      <w:r>
        <w:t xml:space="preserve">: Autonomy level (L1–L4)</w:t>
      </w:r>
    </w:p>
    <w:bookmarkEnd w:id="113"/>
    <w:bookmarkStart w:id="114" w:name="request-identity-fields"/>
    <w:p>
      <w:pPr>
        <w:pStyle w:val="Heading3"/>
      </w:pPr>
      <w:r>
        <w:t xml:space="preserve">Request identity fields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request_id</w:t>
      </w:r>
      <w:r>
        <w:t xml:space="preserve">: Unique request identifier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correlation_id</w:t>
      </w:r>
      <w:r>
        <w:t xml:space="preserve">: Correlation ID for distributed tracing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user_id</w:t>
      </w:r>
      <w:r>
        <w:t xml:space="preserve">: Requesting user (if applicable)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tenant_id</w:t>
      </w:r>
      <w:r>
        <w:t xml:space="preserve">: Tenant context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timestamp</w:t>
      </w:r>
      <w:r>
        <w:t xml:space="preserve">: Request timestamp</w:t>
      </w:r>
    </w:p>
    <w:bookmarkEnd w:id="114"/>
    <w:bookmarkEnd w:id="115"/>
    <w:bookmarkStart w:id="116" w:name="audit-reservation-pattern"/>
    <w:p>
      <w:pPr>
        <w:pStyle w:val="Heading2"/>
      </w:pPr>
      <w:r>
        <w:t xml:space="preserve">Audit reservation pattern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reservation-before-action</w:t>
      </w:r>
      <w:r>
        <w:t xml:space="preserve"> </w:t>
      </w:r>
      <w:r>
        <w:t xml:space="preserve">pattern ensures audit completeness: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Reserve</w:t>
      </w:r>
      <w:r>
        <w:t xml:space="preserve">: Before executing an action, reserve an audit event</w:t>
      </w:r>
      <w:r>
        <w:t xml:space="preserve"> </w:t>
      </w:r>
      <w:r>
        <w:t xml:space="preserve">with status</w:t>
      </w:r>
      <w:r>
        <w:t xml:space="preserve"> </w:t>
      </w:r>
      <w:r>
        <w:t xml:space="preserve">“reserved”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Execute</w:t>
      </w:r>
      <w:r>
        <w:t xml:space="preserve">: Perform the action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Complete</w:t>
      </w:r>
      <w:r>
        <w:t xml:space="preserve">: Update the audit event with outcome (success/failure)</w:t>
      </w:r>
    </w:p>
    <w:p>
      <w:pPr>
        <w:pStyle w:val="FirstParagraph"/>
      </w:pPr>
      <w:r>
        <w:t xml:space="preserve">If the action crashes without completing the audit, the reservation becomes</w:t>
      </w:r>
      <w:r>
        <w:t xml:space="preserve"> </w:t>
      </w:r>
      <w:r>
        <w:t xml:space="preserve">an</w:t>
      </w:r>
      <w:r>
        <w:t xml:space="preserve"> </w:t>
      </w:r>
      <w:r>
        <w:t xml:space="preserve">“orphan”</w:t>
      </w:r>
      <w:r>
        <w:t xml:space="preserve"> </w:t>
      </w:r>
      <w:r>
        <w:t xml:space="preserve">that indicates a governance failure requiring investigation.</w:t>
      </w:r>
    </w:p>
    <w:p>
      <w:pPr>
        <w:pStyle w:val="BodyText"/>
      </w:pPr>
      <w:r>
        <w:t xml:space="preserve">No irreversible action may execute without a successful audit reservation.</w:t>
      </w:r>
      <w:r>
        <w:t xml:space="preserve"> </w:t>
      </w:r>
      <w:r>
        <w:t xml:space="preserve">If the reservation fails, the action must be blocked.</w:t>
      </w:r>
    </w:p>
    <w:bookmarkEnd w:id="116"/>
    <w:bookmarkStart w:id="118" w:name="alert-severity-classes"/>
    <w:p>
      <w:pPr>
        <w:pStyle w:val="Heading2"/>
      </w:pPr>
      <w:r>
        <w:t xml:space="preserve">Alert severity classes</w:t>
      </w:r>
    </w:p>
    <w:bookmarkStart w:id="117" w:name="tab:alert-classes"/>
    <w:p>
      <w:pPr>
        <w:pStyle w:val="TableCaption"/>
      </w:pPr>
      <w:r>
        <w:t xml:space="preserve">Alert Severity Classes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lert Severity Class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15</m:t>
              </m:r>
            </m:oMath>
            <w:r>
              <w:t xml:space="preserve"> </w:t>
            </w: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missing, audit failure, circuit breaker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Orphaned audit, topic drift, latency spike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t xml:space="preserve"> </w:t>
            </w: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degradation, approval bottlenecks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business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operations, recovered services</w:t>
            </w:r>
          </w:p>
        </w:tc>
      </w:tr>
    </w:tbl>
    <w:bookmarkEnd w:id="117"/>
    <w:bookmarkEnd w:id="118"/>
    <w:bookmarkStart w:id="120" w:name="condition-codes"/>
    <w:p>
      <w:pPr>
        <w:pStyle w:val="Heading2"/>
      </w:pPr>
      <w:r>
        <w:t xml:space="preserve">Condition codes</w:t>
      </w:r>
    </w:p>
    <w:p>
      <w:pPr>
        <w:pStyle w:val="FirstParagraph"/>
      </w:pPr>
      <w:r>
        <w:t xml:space="preserve">Condition codes provide machine-readable alert classification:</w:t>
      </w:r>
    </w:p>
    <w:bookmarkStart w:id="119" w:name="tab:condition-codes"/>
    <w:p>
      <w:pPr>
        <w:pStyle w:val="TableCaption"/>
      </w:pPr>
      <w:r>
        <w:t xml:space="preserve">Governance Condition Codes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overnance Condition Code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REG-ING-001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called not in allow-list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REG-ING-002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envelope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REG-AUD-001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reservation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REG-AUD-002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Orphaned audit event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REG-SCHEMA-001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payload schema violation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REG-DRIFT-001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 similarity below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REG-LATENCY-001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latency exceeded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REG-REFUSAL-001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Refusal rate elevated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REG-CB-001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breaker opened</w:t>
            </w:r>
          </w:p>
        </w:tc>
      </w:tr>
    </w:tbl>
    <w:bookmarkEnd w:id="119"/>
    <w:bookmarkEnd w:id="120"/>
    <w:bookmarkStart w:id="122" w:name="circuit-break-rules"/>
    <w:p>
      <w:pPr>
        <w:pStyle w:val="Heading2"/>
      </w:pPr>
      <w:r>
        <w:t xml:space="preserve">Circuit-break rules</w:t>
      </w:r>
    </w:p>
    <w:p>
      <w:pPr>
        <w:pStyle w:val="FirstParagraph"/>
      </w:pPr>
      <w:r>
        <w:t xml:space="preserve">Circuit breakers protect against cascade failures:</w:t>
      </w:r>
    </w:p>
    <w:bookmarkStart w:id="121" w:name="tab:circuit-break"/>
    <w:p>
      <w:pPr>
        <w:pStyle w:val="TableCaption"/>
      </w:pPr>
      <w:r>
        <w:t xml:space="preserve">Circuit-Break Triggers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ircuit-Break Trigger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 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consecutive critical alerts in 15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until manual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verification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consecutive failed health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seconds auto-retry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Auto-close on success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10% error rate in 5-minute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until manual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Investigation required</w:t>
            </w:r>
          </w:p>
        </w:tc>
      </w:tr>
    </w:tbl>
    <w:bookmarkEnd w:id="121"/>
    <w:bookmarkEnd w:id="122"/>
    <w:bookmarkStart w:id="125" w:name="drift-and-anomaly-detection"/>
    <w:p>
      <w:pPr>
        <w:pStyle w:val="Heading2"/>
      </w:pPr>
      <w:r>
        <w:t xml:space="preserve">Drift and anomaly detection</w:t>
      </w:r>
    </w:p>
    <w:bookmarkStart w:id="123" w:name="population-stability-index-psi"/>
    <w:p>
      <w:pPr>
        <w:pStyle w:val="Heading3"/>
      </w:pPr>
      <w:r>
        <w:t xml:space="preserve">Population Stability Index (PSI)</w:t>
      </w:r>
    </w:p>
    <w:p>
      <w:pPr>
        <w:pStyle w:val="FirstParagraph"/>
      </w:pPr>
      <w:r>
        <w:t xml:space="preserve">For detecting distribution drift in model inputs/outputs: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P</m:t>
              </m:r>
              <m:r>
                <m:t>S</m:t>
              </m:r>
              <m:r>
                <m:t>I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actual proportion in bin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expected proportion.</w:t>
      </w:r>
    </w:p>
    <w:p>
      <w:pPr>
        <w:pStyle w:val="TableCaption"/>
      </w:pPr>
      <w:r>
        <w:t xml:space="preserve">PSI Interpretation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SI Interpreta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PSI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t>S</m:t>
              </m:r>
              <m:r>
                <m:t>I</m:t>
              </m:r>
              <m:r>
                <m:rPr>
                  <m:sty m:val="p"/>
                </m:rPr>
                <m:t>&lt;</m:t>
              </m:r>
              <m:r>
                <m:t>0.10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 significant drift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0.10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t>S</m:t>
              </m:r>
              <m:r>
                <m:t>I</m:t>
              </m:r>
              <m:r>
                <m:rPr>
                  <m:sty m:val="p"/>
                </m:rPr>
                <m:t>&lt;</m:t>
              </m:r>
              <m:r>
                <m:t>0.25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Moderate drift, investigate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t>S</m:t>
              </m:r>
              <m:r>
                <m:t>I</m:t>
              </m:r>
              <m:r>
                <m:rPr>
                  <m:sty m:val="p"/>
                </m:rPr>
                <m:t>≥</m:t>
              </m:r>
              <m:r>
                <m:t>0.25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Significant drift, action required</w:t>
            </w:r>
          </w:p>
        </w:tc>
      </w:tr>
    </w:tbl>
    <w:bookmarkEnd w:id="123"/>
    <w:bookmarkStart w:id="124" w:name="robust-z-score"/>
    <w:p>
      <w:pPr>
        <w:pStyle w:val="Heading3"/>
      </w:pPr>
      <w:r>
        <w:t xml:space="preserve">Robust Z-Score</w:t>
      </w:r>
    </w:p>
    <w:p>
      <w:pPr>
        <w:pStyle w:val="FirstParagraph"/>
      </w:pPr>
      <w:r>
        <w:t xml:space="preserve">For anomaly detection with outlier resistance: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Z</m:t>
                  </m:r>
                </m:e>
                <m:sub>
                  <m:r>
                    <m:rPr>
                      <m:nor/>
                      <m:sty m:val="p"/>
                    </m:rPr>
                    <m:t>robust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median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1.4826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nor/>
                      <m:sty m:val="p"/>
                    </m:rPr>
                    <m:t>MAD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borderBox>
        </m:oMath>
      </m:oMathPara>
    </w:p>
    <w:p>
      <w:pPr>
        <w:pStyle w:val="FirstParagraph"/>
      </w:pPr>
      <w:r>
        <w:t xml:space="preserve">where MAD is the Median Absolute Deviation. The factor 1.4826 normalizes MAD</w:t>
      </w:r>
      <w:r>
        <w:t xml:space="preserve"> </w:t>
      </w:r>
      <w:r>
        <w:t xml:space="preserve">to be consistent with standard deviation for normal distributions.</w:t>
      </w:r>
    </w:p>
    <w:p>
      <w:pPr>
        <w:pStyle w:val="TableCaption"/>
      </w:pPr>
      <w:r>
        <w:t xml:space="preserve">Z-Score Thresholds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Z-Score Threshold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Z-Score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</w:tr>
    </w:tbl>
    <w:bookmarkEnd w:id="124"/>
    <w:bookmarkEnd w:id="125"/>
    <w:bookmarkStart w:id="126" w:name="required-alert-payload"/>
    <w:p>
      <w:pPr>
        <w:pStyle w:val="Heading2"/>
      </w:pPr>
      <w:r>
        <w:t xml:space="preserve">Required alert payload</w:t>
      </w:r>
    </w:p>
    <w:p>
      <w:pPr>
        <w:pStyle w:val="FirstParagraph"/>
      </w:pPr>
      <w:r>
        <w:t xml:space="preserve">Every alert must include:</w:t>
      </w:r>
    </w:p>
    <w:p>
      <w:pPr>
        <w:pStyle w:val="TableCaption"/>
      </w:pPr>
      <w:r>
        <w:t xml:space="preserve">Required Alert Payload Fields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quired Alert Payload Field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that triggered the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correlation_id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 for distributed tracing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that generated the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Critical, High, Medium, Informational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Machine-readable condition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supporting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observed_value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value that triggered the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threshold_value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threshold that was violated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recommended_action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condition was detected</w:t>
            </w:r>
          </w:p>
        </w:tc>
      </w:tr>
    </w:tbl>
    <w:bookmarkEnd w:id="126"/>
    <w:bookmarkStart w:id="127" w:name="operator-triage-checklist"/>
    <w:p>
      <w:pPr>
        <w:pStyle w:val="Heading2"/>
      </w:pPr>
      <w:r>
        <w:t xml:space="preserve">Operator triage checklist</w:t>
      </w:r>
    </w:p>
    <w:p>
      <w:pPr>
        <w:pStyle w:val="FirstParagraph"/>
      </w:pPr>
      <w:r>
        <w:t xml:space="preserve">When an alert is received:</w:t>
      </w:r>
    </w:p>
    <w:p>
      <w:pPr>
        <w:numPr>
          <w:ilvl w:val="0"/>
          <w:numId w:val="1029"/>
        </w:numPr>
      </w:pPr>
      <w:r>
        <w:t xml:space="preserve">Confirm the request_id and correlation_id</w:t>
      </w:r>
    </w:p>
    <w:p>
      <w:pPr>
        <w:numPr>
          <w:ilvl w:val="0"/>
          <w:numId w:val="1029"/>
        </w:numPr>
      </w:pPr>
      <w:r>
        <w:t xml:space="preserve">Confirm the agent_id and deployment context</w:t>
      </w:r>
    </w:p>
    <w:p>
      <w:pPr>
        <w:numPr>
          <w:ilvl w:val="0"/>
          <w:numId w:val="1029"/>
        </w:numPr>
      </w:pPr>
      <w:r>
        <w:t xml:space="preserve">Confirm the condition_code and severity</w:t>
      </w:r>
    </w:p>
    <w:p>
      <w:pPr>
        <w:numPr>
          <w:ilvl w:val="0"/>
          <w:numId w:val="1029"/>
        </w:numPr>
      </w:pPr>
      <w:r>
        <w:t xml:space="preserve">Verify the observed value against the threshold</w:t>
      </w:r>
    </w:p>
    <w:p>
      <w:pPr>
        <w:numPr>
          <w:ilvl w:val="0"/>
          <w:numId w:val="1029"/>
        </w:numPr>
      </w:pPr>
      <w:r>
        <w:t xml:space="preserve">Check the evidence source for additional context</w:t>
      </w:r>
    </w:p>
    <w:p>
      <w:pPr>
        <w:numPr>
          <w:ilvl w:val="0"/>
          <w:numId w:val="1029"/>
        </w:numPr>
      </w:pPr>
      <w:r>
        <w:t xml:space="preserve">Determine if this is a known issue (check Known Issues Registry)</w:t>
      </w:r>
    </w:p>
    <w:p>
      <w:pPr>
        <w:numPr>
          <w:ilvl w:val="0"/>
          <w:numId w:val="1029"/>
        </w:numPr>
      </w:pPr>
      <w:r>
        <w:t xml:space="preserve">Execute recommended action or escalate</w:t>
      </w:r>
    </w:p>
    <w:p>
      <w:pPr>
        <w:numPr>
          <w:ilvl w:val="0"/>
          <w:numId w:val="1029"/>
        </w:numPr>
      </w:pPr>
      <w:r>
        <w:t xml:space="preserve">Document resolution in incident ticket</w:t>
      </w:r>
    </w:p>
    <w:bookmarkEnd w:id="127"/>
    <w:bookmarkStart w:id="128" w:name="minimum-evidence-to-close-an-alert"/>
    <w:p>
      <w:pPr>
        <w:pStyle w:val="Heading2"/>
      </w:pPr>
      <w:r>
        <w:t xml:space="preserve">Minimum evidence to close an alert</w:t>
      </w:r>
    </w:p>
    <w:p>
      <w:pPr>
        <w:numPr>
          <w:ilvl w:val="0"/>
          <w:numId w:val="1030"/>
        </w:numPr>
      </w:pPr>
      <w:r>
        <w:t xml:space="preserve">Root cause identified</w:t>
      </w:r>
    </w:p>
    <w:p>
      <w:pPr>
        <w:numPr>
          <w:ilvl w:val="0"/>
          <w:numId w:val="1030"/>
        </w:numPr>
      </w:pPr>
      <w:r>
        <w:t xml:space="preserve">Mitigation applied</w:t>
      </w:r>
    </w:p>
    <w:p>
      <w:pPr>
        <w:numPr>
          <w:ilvl w:val="0"/>
          <w:numId w:val="1030"/>
        </w:numPr>
      </w:pPr>
      <w:r>
        <w:t xml:space="preserve">Audit trail shows successful processing post-fix</w:t>
      </w:r>
    </w:p>
    <w:p>
      <w:pPr>
        <w:numPr>
          <w:ilvl w:val="0"/>
          <w:numId w:val="1030"/>
        </w:numPr>
      </w:pPr>
      <w:r>
        <w:t xml:space="preserve">No recurrence within observation window (15 minutes minimum)</w:t>
      </w:r>
    </w:p>
    <w:bookmarkEnd w:id="128"/>
    <w:bookmarkEnd w:id="129"/>
    <w:bookmarkStart w:id="150" w:name="ch:implementation"/>
    <w:p>
      <w:pPr>
        <w:pStyle w:val="Heading1"/>
      </w:pPr>
      <w:r>
        <w:t xml:space="preserve">Implementation Design</w:t>
      </w:r>
    </w:p>
    <w:bookmarkStart w:id="131" w:name="repository-structure"/>
    <w:p>
      <w:pPr>
        <w:pStyle w:val="Heading2"/>
      </w:pPr>
      <w:r>
        <w:t xml:space="preserve">Repository structure</w:t>
      </w:r>
    </w:p>
    <w:p>
      <w:pPr>
        <w:pStyle w:val="FirstParagraph"/>
      </w:pPr>
      <w:r>
        <w:t xml:space="preserve">The governance framework is implemented across several repository paths:</w:t>
      </w:r>
    </w:p>
    <w:bookmarkStart w:id="130" w:name="tab:implementation-paths"/>
    <w:p>
      <w:pPr>
        <w:pStyle w:val="TableCaption"/>
      </w:pPr>
      <w:r>
        <w:t xml:space="preserve">Key Implementation Paths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Key Implementation Path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src/intelligence/ai-core-pal/governance/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and audit 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src/intelligence/ai-core-pal/agent/governed_agent.py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Governance-compliant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src/intelligence/.clinerules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agent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src/intelligence/.clinerules.runtime-monitor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monitor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src/generativeUI/gateway/.clinerules.runtime-monitor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ingress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docs/schema/regulations/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Schemas for governance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docs/latex/specs/regulations/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Regulations corpus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docs/latex/specs/singapore-ai-safety/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specification</w:t>
            </w:r>
          </w:p>
        </w:tc>
      </w:tr>
    </w:tbl>
    <w:bookmarkEnd w:id="130"/>
    <w:bookmarkEnd w:id="131"/>
    <w:bookmarkStart w:id="135" w:name="governance-module-architecture"/>
    <w:p>
      <w:pPr>
        <w:pStyle w:val="Heading2"/>
      </w:pPr>
      <w:r>
        <w:t xml:space="preserve">Governance module architecture</w:t>
      </w:r>
    </w:p>
    <w:p>
      <w:pPr>
        <w:pStyle w:val="FirstParagraph"/>
      </w:pPr>
      <w:r>
        <w:t xml:space="preserve">The governance module in</w:t>
      </w:r>
      <w:r>
        <w:t xml:space="preserve"> </w:t>
      </w:r>
      <w:r>
        <w:rPr>
          <w:rStyle w:val="VerbatimChar"/>
        </w:rPr>
        <w:t xml:space="preserve">src/intelligence/ai-core-pal/governance/</w:t>
      </w:r>
      <w:r>
        <w:t xml:space="preserve"> </w:t>
      </w:r>
      <w:r>
        <w:t xml:space="preserve">consists of three components:</w:t>
      </w:r>
    </w:p>
    <w:bookmarkStart w:id="132" w:name="identity-module-identity.py"/>
    <w:p>
      <w:pPr>
        <w:pStyle w:val="Heading3"/>
      </w:pPr>
      <w:r>
        <w:t xml:space="preserve">Identity module (</w:t>
      </w:r>
      <w:r>
        <w:rPr>
          <w:rStyle w:val="VerbatimChar"/>
        </w:rPr>
        <w:t xml:space="preserve">identity.py</w:t>
      </w:r>
      <w:r>
        <w:t xml:space="preserve">)</w:t>
      </w:r>
    </w:p>
    <w:p>
      <w:pPr>
        <w:pStyle w:val="FirstParagraph"/>
      </w:pPr>
      <w:r>
        <w:t xml:space="preserve">Implements identity attribution per REG-MGF-2.1.2-002: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AgentIdentity</w:t>
      </w:r>
      <w:r>
        <w:t xml:space="preserve">: Dataclass for agent identity fields, validated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agent-identity.schema.json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RequestIdentity</w:t>
      </w:r>
      <w:r>
        <w:t xml:space="preserve">: Dataclass for request identity fields, validated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request-identity.schema.json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IdentityEnvelope</w:t>
      </w:r>
      <w:r>
        <w:t xml:space="preserve">: Combined envelope for governance tracking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IdentityProvider</w:t>
      </w:r>
      <w:r>
        <w:t xml:space="preserve">: Factory for creating and validating identity</w:t>
      </w:r>
      <w:r>
        <w:t xml:space="preserve"> </w:t>
      </w:r>
      <w:r>
        <w:t xml:space="preserve">envelopes</w:t>
      </w:r>
    </w:p>
    <w:bookmarkEnd w:id="132"/>
    <w:bookmarkStart w:id="133" w:name="audit-module-audit.py"/>
    <w:p>
      <w:pPr>
        <w:pStyle w:val="Heading3"/>
      </w:pPr>
      <w:r>
        <w:t xml:space="preserve">Audit module (</w:t>
      </w:r>
      <w:r>
        <w:rPr>
          <w:rStyle w:val="VerbatimChar"/>
        </w:rPr>
        <w:t xml:space="preserve">audit.py</w:t>
      </w:r>
      <w:r>
        <w:t xml:space="preserve">)</w:t>
      </w:r>
    </w:p>
    <w:p>
      <w:pPr>
        <w:pStyle w:val="FirstParagraph"/>
      </w:pPr>
      <w:r>
        <w:t xml:space="preserve">Implements durable audit trail per REG-MGF-2.3.3-002: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AuditEvent</w:t>
      </w:r>
      <w:r>
        <w:t xml:space="preserve">: Dataclass for audit events, validated against</w:t>
      </w:r>
      <w:r>
        <w:t xml:space="preserve"> </w:t>
      </w:r>
      <w:r>
        <w:rPr>
          <w:rStyle w:val="VerbatimChar"/>
        </w:rPr>
        <w:t xml:space="preserve">audit-event.schema.json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AuditReservation</w:t>
      </w:r>
      <w:r>
        <w:t xml:space="preserve">: Reservation-before-action pattern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DurableAuditStore</w:t>
      </w:r>
      <w:r>
        <w:t xml:space="preserve">: SQLite-backed persistent storage</w:t>
      </w:r>
    </w:p>
    <w:p>
      <w:pPr>
        <w:numPr>
          <w:ilvl w:val="0"/>
          <w:numId w:val="1032"/>
        </w:numPr>
      </w:pPr>
      <w:r>
        <w:t xml:space="preserve">Support for reservation, completion, orphan detection</w:t>
      </w:r>
    </w:p>
    <w:bookmarkEnd w:id="133"/>
    <w:bookmarkStart w:id="134" w:name="governed-agent-governed_agent.py"/>
    <w:p>
      <w:pPr>
        <w:pStyle w:val="Heading3"/>
      </w:pPr>
      <w:r>
        <w:t xml:space="preserve">Governed agent (</w:t>
      </w:r>
      <w:r>
        <w:rPr>
          <w:rStyle w:val="VerbatimChar"/>
        </w:rPr>
        <w:t xml:space="preserve">governed_agent.py</w:t>
      </w:r>
      <w:r>
        <w:t xml:space="preserve">)</w:t>
      </w:r>
    </w:p>
    <w:p>
      <w:pPr>
        <w:pStyle w:val="FirstParagraph"/>
      </w:pPr>
      <w:r>
        <w:t xml:space="preserve">Implements the full governance flow:</w:t>
      </w:r>
    </w:p>
    <w:p>
      <w:pPr>
        <w:numPr>
          <w:ilvl w:val="0"/>
          <w:numId w:val="1033"/>
        </w:numPr>
      </w:pPr>
      <w:r>
        <w:t xml:space="preserve">Create identity envelope</w:t>
      </w:r>
    </w:p>
    <w:p>
      <w:pPr>
        <w:numPr>
          <w:ilvl w:val="0"/>
          <w:numId w:val="1033"/>
        </w:numPr>
      </w:pPr>
      <w:r>
        <w:t xml:space="preserve">Validate envelope</w:t>
      </w:r>
    </w:p>
    <w:p>
      <w:pPr>
        <w:numPr>
          <w:ilvl w:val="0"/>
          <w:numId w:val="1033"/>
        </w:numPr>
      </w:pPr>
      <w:r>
        <w:t xml:space="preserve">Check tool allow-list (deny-by-default)</w:t>
      </w:r>
    </w:p>
    <w:p>
      <w:pPr>
        <w:numPr>
          <w:ilvl w:val="0"/>
          <w:numId w:val="1033"/>
        </w:numPr>
      </w:pPr>
      <w:r>
        <w:t xml:space="preserve">Check approval requirements</w:t>
      </w:r>
    </w:p>
    <w:p>
      <w:pPr>
        <w:numPr>
          <w:ilvl w:val="0"/>
          <w:numId w:val="1033"/>
        </w:numPr>
      </w:pPr>
      <w:r>
        <w:t xml:space="preserve">Reserve audit BEFORE action</w:t>
      </w:r>
    </w:p>
    <w:p>
      <w:pPr>
        <w:numPr>
          <w:ilvl w:val="0"/>
          <w:numId w:val="1033"/>
        </w:numPr>
      </w:pPr>
      <w:r>
        <w:t xml:space="preserve">Execute action</w:t>
      </w:r>
    </w:p>
    <w:p>
      <w:pPr>
        <w:numPr>
          <w:ilvl w:val="0"/>
          <w:numId w:val="1033"/>
        </w:numPr>
      </w:pPr>
      <w:r>
        <w:t xml:space="preserve">Complete audit AFTER action</w:t>
      </w:r>
    </w:p>
    <w:bookmarkEnd w:id="134"/>
    <w:bookmarkEnd w:id="135"/>
    <w:bookmarkStart w:id="136" w:name="json-schemas"/>
    <w:p>
      <w:pPr>
        <w:pStyle w:val="Heading2"/>
      </w:pPr>
      <w:r>
        <w:t xml:space="preserve">JSON schemas</w:t>
      </w:r>
    </w:p>
    <w:p>
      <w:pPr>
        <w:pStyle w:val="FirstParagraph"/>
      </w:pPr>
      <w:r>
        <w:t xml:space="preserve">Governance contracts are defined in machine-readable JSON Schema format:</w:t>
      </w:r>
    </w:p>
    <w:p>
      <w:pPr>
        <w:pStyle w:val="TableCaption"/>
      </w:pPr>
      <w:r>
        <w:t xml:space="preserve">Governance JSON Schemas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overnance JSON Schema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agent-identity.schema.json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identity fields and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request-identity.schema.json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identity fields and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audit-event.schema.json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event structure with oneOf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requirement.schema.json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requirement with status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regulation.schema.json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regulation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conformance-tool.schema.json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Verify / Moonshot tool references</w:t>
            </w:r>
          </w:p>
        </w:tc>
      </w:tr>
    </w:tbl>
    <w:bookmarkEnd w:id="136"/>
    <w:bookmarkStart w:id="139" w:name="agent-rule-packs"/>
    <w:p>
      <w:pPr>
        <w:pStyle w:val="Heading2"/>
      </w:pPr>
      <w:r>
        <w:t xml:space="preserve">Agent rule packs</w:t>
      </w:r>
    </w:p>
    <w:p>
      <w:pPr>
        <w:pStyle w:val="FirstParagraph"/>
      </w:pPr>
      <w:r>
        <w:t xml:space="preserve">Two complementary rule packs govern agent behavior:</w:t>
      </w:r>
    </w:p>
    <w:bookmarkStart w:id="137" w:name="development-pack-.clinerules"/>
    <w:p>
      <w:pPr>
        <w:pStyle w:val="Heading3"/>
      </w:pPr>
      <w:r>
        <w:t xml:space="preserve">Development pack (</w:t>
      </w:r>
      <w:r>
        <w:rPr>
          <w:rStyle w:val="VerbatimChar"/>
        </w:rPr>
        <w:t xml:space="preserve">.clinerules</w:t>
      </w:r>
      <w:r>
        <w:t xml:space="preserve">)</w:t>
      </w:r>
    </w:p>
    <w:p>
      <w:pPr>
        <w:pStyle w:val="FirstParagraph"/>
      </w:pPr>
      <w:r>
        <w:t xml:space="preserve">Guides agent development with:</w:t>
      </w:r>
    </w:p>
    <w:p>
      <w:pPr>
        <w:numPr>
          <w:ilvl w:val="0"/>
          <w:numId w:val="1034"/>
        </w:numPr>
      </w:pPr>
      <w:r>
        <w:t xml:space="preserve">Source of truth references</w:t>
      </w:r>
    </w:p>
    <w:p>
      <w:pPr>
        <w:numPr>
          <w:ilvl w:val="0"/>
          <w:numId w:val="1034"/>
        </w:numPr>
      </w:pPr>
      <w:r>
        <w:t xml:space="preserve">Definition of done criteria</w:t>
      </w:r>
    </w:p>
    <w:p>
      <w:pPr>
        <w:numPr>
          <w:ilvl w:val="0"/>
          <w:numId w:val="1034"/>
        </w:numPr>
      </w:pPr>
      <w:r>
        <w:t xml:space="preserve">Non-negotiable engineering rules</w:t>
      </w:r>
    </w:p>
    <w:p>
      <w:pPr>
        <w:numPr>
          <w:ilvl w:val="0"/>
          <w:numId w:val="1034"/>
        </w:numPr>
      </w:pPr>
      <w:r>
        <w:t xml:space="preserve">Known issue registry</w:t>
      </w:r>
    </w:p>
    <w:p>
      <w:pPr>
        <w:numPr>
          <w:ilvl w:val="0"/>
          <w:numId w:val="1034"/>
        </w:numPr>
      </w:pPr>
      <w:r>
        <w:t xml:space="preserve">Default thresholds</w:t>
      </w:r>
    </w:p>
    <w:bookmarkEnd w:id="137"/>
    <w:bookmarkStart w:id="138" w:name="Xebdd8be4cfff73f735c8e406f503c67ff420b71"/>
    <w:p>
      <w:pPr>
        <w:pStyle w:val="Heading3"/>
      </w:pPr>
      <w:r>
        <w:t xml:space="preserve">Runtime-monitor pack (</w:t>
      </w:r>
      <w:r>
        <w:rPr>
          <w:rStyle w:val="VerbatimChar"/>
        </w:rPr>
        <w:t xml:space="preserve">.clinerules.runtime-monitor</w:t>
      </w:r>
      <w:r>
        <w:t xml:space="preserve">)</w:t>
      </w:r>
    </w:p>
    <w:p>
      <w:pPr>
        <w:pStyle w:val="FirstParagraph"/>
      </w:pPr>
      <w:r>
        <w:t xml:space="preserve">Guides runtime monitoring with:</w:t>
      </w:r>
    </w:p>
    <w:p>
      <w:pPr>
        <w:numPr>
          <w:ilvl w:val="0"/>
          <w:numId w:val="1035"/>
        </w:numPr>
      </w:pPr>
      <w:r>
        <w:t xml:space="preserve">Condition codes and severities</w:t>
      </w:r>
    </w:p>
    <w:p>
      <w:pPr>
        <w:numPr>
          <w:ilvl w:val="0"/>
          <w:numId w:val="1035"/>
        </w:numPr>
      </w:pPr>
      <w:r>
        <w:t xml:space="preserve">Alert thresholds</w:t>
      </w:r>
    </w:p>
    <w:p>
      <w:pPr>
        <w:numPr>
          <w:ilvl w:val="0"/>
          <w:numId w:val="1035"/>
        </w:numPr>
      </w:pPr>
      <w:r>
        <w:t xml:space="preserve">Circuit-break triggers</w:t>
      </w:r>
    </w:p>
    <w:p>
      <w:pPr>
        <w:numPr>
          <w:ilvl w:val="0"/>
          <w:numId w:val="1035"/>
        </w:numPr>
      </w:pPr>
      <w:r>
        <w:t xml:space="preserve">Evidence sources</w:t>
      </w:r>
    </w:p>
    <w:p>
      <w:pPr>
        <w:numPr>
          <w:ilvl w:val="0"/>
          <w:numId w:val="1035"/>
        </w:numPr>
      </w:pPr>
      <w:r>
        <w:t xml:space="preserve">Operator triage checklist</w:t>
      </w:r>
    </w:p>
    <w:bookmarkEnd w:id="138"/>
    <w:bookmarkEnd w:id="139"/>
    <w:bookmarkStart w:id="141" w:name="compliance-requirements-mapping"/>
    <w:p>
      <w:pPr>
        <w:pStyle w:val="Heading2"/>
      </w:pPr>
      <w:r>
        <w:t xml:space="preserve">Compliance requirements mapping</w:t>
      </w:r>
    </w:p>
    <w:bookmarkStart w:id="140" w:name="tab:implementation-status"/>
    <w:p>
      <w:pPr>
        <w:pStyle w:val="TableCaption"/>
      </w:pPr>
      <w:r>
        <w:t xml:space="preserve">Implementation Status by Requirement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mplementation Status by Requiremen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REG-MGF-2.1.2-001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GovernedGovernanceEngine.ALLOWED_TOOLS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REG-MGF-2.1.2-002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IdentityEnvelope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REG-MGF-2.1.2-003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Sandboxing via container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REG-MGF-2.2.2-001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APPROVAL_REQUIRED_TOOLS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REG-MGF-2.3.3-002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DurableAuditStore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Chapter 10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Reservation-before-action pattern</w:t>
            </w:r>
          </w:p>
        </w:tc>
      </w:tr>
    </w:tbl>
    <w:bookmarkEnd w:id="140"/>
    <w:bookmarkEnd w:id="141"/>
    <w:bookmarkStart w:id="145" w:name="integration-points"/>
    <w:p>
      <w:pPr>
        <w:pStyle w:val="Heading2"/>
      </w:pPr>
      <w:r>
        <w:t xml:space="preserve">Integration points</w:t>
      </w:r>
    </w:p>
    <w:bookmarkStart w:id="142" w:name="mcp-tool-allow-list"/>
    <w:p>
      <w:pPr>
        <w:pStyle w:val="Heading3"/>
      </w:pPr>
      <w:r>
        <w:t xml:space="preserve">MCP tool allow-list</w:t>
      </w:r>
    </w:p>
    <w:p>
      <w:pPr>
        <w:pStyle w:val="FirstParagraph"/>
      </w:pPr>
      <w:r>
        <w:t xml:space="preserve">The governance engine maintains an explicit allow-list:</w:t>
      </w:r>
    </w:p>
    <w:p>
      <w:pPr>
        <w:pStyle w:val="SourceCode"/>
      </w:pPr>
      <w:r>
        <w:rPr>
          <w:rStyle w:val="VerbatimChar"/>
        </w:rPr>
        <w:t xml:space="preserve">ALLOWED_TOOLS = frozenset({</w:t>
      </w:r>
      <w:r>
        <w:br/>
      </w:r>
      <w:r>
        <w:rPr>
          <w:rStyle w:val="VerbatimChar"/>
        </w:rPr>
        <w:t xml:space="preserve">    "pal_classification",</w:t>
      </w:r>
      <w:r>
        <w:br/>
      </w:r>
      <w:r>
        <w:rPr>
          <w:rStyle w:val="VerbatimChar"/>
        </w:rPr>
        <w:t xml:space="preserve">    "pal_regression",</w:t>
      </w:r>
      <w:r>
        <w:br/>
      </w:r>
      <w:r>
        <w:rPr>
          <w:rStyle w:val="VerbatimChar"/>
        </w:rPr>
        <w:t xml:space="preserve">    "pal_clustering",</w:t>
      </w:r>
      <w:r>
        <w:br/>
      </w:r>
      <w:r>
        <w:rPr>
          <w:rStyle w:val="VerbatimChar"/>
        </w:rPr>
        <w:t xml:space="preserve">    "pal_forecast",</w:t>
      </w:r>
      <w:r>
        <w:br/>
      </w:r>
      <w:r>
        <w:rPr>
          <w:rStyle w:val="VerbatimChar"/>
        </w:rPr>
        <w:t xml:space="preserve">    "pal_anomaly",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t xml:space="preserve">Any tool not in this list is blocked (deny-by-default).</w:t>
      </w:r>
    </w:p>
    <w:bookmarkEnd w:id="142"/>
    <w:bookmarkStart w:id="143" w:name="approval-required-tools"/>
    <w:p>
      <w:pPr>
        <w:pStyle w:val="Heading3"/>
      </w:pPr>
      <w:r>
        <w:t xml:space="preserve">Approval-required tools</w:t>
      </w:r>
    </w:p>
    <w:p>
      <w:pPr>
        <w:pStyle w:val="FirstParagraph"/>
      </w:pPr>
      <w:r>
        <w:t xml:space="preserve">High-risk tools require human approval:</w:t>
      </w:r>
    </w:p>
    <w:p>
      <w:pPr>
        <w:pStyle w:val="SourceCode"/>
      </w:pPr>
      <w:r>
        <w:rPr>
          <w:rStyle w:val="VerbatimChar"/>
        </w:rPr>
        <w:t xml:space="preserve">APPROVAL_REQUIRED_TOOLS = frozenset({</w:t>
      </w:r>
      <w:r>
        <w:br/>
      </w:r>
      <w:r>
        <w:rPr>
          <w:rStyle w:val="VerbatimChar"/>
        </w:rPr>
        <w:t xml:space="preserve">    "pal_train_model",</w:t>
      </w:r>
      <w:r>
        <w:br/>
      </w:r>
      <w:r>
        <w:rPr>
          <w:rStyle w:val="VerbatimChar"/>
        </w:rPr>
        <w:t xml:space="preserve">    "pal_delete_model",</w:t>
      </w:r>
      <w:r>
        <w:br/>
      </w:r>
      <w:r>
        <w:rPr>
          <w:rStyle w:val="VerbatimChar"/>
        </w:rPr>
        <w:t xml:space="preserve">    "hana_write",</w:t>
      </w:r>
      <w:r>
        <w:br/>
      </w:r>
      <w:r>
        <w:rPr>
          <w:rStyle w:val="VerbatimChar"/>
        </w:rPr>
        <w:t xml:space="preserve">    "model_deploy",</w:t>
      </w:r>
      <w:r>
        <w:br/>
      </w:r>
      <w:r>
        <w:rPr>
          <w:rStyle w:val="VerbatimChar"/>
        </w:rPr>
        <w:t xml:space="preserve">})</w:t>
      </w:r>
    </w:p>
    <w:bookmarkEnd w:id="143"/>
    <w:bookmarkStart w:id="144" w:name="audit-database-schema"/>
    <w:p>
      <w:pPr>
        <w:pStyle w:val="Heading3"/>
      </w:pPr>
      <w:r>
        <w:t xml:space="preserve">Audit database schema</w:t>
      </w:r>
    </w:p>
    <w:p>
      <w:pPr>
        <w:pStyle w:val="FirstParagraph"/>
      </w:pPr>
      <w:r>
        <w:t xml:space="preserve">The SQLite audit database contains:</w:t>
      </w:r>
    </w:p>
    <w:p>
      <w:pPr>
        <w:pStyle w:val="SourceCode"/>
      </w:pPr>
      <w:r>
        <w:rPr>
          <w:rStyle w:val="VerbatimChar"/>
        </w:rPr>
        <w:t xml:space="preserve">CREATE TABLE audit_events (</w:t>
      </w:r>
      <w:r>
        <w:br/>
      </w:r>
      <w:r>
        <w:rPr>
          <w:rStyle w:val="VerbatimChar"/>
        </w:rPr>
        <w:t xml:space="preserve">    event_id TEXT PRIMARY KEY,</w:t>
      </w:r>
      <w:r>
        <w:br/>
      </w:r>
      <w:r>
        <w:rPr>
          <w:rStyle w:val="VerbatimChar"/>
        </w:rPr>
        <w:t xml:space="preserve">    event_type TEXT NOT NULL,</w:t>
      </w:r>
      <w:r>
        <w:br/>
      </w:r>
      <w:r>
        <w:rPr>
          <w:rStyle w:val="VerbatimChar"/>
        </w:rPr>
        <w:t xml:space="preserve">    timestamp TEXT NOT NULL,</w:t>
      </w:r>
      <w:r>
        <w:br/>
      </w:r>
      <w:r>
        <w:rPr>
          <w:rStyle w:val="VerbatimChar"/>
        </w:rPr>
        <w:t xml:space="preserve">    request_id TEXT NOT NULL,</w:t>
      </w:r>
      <w:r>
        <w:br/>
      </w:r>
      <w:r>
        <w:rPr>
          <w:rStyle w:val="VerbatimChar"/>
        </w:rPr>
        <w:t xml:space="preserve">    correlation_id TEXT NOT NULL,</w:t>
      </w:r>
      <w:r>
        <w:br/>
      </w:r>
      <w:r>
        <w:rPr>
          <w:rStyle w:val="VerbatimChar"/>
        </w:rPr>
        <w:t xml:space="preserve">    agent_id TEXT NOT NULL,</w:t>
      </w:r>
      <w:r>
        <w:br/>
      </w:r>
      <w:r>
        <w:rPr>
          <w:rStyle w:val="VerbatimChar"/>
        </w:rPr>
        <w:t xml:space="preserve">    agent_type TEXT NOT NULL,</w:t>
      </w:r>
      <w:r>
        <w:br/>
      </w:r>
      <w:r>
        <w:rPr>
          <w:rStyle w:val="VerbatimChar"/>
        </w:rPr>
        <w:t xml:space="preserve">    status TEXT NOT NULL,</w:t>
      </w:r>
      <w:r>
        <w:br/>
      </w:r>
      <w:r>
        <w:rPr>
          <w:rStyle w:val="VerbatimChar"/>
        </w:rPr>
        <w:t xml:space="preserve">    duration_ms INTEGER,</w:t>
      </w:r>
      <w:r>
        <w:br/>
      </w:r>
      <w:r>
        <w:rPr>
          <w:rStyle w:val="VerbatimChar"/>
        </w:rPr>
        <w:t xml:space="preserve">    tokens_used INTEGER,</w:t>
      </w:r>
      <w:r>
        <w:br/>
      </w:r>
      <w:r>
        <w:rPr>
          <w:rStyle w:val="VerbatimChar"/>
        </w:rPr>
        <w:t xml:space="preserve">    error_code TEXT,</w:t>
      </w:r>
      <w:r>
        <w:br/>
      </w:r>
      <w:r>
        <w:rPr>
          <w:rStyle w:val="VerbatimChar"/>
        </w:rPr>
        <w:t xml:space="preserve">    action_json TEXT,</w:t>
      </w:r>
      <w:r>
        <w:br/>
      </w:r>
      <w:r>
        <w:rPr>
          <w:rStyle w:val="VerbatimChar"/>
        </w:rPr>
        <w:t xml:space="preserve">    approval_chain_json TEXT,</w:t>
      </w:r>
      <w:r>
        <w:br/>
      </w:r>
      <w:r>
        <w:rPr>
          <w:rStyle w:val="VerbatimChar"/>
        </w:rPr>
        <w:t xml:space="preserve">    request_identity_json TEXT NOT NULL,</w:t>
      </w:r>
      <w:r>
        <w:br/>
      </w:r>
      <w:r>
        <w:rPr>
          <w:rStyle w:val="VerbatimChar"/>
        </w:rPr>
        <w:t xml:space="preserve">    agent_identity_json TEXT NOT NULL,</w:t>
      </w:r>
      <w:r>
        <w:br/>
      </w:r>
      <w:r>
        <w:rPr>
          <w:rStyle w:val="VerbatimChar"/>
        </w:rPr>
        <w:t xml:space="preserve">    full_event_json TEXT NOT NULL,</w:t>
      </w:r>
      <w:r>
        <w:br/>
      </w:r>
      <w:r>
        <w:rPr>
          <w:rStyle w:val="VerbatimChar"/>
        </w:rPr>
        <w:t xml:space="preserve">    is_orphaned INTEGER DEFAULT 0</w:t>
      </w:r>
      <w:r>
        <w:br/>
      </w:r>
      <w:r>
        <w:rPr>
          <w:rStyle w:val="VerbatimChar"/>
        </w:rPr>
        <w:t xml:space="preserve">);</w:t>
      </w:r>
    </w:p>
    <w:bookmarkEnd w:id="144"/>
    <w:bookmarkEnd w:id="145"/>
    <w:bookmarkStart w:id="148" w:name="testing-and-validation"/>
    <w:p>
      <w:pPr>
        <w:pStyle w:val="Heading2"/>
      </w:pPr>
      <w:r>
        <w:t xml:space="preserve">Testing and validation</w:t>
      </w:r>
    </w:p>
    <w:bookmarkStart w:id="146" w:name="validation-harness"/>
    <w:p>
      <w:pPr>
        <w:pStyle w:val="Heading3"/>
      </w:pPr>
      <w:r>
        <w:t xml:space="preserve">Validation harness</w:t>
      </w:r>
    </w:p>
    <w:p>
      <w:pPr>
        <w:pStyle w:val="FirstParagraph"/>
      </w:pPr>
      <w:r>
        <w:t xml:space="preserve">The validation harness at</w:t>
      </w:r>
      <w:r>
        <w:t xml:space="preserve"> </w:t>
      </w:r>
      <w:r>
        <w:rPr>
          <w:rStyle w:val="VerbatimChar"/>
        </w:rPr>
        <w:t xml:space="preserve">src/intelligence/ai-core-pal/tests/test_clinerules_contracts.py</w:t>
      </w:r>
      <w:r>
        <w:t xml:space="preserve"> </w:t>
      </w:r>
      <w:r>
        <w:t xml:space="preserve">validates:</w:t>
      </w:r>
    </w:p>
    <w:p>
      <w:pPr>
        <w:numPr>
          <w:ilvl w:val="0"/>
          <w:numId w:val="1036"/>
        </w:numPr>
      </w:pPr>
      <w:r>
        <w:t xml:space="preserve">Structural completeness of rule packs</w:t>
      </w:r>
    </w:p>
    <w:p>
      <w:pPr>
        <w:numPr>
          <w:ilvl w:val="0"/>
          <w:numId w:val="1036"/>
        </w:numPr>
      </w:pPr>
      <w:r>
        <w:t xml:space="preserve">Safety-critical flag inheritance (no weakening)</w:t>
      </w:r>
    </w:p>
    <w:p>
      <w:pPr>
        <w:numPr>
          <w:ilvl w:val="0"/>
          <w:numId w:val="1036"/>
        </w:numPr>
      </w:pPr>
      <w:r>
        <w:t xml:space="preserve">Regulatory alignment requirements</w:t>
      </w:r>
    </w:p>
    <w:p>
      <w:pPr>
        <w:numPr>
          <w:ilvl w:val="0"/>
          <w:numId w:val="1036"/>
        </w:numPr>
      </w:pPr>
      <w:r>
        <w:t xml:space="preserve">Cross-pack consistency</w:t>
      </w:r>
    </w:p>
    <w:p>
      <w:pPr>
        <w:numPr>
          <w:ilvl w:val="0"/>
          <w:numId w:val="1036"/>
        </w:numPr>
      </w:pPr>
      <w:r>
        <w:t xml:space="preserve">Schema references</w:t>
      </w:r>
    </w:p>
    <w:bookmarkEnd w:id="146"/>
    <w:bookmarkStart w:id="147" w:name="running-validation"/>
    <w:p>
      <w:pPr>
        <w:pStyle w:val="Heading3"/>
      </w:pPr>
      <w:r>
        <w:t xml:space="preserve">Running validation</w:t>
      </w:r>
    </w:p>
    <w:p>
      <w:pPr>
        <w:pStyle w:val="SourceCode"/>
      </w:pPr>
      <w:r>
        <w:rPr>
          <w:rStyle w:val="VerbatimChar"/>
        </w:rPr>
        <w:t xml:space="preserve"># Run full validation</w:t>
      </w:r>
      <w:r>
        <w:br/>
      </w:r>
      <w:r>
        <w:rPr>
          <w:rStyle w:val="VerbatimChar"/>
        </w:rPr>
        <w:t xml:space="preserve">python src/intelligence/ai-core-pal/tests/test_clinerules_contracts.py</w:t>
      </w:r>
      <w:r>
        <w:br/>
      </w:r>
      <w:r>
        <w:br/>
      </w:r>
      <w:r>
        <w:rPr>
          <w:rStyle w:val="VerbatimChar"/>
        </w:rPr>
        <w:t xml:space="preserve"># Run with pytest</w:t>
      </w:r>
      <w:r>
        <w:br/>
      </w:r>
      <w:r>
        <w:rPr>
          <w:rStyle w:val="VerbatimChar"/>
        </w:rPr>
        <w:t xml:space="preserve">pytest src/intelligence/ai-core-pal/tests/test_clinerules_contracts.py -v</w:t>
      </w:r>
    </w:p>
    <w:bookmarkEnd w:id="147"/>
    <w:bookmarkEnd w:id="148"/>
    <w:bookmarkStart w:id="149" w:name="deployment-checklist"/>
    <w:p>
      <w:pPr>
        <w:pStyle w:val="Heading2"/>
      </w:pPr>
      <w:r>
        <w:t xml:space="preserve">Deployment checklist</w:t>
      </w:r>
    </w:p>
    <w:p>
      <w:pPr>
        <w:pStyle w:val="FirstParagraph"/>
      </w:pPr>
      <w:r>
        <w:t xml:space="preserve">Before deploying a governance-compliant agent:</w:t>
      </w:r>
    </w:p>
    <w:p>
      <w:pPr>
        <w:numPr>
          <w:ilvl w:val="0"/>
          <w:numId w:val="1037"/>
        </w:numPr>
      </w:pPr>
      <w:r>
        <w:t xml:space="preserve">Verify all schemas exist and validate</w:t>
      </w:r>
    </w:p>
    <w:p>
      <w:pPr>
        <w:numPr>
          <w:ilvl w:val="0"/>
          <w:numId w:val="1037"/>
        </w:numPr>
      </w:pPr>
      <w:r>
        <w:t xml:space="preserve">Verify rule packs pass validation harness</w:t>
      </w:r>
    </w:p>
    <w:p>
      <w:pPr>
        <w:numPr>
          <w:ilvl w:val="0"/>
          <w:numId w:val="1037"/>
        </w:numPr>
      </w:pPr>
      <w:r>
        <w:t xml:space="preserve">Verify audit database is accessible</w:t>
      </w:r>
    </w:p>
    <w:p>
      <w:pPr>
        <w:numPr>
          <w:ilvl w:val="0"/>
          <w:numId w:val="1037"/>
        </w:numPr>
      </w:pPr>
      <w:r>
        <w:t xml:space="preserve">Verify identity provider is configured</w:t>
      </w:r>
    </w:p>
    <w:p>
      <w:pPr>
        <w:numPr>
          <w:ilvl w:val="0"/>
          <w:numId w:val="1037"/>
        </w:numPr>
      </w:pPr>
      <w:r>
        <w:t xml:space="preserve">Verify tool allow-list is correct for use case</w:t>
      </w:r>
    </w:p>
    <w:p>
      <w:pPr>
        <w:numPr>
          <w:ilvl w:val="0"/>
          <w:numId w:val="1037"/>
        </w:numPr>
      </w:pPr>
      <w:r>
        <w:t xml:space="preserve">Calculate risk scores and verify production gate criteria</w:t>
      </w:r>
    </w:p>
    <w:p>
      <w:pPr>
        <w:numPr>
          <w:ilvl w:val="0"/>
          <w:numId w:val="1037"/>
        </w:numPr>
      </w:pPr>
      <w:r>
        <w:t xml:space="preserve">Run minimum sample size tests per risk tier</w:t>
      </w:r>
    </w:p>
    <w:p>
      <w:pPr>
        <w:numPr>
          <w:ilvl w:val="0"/>
          <w:numId w:val="1037"/>
        </w:numPr>
      </w:pPr>
      <w:r>
        <w:t xml:space="preserve">Confirm monitoring and alerting are active</w:t>
      </w:r>
    </w:p>
    <w:bookmarkEnd w:id="149"/>
    <w:bookmarkEnd w:id="150"/>
    <w:bookmarkStart w:id="163" w:name="ch:references"/>
    <w:p>
      <w:pPr>
        <w:pStyle w:val="Heading1"/>
      </w:pPr>
      <w:r>
        <w:t xml:space="preserve">References</w:t>
      </w:r>
    </w:p>
    <w:bookmarkStart w:id="154" w:name="singapore-government-sources"/>
    <w:p>
      <w:pPr>
        <w:pStyle w:val="Heading2"/>
      </w:pPr>
      <w:r>
        <w:t xml:space="preserve">Singapore Government sources</w:t>
      </w:r>
    </w:p>
    <w:bookmarkStart w:id="151" w:name="primary-normative-sources"/>
    <w:p>
      <w:pPr>
        <w:pStyle w:val="Heading3"/>
      </w:pPr>
      <w:r>
        <w:t xml:space="preserve">Primary normative sources</w:t>
      </w:r>
    </w:p>
    <w:p>
      <w:pPr>
        <w:numPr>
          <w:ilvl w:val="0"/>
          <w:numId w:val="1038"/>
        </w:numPr>
      </w:pPr>
      <w:r>
        <w:t xml:space="preserve">IMDA.</w:t>
      </w:r>
      <w:r>
        <w:t xml:space="preserve"> </w:t>
      </w:r>
      <w:r>
        <w:rPr>
          <w:i/>
          <w:iCs/>
        </w:rPr>
        <w:t xml:space="preserve">Model AI Governance Framework for Agentic AI</w:t>
      </w:r>
      <w:r>
        <w:t xml:space="preserve">.</w:t>
      </w:r>
      <w:r>
        <w:t xml:space="preserve"> </w:t>
      </w:r>
      <w:r>
        <w:t xml:space="preserve">Singapore: Infocomm Media Development Authority, January 2026.</w:t>
      </w:r>
    </w:p>
    <w:p>
      <w:pPr>
        <w:numPr>
          <w:ilvl w:val="1"/>
          <w:numId w:val="1039"/>
        </w:numPr>
      </w:pPr>
      <w:r>
        <w:t xml:space="preserve">Pillar 1: Assess and Bound Risks Upfront</w:t>
      </w:r>
    </w:p>
    <w:p>
      <w:pPr>
        <w:numPr>
          <w:ilvl w:val="1"/>
          <w:numId w:val="1039"/>
        </w:numPr>
      </w:pPr>
      <w:r>
        <w:t xml:space="preserve">Pillar 2: Make Humans Meaningfully Accountable</w:t>
      </w:r>
    </w:p>
    <w:p>
      <w:pPr>
        <w:numPr>
          <w:ilvl w:val="1"/>
          <w:numId w:val="1039"/>
        </w:numPr>
      </w:pPr>
      <w:r>
        <w:t xml:space="preserve">Pillar 3: Implement Technical Controls and Processes</w:t>
      </w:r>
    </w:p>
    <w:p>
      <w:pPr>
        <w:numPr>
          <w:ilvl w:val="1"/>
          <w:numId w:val="1039"/>
        </w:numPr>
      </w:pPr>
      <w:r>
        <w:t xml:space="preserve">Pillar 4: Enable End-User Responsibility</w:t>
      </w:r>
    </w:p>
    <w:p>
      <w:pPr>
        <w:numPr>
          <w:ilvl w:val="0"/>
          <w:numId w:val="1038"/>
        </w:numPr>
      </w:pPr>
      <w:r>
        <w:t xml:space="preserve">IMDA.</w:t>
      </w:r>
      <w:r>
        <w:t xml:space="preserve"> </w:t>
      </w:r>
      <w:r>
        <w:rPr>
          <w:i/>
          <w:iCs/>
        </w:rPr>
        <w:t xml:space="preserve">Starter Kit for Testing LLM-Based Applications for Safety</w:t>
      </w:r>
      <w:r>
        <w:rPr>
          <w:i/>
          <w:iCs/>
        </w:rPr>
        <w:t xml:space="preserve"> </w:t>
      </w:r>
      <w:r>
        <w:rPr>
          <w:i/>
          <w:iCs/>
        </w:rPr>
        <w:t xml:space="preserve">and Reliability</w:t>
      </w:r>
      <w:r>
        <w:t xml:space="preserve">. Singapore: Infocomm Media Development Authority,</w:t>
      </w:r>
      <w:r>
        <w:t xml:space="preserve"> </w:t>
      </w:r>
      <w:r>
        <w:t xml:space="preserve">January 2026.</w:t>
      </w:r>
    </w:p>
    <w:p>
      <w:pPr>
        <w:numPr>
          <w:ilvl w:val="0"/>
          <w:numId w:val="1038"/>
        </w:numPr>
      </w:pPr>
      <w:r>
        <w:t xml:space="preserve">PDPC.</w:t>
      </w:r>
      <w:r>
        <w:t xml:space="preserve"> </w:t>
      </w:r>
      <w:r>
        <w:rPr>
          <w:i/>
          <w:iCs/>
        </w:rPr>
        <w:t xml:space="preserve">Model AI Governance Framework, Second Edition</w:t>
      </w:r>
      <w:r>
        <w:t xml:space="preserve">.</w:t>
      </w:r>
      <w:r>
        <w:t xml:space="preserve"> </w:t>
      </w:r>
      <w:r>
        <w:t xml:space="preserve">Singapore: Personal Data Protection Commission, January 2020.</w:t>
      </w:r>
    </w:p>
    <w:p>
      <w:pPr>
        <w:numPr>
          <w:ilvl w:val="0"/>
          <w:numId w:val="1038"/>
        </w:numPr>
      </w:pPr>
      <w:r>
        <w:t xml:space="preserve">PDPC.</w:t>
      </w:r>
      <w:r>
        <w:t xml:space="preserve"> </w:t>
      </w:r>
      <w:r>
        <w:rPr>
          <w:i/>
          <w:iCs/>
        </w:rPr>
        <w:t xml:space="preserve">Advisory Guidelines on Use of Personal Data in AI</w:t>
      </w:r>
      <w:r>
        <w:rPr>
          <w:i/>
          <w:iCs/>
        </w:rPr>
        <w:t xml:space="preserve"> </w:t>
      </w:r>
      <w:r>
        <w:rPr>
          <w:i/>
          <w:iCs/>
        </w:rPr>
        <w:t xml:space="preserve">Recommendation and Decision Systems</w:t>
      </w:r>
      <w:r>
        <w:t xml:space="preserve">. Singapore: Personal Data</w:t>
      </w:r>
      <w:r>
        <w:t xml:space="preserve"> </w:t>
      </w:r>
      <w:r>
        <w:t xml:space="preserve">Protection Commission, April 2024.</w:t>
      </w:r>
    </w:p>
    <w:bookmarkEnd w:id="151"/>
    <w:bookmarkStart w:id="153" w:name="supplementary-sources"/>
    <w:p>
      <w:pPr>
        <w:pStyle w:val="Heading3"/>
      </w:pPr>
      <w:r>
        <w:t xml:space="preserve">Supplementary sources</w:t>
      </w:r>
    </w:p>
    <w:p>
      <w:pPr>
        <w:numPr>
          <w:ilvl w:val="0"/>
          <w:numId w:val="1040"/>
        </w:numPr>
      </w:pPr>
      <w:r>
        <w:t xml:space="preserve">IMDA.</w:t>
      </w:r>
      <w:r>
        <w:t xml:space="preserve"> </w:t>
      </w:r>
      <w:r>
        <w:rPr>
          <w:i/>
          <w:iCs/>
        </w:rPr>
        <w:t xml:space="preserve">Project Moonshot, powered by AI Verify</w:t>
      </w:r>
      <w:r>
        <w:t xml:space="preserve">.</w:t>
      </w:r>
      <w:r>
        <w:t xml:space="preserve"> </w:t>
      </w:r>
      <w:r>
        <w:t xml:space="preserve">Singapore: Infocomm Media Development Authority, May 2024.</w:t>
      </w:r>
      <w:r>
        <w:t xml:space="preserve"> </w:t>
      </w:r>
      <w:r>
        <w:t xml:space="preserve">URL:</w:t>
      </w:r>
      <w:r>
        <w:t xml:space="preserve"> </w:t>
      </w:r>
      <w:hyperlink r:id="rId152">
        <w:r>
          <w:rPr>
            <w:rStyle w:val="Hyperlink"/>
          </w:rPr>
          <w:t xml:space="preserve">https://aiverifyfoundation.sg/project-moonshot/</w:t>
        </w:r>
      </w:hyperlink>
    </w:p>
    <w:p>
      <w:pPr>
        <w:numPr>
          <w:ilvl w:val="0"/>
          <w:numId w:val="1040"/>
        </w:numPr>
      </w:pPr>
      <w:r>
        <w:t xml:space="preserve">IMDA.</w:t>
      </w:r>
      <w:r>
        <w:t xml:space="preserve"> </w:t>
      </w:r>
      <w:r>
        <w:rPr>
          <w:i/>
          <w:iCs/>
        </w:rPr>
        <w:t xml:space="preserve">Singapore’s Approach to AI Governance</w:t>
      </w:r>
      <w:r>
        <w:t xml:space="preserve">.</w:t>
      </w:r>
      <w:r>
        <w:t xml:space="preserve"> </w:t>
      </w:r>
      <w:r>
        <w:t xml:space="preserve">Singapore: Infocomm Media Development Authority. Ongoing.</w:t>
      </w:r>
    </w:p>
    <w:p>
      <w:pPr>
        <w:numPr>
          <w:ilvl w:val="0"/>
          <w:numId w:val="1040"/>
        </w:numPr>
      </w:pPr>
      <w:r>
        <w:t xml:space="preserve">CSA.</w:t>
      </w:r>
      <w:r>
        <w:t xml:space="preserve"> </w:t>
      </w:r>
      <w:r>
        <w:rPr>
          <w:i/>
          <w:iCs/>
        </w:rPr>
        <w:t xml:space="preserve">Guidelines and Companion Guide on Securing AI Systems</w:t>
      </w:r>
      <w:r>
        <w:t xml:space="preserve">.</w:t>
      </w:r>
      <w:r>
        <w:t xml:space="preserve"> </w:t>
      </w:r>
      <w:r>
        <w:t xml:space="preserve">Singapore: Cyber Security Agency, October 2024.</w:t>
      </w:r>
    </w:p>
    <w:p>
      <w:pPr>
        <w:numPr>
          <w:ilvl w:val="0"/>
          <w:numId w:val="1040"/>
        </w:numPr>
      </w:pPr>
      <w:r>
        <w:t xml:space="preserve">CSA.</w:t>
      </w:r>
      <w:r>
        <w:t xml:space="preserve"> </w:t>
      </w:r>
      <w:r>
        <w:rPr>
          <w:i/>
          <w:iCs/>
        </w:rPr>
        <w:t xml:space="preserve">Public Consultation on Securing Agentic AI Systems</w:t>
      </w:r>
      <w:r>
        <w:t xml:space="preserve">.</w:t>
      </w:r>
      <w:r>
        <w:t xml:space="preserve"> </w:t>
      </w:r>
      <w:r>
        <w:t xml:space="preserve">Singapore: Cyber Security Agency, October 2025. (Consultation-stage)</w:t>
      </w:r>
    </w:p>
    <w:bookmarkEnd w:id="153"/>
    <w:bookmarkEnd w:id="154"/>
    <w:bookmarkStart w:id="157" w:name="open-source-tools-and-frameworks"/>
    <w:p>
      <w:pPr>
        <w:pStyle w:val="Heading2"/>
      </w:pPr>
      <w:r>
        <w:t xml:space="preserve">Open-source tools and frameworks</w:t>
      </w:r>
    </w:p>
    <w:p>
      <w:pPr>
        <w:numPr>
          <w:ilvl w:val="0"/>
          <w:numId w:val="1041"/>
        </w:numPr>
      </w:pPr>
      <w:r>
        <w:t xml:space="preserve">AI Verify Foundation.</w:t>
      </w:r>
      <w:r>
        <w:t xml:space="preserve"> </w:t>
      </w:r>
      <w:r>
        <w:rPr>
          <w:i/>
          <w:iCs/>
        </w:rPr>
        <w:t xml:space="preserve">AI Verify</w:t>
      </w:r>
      <w:r>
        <w:t xml:space="preserve">. Open-source AI governance</w:t>
      </w:r>
      <w:r>
        <w:t xml:space="preserve"> </w:t>
      </w:r>
      <w:r>
        <w:t xml:space="preserve">testing framework and target toolkit.</w:t>
      </w:r>
      <w:r>
        <w:t xml:space="preserve"> </w:t>
      </w:r>
      <w:r>
        <w:t xml:space="preserve">URL:</w:t>
      </w:r>
      <w:r>
        <w:t xml:space="preserve"> </w:t>
      </w:r>
      <w:hyperlink r:id="rId155">
        <w:r>
          <w:rPr>
            <w:rStyle w:val="Hyperlink"/>
          </w:rPr>
          <w:t xml:space="preserve">https://github.com/aiverify-foundation/aiverify</w:t>
        </w:r>
      </w:hyperlink>
    </w:p>
    <w:p>
      <w:pPr>
        <w:numPr>
          <w:ilvl w:val="0"/>
          <w:numId w:val="1041"/>
        </w:numPr>
      </w:pPr>
      <w:r>
        <w:t xml:space="preserve">AI Verify Foundation.</w:t>
      </w:r>
      <w:r>
        <w:t xml:space="preserve"> </w:t>
      </w:r>
      <w:r>
        <w:rPr>
          <w:i/>
          <w:iCs/>
        </w:rPr>
        <w:t xml:space="preserve">Project Moonshot</w:t>
      </w:r>
      <w:r>
        <w:t xml:space="preserve">. Red-teaming and</w:t>
      </w:r>
      <w:r>
        <w:t xml:space="preserve"> </w:t>
      </w:r>
      <w:r>
        <w:t xml:space="preserve">benchmarking toolkit for LLM-based applications.</w:t>
      </w:r>
      <w:r>
        <w:t xml:space="preserve"> </w:t>
      </w:r>
      <w:r>
        <w:t xml:space="preserve">URL:</w:t>
      </w:r>
      <w:r>
        <w:t xml:space="preserve"> </w:t>
      </w:r>
      <w:hyperlink r:id="rId156">
        <w:r>
          <w:rPr>
            <w:rStyle w:val="Hyperlink"/>
          </w:rPr>
          <w:t xml:space="preserve">https://github.com/aiverify-foundation/moonshot</w:t>
        </w:r>
      </w:hyperlink>
    </w:p>
    <w:bookmarkEnd w:id="157"/>
    <w:bookmarkStart w:id="158" w:name="internal-specifications"/>
    <w:p>
      <w:pPr>
        <w:pStyle w:val="Heading2"/>
      </w:pPr>
      <w:r>
        <w:t xml:space="preserve">Internal specifications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Agentic AI Regulations Corpus</w:t>
      </w:r>
      <w:r>
        <w:t xml:space="preserve">.</w:t>
      </w:r>
      <w:r>
        <w:t xml:space="preserve"> </w:t>
      </w:r>
      <w:r>
        <w:rPr>
          <w:rStyle w:val="VerbatimChar"/>
        </w:rPr>
        <w:t xml:space="preserve">docs/latex/specs/regulations/regulations-spec.tex</w:t>
      </w:r>
    </w:p>
    <w:p>
      <w:pPr>
        <w:numPr>
          <w:ilvl w:val="0"/>
          <w:numId w:val="1000"/>
        </w:numPr>
      </w:pPr>
      <w:r>
        <w:t xml:space="preserve">Comprehensive regulatory requirements derived from Singapore government</w:t>
      </w:r>
      <w:r>
        <w:t xml:space="preserve"> </w:t>
      </w:r>
      <w:r>
        <w:t xml:space="preserve">sources with implementation evidence tracking.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Agent Rule-Pack Architecture</w:t>
      </w:r>
      <w:r>
        <w:t xml:space="preserve">.</w:t>
      </w:r>
      <w:r>
        <w:t xml:space="preserve"> </w:t>
      </w:r>
      <w:r>
        <w:rPr>
          <w:rStyle w:val="VerbatimChar"/>
        </w:rPr>
        <w:t xml:space="preserve">docs/latex/specs/clinerules-agents/</w:t>
      </w:r>
    </w:p>
    <w:p>
      <w:pPr>
        <w:numPr>
          <w:ilvl w:val="0"/>
          <w:numId w:val="1000"/>
        </w:numPr>
      </w:pPr>
      <w:r>
        <w:t xml:space="preserve">Specification for .clinerules rule packs governing agent development</w:t>
      </w:r>
      <w:r>
        <w:t xml:space="preserve"> </w:t>
      </w:r>
      <w:r>
        <w:t xml:space="preserve">and runtime monitoring.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Trial Balance HITL Specification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docs/latex/specs/tb/</w:t>
      </w:r>
    </w:p>
    <w:p>
      <w:pPr>
        <w:numPr>
          <w:ilvl w:val="0"/>
          <w:numId w:val="1000"/>
        </w:numPr>
      </w:pPr>
      <w:r>
        <w:t xml:space="preserve">Human-in-the-loop workflow specification for Trial Balance review.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Arabic AP Processing Specification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docs/latex/specs/arabic/</w:t>
      </w:r>
    </w:p>
    <w:p>
      <w:pPr>
        <w:numPr>
          <w:ilvl w:val="0"/>
          <w:numId w:val="1000"/>
        </w:numPr>
      </w:pPr>
      <w:r>
        <w:t xml:space="preserve">Accounts Payable OCR and processing specification.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Simula Training Specification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docs/latex/specs/simula/</w:t>
      </w:r>
    </w:p>
    <w:p>
      <w:pPr>
        <w:numPr>
          <w:ilvl w:val="0"/>
          <w:numId w:val="1000"/>
        </w:numPr>
      </w:pPr>
      <w:r>
        <w:t xml:space="preserve">Training and deployment specification for Simula models.</w:t>
      </w:r>
    </w:p>
    <w:bookmarkEnd w:id="158"/>
    <w:bookmarkStart w:id="159" w:name="json-schemas-1"/>
    <w:p>
      <w:pPr>
        <w:pStyle w:val="Heading2"/>
      </w:pPr>
      <w:r>
        <w:t xml:space="preserve">JSON schemas</w:t>
      </w:r>
    </w:p>
    <w:p>
      <w:pPr>
        <w:numPr>
          <w:ilvl w:val="0"/>
          <w:numId w:val="1043"/>
        </w:numPr>
      </w:pPr>
      <w:r>
        <w:rPr>
          <w:rStyle w:val="VerbatimChar"/>
        </w:rPr>
        <w:t xml:space="preserve">docs/schema/regulations/agent-identity.schema.json</w:t>
      </w:r>
      <w:r>
        <w:t xml:space="preserve"> </w:t>
      </w:r>
      <w:r>
        <w:t xml:space="preserve">—</w:t>
      </w:r>
      <w:r>
        <w:t xml:space="preserve"> </w:t>
      </w:r>
      <w:r>
        <w:t xml:space="preserve">Agent identity validation</w:t>
      </w:r>
    </w:p>
    <w:p>
      <w:pPr>
        <w:numPr>
          <w:ilvl w:val="0"/>
          <w:numId w:val="1043"/>
        </w:numPr>
      </w:pPr>
      <w:r>
        <w:rPr>
          <w:rStyle w:val="VerbatimChar"/>
        </w:rPr>
        <w:t xml:space="preserve">docs/schema/regulations/request-identity.schema.json</w:t>
      </w:r>
      <w:r>
        <w:t xml:space="preserve"> </w:t>
      </w:r>
      <w:r>
        <w:t xml:space="preserve">—</w:t>
      </w:r>
      <w:r>
        <w:t xml:space="preserve"> </w:t>
      </w:r>
      <w:r>
        <w:t xml:space="preserve">Request identity validation</w:t>
      </w:r>
    </w:p>
    <w:p>
      <w:pPr>
        <w:numPr>
          <w:ilvl w:val="0"/>
          <w:numId w:val="1043"/>
        </w:numPr>
      </w:pPr>
      <w:r>
        <w:rPr>
          <w:rStyle w:val="VerbatimChar"/>
        </w:rPr>
        <w:t xml:space="preserve">docs/schema/regulations/audit-event.schema.json</w:t>
      </w:r>
      <w:r>
        <w:t xml:space="preserve"> </w:t>
      </w:r>
      <w:r>
        <w:t xml:space="preserve">—</w:t>
      </w:r>
      <w:r>
        <w:t xml:space="preserve"> </w:t>
      </w:r>
      <w:r>
        <w:t xml:space="preserve">Audit event structure</w:t>
      </w:r>
    </w:p>
    <w:p>
      <w:pPr>
        <w:numPr>
          <w:ilvl w:val="0"/>
          <w:numId w:val="1043"/>
        </w:numPr>
      </w:pPr>
      <w:r>
        <w:rPr>
          <w:rStyle w:val="VerbatimChar"/>
        </w:rPr>
        <w:t xml:space="preserve">docs/schema/regulations/requirement.schema.json</w:t>
      </w:r>
      <w:r>
        <w:t xml:space="preserve"> </w:t>
      </w:r>
      <w:r>
        <w:t xml:space="preserve">—</w:t>
      </w:r>
      <w:r>
        <w:t xml:space="preserve"> </w:t>
      </w:r>
      <w:r>
        <w:t xml:space="preserve">Regulatory requirement structure</w:t>
      </w:r>
    </w:p>
    <w:p>
      <w:pPr>
        <w:numPr>
          <w:ilvl w:val="0"/>
          <w:numId w:val="1043"/>
        </w:numPr>
      </w:pPr>
      <w:r>
        <w:rPr>
          <w:rStyle w:val="VerbatimChar"/>
        </w:rPr>
        <w:t xml:space="preserve">docs/schema/regulations/regulation.schema.json</w:t>
      </w:r>
      <w:r>
        <w:t xml:space="preserve"> </w:t>
      </w:r>
      <w:r>
        <w:t xml:space="preserve">—</w:t>
      </w:r>
      <w:r>
        <w:t xml:space="preserve"> </w:t>
      </w:r>
      <w:r>
        <w:t xml:space="preserve">Source regulation metadata</w:t>
      </w:r>
    </w:p>
    <w:p>
      <w:pPr>
        <w:numPr>
          <w:ilvl w:val="0"/>
          <w:numId w:val="1043"/>
        </w:numPr>
      </w:pPr>
      <w:r>
        <w:rPr>
          <w:rStyle w:val="VerbatimChar"/>
        </w:rPr>
        <w:t xml:space="preserve">docs/schema/regulations/conformance-tool.schema.json</w:t>
      </w:r>
      <w:r>
        <w:t xml:space="preserve"> </w:t>
      </w:r>
      <w:r>
        <w:t xml:space="preserve">—</w:t>
      </w:r>
      <w:r>
        <w:t xml:space="preserve"> </w:t>
      </w:r>
      <w:r>
        <w:t xml:space="preserve">Conformance tool references</w:t>
      </w:r>
    </w:p>
    <w:p>
      <w:pPr>
        <w:numPr>
          <w:ilvl w:val="0"/>
          <w:numId w:val="1043"/>
        </w:numPr>
      </w:pPr>
      <w:r>
        <w:rPr>
          <w:rStyle w:val="VerbatimChar"/>
        </w:rPr>
        <w:t xml:space="preserve">docs/schema/regulations/corpus.schema.json</w:t>
      </w:r>
      <w:r>
        <w:t xml:space="preserve"> </w:t>
      </w:r>
      <w:r>
        <w:t xml:space="preserve">—</w:t>
      </w:r>
      <w:r>
        <w:t xml:space="preserve"> </w:t>
      </w:r>
      <w:r>
        <w:t xml:space="preserve">Full corpus structure</w:t>
      </w:r>
    </w:p>
    <w:bookmarkEnd w:id="159"/>
    <w:bookmarkStart w:id="160" w:name="source-document-locations-1"/>
    <w:p>
      <w:pPr>
        <w:pStyle w:val="Heading2"/>
      </w:pPr>
      <w:r>
        <w:t xml:space="preserve">Source document locations</w:t>
      </w:r>
    </w:p>
    <w:p>
      <w:pPr>
        <w:pStyle w:val="TableCaption"/>
      </w:pPr>
      <w:r>
        <w:t xml:space="preserve">Source Document Repository Locations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ource Document Repository Location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MGF for Agentic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docs/regulations/mgf-for-agentic-ai.pdf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Verify toolkit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docs/regulations/aiverify-main/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Moonshot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docs/regulations/moonshot-cicd-main/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AI Agent 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docs/regulations/2025-AI-Agent-Index.pdf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Singapore AI Safety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docs/pdf/technical-reports/06-singapore-ai-safety-framework.pdf</w:t>
            </w:r>
          </w:p>
        </w:tc>
      </w:tr>
    </w:tbl>
    <w:bookmarkEnd w:id="160"/>
    <w:bookmarkStart w:id="161" w:name="version-history"/>
    <w:p>
      <w:pPr>
        <w:pStyle w:val="Heading2"/>
      </w:pPr>
      <w:r>
        <w:t xml:space="preserve">Version history</w:t>
      </w:r>
    </w:p>
    <w:p>
      <w:pPr>
        <w:pStyle w:val="TableCaption"/>
      </w:pPr>
      <w:r>
        <w:t xml:space="preserve">Specification 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pecification Version History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SAP-OSS AI Governance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specification</w:t>
            </w:r>
          </w:p>
        </w:tc>
      </w:tr>
    </w:tbl>
    <w:bookmarkEnd w:id="161"/>
    <w:bookmarkStart w:id="162" w:name="document-control"/>
    <w:p>
      <w:pPr>
        <w:pStyle w:val="Heading2"/>
      </w:pPr>
      <w:r>
        <w:t xml:space="preserve">Document control</w:t>
      </w:r>
    </w:p>
    <w:p>
      <w:pPr>
        <w:pStyle w:val="DefinitionTerm"/>
      </w:pPr>
      <w:r>
        <w:t xml:space="preserve">Document ID</w:t>
      </w:r>
    </w:p>
    <w:p>
      <w:pPr>
        <w:pStyle w:val="Definition"/>
      </w:pPr>
      <w:r>
        <w:t xml:space="preserve">SG-SAFETY-2026-v1.0</w:t>
      </w:r>
    </w:p>
    <w:p>
      <w:pPr>
        <w:pStyle w:val="DefinitionTerm"/>
      </w:pPr>
      <w:r>
        <w:t xml:space="preserve">Classification</w:t>
      </w:r>
    </w:p>
    <w:p>
      <w:pPr>
        <w:pStyle w:val="Definition"/>
      </w:pPr>
      <w:r>
        <w:t xml:space="preserve">Internal</w:t>
      </w:r>
    </w:p>
    <w:p>
      <w:pPr>
        <w:pStyle w:val="DefinitionTerm"/>
      </w:pPr>
      <w:r>
        <w:t xml:space="preserve">Review Cycle</w:t>
      </w:r>
    </w:p>
    <w:p>
      <w:pPr>
        <w:pStyle w:val="Definition"/>
      </w:pPr>
      <w:r>
        <w:t xml:space="preserve">Quarterly</w:t>
      </w:r>
    </w:p>
    <w:p>
      <w:pPr>
        <w:pStyle w:val="DefinitionTerm"/>
      </w:pPr>
      <w:r>
        <w:t xml:space="preserve">Next Review</w:t>
      </w:r>
    </w:p>
    <w:p>
      <w:pPr>
        <w:pStyle w:val="Definition"/>
      </w:pPr>
      <w:r>
        <w:t xml:space="preserve">2026-07-22</w:t>
      </w:r>
    </w:p>
    <w:p>
      <w:pPr>
        <w:pStyle w:val="DefinitionTerm"/>
      </w:pPr>
      <w:r>
        <w:t xml:space="preserve">Owner</w:t>
      </w:r>
    </w:p>
    <w:p>
      <w:pPr>
        <w:pStyle w:val="Definition"/>
      </w:pPr>
      <w:r>
        <w:t xml:space="preserve">SAP-OSS AI Governance Team</w:t>
      </w:r>
    </w:p>
    <w:p>
      <w:pPr>
        <w:pStyle w:val="DefinitionTerm"/>
      </w:pPr>
      <w:r>
        <w:t xml:space="preserve">Approver</w:t>
      </w:r>
    </w:p>
    <w:p>
      <w:pPr>
        <w:pStyle w:val="Definition"/>
      </w:pPr>
      <w:r>
        <w:t xml:space="preserve">Controls Architecture Lead</w:t>
      </w:r>
    </w:p>
    <w:bookmarkEnd w:id="162"/>
    <w:bookmarkEnd w:id="163"/>
    <w:bookmarkStart w:id="167" w:name="ch:global-dependencies"/>
    <w:p>
      <w:pPr>
        <w:pStyle w:val="Heading1"/>
      </w:pPr>
      <w:r>
        <w:t xml:space="preserve">Global Wave-Dependency Manifest</w:t>
      </w:r>
    </w:p>
    <w:bookmarkStart w:id="164" w:name="critical-path-visualization-waves-13"/>
    <w:p>
      <w:pPr>
        <w:pStyle w:val="Heading2"/>
      </w:pPr>
      <w:r>
        <w:t xml:space="preserve">Critical Path Visualization (Waves 1–3)</w:t>
      </w:r>
    </w:p>
    <w:p>
      <w:pPr>
        <w:pStyle w:val="FirstParagraph"/>
      </w:pPr>
      <w:r>
        <w:t xml:space="preserve">The following chart defines the normative sequencing for implementation agents. A task in a later wave cannot be marked</w:t>
      </w:r>
      <w:r>
        <w:t xml:space="preserve"> </w:t>
      </w:r>
      <w:r>
        <w:rPr>
          <w:smallCaps/>
        </w:rPr>
        <w:t xml:space="preserve">complete</w:t>
      </w:r>
      <w:r>
        <w:t xml:space="preserve"> </w:t>
      </w:r>
      <w:r>
        <w:t xml:space="preserve">until its prerequisites in an earlier wave are validated.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Cross-specification dependency graph: The blueprint for platform rollout.</w:t>
      </w:r>
    </w:p>
    <w:bookmarkEnd w:id="164"/>
    <w:bookmarkStart w:id="166" w:name="inter-domain-prerequisite-matrix"/>
    <w:p>
      <w:pPr>
        <w:pStyle w:val="Heading2"/>
      </w:pPr>
      <w:r>
        <w:t xml:space="preserve">Inter-Domain Prerequisite Matrix</w:t>
      </w:r>
    </w:p>
    <w:bookmarkStart w:id="165" w:name="tab:prerequisites"/>
    <w:p>
      <w:pPr>
        <w:pStyle w:val="TableCaption"/>
      </w:pPr>
      <w:r>
        <w:t xml:space="preserve">Normative Cross-Domain Prerequisites.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rmative Cross-Domain Prerequisite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Prerequisite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ARA-W1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REG-W1 (Identity)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REG-IDENTITY-01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intake must be audit-traced from Day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TB-W2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SIM-W1 (Extraction)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SIM-EXTRACT-01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detection requires HANA schema metadata.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REG-W2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SIM-W1 (Registry)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SIM-REGISTRY-01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monitoring relies on the schema registry.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ARA-W2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REG-W2 (Pillar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REG-MGF-P1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release is an HITL gate governed by MAS Pillar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TB-W3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ARA-W2 (Posted Invoices)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ARA-AP-POST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dashboard depends on posted AP data from Arabic domain.</w:t>
            </w:r>
          </w:p>
        </w:tc>
      </w:tr>
    </w:tbl>
    <w:bookmarkEnd w:id="165"/>
    <w:p>
      <w:pPr>
        <w:pStyle w:val="BodyText"/>
      </w:pPr>
      <w:r>
        <w:t xml:space="preserve">Dependency Enforcement</w:t>
      </w:r>
      <w:r>
        <w:t xml:space="preserve"> </w:t>
      </w:r>
      <w:r>
        <w:t xml:space="preserve">Implementation agents are strictly forbidden from "Fast-Forwarding" into Wave 2 if Wave 1 critical prerequisites (marked in</w:t>
      </w:r>
      <w:r>
        <w:t xml:space="preserve"> </w:t>
      </w:r>
      <w:r>
        <w:rPr>
          <w:b/>
          <w:bCs/>
        </w:rPr>
        <w:t xml:space="preserve">Gold</w:t>
      </w:r>
      <w:r>
        <w:t xml:space="preserve">) are in a</w:t>
      </w:r>
      <w:r>
        <w:t xml:space="preserve"> </w:t>
      </w:r>
      <w:r>
        <w:rPr>
          <w:smallCaps/>
        </w:rPr>
        <w:t xml:space="preserve">gap</w:t>
      </w:r>
      <w:r>
        <w:t xml:space="preserve"> </w:t>
      </w:r>
      <w:r>
        <w:t xml:space="preserve">or</w:t>
      </w:r>
      <w:r>
        <w:t xml:space="preserve"> </w:t>
      </w:r>
      <w:r>
        <w:rPr>
          <w:smallCaps/>
        </w:rPr>
        <w:t xml:space="preserve">partial</w:t>
      </w:r>
      <w:r>
        <w:t xml:space="preserve"> </w:t>
      </w:r>
      <w:r>
        <w:t xml:space="preserve">state.</w:t>
      </w:r>
    </w:p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205">
    <w:nsid w:val="00A9920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lowerLetter"/>
      <w:lvlText w:val="%2."/>
      <w:lvlJc w:val="left"/>
      <w:pPr>
        <w:ind w:left="1440" w:hanging="360"/>
      </w:pPr>
    </w:lvl>
    <w:lvl w:ilvl="2">
      <w:start w:val="5"/>
      <w:numFmt w:val="lowerRoman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lowerLetter"/>
      <w:lvlText w:val="%5."/>
      <w:lvlJc w:val="left"/>
      <w:pPr>
        <w:ind w:left="3600" w:hanging="360"/>
      </w:pPr>
    </w:lvl>
    <w:lvl w:ilvl="5">
      <w:start w:val="5"/>
      <w:numFmt w:val="lowerRoman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lowerLetter"/>
      <w:lvlText w:val="%8."/>
      <w:lvlJc w:val="left"/>
      <w:pPr>
        <w:ind w:left="5760" w:hanging="360"/>
      </w:pPr>
    </w:lvl>
    <w:lvl w:ilvl="8">
      <w:start w:val="5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20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2" Target="https://aiverifyfoundation.sg/project-moonshot/" TargetMode="External" /><Relationship Type="http://schemas.openxmlformats.org/officeDocument/2006/relationships/hyperlink" Id="rId155" Target="https://github.com/aiverify-foundation/aiverify" TargetMode="External" /><Relationship Type="http://schemas.openxmlformats.org/officeDocument/2006/relationships/hyperlink" Id="rId156" Target="https://github.com/aiverify-foundation/moonsh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https://aiverifyfoundation.sg/project-moonshot/" TargetMode="External" /><Relationship Type="http://schemas.openxmlformats.org/officeDocument/2006/relationships/hyperlink" Id="rId155" Target="https://github.com/aiverify-foundation/aiverify" TargetMode="External" /><Relationship Type="http://schemas.openxmlformats.org/officeDocument/2006/relationships/hyperlink" Id="rId156" Target="https://github.com/aiverify-foundation/moonsh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Singapore AI Safety Framework</dc:title>
  <dc:creator>SCB GCFO, AI Research &amp; Development</dc:creator>
  <cp:keywords/>
  <dcterms:created xsi:type="dcterms:W3CDTF">2026-04-23T09:21:52Z</dcterms:created>
  <dcterms:modified xsi:type="dcterms:W3CDTF">2026-04-23T09:21:52Z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</Properties>
</file>