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 Light" w:cs="Nunito Light" w:eastAsia="Nunito Light" w:hAnsi="Nunito Light"/>
          <w:i w:val="1"/>
          <w:sz w:val="40"/>
          <w:szCs w:val="40"/>
        </w:rPr>
      </w:pPr>
      <w:r w:rsidDel="00000000" w:rsidR="00000000" w:rsidRPr="00000000">
        <w:rPr>
          <w:rFonts w:ascii="Nunito Light" w:cs="Nunito Light" w:eastAsia="Nunito Light" w:hAnsi="Nunito Light"/>
          <w:i w:val="1"/>
          <w:sz w:val="40"/>
          <w:szCs w:val="40"/>
          <w:rtl w:val="0"/>
        </w:rPr>
        <w:t xml:space="preserve">Supplementary File 7: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 Light" w:cs="Nunito Light" w:eastAsia="Nunito Light" w:hAnsi="Nunito Light"/>
          <w:i w:val="1"/>
          <w:sz w:val="34"/>
          <w:szCs w:val="34"/>
        </w:rPr>
      </w:pPr>
      <w:r w:rsidDel="00000000" w:rsidR="00000000" w:rsidRPr="00000000">
        <w:rPr>
          <w:rFonts w:ascii="Nunito Light" w:cs="Nunito Light" w:eastAsia="Nunito Light" w:hAnsi="Nunito Light"/>
          <w:i w:val="1"/>
          <w:sz w:val="34"/>
          <w:szCs w:val="34"/>
          <w:rtl w:val="0"/>
        </w:rPr>
        <w:t xml:space="preserve">Analysis of miRNAs interactions with key targets included in the second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41975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969" l="1052" r="608" t="81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1S. Bigraphs of human miRNAs and their key target genes, overrepresented in the pathway cluster 1-4 (A), “bottleneck” pathways (B), and cluster 5-10 (C) from the second module.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can be seen from Fig. 1S (A), hsa-miR-497-5p and hsa-miR-1-3p together regulate the activity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CDK4, HIST2H3A,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NUP50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module capturing pathways 1-4 (see Fig. 2D). Thirteen other genes are targeted only by hsa-miR-1-3p, and three more – by hsa-miR-497-5p. In the “bottleneck” pathways of oxidative stress induced senescence and activation of PI3K/AKT signaling (Fig. 1S (B)), hsa-miR-1-3p interacts with the most number of genes. It has common targets with hsa-miR-497-5p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CDK4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HIST2H3A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genes) and hsa-miR-199a-3p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gene). Beside these genes hsa-miR-1-3p targets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HIST2H2AC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PIK3CA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hsa-miR-497-5p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HIST2H2BE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hsa-miR-199a-3p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HGF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MAPK8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MAPK1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Fig. 3D shows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VEGFA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common target for both hsa-miR-133a-3p and hsa-miR-199-3p, regulating pathways 5-10 (see Fig. 1S (C)). In addition to this gene hsa-miR-133a regulates the expression of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CDC42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ERBB2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hsa-miR-199a-3p –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AKT1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Although the probability of identification of this module did not pass the significance level of 0.05, we should briefly discuss pathways composing it. While pathways 1-4, associated with common cellular processes, seem to be non-specific, clusters of pathways 5-10, involved in HIF-dependent cellular response to hypoxia and VEGF signaling, may play a prominent role in HCM. “Signaling by VEGF'' is another signaling pathway, regulated by miRNAs dysfunctional in hypertrophic myocardium.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VEGFA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of the central gene of the cluster,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VEGFA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well known to be activated under hypoxia conditions in order to promote vascularization of the affected tissue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mice with HCM induced by chronic pressure overload, increased VEGF level was shown to promote angiogenesis and regression of hypertrophy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plasma of patients with HCM, VEGF level was significantly increased; it also correlated with structural and functional parameters of hypertrophic myocardium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Polymorphic variants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VEGFA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 affecting its expression level are associated with the severity of HCM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[4,5]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Thus, increased expression changes in of hsa-miR-133a, hsa-miR-221 and hsa-miR-199a-3p in hypertrophic myocardium may affect hypoxia induced down-regulate VEGF expression and signaling and therefore contribute to inhibit angiogenesis and promote HCM progression. Regulated by hsa-miR-199a-3p and hsa-miR-497-5p “bottleneck” pathway of oxidative stress induced senescence, closely linked to hypoxia, may also promote HCM and the subsequent heart failure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1. </w:t>
          <w:tab/>
          <w:t xml:space="preserve">Shibuya, M. Vascular Endothelial Growth Factor (VEGF) and Its Receptor (VEGFR) Signaling in Angiogenesis: A Crucial Target for Anti- and Pro-Angiogenic Therapies.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Genes &amp; Cancer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2011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2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1097–1105, doi:10.1177/1947601911423031.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2. </w:t>
          <w:tab/>
          <w:t xml:space="preserve">Jiang, Y.; Reynolds, C.; Xiao, C.; Feng, W.; Zhou, Z.; Rodriguez, W.; Tyagi, S.C.; Eaton, J.W.; Saari, J.T.; Kang, Y.J. Dietary Copper Supplementation Reverses Hypertrophic Cardiomyopathy Induced by Chronic Pressure Overload in Mice.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Journal of Experimental Medicine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2007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204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657–666, doi:10.1084/jem.20061943.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3. </w:t>
          <w:tab/>
          <w:t xml:space="preserve">Pudil, R.; Vasatova, M.; Fucikova, A.; Rehulkova, H.; Rehulka, P.; Palicka, V.; Stulik, J. Vascular Endothelial Growth Factor Is Associated with the Morphologic and Functional Parameters in Patients with Hypertrophic Cardiomyopathy.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BioMed Research International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2015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2015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e762950, doi:10.1155/2015/762950.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4. </w:t>
          <w:tab/>
          <w:t xml:space="preserve">Alkon, J.; Friedberg, M.K.; Manlhiot, C.; Manickaraj, A.K.; Kinnear, C.; McCrindle, B.W.; Benson, L.N.; Addonizio, L.J.; Colan, S.D.; Mital, S. Genetic Variations in Hypoxia Response Genes Influence Hypertrophic Cardiomyopathy Phenotype.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Pediatr Res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2012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72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583–592, doi:10.1038/pr.2012.126.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5. </w:t>
          <w:tab/>
          <w:t xml:space="preserve">Pieles, G.E.; Alkon, J.; Manlhiot, C.; Fan, C.-P.S.; Kinnear, C.; Benson, L.N.; Mital, S.; Friedberg, M.K. Association between Genetic Variants in the HIF1A-VEGF Pathway and Left Ventricular Regional Myocardial Deformation in Patients with Hypertrophic Cardiomyopathy. 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Pediatr Res 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2021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89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628–635, doi:10.1038/s41390-020-0929-z.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rFonts w:ascii="Times New Roman" w:cs="Times New Roman" w:eastAsia="Times New Roman" w:hAnsi="Times New Roman"/>
          <w:b w:val="1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6. </w:t>
          <w:tab/>
          <w:t xml:space="preserve">Breitkreuz, M.; Hamdani, N. A Change of Heart: Oxidative Stress in Governing Muscle Function? 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Biophys Rev 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vertAlign w:val="baseline"/>
            <w:rtl w:val="0"/>
          </w:rPr>
          <w:t xml:space="preserve">2015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</w:t>
        </w:r>
      </w:hyperlink>
      <w:hyperlink r:id="rId46">
        <w:r w:rsidDel="00000000" w:rsidR="00000000" w:rsidRPr="00000000">
          <w:rPr>
            <w:rFonts w:ascii="Times New Roman" w:cs="Times New Roman" w:eastAsia="Times New Roman" w:hAnsi="Times New Roman"/>
            <w:i w:val="1"/>
            <w:vertAlign w:val="baseline"/>
            <w:rtl w:val="0"/>
          </w:rPr>
          <w:t xml:space="preserve">7</w:t>
        </w:r>
      </w:hyperlink>
      <w:hyperlink r:id="rId47">
        <w:r w:rsidDel="00000000" w:rsidR="00000000" w:rsidRPr="00000000">
          <w:rPr>
            <w:rFonts w:ascii="Times New Roman" w:cs="Times New Roman" w:eastAsia="Times New Roman" w:hAnsi="Times New Roman"/>
            <w:vertAlign w:val="baseline"/>
            <w:rtl w:val="0"/>
          </w:rPr>
          <w:t xml:space="preserve">, 321–341, doi:10.1007/s12551-015-0175-5.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Georgia"/>
  <w:font w:name="Nuni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right="-6.259842519683616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1Sy5Xi" TargetMode="External"/><Relationship Id="rId20" Type="http://schemas.openxmlformats.org/officeDocument/2006/relationships/hyperlink" Target="https://www.zotero.org/google-docs/?1Sy5Xi" TargetMode="External"/><Relationship Id="rId42" Type="http://schemas.openxmlformats.org/officeDocument/2006/relationships/hyperlink" Target="https://www.zotero.org/google-docs/?1Sy5Xi" TargetMode="External"/><Relationship Id="rId41" Type="http://schemas.openxmlformats.org/officeDocument/2006/relationships/hyperlink" Target="https://www.zotero.org/google-docs/?1Sy5Xi" TargetMode="External"/><Relationship Id="rId22" Type="http://schemas.openxmlformats.org/officeDocument/2006/relationships/hyperlink" Target="https://www.zotero.org/google-docs/?1Sy5Xi" TargetMode="External"/><Relationship Id="rId44" Type="http://schemas.openxmlformats.org/officeDocument/2006/relationships/hyperlink" Target="https://www.zotero.org/google-docs/?1Sy5Xi" TargetMode="External"/><Relationship Id="rId21" Type="http://schemas.openxmlformats.org/officeDocument/2006/relationships/hyperlink" Target="https://www.zotero.org/google-docs/?1Sy5Xi" TargetMode="External"/><Relationship Id="rId43" Type="http://schemas.openxmlformats.org/officeDocument/2006/relationships/hyperlink" Target="https://www.zotero.org/google-docs/?1Sy5Xi" TargetMode="External"/><Relationship Id="rId24" Type="http://schemas.openxmlformats.org/officeDocument/2006/relationships/hyperlink" Target="https://www.zotero.org/google-docs/?1Sy5Xi" TargetMode="External"/><Relationship Id="rId46" Type="http://schemas.openxmlformats.org/officeDocument/2006/relationships/hyperlink" Target="https://www.zotero.org/google-docs/?1Sy5Xi" TargetMode="External"/><Relationship Id="rId23" Type="http://schemas.openxmlformats.org/officeDocument/2006/relationships/hyperlink" Target="https://www.zotero.org/google-docs/?1Sy5Xi" TargetMode="External"/><Relationship Id="rId45" Type="http://schemas.openxmlformats.org/officeDocument/2006/relationships/hyperlink" Target="https://www.zotero.org/google-docs/?1Sy5X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INgpD2" TargetMode="External"/><Relationship Id="rId26" Type="http://schemas.openxmlformats.org/officeDocument/2006/relationships/hyperlink" Target="https://www.zotero.org/google-docs/?1Sy5Xi" TargetMode="External"/><Relationship Id="rId25" Type="http://schemas.openxmlformats.org/officeDocument/2006/relationships/hyperlink" Target="https://www.zotero.org/google-docs/?1Sy5Xi" TargetMode="External"/><Relationship Id="rId47" Type="http://schemas.openxmlformats.org/officeDocument/2006/relationships/hyperlink" Target="https://www.zotero.org/google-docs/?1Sy5Xi" TargetMode="External"/><Relationship Id="rId28" Type="http://schemas.openxmlformats.org/officeDocument/2006/relationships/hyperlink" Target="https://www.zotero.org/google-docs/?1Sy5Xi" TargetMode="External"/><Relationship Id="rId27" Type="http://schemas.openxmlformats.org/officeDocument/2006/relationships/hyperlink" Target="https://www.zotero.org/google-docs/?1Sy5X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zotero.org/google-docs/?1Sy5Xi" TargetMode="External"/><Relationship Id="rId7" Type="http://schemas.openxmlformats.org/officeDocument/2006/relationships/hyperlink" Target="https://www.zotero.org/google-docs/?htwFdH" TargetMode="External"/><Relationship Id="rId8" Type="http://schemas.openxmlformats.org/officeDocument/2006/relationships/hyperlink" Target="https://www.zotero.org/google-docs/?xVz1Kk" TargetMode="External"/><Relationship Id="rId31" Type="http://schemas.openxmlformats.org/officeDocument/2006/relationships/hyperlink" Target="https://www.zotero.org/google-docs/?1Sy5Xi" TargetMode="External"/><Relationship Id="rId30" Type="http://schemas.openxmlformats.org/officeDocument/2006/relationships/hyperlink" Target="https://www.zotero.org/google-docs/?1Sy5Xi" TargetMode="External"/><Relationship Id="rId11" Type="http://schemas.openxmlformats.org/officeDocument/2006/relationships/hyperlink" Target="https://www.zotero.org/google-docs/?RU3i1N" TargetMode="External"/><Relationship Id="rId33" Type="http://schemas.openxmlformats.org/officeDocument/2006/relationships/hyperlink" Target="https://www.zotero.org/google-docs/?1Sy5Xi" TargetMode="External"/><Relationship Id="rId10" Type="http://schemas.openxmlformats.org/officeDocument/2006/relationships/hyperlink" Target="https://www.zotero.org/google-docs/?WpD16E" TargetMode="External"/><Relationship Id="rId32" Type="http://schemas.openxmlformats.org/officeDocument/2006/relationships/hyperlink" Target="https://www.zotero.org/google-docs/?1Sy5Xi" TargetMode="External"/><Relationship Id="rId13" Type="http://schemas.openxmlformats.org/officeDocument/2006/relationships/hyperlink" Target="https://www.zotero.org/google-docs/?1Sy5Xi" TargetMode="External"/><Relationship Id="rId35" Type="http://schemas.openxmlformats.org/officeDocument/2006/relationships/hyperlink" Target="https://www.zotero.org/google-docs/?1Sy5Xi" TargetMode="External"/><Relationship Id="rId12" Type="http://schemas.openxmlformats.org/officeDocument/2006/relationships/hyperlink" Target="https://www.zotero.org/google-docs/?1Sy5Xi" TargetMode="External"/><Relationship Id="rId34" Type="http://schemas.openxmlformats.org/officeDocument/2006/relationships/hyperlink" Target="https://www.zotero.org/google-docs/?1Sy5Xi" TargetMode="External"/><Relationship Id="rId15" Type="http://schemas.openxmlformats.org/officeDocument/2006/relationships/hyperlink" Target="https://www.zotero.org/google-docs/?1Sy5Xi" TargetMode="External"/><Relationship Id="rId37" Type="http://schemas.openxmlformats.org/officeDocument/2006/relationships/hyperlink" Target="https://www.zotero.org/google-docs/?1Sy5Xi" TargetMode="External"/><Relationship Id="rId14" Type="http://schemas.openxmlformats.org/officeDocument/2006/relationships/hyperlink" Target="https://www.zotero.org/google-docs/?1Sy5Xi" TargetMode="External"/><Relationship Id="rId36" Type="http://schemas.openxmlformats.org/officeDocument/2006/relationships/hyperlink" Target="https://www.zotero.org/google-docs/?1Sy5Xi" TargetMode="External"/><Relationship Id="rId17" Type="http://schemas.openxmlformats.org/officeDocument/2006/relationships/hyperlink" Target="https://www.zotero.org/google-docs/?1Sy5Xi" TargetMode="External"/><Relationship Id="rId39" Type="http://schemas.openxmlformats.org/officeDocument/2006/relationships/hyperlink" Target="https://www.zotero.org/google-docs/?1Sy5Xi" TargetMode="External"/><Relationship Id="rId16" Type="http://schemas.openxmlformats.org/officeDocument/2006/relationships/hyperlink" Target="https://www.zotero.org/google-docs/?1Sy5Xi" TargetMode="External"/><Relationship Id="rId38" Type="http://schemas.openxmlformats.org/officeDocument/2006/relationships/hyperlink" Target="https://www.zotero.org/google-docs/?1Sy5Xi" TargetMode="External"/><Relationship Id="rId19" Type="http://schemas.openxmlformats.org/officeDocument/2006/relationships/hyperlink" Target="https://www.zotero.org/google-docs/?1Sy5Xi" TargetMode="External"/><Relationship Id="rId18" Type="http://schemas.openxmlformats.org/officeDocument/2006/relationships/hyperlink" Target="https://www.zotero.org/google-docs/?1Sy5X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Light-regular.ttf"/><Relationship Id="rId2" Type="http://schemas.openxmlformats.org/officeDocument/2006/relationships/font" Target="fonts/NunitoLight-bold.ttf"/><Relationship Id="rId3" Type="http://schemas.openxmlformats.org/officeDocument/2006/relationships/font" Target="fonts/NunitoLight-italic.ttf"/><Relationship Id="rId4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