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A7897">
      <w:pPr>
        <w:rPr>
          <w:rFonts w:hint="default"/>
          <w:sz w:val="24"/>
          <w:szCs w:val="24"/>
        </w:rPr>
      </w:pPr>
    </w:p>
    <w:p w14:paraId="4E74CAD9">
      <w:pPr>
        <w:spacing w:line="360" w:lineRule="auto"/>
        <w:jc w:val="center"/>
        <w:outlineLvl w:val="0"/>
        <w:rPr>
          <w:rFonts w:ascii="隶书" w:hAnsi="宋体" w:eastAsia="隶书"/>
          <w:color w:val="000000"/>
          <w:spacing w:val="20"/>
          <w:sz w:val="52"/>
        </w:rPr>
      </w:pPr>
      <w:bookmarkStart w:id="0" w:name="_Toc12935"/>
      <w:r>
        <w:rPr>
          <w:rFonts w:hint="eastAsia" w:ascii="隶书" w:hAnsi="宋体" w:eastAsia="隶书"/>
          <w:color w:val="000000"/>
          <w:spacing w:val="20"/>
          <w:sz w:val="52"/>
        </w:rPr>
        <w:t>北京工业大学</w:t>
      </w:r>
      <w:bookmarkEnd w:id="0"/>
    </w:p>
    <w:p w14:paraId="63D2554C">
      <w:pPr>
        <w:spacing w:line="360" w:lineRule="auto"/>
        <w:jc w:val="center"/>
        <w:outlineLvl w:val="0"/>
        <w:rPr>
          <w:rFonts w:ascii="隶书" w:hAnsi="宋体" w:eastAsia="隶书"/>
          <w:color w:val="000000"/>
          <w:spacing w:val="20"/>
          <w:sz w:val="52"/>
        </w:rPr>
      </w:pPr>
      <w:bookmarkStart w:id="1" w:name="_Toc19608"/>
      <w:r>
        <w:rPr>
          <w:rFonts w:hint="eastAsia" w:ascii="隶书" w:hAnsi="宋体" w:eastAsia="隶书"/>
          <w:color w:val="000000"/>
          <w:spacing w:val="20"/>
          <w:sz w:val="52"/>
        </w:rPr>
        <w:t>计算机学院</w:t>
      </w:r>
      <w:bookmarkEnd w:id="1"/>
    </w:p>
    <w:p w14:paraId="2893CED9">
      <w:pPr>
        <w:spacing w:beforeLines="50" w:line="1000" w:lineRule="exact"/>
        <w:jc w:val="center"/>
        <w:rPr>
          <w:rFonts w:ascii="宋体" w:hAnsi="宋体"/>
          <w:color w:val="000000"/>
          <w:sz w:val="52"/>
        </w:rPr>
      </w:pPr>
    </w:p>
    <w:p w14:paraId="35EC8BF7">
      <w:pPr>
        <w:spacing w:line="340" w:lineRule="exact"/>
        <w:rPr>
          <w:rFonts w:ascii="宋体" w:hAnsi="宋体"/>
          <w:color w:val="000000"/>
          <w:sz w:val="52"/>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2429"/>
        <w:gridCol w:w="2794"/>
        <w:gridCol w:w="2433"/>
      </w:tblGrid>
      <w:tr w14:paraId="55AD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950" w:type="dxa"/>
            <w:vAlign w:val="center"/>
          </w:tcPr>
          <w:p w14:paraId="7014C128">
            <w:pPr>
              <w:jc w:val="right"/>
              <w:rPr>
                <w:rFonts w:hint="eastAsia" w:ascii="宋体" w:hAnsi="宋体" w:eastAsia="宋体" w:cs="宋体"/>
                <w:b/>
                <w:bCs/>
                <w:color w:val="000000"/>
                <w:spacing w:val="20"/>
                <w:sz w:val="28"/>
                <w:szCs w:val="28"/>
              </w:rPr>
            </w:pPr>
            <w:r>
              <w:rPr>
                <w:rFonts w:hint="eastAsia" w:ascii="宋体" w:hAnsi="宋体" w:eastAsia="宋体" w:cs="宋体"/>
                <w:b/>
                <w:bCs/>
                <w:color w:val="000000"/>
                <w:spacing w:val="20"/>
                <w:sz w:val="28"/>
                <w:szCs w:val="28"/>
                <w:lang w:val="en-US" w:eastAsia="zh-CN"/>
              </w:rPr>
              <w:t>报告</w:t>
            </w:r>
            <w:r>
              <w:rPr>
                <w:rFonts w:hint="eastAsia" w:ascii="宋体" w:hAnsi="宋体" w:eastAsia="宋体" w:cs="宋体"/>
                <w:b/>
                <w:bCs/>
                <w:color w:val="000000"/>
                <w:spacing w:val="20"/>
                <w:sz w:val="28"/>
                <w:szCs w:val="28"/>
              </w:rPr>
              <w:t>名称</w:t>
            </w:r>
          </w:p>
        </w:tc>
        <w:tc>
          <w:tcPr>
            <w:tcW w:w="7656" w:type="dxa"/>
            <w:gridSpan w:val="3"/>
            <w:vAlign w:val="center"/>
          </w:tcPr>
          <w:p w14:paraId="2B1E985D">
            <w:pPr>
              <w:ind w:firstLine="640"/>
              <w:jc w:val="left"/>
              <w:rPr>
                <w:rFonts w:hint="eastAsia" w:ascii="宋体" w:hAnsi="宋体" w:eastAsia="宋体" w:cs="宋体"/>
                <w:b/>
                <w:bCs/>
                <w:color w:val="000000"/>
                <w:spacing w:val="20"/>
                <w:sz w:val="28"/>
                <w:szCs w:val="28"/>
              </w:rPr>
            </w:pPr>
            <w:r>
              <w:rPr>
                <w:rFonts w:hint="eastAsia" w:ascii="宋体" w:hAnsi="宋体" w:eastAsia="宋体" w:cs="宋体"/>
                <w:b/>
                <w:bCs/>
                <w:color w:val="000000"/>
                <w:spacing w:val="20"/>
                <w:sz w:val="28"/>
                <w:szCs w:val="28"/>
              </w:rPr>
              <w:t>课设选题可行性报告</w:t>
            </w:r>
          </w:p>
        </w:tc>
      </w:tr>
      <w:tr w14:paraId="4658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950" w:type="dxa"/>
            <w:vAlign w:val="center"/>
          </w:tcPr>
          <w:p w14:paraId="24292A2D">
            <w:pPr>
              <w:jc w:val="right"/>
              <w:rPr>
                <w:rFonts w:hint="eastAsia" w:ascii="宋体" w:hAnsi="宋体" w:eastAsia="宋体" w:cs="宋体"/>
                <w:b/>
                <w:bCs/>
                <w:color w:val="000000"/>
                <w:spacing w:val="20"/>
                <w:sz w:val="28"/>
                <w:szCs w:val="28"/>
              </w:rPr>
            </w:pPr>
            <w:r>
              <w:rPr>
                <w:rFonts w:hint="eastAsia" w:ascii="宋体" w:hAnsi="宋体" w:eastAsia="宋体" w:cs="宋体"/>
                <w:b/>
                <w:bCs/>
                <w:color w:val="000000"/>
                <w:spacing w:val="20"/>
                <w:sz w:val="28"/>
                <w:szCs w:val="28"/>
              </w:rPr>
              <w:t>项目名称</w:t>
            </w:r>
          </w:p>
        </w:tc>
        <w:tc>
          <w:tcPr>
            <w:tcW w:w="7656" w:type="dxa"/>
            <w:gridSpan w:val="3"/>
            <w:vAlign w:val="center"/>
          </w:tcPr>
          <w:p w14:paraId="364B4285">
            <w:pPr>
              <w:rPr>
                <w:rFonts w:hint="eastAsia" w:ascii="宋体" w:hAnsi="宋体" w:eastAsia="宋体" w:cs="宋体"/>
                <w:b/>
                <w:bCs/>
                <w:color w:val="000000"/>
                <w:spacing w:val="20"/>
                <w:sz w:val="28"/>
                <w:szCs w:val="28"/>
              </w:rPr>
            </w:pPr>
            <w:r>
              <w:rPr>
                <w:rFonts w:hint="eastAsia" w:ascii="宋体" w:hAnsi="宋体" w:eastAsia="宋体" w:cs="宋体"/>
                <w:b/>
                <w:bCs/>
                <w:color w:val="000000"/>
                <w:spacing w:val="20"/>
                <w:sz w:val="28"/>
                <w:szCs w:val="28"/>
              </w:rPr>
              <w:t>非遗数字档案跨馆共享与版权溯源管控系统</w:t>
            </w:r>
          </w:p>
        </w:tc>
      </w:tr>
      <w:tr w14:paraId="4482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950" w:type="dxa"/>
            <w:vAlign w:val="center"/>
          </w:tcPr>
          <w:p w14:paraId="3DCC79F6">
            <w:pPr>
              <w:jc w:val="right"/>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参赛方向</w:t>
            </w:r>
          </w:p>
        </w:tc>
        <w:tc>
          <w:tcPr>
            <w:tcW w:w="5223" w:type="dxa"/>
            <w:gridSpan w:val="2"/>
            <w:vAlign w:val="center"/>
          </w:tcPr>
          <w:p w14:paraId="639BB533">
            <w:pPr>
              <w:jc w:val="left"/>
              <w:rPr>
                <w:rFonts w:hint="eastAsia" w:ascii="宋体" w:hAnsi="宋体" w:eastAsia="宋体" w:cs="宋体"/>
                <w:b/>
                <w:bCs/>
                <w:color w:val="000000"/>
                <w:spacing w:val="20"/>
                <w:sz w:val="28"/>
                <w:szCs w:val="28"/>
                <w:lang w:eastAsia="zh-CN"/>
              </w:rPr>
            </w:pPr>
            <w:r>
              <w:rPr>
                <w:rFonts w:hint="eastAsia" w:ascii="宋体" w:hAnsi="宋体" w:eastAsia="宋体" w:cs="宋体"/>
                <w:b/>
                <w:bCs/>
                <w:color w:val="000000"/>
                <w:spacing w:val="20"/>
                <w:sz w:val="28"/>
                <w:szCs w:val="28"/>
              </w:rPr>
              <w:t xml:space="preserve">响应国家文化数字化战略，解决非遗档案在机构间“共享难、保护难、溯源难”的现实痛点 </w:t>
            </w:r>
            <w:r>
              <w:rPr>
                <w:rFonts w:hint="eastAsia" w:ascii="宋体" w:hAnsi="宋体" w:eastAsia="宋体" w:cs="宋体"/>
                <w:b/>
                <w:bCs/>
                <w:color w:val="000000"/>
                <w:spacing w:val="20"/>
                <w:sz w:val="28"/>
                <w:szCs w:val="28"/>
                <w:lang w:eastAsia="zh-CN"/>
              </w:rPr>
              <w:t>。</w:t>
            </w:r>
          </w:p>
        </w:tc>
        <w:tc>
          <w:tcPr>
            <w:tcW w:w="2433" w:type="dxa"/>
            <w:vAlign w:val="center"/>
          </w:tcPr>
          <w:p w14:paraId="39839FE9">
            <w:pPr>
              <w:ind w:firstLine="640"/>
              <w:jc w:val="left"/>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无参赛背景、无指导教师</w:t>
            </w:r>
          </w:p>
        </w:tc>
      </w:tr>
      <w:tr w14:paraId="4937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950" w:type="dxa"/>
            <w:vAlign w:val="center"/>
          </w:tcPr>
          <w:p w14:paraId="70A8C628">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组长</w:t>
            </w:r>
          </w:p>
        </w:tc>
        <w:tc>
          <w:tcPr>
            <w:tcW w:w="2429" w:type="dxa"/>
            <w:vAlign w:val="center"/>
          </w:tcPr>
          <w:p w14:paraId="36DE26EC">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23072018</w:t>
            </w:r>
          </w:p>
        </w:tc>
        <w:tc>
          <w:tcPr>
            <w:tcW w:w="5227" w:type="dxa"/>
            <w:gridSpan w:val="2"/>
            <w:vAlign w:val="center"/>
          </w:tcPr>
          <w:p w14:paraId="5B9719BF">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郭珈琪</w:t>
            </w:r>
          </w:p>
        </w:tc>
      </w:tr>
      <w:tr w14:paraId="6D8B9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950" w:type="dxa"/>
            <w:vAlign w:val="center"/>
          </w:tcPr>
          <w:p w14:paraId="2E08FB28">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组员1</w:t>
            </w:r>
          </w:p>
        </w:tc>
        <w:tc>
          <w:tcPr>
            <w:tcW w:w="2429" w:type="dxa"/>
            <w:vAlign w:val="center"/>
          </w:tcPr>
          <w:p w14:paraId="3F8F565D">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23072019</w:t>
            </w:r>
          </w:p>
        </w:tc>
        <w:tc>
          <w:tcPr>
            <w:tcW w:w="5227" w:type="dxa"/>
            <w:gridSpan w:val="2"/>
            <w:vAlign w:val="center"/>
          </w:tcPr>
          <w:p w14:paraId="2121D794">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刘翊帆</w:t>
            </w:r>
          </w:p>
        </w:tc>
      </w:tr>
      <w:tr w14:paraId="0447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950" w:type="dxa"/>
            <w:vAlign w:val="center"/>
          </w:tcPr>
          <w:p w14:paraId="6457D950">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组员2</w:t>
            </w:r>
          </w:p>
        </w:tc>
        <w:tc>
          <w:tcPr>
            <w:tcW w:w="2429" w:type="dxa"/>
            <w:vAlign w:val="center"/>
          </w:tcPr>
          <w:p w14:paraId="02E7E1BA">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23072009</w:t>
            </w:r>
          </w:p>
        </w:tc>
        <w:tc>
          <w:tcPr>
            <w:tcW w:w="5227" w:type="dxa"/>
            <w:gridSpan w:val="2"/>
            <w:vAlign w:val="center"/>
          </w:tcPr>
          <w:p w14:paraId="488BFB8A">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高晓钰</w:t>
            </w:r>
          </w:p>
        </w:tc>
      </w:tr>
      <w:tr w14:paraId="710C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950" w:type="dxa"/>
            <w:vAlign w:val="center"/>
          </w:tcPr>
          <w:p w14:paraId="3A3462FE">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组员3</w:t>
            </w:r>
          </w:p>
        </w:tc>
        <w:tc>
          <w:tcPr>
            <w:tcW w:w="2429" w:type="dxa"/>
            <w:vAlign w:val="center"/>
          </w:tcPr>
          <w:p w14:paraId="2BF81604">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23072008</w:t>
            </w:r>
          </w:p>
        </w:tc>
        <w:tc>
          <w:tcPr>
            <w:tcW w:w="5227" w:type="dxa"/>
            <w:gridSpan w:val="2"/>
            <w:vAlign w:val="center"/>
          </w:tcPr>
          <w:p w14:paraId="0203FE48">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牛嘉悦</w:t>
            </w:r>
          </w:p>
        </w:tc>
      </w:tr>
      <w:tr w14:paraId="0C341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950" w:type="dxa"/>
            <w:vAlign w:val="center"/>
          </w:tcPr>
          <w:p w14:paraId="5E6A9D7A">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AI辅助说明</w:t>
            </w:r>
          </w:p>
        </w:tc>
        <w:tc>
          <w:tcPr>
            <w:tcW w:w="7656" w:type="dxa"/>
            <w:gridSpan w:val="3"/>
            <w:vAlign w:val="center"/>
          </w:tcPr>
          <w:p w14:paraId="2BE78C3E">
            <w:pPr>
              <w:rPr>
                <w:rFonts w:hint="eastAsia" w:ascii="宋体" w:hAnsi="宋体" w:eastAsia="宋体" w:cs="宋体"/>
                <w:b/>
                <w:bCs/>
                <w:color w:val="000000"/>
                <w:spacing w:val="20"/>
                <w:sz w:val="28"/>
                <w:szCs w:val="28"/>
                <w:lang w:val="en-US" w:eastAsia="zh-CN"/>
              </w:rPr>
            </w:pPr>
            <w:r>
              <w:rPr>
                <w:rFonts w:hint="eastAsia" w:ascii="宋体" w:hAnsi="宋体" w:eastAsia="宋体" w:cs="宋体"/>
                <w:b/>
                <w:bCs/>
                <w:color w:val="000000"/>
                <w:spacing w:val="20"/>
                <w:sz w:val="28"/>
                <w:szCs w:val="28"/>
                <w:lang w:val="en-US" w:eastAsia="zh-CN"/>
              </w:rPr>
              <w:t>本报告在选题思路润色、业务流逻辑梳理使用了Gemini、豆包进行ai辅助</w:t>
            </w:r>
          </w:p>
        </w:tc>
      </w:tr>
    </w:tbl>
    <w:p w14:paraId="064A84FA">
      <w:pPr>
        <w:spacing w:line="340" w:lineRule="exact"/>
        <w:rPr>
          <w:rFonts w:ascii="宋体" w:hAnsi="宋体"/>
          <w:color w:val="000000"/>
          <w:sz w:val="52"/>
        </w:rPr>
      </w:pPr>
    </w:p>
    <w:p w14:paraId="38CC4FBE">
      <w:pPr>
        <w:spacing w:line="740" w:lineRule="exact"/>
        <w:jc w:val="center"/>
        <w:rPr>
          <w:rFonts w:ascii="隶书" w:hAnsi="宋体" w:eastAsia="隶书"/>
          <w:color w:val="000000"/>
          <w:spacing w:val="20"/>
          <w:sz w:val="28"/>
          <w:szCs w:val="28"/>
        </w:rPr>
      </w:pPr>
      <w:r>
        <w:rPr>
          <w:rFonts w:hint="eastAsia" w:ascii="隶书" w:hAnsi="宋体" w:eastAsia="隶书"/>
          <w:color w:val="000000"/>
          <w:spacing w:val="20"/>
          <w:sz w:val="28"/>
          <w:szCs w:val="28"/>
          <w:lang w:val="en-US" w:eastAsia="zh-CN"/>
        </w:rPr>
        <w:t>2026</w:t>
      </w:r>
      <w:r>
        <w:rPr>
          <w:rFonts w:hint="eastAsia" w:ascii="隶书" w:hAnsi="宋体" w:eastAsia="隶书"/>
          <w:color w:val="000000"/>
          <w:spacing w:val="20"/>
          <w:sz w:val="28"/>
          <w:szCs w:val="28"/>
        </w:rPr>
        <w:t>年</w:t>
      </w:r>
      <w:r>
        <w:rPr>
          <w:rFonts w:hint="eastAsia" w:ascii="隶书" w:hAnsi="宋体" w:eastAsia="隶书"/>
          <w:color w:val="000000"/>
          <w:spacing w:val="20"/>
          <w:sz w:val="28"/>
          <w:szCs w:val="28"/>
          <w:lang w:val="en-US" w:eastAsia="zh-CN"/>
        </w:rPr>
        <w:t>3</w:t>
      </w:r>
      <w:r>
        <w:rPr>
          <w:rFonts w:hint="eastAsia" w:ascii="隶书" w:hAnsi="宋体" w:eastAsia="隶书"/>
          <w:color w:val="000000"/>
          <w:spacing w:val="20"/>
          <w:sz w:val="28"/>
          <w:szCs w:val="28"/>
        </w:rPr>
        <w:t>月</w:t>
      </w:r>
      <w:r>
        <w:rPr>
          <w:rFonts w:hint="eastAsia" w:ascii="隶书" w:hAnsi="宋体" w:eastAsia="隶书"/>
          <w:color w:val="000000"/>
          <w:spacing w:val="20"/>
          <w:sz w:val="28"/>
          <w:szCs w:val="28"/>
          <w:lang w:val="en-US" w:eastAsia="zh-CN"/>
        </w:rPr>
        <w:t>19</w:t>
      </w:r>
      <w:r>
        <w:rPr>
          <w:rFonts w:hint="eastAsia" w:ascii="隶书" w:hAnsi="宋体" w:eastAsia="隶书"/>
          <w:color w:val="000000"/>
          <w:spacing w:val="20"/>
          <w:sz w:val="28"/>
          <w:szCs w:val="28"/>
        </w:rPr>
        <w:t>日</w:t>
      </w:r>
    </w:p>
    <w:p w14:paraId="0E43038A">
      <w:pPr>
        <w:rPr>
          <w:rFonts w:hint="default"/>
          <w:sz w:val="24"/>
          <w:szCs w:val="24"/>
        </w:rPr>
      </w:pPr>
    </w:p>
    <w:p w14:paraId="7F57D76A">
      <w:pPr>
        <w:rPr>
          <w:rFonts w:hint="default"/>
          <w:sz w:val="24"/>
          <w:szCs w:val="24"/>
        </w:rPr>
      </w:pPr>
    </w:p>
    <w:p w14:paraId="048B970C">
      <w:pPr>
        <w:rPr>
          <w:rFonts w:hint="default"/>
          <w:sz w:val="24"/>
          <w:szCs w:val="24"/>
        </w:rPr>
      </w:pPr>
    </w:p>
    <w:p w14:paraId="3F74750B">
      <w:pPr>
        <w:rPr>
          <w:rFonts w:hint="default"/>
          <w:sz w:val="24"/>
          <w:szCs w:val="24"/>
        </w:rPr>
      </w:pPr>
    </w:p>
    <w:p w14:paraId="189E872F">
      <w:pPr>
        <w:rPr>
          <w:rFonts w:hint="default"/>
          <w:sz w:val="24"/>
          <w:szCs w:val="24"/>
        </w:rPr>
      </w:pPr>
    </w:p>
    <w:p w14:paraId="3403AFB7">
      <w:pPr>
        <w:rPr>
          <w:rFonts w:hint="default"/>
          <w:sz w:val="24"/>
          <w:szCs w:val="24"/>
        </w:rPr>
      </w:pPr>
    </w:p>
    <w:p w14:paraId="585D74DE">
      <w:pPr>
        <w:rPr>
          <w:rFonts w:hint="default"/>
          <w:sz w:val="24"/>
          <w:szCs w:val="24"/>
        </w:rPr>
      </w:pPr>
    </w:p>
    <w:p w14:paraId="5808AF96">
      <w:pPr>
        <w:rPr>
          <w:rFonts w:hint="default"/>
          <w:sz w:val="28"/>
          <w:szCs w:val="28"/>
        </w:rPr>
      </w:pPr>
      <w:r>
        <w:rPr>
          <w:rFonts w:hint="eastAsia"/>
          <w:sz w:val="28"/>
          <w:szCs w:val="28"/>
          <w:lang w:val="en-US" w:eastAsia="zh-CN"/>
        </w:rPr>
        <w:t>一、</w:t>
      </w:r>
      <w:r>
        <w:rPr>
          <w:rFonts w:hint="default"/>
          <w:sz w:val="28"/>
          <w:szCs w:val="28"/>
        </w:rPr>
        <w:t>选题背景与应用场景</w:t>
      </w:r>
    </w:p>
    <w:p w14:paraId="187408FB">
      <w:pPr>
        <w:rPr>
          <w:rFonts w:hint="default"/>
          <w:sz w:val="24"/>
          <w:szCs w:val="24"/>
          <w:lang w:val="en-US" w:eastAsia="zh-CN"/>
        </w:rPr>
      </w:pPr>
      <w:r>
        <w:rPr>
          <w:rFonts w:hint="eastAsia"/>
          <w:sz w:val="24"/>
          <w:szCs w:val="24"/>
          <w:lang w:val="en-US" w:eastAsia="zh-CN"/>
        </w:rPr>
        <w:t>1.选题背景</w:t>
      </w:r>
    </w:p>
    <w:p w14:paraId="5F2E00C7">
      <w:pPr>
        <w:ind w:firstLine="420" w:firstLineChars="0"/>
        <w:rPr>
          <w:rFonts w:hint="eastAsia"/>
          <w:sz w:val="24"/>
          <w:szCs w:val="24"/>
          <w:lang w:val="en-US" w:eastAsia="zh-CN"/>
        </w:rPr>
      </w:pPr>
      <w:r>
        <w:rPr>
          <w:rFonts w:hint="eastAsia"/>
          <w:sz w:val="24"/>
          <w:szCs w:val="24"/>
          <w:lang w:val="en-US" w:eastAsia="zh-CN"/>
        </w:rPr>
        <w:t>随着非遗保护工作的持续深化与数字化建设的稳步推进，各非遗馆已沉淀积累了大量高价值的非遗数字化档案，涵盖传承人技艺影像、核心技艺母版、非遗史料文献、工艺制作实录、口述史记录等关键资源。非遗数字档案作为承载民族文化记忆的核心资产，其跨馆共享是盘活分散文化资源的关键举措 —— 不同地域、不同类型的非遗馆各有馆藏特色，部分非遗技艺的完整传承脉络、史料佐证分散在多个机构，唯有通过跨馆共享才能实现资源整合，为非遗研究、技艺复原、文化传播提供完整的资料支撑；同时，跨馆共享也是推动非遗活态传承的重要途径，能让传承人、研究学者、文化传播者突破馆藏地域限制，获取更全面的非遗资料，助力非遗技艺的研究挖掘、创新转化与普及传播。此外，非遗档案跨馆共享更是落实国家文化数字化战略的核心要求，是构建全国性非遗数字资源体系、促进非遗文化资源活化利用、让优秀传统文化走进大众的必然选择，对提升非遗保护工作的专业化、系统化水平具有重要意义。</w:t>
      </w:r>
    </w:p>
    <w:p w14:paraId="21350B60">
      <w:pPr>
        <w:ind w:firstLine="420" w:firstLineChars="0"/>
        <w:rPr>
          <w:rFonts w:hint="eastAsia"/>
          <w:sz w:val="24"/>
          <w:szCs w:val="24"/>
          <w:lang w:val="en-US" w:eastAsia="zh-CN"/>
        </w:rPr>
      </w:pPr>
      <w:r>
        <w:rPr>
          <w:rFonts w:hint="eastAsia"/>
          <w:sz w:val="24"/>
          <w:szCs w:val="24"/>
          <w:lang w:val="en-US" w:eastAsia="zh-CN"/>
        </w:rPr>
        <w:t>当前非遗馆之间的档案共享仍以线下拷贝、点对点邮件传输、普通网盘分享、线下优盘交接等传统非标准化方式为主，这类共享模式无统一的操作规范与安全管控机制，存在明显的流程漏洞与安全隐患：线下拷贝与优盘交接不仅传输效率极低，适配跨区域跨机构的共享需求，还易因物理介质损坏、丢失、人为误操作导致档案数据损毁或泄露；邮件与普通网盘分享缺乏端到端的加密保护与精细化权限限制，档案可被接收方随意转发、保存、篡改，且无法追溯后续传播路径与使用行为，同时这类方式也难以实现对档案访问、下载、使用的全流程监管，让非遗档案的流通处于无序状态。正是这类粗放的共享方式，让非遗档案跨馆流通面临诸多实际阻碍：</w:t>
      </w:r>
    </w:p>
    <w:p w14:paraId="62AD5222">
      <w:pPr>
        <w:jc w:val="center"/>
        <w:rPr>
          <w:rFonts w:hint="eastAsia"/>
          <w:sz w:val="24"/>
          <w:szCs w:val="24"/>
          <w:lang w:val="en-US" w:eastAsia="zh-CN"/>
        </w:rPr>
      </w:pPr>
      <w:r>
        <w:drawing>
          <wp:inline distT="0" distB="0" distL="114300" distR="114300">
            <wp:extent cx="4899660" cy="17748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rcRect l="3137" t="4428" r="3753" b="3206"/>
                    <a:stretch>
                      <a:fillRect/>
                    </a:stretch>
                  </pic:blipFill>
                  <pic:spPr>
                    <a:xfrm>
                      <a:off x="0" y="0"/>
                      <a:ext cx="4899660" cy="1774825"/>
                    </a:xfrm>
                    <a:prstGeom prst="rect">
                      <a:avLst/>
                    </a:prstGeom>
                    <a:noFill/>
                    <a:ln>
                      <a:noFill/>
                    </a:ln>
                  </pic:spPr>
                </pic:pic>
              </a:graphicData>
            </a:graphic>
          </wp:inline>
        </w:drawing>
      </w:r>
    </w:p>
    <w:p w14:paraId="37DABDCC">
      <w:pPr>
        <w:ind w:firstLine="420" w:firstLineChars="0"/>
        <w:rPr>
          <w:rFonts w:hint="eastAsia"/>
          <w:sz w:val="24"/>
          <w:szCs w:val="24"/>
          <w:lang w:val="en-US" w:eastAsia="zh-CN"/>
        </w:rPr>
      </w:pPr>
    </w:p>
    <w:p w14:paraId="0DA64F24">
      <w:pPr>
        <w:rPr>
          <w:rFonts w:hint="eastAsia"/>
          <w:sz w:val="24"/>
          <w:szCs w:val="24"/>
          <w:lang w:val="en-US" w:eastAsia="zh-CN"/>
        </w:rPr>
      </w:pPr>
      <w:r>
        <w:rPr>
          <w:rFonts w:hint="eastAsia"/>
          <w:sz w:val="24"/>
          <w:szCs w:val="24"/>
          <w:lang w:val="en-US" w:eastAsia="zh-CN"/>
        </w:rPr>
        <w:t>阻碍 1—— 共享动力不足，馆方主动共享意愿极低</w:t>
      </w:r>
    </w:p>
    <w:p w14:paraId="446416D8">
      <w:pPr>
        <w:ind w:firstLine="420" w:firstLineChars="0"/>
        <w:rPr>
          <w:rFonts w:hint="eastAsia"/>
          <w:sz w:val="24"/>
          <w:szCs w:val="24"/>
          <w:lang w:val="en-US" w:eastAsia="zh-CN"/>
        </w:rPr>
      </w:pPr>
      <w:r>
        <w:rPr>
          <w:rFonts w:hint="eastAsia"/>
          <w:sz w:val="24"/>
          <w:szCs w:val="24"/>
          <w:lang w:val="en-US" w:eastAsia="zh-CN"/>
        </w:rPr>
        <w:t>各非遗馆的数字化档案是投入大量人力、物力、财力完成的核心文化资产，且核心技艺母版、独家传承人影像等资源具备独特的版权价值，但目前的共享模式中缺乏全流程的版权保护机制和精准的侵权溯源手段，馆方无法对共享后的档案进行有效管控，普遍担忧档案共享后被非法倒卖、二次篡改、无授权商用，不仅造成馆方的资源投入损失，还会导致非遗文化资源的原真性被破坏，最终使得各馆陷入 “不愿共享、不敢共享” 的困境，跨馆共享的内生动力严重不足。</w:t>
      </w:r>
    </w:p>
    <w:p w14:paraId="4270E075">
      <w:pPr>
        <w:ind w:firstLine="420" w:firstLineChars="0"/>
        <w:rPr>
          <w:rFonts w:hint="eastAsia"/>
          <w:sz w:val="24"/>
          <w:szCs w:val="24"/>
          <w:lang w:val="en-US" w:eastAsia="zh-CN"/>
        </w:rPr>
      </w:pPr>
    </w:p>
    <w:p w14:paraId="560C50FE">
      <w:pPr>
        <w:rPr>
          <w:rFonts w:hint="eastAsia"/>
          <w:sz w:val="24"/>
          <w:szCs w:val="24"/>
          <w:lang w:val="en-US" w:eastAsia="zh-CN"/>
        </w:rPr>
      </w:pPr>
      <w:r>
        <w:rPr>
          <w:rFonts w:hint="eastAsia"/>
          <w:sz w:val="24"/>
          <w:szCs w:val="24"/>
          <w:lang w:val="en-US" w:eastAsia="zh-CN"/>
        </w:rPr>
        <w:t>阻碍 2—— 隐私保护缺失，合规运营风险突出</w:t>
      </w:r>
    </w:p>
    <w:p w14:paraId="575F3C03">
      <w:pPr>
        <w:ind w:firstLine="420" w:firstLineChars="0"/>
        <w:rPr>
          <w:rFonts w:hint="eastAsia"/>
          <w:sz w:val="24"/>
          <w:szCs w:val="24"/>
          <w:lang w:val="en-US" w:eastAsia="zh-CN"/>
        </w:rPr>
      </w:pPr>
      <w:r>
        <w:rPr>
          <w:rFonts w:hint="eastAsia"/>
          <w:sz w:val="24"/>
          <w:szCs w:val="24"/>
          <w:lang w:val="en-US" w:eastAsia="zh-CN"/>
        </w:rPr>
        <w:t>非遗数字档案中不仅包含传承人的身份证号、手机号、家庭住址等法定敏感个人信息，还涉及部分非遗传承人的口述史隐私、技艺传承的私密细节等内容，而现有共享方式无任何隐私处理与防护环节，档案以原始明文形式在各机构间流转，既未对敏感信息做脱敏、掩码等处理，也无相关的隐私保护协议与流程约束，直接共享极易造成传承人的个人隐私泄露，不仅违背非遗传承人的信任，更直接违反《个人信息保护法》《非物质文化遗产法》等相关法律法规，给非遗馆带来严重的法律追责与合规运营风险。</w:t>
      </w:r>
    </w:p>
    <w:p w14:paraId="52EFC3D0">
      <w:pPr>
        <w:ind w:firstLine="420" w:firstLineChars="0"/>
        <w:rPr>
          <w:rFonts w:hint="eastAsia"/>
          <w:sz w:val="24"/>
          <w:szCs w:val="24"/>
          <w:lang w:val="en-US" w:eastAsia="zh-CN"/>
        </w:rPr>
      </w:pPr>
    </w:p>
    <w:p w14:paraId="7D47CE6D">
      <w:pPr>
        <w:rPr>
          <w:rFonts w:hint="eastAsia"/>
          <w:sz w:val="24"/>
          <w:szCs w:val="24"/>
          <w:lang w:val="en-US" w:eastAsia="zh-CN"/>
        </w:rPr>
      </w:pPr>
      <w:r>
        <w:rPr>
          <w:rFonts w:hint="eastAsia"/>
          <w:sz w:val="24"/>
          <w:szCs w:val="24"/>
          <w:lang w:val="en-US" w:eastAsia="zh-CN"/>
        </w:rPr>
        <w:t>阻碍 3—— 流转全程不可控，核心资源安全隐患大</w:t>
      </w:r>
    </w:p>
    <w:p w14:paraId="638BE472">
      <w:pPr>
        <w:ind w:firstLine="420" w:firstLineChars="0"/>
        <w:rPr>
          <w:rFonts w:hint="eastAsia"/>
          <w:sz w:val="24"/>
          <w:szCs w:val="24"/>
          <w:lang w:val="en-US" w:eastAsia="zh-CN"/>
        </w:rPr>
      </w:pPr>
      <w:r>
        <w:rPr>
          <w:rFonts w:hint="eastAsia"/>
          <w:sz w:val="24"/>
          <w:szCs w:val="24"/>
          <w:lang w:val="en-US" w:eastAsia="zh-CN"/>
        </w:rPr>
        <w:t>一方面，现有共享模式缺乏细粒度的权限划分与校验机制，无针对游客、研究馆员、馆内管理员、跨馆工作人员等不同角色的访问权限设定，无法根据档案的安全等级（公开 / 核心 / 绝密）实现分级访问，易出现非授权人员越权查看、下载核心非遗资源的问题；另一方面，档案流转的全流程无任何操作记录与追溯手段，共享后档案的传播路径、访问主体、使用行为均无法监控和核查，一旦出现资源泄露、违规使用等问题，无法定位问题源头，也难以采取补救措施，让非遗核心资源在跨馆流转中面临极高的安全风险。</w:t>
      </w:r>
    </w:p>
    <w:p w14:paraId="67906D60">
      <w:pPr>
        <w:ind w:firstLine="420" w:firstLineChars="0"/>
        <w:rPr>
          <w:rFonts w:hint="eastAsia"/>
          <w:sz w:val="24"/>
          <w:szCs w:val="24"/>
          <w:lang w:val="en-US" w:eastAsia="zh-CN"/>
        </w:rPr>
      </w:pPr>
    </w:p>
    <w:p w14:paraId="0FCC33E5">
      <w:pPr>
        <w:rPr>
          <w:rFonts w:hint="eastAsia"/>
          <w:sz w:val="24"/>
          <w:szCs w:val="24"/>
          <w:lang w:val="en-US" w:eastAsia="zh-CN"/>
        </w:rPr>
      </w:pPr>
      <w:r>
        <w:rPr>
          <w:rFonts w:hint="eastAsia"/>
          <w:sz w:val="24"/>
          <w:szCs w:val="24"/>
          <w:lang w:val="en-US" w:eastAsia="zh-CN"/>
        </w:rPr>
        <w:t>阻碍 4—— 共享标准不统一，资源整合利用效率低</w:t>
      </w:r>
    </w:p>
    <w:p w14:paraId="7E62CA40">
      <w:pPr>
        <w:ind w:firstLine="420" w:firstLineChars="0"/>
        <w:rPr>
          <w:rFonts w:hint="eastAsia"/>
          <w:sz w:val="24"/>
          <w:szCs w:val="24"/>
          <w:lang w:val="en-US" w:eastAsia="zh-CN"/>
        </w:rPr>
      </w:pPr>
      <w:r>
        <w:rPr>
          <w:rFonts w:hint="eastAsia"/>
          <w:sz w:val="24"/>
          <w:szCs w:val="24"/>
          <w:lang w:val="en-US" w:eastAsia="zh-CN"/>
        </w:rPr>
        <w:t>各非遗馆的数字化档案在采集格式、元数据规范、存储标准等方面各自为营，无统一的行业标准，而现有共享方式仅为简单的文件传输，未设置档案标准化处理环节，跨馆共享的档案存在格式不兼容、元数据缺失、信息不规范等问题，接收方需花费大量时间进行人工整理、格式转换，不仅大幅降低了非遗档案的整合与利用效率，也无法实现全国范围内非遗数字资源的系统化归集，难以形成完整的非遗资源体系，违背了跨馆共享的核心初衷。</w:t>
      </w:r>
    </w:p>
    <w:p w14:paraId="430B07EA">
      <w:pPr>
        <w:ind w:firstLine="420" w:firstLineChars="0"/>
        <w:rPr>
          <w:rFonts w:hint="eastAsia"/>
          <w:sz w:val="24"/>
          <w:szCs w:val="24"/>
          <w:lang w:val="en-US" w:eastAsia="zh-CN"/>
        </w:rPr>
      </w:pPr>
    </w:p>
    <w:p w14:paraId="04EFCB18">
      <w:pPr>
        <w:ind w:firstLine="420" w:firstLineChars="0"/>
        <w:rPr>
          <w:rFonts w:hint="default"/>
          <w:sz w:val="24"/>
          <w:szCs w:val="24"/>
        </w:rPr>
      </w:pPr>
      <w:r>
        <w:rPr>
          <w:rFonts w:hint="default"/>
          <w:sz w:val="24"/>
          <w:szCs w:val="24"/>
        </w:rPr>
        <w:t>针对以上非遗档案跨馆共享的多重痛点，本小组设计非遗数字档案跨馆共享与版权溯源管控系统，系统以技术为支撑构建非遗档案安全防护体系，核心实现非遗数字资源的安全可信共享，让非遗档案在跨馆流通中既可控、可溯，又能高效对接各机构的共享需求，推动非遗资源的有序流转与活化利用。</w:t>
      </w:r>
    </w:p>
    <w:p w14:paraId="53676696">
      <w:pPr>
        <w:ind w:firstLine="420" w:firstLineChars="0"/>
        <w:rPr>
          <w:rFonts w:hint="default"/>
          <w:sz w:val="24"/>
          <w:szCs w:val="24"/>
        </w:rPr>
      </w:pPr>
    </w:p>
    <w:p w14:paraId="3BEACCD6">
      <w:pPr>
        <w:rPr>
          <w:rFonts w:hint="default"/>
          <w:sz w:val="24"/>
          <w:szCs w:val="24"/>
        </w:rPr>
      </w:pPr>
      <w:r>
        <w:rPr>
          <w:rFonts w:hint="eastAsia"/>
          <w:sz w:val="24"/>
          <w:szCs w:val="24"/>
          <w:lang w:val="en-US" w:eastAsia="zh-CN"/>
        </w:rPr>
        <w:t>2.</w:t>
      </w:r>
      <w:r>
        <w:rPr>
          <w:rFonts w:hint="default"/>
          <w:sz w:val="24"/>
          <w:szCs w:val="24"/>
        </w:rPr>
        <w:t>核心业务流程梳理</w:t>
      </w:r>
    </w:p>
    <w:p w14:paraId="10B5A57D">
      <w:pPr>
        <w:ind w:firstLine="420" w:firstLineChars="0"/>
      </w:pPr>
      <w:r>
        <w:rPr>
          <w:rFonts w:hint="default"/>
          <w:sz w:val="24"/>
          <w:szCs w:val="24"/>
          <w:lang w:val="en-US" w:eastAsia="zh-CN"/>
        </w:rPr>
        <w:t>经本小组实地调研非遗馆实际业务需求、梳理行业操作规范后，明确系统围绕非遗数字档案</w:t>
      </w:r>
      <w:r>
        <w:rPr>
          <w:rFonts w:hint="default"/>
          <w:b/>
          <w:bCs/>
          <w:sz w:val="24"/>
          <w:szCs w:val="24"/>
          <w:lang w:val="en-US" w:eastAsia="zh-CN"/>
        </w:rPr>
        <w:t>安全采集、授权访问、版权溯源</w:t>
      </w:r>
      <w:r>
        <w:rPr>
          <w:rFonts w:hint="default"/>
          <w:sz w:val="24"/>
          <w:szCs w:val="24"/>
          <w:lang w:val="en-US" w:eastAsia="zh-CN"/>
        </w:rPr>
        <w:t>三大核心场景设计三条业务线，清晰界定非遗馆、文化数据中心的角色定位（</w:t>
      </w:r>
      <w:r>
        <w:rPr>
          <w:rFonts w:hint="default"/>
          <w:b/>
          <w:bCs/>
          <w:sz w:val="24"/>
          <w:szCs w:val="24"/>
          <w:lang w:val="en-US" w:eastAsia="zh-CN"/>
        </w:rPr>
        <w:t>非遗馆为档案所有者</w:t>
      </w:r>
      <w:r>
        <w:rPr>
          <w:rFonts w:hint="default"/>
          <w:sz w:val="24"/>
          <w:szCs w:val="24"/>
          <w:lang w:val="en-US" w:eastAsia="zh-CN"/>
        </w:rPr>
        <w:t>，负责档案的原始采集、权属管理及溯源发起；文化数据中心为</w:t>
      </w:r>
      <w:r>
        <w:rPr>
          <w:rFonts w:hint="default"/>
          <w:b/>
          <w:bCs/>
          <w:sz w:val="24"/>
          <w:szCs w:val="24"/>
          <w:lang w:val="en-US" w:eastAsia="zh-CN"/>
        </w:rPr>
        <w:t>档案专业保管者</w:t>
      </w:r>
      <w:r>
        <w:rPr>
          <w:rFonts w:hint="default"/>
          <w:sz w:val="24"/>
          <w:szCs w:val="24"/>
          <w:lang w:val="en-US" w:eastAsia="zh-CN"/>
        </w:rPr>
        <w:t>，负责档案的安全存储、权限核验及技术支撑；不同权限主体为</w:t>
      </w:r>
      <w:r>
        <w:rPr>
          <w:rFonts w:hint="default"/>
          <w:b/>
          <w:bCs/>
          <w:sz w:val="24"/>
          <w:szCs w:val="24"/>
          <w:lang w:val="en-US" w:eastAsia="zh-CN"/>
        </w:rPr>
        <w:t>档案使用者</w:t>
      </w:r>
      <w:r>
        <w:rPr>
          <w:rFonts w:hint="default"/>
          <w:sz w:val="24"/>
          <w:szCs w:val="24"/>
          <w:lang w:val="en-US" w:eastAsia="zh-CN"/>
        </w:rPr>
        <w:t>），各流程均以非遗保护与活态传承为核心目标，精准对接非遗馆、研究人员、师承传承人、普通大众等不同目标受众的使用需求，具体流程如下：</w:t>
      </w:r>
    </w:p>
    <w:p w14:paraId="23DDFF2C">
      <w:pPr>
        <w:jc w:val="center"/>
        <w:rPr>
          <w:rFonts w:hint="default"/>
          <w:sz w:val="24"/>
          <w:szCs w:val="24"/>
          <w:lang w:val="en-US" w:eastAsia="zh-CN"/>
        </w:rPr>
      </w:pPr>
      <w:r>
        <w:drawing>
          <wp:inline distT="0" distB="0" distL="114300" distR="114300">
            <wp:extent cx="5594985" cy="2887345"/>
            <wp:effectExtent l="0" t="0" r="571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l="4501" t="4676" r="5816" b="4296"/>
                    <a:stretch>
                      <a:fillRect/>
                    </a:stretch>
                  </pic:blipFill>
                  <pic:spPr>
                    <a:xfrm>
                      <a:off x="0" y="0"/>
                      <a:ext cx="5594985" cy="2887345"/>
                    </a:xfrm>
                    <a:prstGeom prst="rect">
                      <a:avLst/>
                    </a:prstGeom>
                    <a:noFill/>
                    <a:ln>
                      <a:noFill/>
                    </a:ln>
                  </pic:spPr>
                </pic:pic>
              </a:graphicData>
            </a:graphic>
          </wp:inline>
        </w:drawing>
      </w:r>
      <w:bookmarkStart w:id="2" w:name="_GoBack"/>
      <w:bookmarkEnd w:id="2"/>
    </w:p>
    <w:p w14:paraId="19EFA979">
      <w:pPr>
        <w:rPr>
          <w:rFonts w:hint="default"/>
          <w:sz w:val="24"/>
          <w:szCs w:val="24"/>
        </w:rPr>
      </w:pPr>
      <w:r>
        <w:rPr>
          <w:rFonts w:hint="default"/>
          <w:sz w:val="24"/>
          <w:szCs w:val="24"/>
        </w:rPr>
        <w:t>（1）档案采集上传流</w:t>
      </w:r>
    </w:p>
    <w:p w14:paraId="225EA5FE">
      <w:pPr>
        <w:ind w:firstLine="420" w:firstLineChars="0"/>
        <w:rPr>
          <w:rFonts w:hint="default"/>
          <w:sz w:val="24"/>
          <w:szCs w:val="24"/>
        </w:rPr>
      </w:pPr>
      <w:r>
        <w:rPr>
          <w:rFonts w:hint="default"/>
          <w:sz w:val="24"/>
          <w:szCs w:val="24"/>
          <w:lang w:val="en-US" w:eastAsia="zh-CN"/>
        </w:rPr>
        <w:t>本流程由非遗馆作为主体发起，针对馆内非遗实物（含非遗技艺成品、史料文献、传承人相关实物等）开展标准化数字化采集，核心目标是实现非遗档案的规范化建档、安全化传输与分类化保管，为后续共享溯源奠定基础。</w:t>
      </w:r>
    </w:p>
    <w:p w14:paraId="777D0EDC">
      <w:pPr>
        <w:rPr>
          <w:rFonts w:hint="default"/>
          <w:sz w:val="24"/>
          <w:szCs w:val="24"/>
        </w:rPr>
      </w:pPr>
      <w:r>
        <w:rPr>
          <w:rFonts w:hint="default"/>
          <w:b/>
          <w:bCs/>
          <w:sz w:val="24"/>
          <w:szCs w:val="24"/>
        </w:rPr>
        <w:t>数字化采集</w:t>
      </w:r>
      <w:r>
        <w:rPr>
          <w:rFonts w:hint="default"/>
          <w:sz w:val="24"/>
          <w:szCs w:val="24"/>
        </w:rPr>
        <w:t>：非遗馆工作人员通过高清扫描仪、专业摄影摄像设备，对非遗实物开展标准化数字化转化，同步采集档案名称、传承人信息、非遗品类、技艺等级、传承人意愿等核心信息，生成含完整元数据的数字化原始文件，原始文件生成以精准留存非遗原貌、保障文化原真性为核心目标；</w:t>
      </w:r>
    </w:p>
    <w:p w14:paraId="7C9CEFC1">
      <w:pPr>
        <w:rPr>
          <w:rFonts w:hint="default"/>
          <w:sz w:val="24"/>
          <w:szCs w:val="24"/>
        </w:rPr>
      </w:pPr>
      <w:r>
        <w:rPr>
          <w:rFonts w:hint="default"/>
          <w:b/>
          <w:bCs/>
          <w:sz w:val="24"/>
          <w:szCs w:val="24"/>
        </w:rPr>
        <w:t>数据传输</w:t>
      </w:r>
      <w:r>
        <w:rPr>
          <w:rFonts w:hint="default"/>
          <w:sz w:val="24"/>
          <w:szCs w:val="24"/>
        </w:rPr>
        <w:t>：非遗馆作为档案所有者，将生成的原始档案及配套元数据，通过系统加密链路推送至文化数据中心，全程由数据中心提供技术安全支撑；</w:t>
      </w:r>
    </w:p>
    <w:p w14:paraId="0F8FB0D2">
      <w:pPr>
        <w:rPr>
          <w:rFonts w:hint="default"/>
          <w:sz w:val="24"/>
          <w:szCs w:val="24"/>
        </w:rPr>
      </w:pPr>
      <w:r>
        <w:rPr>
          <w:rFonts w:hint="default"/>
          <w:b/>
          <w:bCs/>
          <w:sz w:val="24"/>
          <w:szCs w:val="24"/>
        </w:rPr>
        <w:t>分级存储</w:t>
      </w:r>
      <w:r>
        <w:rPr>
          <w:rFonts w:hint="default"/>
          <w:sz w:val="24"/>
          <w:szCs w:val="24"/>
        </w:rPr>
        <w:t>：文化数据中心作为专业保管者，接收数据后结合非遗资源重要性、传承人授权意愿、文化保护等级三大核心维度，完成档案分级判定与分类存储，将传承人授权公开、无敏感信息的通用素材存储至公开库，将核心技艺母版、含私密传承信息的档案存储至核心库，分级结果同步反馈至所属非遗馆确认备案。</w:t>
      </w:r>
    </w:p>
    <w:p w14:paraId="455161BC">
      <w:pPr>
        <w:rPr>
          <w:rFonts w:hint="default"/>
          <w:sz w:val="24"/>
          <w:szCs w:val="24"/>
        </w:rPr>
      </w:pPr>
      <w:r>
        <w:rPr>
          <w:rFonts w:hint="default"/>
          <w:sz w:val="24"/>
          <w:szCs w:val="24"/>
        </w:rPr>
        <w:t>（2）跨馆档案授权访问流</w:t>
      </w:r>
    </w:p>
    <w:p w14:paraId="3225290C">
      <w:pPr>
        <w:ind w:firstLine="420" w:firstLineChars="0"/>
        <w:rPr>
          <w:rFonts w:hint="default"/>
          <w:sz w:val="24"/>
          <w:szCs w:val="24"/>
        </w:rPr>
      </w:pPr>
      <w:r>
        <w:rPr>
          <w:rFonts w:hint="default"/>
          <w:sz w:val="24"/>
          <w:szCs w:val="24"/>
          <w:lang w:val="en-US" w:eastAsia="zh-CN"/>
        </w:rPr>
        <w:t>本流程由不同类型的档案使用者发起，核心目标是实现非遗档案的精细化权限管控 + 针对性内容过滤，仅对有明确师承关系、版权购买关系、官方合作研究关系的主体开放对应核心档案权限，对普通受众仅提供脱敏后的公开信息，兼顾共享效率与隐私保护、版权保护。</w:t>
      </w:r>
    </w:p>
    <w:p w14:paraId="085F8892">
      <w:pPr>
        <w:rPr>
          <w:rFonts w:hint="default"/>
          <w:sz w:val="24"/>
          <w:szCs w:val="24"/>
        </w:rPr>
      </w:pPr>
      <w:r>
        <w:rPr>
          <w:rFonts w:hint="default"/>
          <w:b/>
          <w:bCs/>
          <w:sz w:val="24"/>
          <w:szCs w:val="24"/>
        </w:rPr>
        <w:t>访问申请</w:t>
      </w:r>
      <w:r>
        <w:rPr>
          <w:rFonts w:hint="default"/>
          <w:sz w:val="24"/>
          <w:szCs w:val="24"/>
        </w:rPr>
        <w:t>：档案使用者（师承传承人、合作馆研究馆员、非遗馆管理员、普通大众 / 游客）在系统端提交身份认证信息、访问事由及目标档案 ID，其中师承传承人、研究人员需同步上传师承证明、合作研究协议、版权购买凭证等资质材料；</w:t>
      </w:r>
    </w:p>
    <w:p w14:paraId="64D2980E">
      <w:pPr>
        <w:rPr>
          <w:rFonts w:hint="default"/>
          <w:sz w:val="24"/>
          <w:szCs w:val="24"/>
        </w:rPr>
      </w:pPr>
      <w:r>
        <w:rPr>
          <w:rFonts w:hint="default"/>
          <w:b/>
          <w:bCs/>
          <w:sz w:val="24"/>
          <w:szCs w:val="24"/>
        </w:rPr>
        <w:t>身份与权限双重校验</w:t>
      </w:r>
      <w:r>
        <w:rPr>
          <w:rFonts w:hint="default"/>
          <w:sz w:val="24"/>
          <w:szCs w:val="24"/>
        </w:rPr>
        <w:t>：文化数据中心作为保管者，依托系统后台完成核验 —— 先核实申请人身份真实性及资质材料有效性，再根据非遗馆设定的档案使用规则，判定申请人是否具备对应档案的访问权限，仅对有明确师承、购买、官方合作关系的主体，开放核心档案的访问权限；</w:t>
      </w:r>
    </w:p>
    <w:p w14:paraId="75C1FAC8">
      <w:pPr>
        <w:rPr>
          <w:rFonts w:hint="default"/>
          <w:sz w:val="24"/>
          <w:szCs w:val="24"/>
        </w:rPr>
      </w:pPr>
      <w:r>
        <w:rPr>
          <w:rFonts w:hint="default"/>
          <w:b/>
          <w:bCs/>
          <w:sz w:val="24"/>
          <w:szCs w:val="24"/>
        </w:rPr>
        <w:t>内容过滤与数据分发</w:t>
      </w:r>
      <w:r>
        <w:rPr>
          <w:rFonts w:hint="default"/>
          <w:sz w:val="24"/>
          <w:szCs w:val="24"/>
        </w:rPr>
        <w:t>：校验通过后，系统先对档案进行针对性隐私内容过滤处理（对所有非权属非遗馆的使用者，自动掩码传承人身份证、手机号等敏感隐私信息，隐藏核心技艺的私密传承细节），再从对应档案库调取过滤后的档案资源分发至申请人；未通过权限校验的申请人，系统同步反馈驳回原因及权限申请补充材料要求。</w:t>
      </w:r>
    </w:p>
    <w:p w14:paraId="2B99D9EA">
      <w:pPr>
        <w:rPr>
          <w:rFonts w:hint="default"/>
          <w:sz w:val="24"/>
          <w:szCs w:val="24"/>
        </w:rPr>
      </w:pPr>
      <w:r>
        <w:rPr>
          <w:rFonts w:hint="default"/>
          <w:sz w:val="24"/>
          <w:szCs w:val="24"/>
        </w:rPr>
        <w:t>（3）版权侵权溯源流</w:t>
      </w:r>
    </w:p>
    <w:p w14:paraId="50327990">
      <w:pPr>
        <w:ind w:firstLine="420" w:firstLineChars="0"/>
        <w:rPr>
          <w:rFonts w:hint="default"/>
          <w:sz w:val="24"/>
          <w:szCs w:val="24"/>
        </w:rPr>
      </w:pPr>
      <w:r>
        <w:rPr>
          <w:rFonts w:hint="default"/>
          <w:sz w:val="24"/>
          <w:szCs w:val="24"/>
          <w:lang w:val="en-US" w:eastAsia="zh-CN"/>
        </w:rPr>
        <w:t>本流程由非遗馆作为档案所有者发起，核心目标是为非遗馆提供版权侵权技术溯源支撑，快速定位侵权线索、固定侵权证据，保障非遗馆及传承人的版权权益，维护非遗文化传播的原真性。</w:t>
      </w:r>
    </w:p>
    <w:p w14:paraId="26DF923C">
      <w:pPr>
        <w:rPr>
          <w:rFonts w:hint="default"/>
          <w:sz w:val="24"/>
          <w:szCs w:val="24"/>
        </w:rPr>
      </w:pPr>
      <w:r>
        <w:rPr>
          <w:rFonts w:hint="default"/>
          <w:b/>
          <w:bCs/>
          <w:sz w:val="24"/>
          <w:szCs w:val="24"/>
        </w:rPr>
        <w:t>溯源请求</w:t>
      </w:r>
      <w:r>
        <w:rPr>
          <w:rFonts w:hint="default"/>
          <w:sz w:val="24"/>
          <w:szCs w:val="24"/>
        </w:rPr>
        <w:t>：非遗馆发现潜在的非遗档案侵权行为（如非授权传播、篡改使用核心档案）后，作为档案权属方向文化数据中心发起溯源匹配请求，同步提交待比对的版权特征信息、侵权线索相关材料；</w:t>
      </w:r>
    </w:p>
    <w:p w14:paraId="77D9AE8B">
      <w:pPr>
        <w:rPr>
          <w:rFonts w:hint="default"/>
          <w:sz w:val="24"/>
          <w:szCs w:val="24"/>
        </w:rPr>
      </w:pPr>
      <w:r>
        <w:rPr>
          <w:rFonts w:hint="default"/>
          <w:b/>
          <w:bCs/>
          <w:sz w:val="24"/>
          <w:szCs w:val="24"/>
        </w:rPr>
        <w:t>全量特征检索</w:t>
      </w:r>
      <w:r>
        <w:rPr>
          <w:rFonts w:hint="default"/>
          <w:sz w:val="24"/>
          <w:szCs w:val="24"/>
        </w:rPr>
        <w:t>：文化数据中心作为技术支撑方，加载适配非遗档案的版权匹配模型，在系统全量档案库（含公开库、核心库）中，对目标版权特征进行全维度匹配分析，精准识别与侵权线索高度相似的档案资源及传播路径；</w:t>
      </w:r>
    </w:p>
    <w:p w14:paraId="0EB02E4E">
      <w:pPr>
        <w:rPr>
          <w:rFonts w:hint="default"/>
          <w:sz w:val="24"/>
          <w:szCs w:val="24"/>
        </w:rPr>
      </w:pPr>
      <w:r>
        <w:rPr>
          <w:rFonts w:hint="default"/>
          <w:b/>
          <w:bCs/>
          <w:sz w:val="24"/>
          <w:szCs w:val="24"/>
        </w:rPr>
        <w:t>溯源结果输出</w:t>
      </w:r>
      <w:r>
        <w:rPr>
          <w:rFonts w:hint="default"/>
          <w:sz w:val="24"/>
          <w:szCs w:val="24"/>
        </w:rPr>
        <w:t>：系统自动汇总特征匹配结果、侵权线索定位信息、档案传播链路记录，生成完整的版权侵权溯源报告，反馈至发起溯源的非遗馆，为其后续的版权维权、侵权整改提供技术数据支撑。</w:t>
      </w:r>
    </w:p>
    <w:p w14:paraId="47CCD0D1">
      <w:pPr>
        <w:rPr>
          <w:rFonts w:hint="default"/>
          <w:sz w:val="24"/>
          <w:szCs w:val="24"/>
        </w:rPr>
      </w:pPr>
    </w:p>
    <w:p w14:paraId="23D44882">
      <w:pPr>
        <w:rPr>
          <w:rFonts w:hint="default"/>
          <w:sz w:val="28"/>
          <w:szCs w:val="28"/>
        </w:rPr>
      </w:pPr>
      <w:r>
        <w:rPr>
          <w:rFonts w:hint="eastAsia"/>
          <w:sz w:val="28"/>
          <w:szCs w:val="28"/>
          <w:lang w:val="en-US" w:eastAsia="zh-CN"/>
        </w:rPr>
        <w:t>二、</w:t>
      </w:r>
      <w:r>
        <w:rPr>
          <w:rFonts w:hint="default"/>
          <w:sz w:val="28"/>
          <w:szCs w:val="28"/>
        </w:rPr>
        <w:t>安全痛点与解决思路</w:t>
      </w:r>
    </w:p>
    <w:p w14:paraId="6BDFD90D">
      <w:pPr>
        <w:rPr>
          <w:rFonts w:hint="default"/>
          <w:sz w:val="24"/>
          <w:szCs w:val="24"/>
        </w:rPr>
      </w:pPr>
      <w:r>
        <w:rPr>
          <w:rFonts w:hint="default"/>
          <w:sz w:val="24"/>
          <w:szCs w:val="24"/>
        </w:rPr>
        <w:t>1</w:t>
      </w:r>
      <w:r>
        <w:rPr>
          <w:rFonts w:hint="eastAsia"/>
          <w:sz w:val="24"/>
          <w:szCs w:val="24"/>
          <w:lang w:eastAsia="zh-CN"/>
        </w:rPr>
        <w:t>.</w:t>
      </w:r>
      <w:r>
        <w:rPr>
          <w:rFonts w:hint="default"/>
          <w:sz w:val="24"/>
          <w:szCs w:val="24"/>
        </w:rPr>
        <w:t xml:space="preserve"> 安全威胁与痛点分析 </w:t>
      </w:r>
    </w:p>
    <w:p w14:paraId="5D86202F">
      <w:pPr>
        <w:ind w:firstLine="420" w:firstLineChars="0"/>
        <w:rPr>
          <w:rFonts w:hint="default"/>
          <w:sz w:val="24"/>
          <w:szCs w:val="24"/>
        </w:rPr>
      </w:pPr>
      <w:r>
        <w:rPr>
          <w:rFonts w:hint="default"/>
          <w:sz w:val="24"/>
          <w:szCs w:val="24"/>
        </w:rPr>
        <w:t>非遗数字档案作为承载民族文化记忆的核心资产，其数字化载体兼具文化稀缺性、隐私敏感性与版权唯一性特征，与普通数据的安全防护需求存在本质区别，当前业务环节的安全漏洞并非简单的技术风险，更会直接造成非遗文化资源的不可逆损失，安全问题的严重性被进一步放大。</w:t>
      </w:r>
    </w:p>
    <w:p w14:paraId="73FC9564">
      <w:pPr>
        <w:ind w:firstLine="420" w:firstLineChars="0"/>
        <w:rPr>
          <w:rFonts w:hint="default"/>
          <w:sz w:val="24"/>
          <w:szCs w:val="24"/>
        </w:rPr>
      </w:pPr>
      <w:r>
        <w:rPr>
          <w:rFonts w:hint="default"/>
          <w:sz w:val="24"/>
          <w:szCs w:val="24"/>
        </w:rPr>
        <w:t>非遗档案中不仅包含传承人身份证、手机号等法定敏感隐私信息，更有核心技艺母版、独家影像资料等具备专属版权的稀缺文化资源，一旦发生安全泄露、篡改或越权访问，不仅会违反《个人信息保护法》《著作权法》等相关法律法规，引发法律追责</w:t>
      </w:r>
      <w:r>
        <w:rPr>
          <w:rFonts w:hint="eastAsia"/>
          <w:sz w:val="24"/>
          <w:szCs w:val="24"/>
          <w:lang w:eastAsia="zh-CN"/>
        </w:rPr>
        <w:t>。</w:t>
      </w:r>
      <w:r>
        <w:rPr>
          <w:rFonts w:hint="default"/>
          <w:sz w:val="24"/>
          <w:szCs w:val="24"/>
        </w:rPr>
        <w:t>更会导致非遗核心技艺被非法盗用、篡改传播，破坏非遗文化的原真性与传承性，而稀缺的非遗文化资源一旦泄露流失，无法像普通数据一样进行复原补救，对非遗保护工作造成致命打击。</w:t>
      </w:r>
    </w:p>
    <w:p w14:paraId="0661A8BF">
      <w:pPr>
        <w:ind w:firstLine="420" w:firstLineChars="0"/>
        <w:rPr>
          <w:rFonts w:hint="default"/>
          <w:sz w:val="24"/>
          <w:szCs w:val="24"/>
        </w:rPr>
      </w:pPr>
      <w:r>
        <w:rPr>
          <w:rFonts w:hint="default"/>
          <w:sz w:val="24"/>
          <w:szCs w:val="24"/>
        </w:rPr>
        <w:t>同时非遗跨馆共享涉及多机构、多角色的协同操作，流转环节多、参与主体杂，若缺乏针对性的安全防护机制，安全风险会在跨馆链路中持续传导，进一步加剧安全问题的影响范围与破坏程度。</w:t>
      </w:r>
    </w:p>
    <w:tbl>
      <w:tblPr>
        <w:tblStyle w:val="4"/>
        <w:tblW w:w="852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5"/>
        <w:gridCol w:w="3600"/>
        <w:gridCol w:w="3697"/>
      </w:tblGrid>
      <w:tr w14:paraId="13575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180" w:type="dxa"/>
            <w:tcBorders>
              <w:top w:val="single" w:color="auto" w:sz="12" w:space="0"/>
              <w:left w:val="nil"/>
              <w:bottom w:val="single" w:color="auto" w:sz="4" w:space="0"/>
              <w:right w:val="single" w:color="auto" w:sz="4" w:space="0"/>
            </w:tcBorders>
            <w:shd w:val="clear" w:color="auto" w:fill="auto"/>
            <w:vAlign w:val="center"/>
          </w:tcPr>
          <w:p w14:paraId="7CB7CF7D">
            <w:pPr>
              <w:snapToGrid w:val="0"/>
              <w:ind w:left="0" w:leftChars="0" w:right="0" w:rightChars="0" w:firstLine="0" w:firstLineChars="0"/>
              <w:jc w:val="center"/>
              <w:rPr>
                <w:rFonts w:hint="default"/>
                <w:b/>
                <w:sz w:val="24"/>
                <w:szCs w:val="24"/>
                <w:lang w:val="en-US" w:eastAsia="zh-CN"/>
              </w:rPr>
            </w:pPr>
          </w:p>
          <w:p w14:paraId="2FBE1B92">
            <w:pPr>
              <w:snapToGrid w:val="0"/>
              <w:ind w:left="0" w:leftChars="0" w:right="0" w:rightChars="0" w:firstLine="0" w:firstLineChars="0"/>
              <w:jc w:val="center"/>
              <w:rPr>
                <w:rFonts w:hint="default"/>
                <w:b/>
                <w:sz w:val="24"/>
                <w:szCs w:val="24"/>
              </w:rPr>
            </w:pPr>
            <w:r>
              <w:rPr>
                <w:rFonts w:hint="default"/>
                <w:b/>
                <w:sz w:val="24"/>
                <w:szCs w:val="24"/>
                <w:lang w:val="en-US" w:eastAsia="zh-CN"/>
              </w:rPr>
              <w:t>业务环节</w:t>
            </w:r>
          </w:p>
        </w:tc>
        <w:tc>
          <w:tcPr>
            <w:tcW w:w="3570" w:type="dxa"/>
            <w:tcBorders>
              <w:top w:val="single" w:color="auto" w:sz="12" w:space="0"/>
              <w:left w:val="nil"/>
              <w:bottom w:val="single" w:color="auto" w:sz="4" w:space="0"/>
              <w:right w:val="single" w:color="auto" w:sz="4" w:space="0"/>
            </w:tcBorders>
            <w:shd w:val="clear" w:color="auto" w:fill="auto"/>
            <w:vAlign w:val="center"/>
          </w:tcPr>
          <w:p w14:paraId="600B7E7B">
            <w:pPr>
              <w:snapToGrid w:val="0"/>
              <w:ind w:left="0" w:leftChars="0" w:right="0" w:rightChars="0" w:firstLine="0" w:firstLineChars="0"/>
              <w:jc w:val="center"/>
              <w:rPr>
                <w:rFonts w:hint="default"/>
                <w:b/>
                <w:sz w:val="24"/>
                <w:szCs w:val="24"/>
              </w:rPr>
            </w:pPr>
            <w:r>
              <w:rPr>
                <w:rFonts w:hint="default"/>
                <w:b/>
                <w:sz w:val="24"/>
                <w:szCs w:val="24"/>
                <w:lang w:val="en-US" w:eastAsia="zh-CN"/>
              </w:rPr>
              <w:t>存在痛点/脆弱性</w:t>
            </w:r>
          </w:p>
        </w:tc>
        <w:tc>
          <w:tcPr>
            <w:tcW w:w="3652" w:type="dxa"/>
            <w:tcBorders>
              <w:top w:val="single" w:color="auto" w:sz="12" w:space="0"/>
              <w:left w:val="nil"/>
              <w:bottom w:val="single" w:color="auto" w:sz="4" w:space="0"/>
              <w:right w:val="single" w:color="auto" w:sz="12" w:space="0"/>
            </w:tcBorders>
            <w:shd w:val="clear" w:color="auto" w:fill="auto"/>
            <w:vAlign w:val="center"/>
          </w:tcPr>
          <w:p w14:paraId="4F1E57FB">
            <w:pPr>
              <w:snapToGrid w:val="0"/>
              <w:ind w:left="0" w:leftChars="0" w:right="0" w:rightChars="0" w:firstLine="0" w:firstLineChars="0"/>
              <w:jc w:val="center"/>
              <w:rPr>
                <w:rFonts w:hint="default"/>
                <w:b/>
                <w:sz w:val="24"/>
                <w:szCs w:val="24"/>
              </w:rPr>
            </w:pPr>
            <w:r>
              <w:rPr>
                <w:rFonts w:hint="default"/>
                <w:b/>
                <w:sz w:val="24"/>
                <w:szCs w:val="24"/>
                <w:lang w:val="en-US" w:eastAsia="zh-CN"/>
              </w:rPr>
              <w:t>潜在威胁（威胁编号）</w:t>
            </w:r>
          </w:p>
        </w:tc>
      </w:tr>
      <w:tr w14:paraId="16B65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180" w:type="dxa"/>
            <w:tcBorders>
              <w:top w:val="nil"/>
              <w:left w:val="single" w:color="auto" w:sz="12" w:space="0"/>
              <w:bottom w:val="single" w:color="auto" w:sz="4" w:space="0"/>
              <w:right w:val="single" w:color="auto" w:sz="4" w:space="0"/>
            </w:tcBorders>
            <w:shd w:val="clear" w:color="auto" w:fill="auto"/>
            <w:vAlign w:val="center"/>
          </w:tcPr>
          <w:p w14:paraId="2C770C8E">
            <w:pPr>
              <w:snapToGrid w:val="0"/>
              <w:ind w:left="0" w:leftChars="0" w:right="0" w:rightChars="0" w:firstLine="0" w:firstLineChars="0"/>
              <w:jc w:val="center"/>
              <w:rPr>
                <w:rFonts w:hint="default"/>
                <w:sz w:val="24"/>
                <w:szCs w:val="24"/>
              </w:rPr>
            </w:pPr>
            <w:r>
              <w:rPr>
                <w:rFonts w:hint="default"/>
                <w:sz w:val="24"/>
                <w:szCs w:val="24"/>
                <w:lang w:val="en-US" w:eastAsia="zh-CN"/>
              </w:rPr>
              <w:t>数据传输</w:t>
            </w:r>
          </w:p>
        </w:tc>
        <w:tc>
          <w:tcPr>
            <w:tcW w:w="3570" w:type="dxa"/>
            <w:tcBorders>
              <w:top w:val="nil"/>
              <w:left w:val="nil"/>
              <w:bottom w:val="single" w:color="auto" w:sz="4" w:space="0"/>
              <w:right w:val="single" w:color="auto" w:sz="4" w:space="0"/>
            </w:tcBorders>
            <w:shd w:val="clear" w:color="auto" w:fill="auto"/>
            <w:vAlign w:val="center"/>
          </w:tcPr>
          <w:p w14:paraId="708909E9">
            <w:pPr>
              <w:snapToGrid w:val="0"/>
              <w:ind w:left="0" w:leftChars="0" w:right="0" w:rightChars="0" w:firstLine="0" w:firstLineChars="0"/>
              <w:jc w:val="center"/>
              <w:rPr>
                <w:rFonts w:hint="default"/>
                <w:sz w:val="24"/>
                <w:szCs w:val="24"/>
              </w:rPr>
            </w:pPr>
            <w:r>
              <w:rPr>
                <w:rFonts w:hint="default"/>
                <w:sz w:val="24"/>
                <w:szCs w:val="24"/>
                <w:lang w:val="en-US" w:eastAsia="zh-CN"/>
              </w:rPr>
              <w:t>链路默认使用普通传输，缺乏端到端保护</w:t>
            </w:r>
          </w:p>
        </w:tc>
        <w:tc>
          <w:tcPr>
            <w:tcW w:w="3652" w:type="dxa"/>
            <w:tcBorders>
              <w:top w:val="nil"/>
              <w:left w:val="nil"/>
              <w:bottom w:val="single" w:color="auto" w:sz="4" w:space="0"/>
              <w:right w:val="single" w:color="auto" w:sz="12" w:space="0"/>
            </w:tcBorders>
            <w:shd w:val="clear" w:color="auto" w:fill="auto"/>
            <w:vAlign w:val="center"/>
          </w:tcPr>
          <w:p w14:paraId="7D8804ED">
            <w:pPr>
              <w:snapToGrid w:val="0"/>
              <w:ind w:left="0" w:leftChars="0" w:right="0" w:rightChars="0" w:firstLine="0" w:firstLineChars="0"/>
              <w:jc w:val="center"/>
              <w:rPr>
                <w:rFonts w:hint="default"/>
                <w:sz w:val="24"/>
                <w:szCs w:val="24"/>
              </w:rPr>
            </w:pPr>
            <w:r>
              <w:rPr>
                <w:rFonts w:hint="default"/>
                <w:sz w:val="24"/>
                <w:szCs w:val="24"/>
                <w:lang w:val="en-US" w:eastAsia="zh-CN"/>
              </w:rPr>
              <w:t>T1：数据窃听，导致核心母版泄露</w:t>
            </w:r>
          </w:p>
        </w:tc>
      </w:tr>
      <w:tr w14:paraId="0731F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180" w:type="dxa"/>
            <w:tcBorders>
              <w:top w:val="nil"/>
              <w:left w:val="single" w:color="auto" w:sz="12" w:space="0"/>
              <w:bottom w:val="single" w:color="auto" w:sz="4" w:space="0"/>
              <w:right w:val="single" w:color="auto" w:sz="4" w:space="0"/>
            </w:tcBorders>
            <w:shd w:val="clear" w:color="auto" w:fill="auto"/>
            <w:vAlign w:val="center"/>
          </w:tcPr>
          <w:p w14:paraId="1865E392">
            <w:pPr>
              <w:snapToGrid w:val="0"/>
              <w:ind w:left="0" w:leftChars="0" w:right="0" w:rightChars="0" w:firstLine="0" w:firstLineChars="0"/>
              <w:jc w:val="center"/>
              <w:rPr>
                <w:rFonts w:hint="default"/>
                <w:sz w:val="24"/>
                <w:szCs w:val="24"/>
              </w:rPr>
            </w:pPr>
            <w:r>
              <w:rPr>
                <w:rFonts w:hint="default"/>
                <w:sz w:val="24"/>
                <w:szCs w:val="24"/>
                <w:lang w:val="en-US" w:eastAsia="zh-CN"/>
              </w:rPr>
              <w:t>访问控制</w:t>
            </w:r>
          </w:p>
        </w:tc>
        <w:tc>
          <w:tcPr>
            <w:tcW w:w="3570" w:type="dxa"/>
            <w:tcBorders>
              <w:top w:val="nil"/>
              <w:left w:val="nil"/>
              <w:bottom w:val="single" w:color="auto" w:sz="4" w:space="0"/>
              <w:right w:val="single" w:color="auto" w:sz="4" w:space="0"/>
            </w:tcBorders>
            <w:shd w:val="clear" w:color="auto" w:fill="auto"/>
            <w:vAlign w:val="center"/>
          </w:tcPr>
          <w:p w14:paraId="1E788D48">
            <w:pPr>
              <w:snapToGrid w:val="0"/>
              <w:ind w:left="0" w:leftChars="0" w:right="0" w:rightChars="0" w:firstLine="0" w:firstLineChars="0"/>
              <w:jc w:val="center"/>
              <w:rPr>
                <w:rFonts w:hint="default"/>
                <w:sz w:val="24"/>
                <w:szCs w:val="24"/>
              </w:rPr>
            </w:pPr>
            <w:r>
              <w:rPr>
                <w:rFonts w:hint="default"/>
                <w:sz w:val="24"/>
                <w:szCs w:val="24"/>
                <w:lang w:val="en-US" w:eastAsia="zh-CN"/>
              </w:rPr>
              <w:t>缺乏细粒度权限校验，仅依赖基础登录</w:t>
            </w:r>
          </w:p>
        </w:tc>
        <w:tc>
          <w:tcPr>
            <w:tcW w:w="3652" w:type="dxa"/>
            <w:tcBorders>
              <w:top w:val="nil"/>
              <w:left w:val="nil"/>
              <w:bottom w:val="single" w:color="auto" w:sz="4" w:space="0"/>
              <w:right w:val="single" w:color="auto" w:sz="12" w:space="0"/>
            </w:tcBorders>
            <w:shd w:val="clear" w:color="auto" w:fill="auto"/>
            <w:vAlign w:val="center"/>
          </w:tcPr>
          <w:p w14:paraId="72E24AEE">
            <w:pPr>
              <w:snapToGrid w:val="0"/>
              <w:ind w:left="0" w:leftChars="0" w:right="0" w:rightChars="0" w:firstLine="0" w:firstLineChars="0"/>
              <w:jc w:val="center"/>
              <w:rPr>
                <w:rFonts w:hint="default"/>
                <w:sz w:val="24"/>
                <w:szCs w:val="24"/>
              </w:rPr>
            </w:pPr>
            <w:r>
              <w:rPr>
                <w:rFonts w:hint="default"/>
                <w:sz w:val="24"/>
                <w:szCs w:val="24"/>
                <w:lang w:val="en-US" w:eastAsia="zh-CN"/>
              </w:rPr>
              <w:t>T2：越权访问，非授权人员查看核心资源</w:t>
            </w:r>
          </w:p>
        </w:tc>
      </w:tr>
      <w:tr w14:paraId="21B36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180" w:type="dxa"/>
            <w:tcBorders>
              <w:top w:val="nil"/>
              <w:left w:val="single" w:color="auto" w:sz="12" w:space="0"/>
              <w:bottom w:val="single" w:color="auto" w:sz="4" w:space="0"/>
              <w:right w:val="single" w:color="auto" w:sz="4" w:space="0"/>
            </w:tcBorders>
            <w:shd w:val="clear" w:color="auto" w:fill="auto"/>
            <w:vAlign w:val="center"/>
          </w:tcPr>
          <w:p w14:paraId="46548BD9">
            <w:pPr>
              <w:snapToGrid w:val="0"/>
              <w:ind w:left="0" w:leftChars="0" w:right="0" w:rightChars="0" w:firstLine="0" w:firstLineChars="0"/>
              <w:jc w:val="center"/>
              <w:rPr>
                <w:rFonts w:hint="default"/>
                <w:sz w:val="24"/>
                <w:szCs w:val="24"/>
              </w:rPr>
            </w:pPr>
            <w:r>
              <w:rPr>
                <w:rFonts w:hint="default"/>
                <w:sz w:val="24"/>
                <w:szCs w:val="24"/>
                <w:lang w:val="en-US" w:eastAsia="zh-CN"/>
              </w:rPr>
              <w:t>数据展示</w:t>
            </w:r>
          </w:p>
        </w:tc>
        <w:tc>
          <w:tcPr>
            <w:tcW w:w="3570" w:type="dxa"/>
            <w:tcBorders>
              <w:top w:val="nil"/>
              <w:left w:val="nil"/>
              <w:bottom w:val="single" w:color="auto" w:sz="4" w:space="0"/>
              <w:right w:val="single" w:color="auto" w:sz="4" w:space="0"/>
            </w:tcBorders>
            <w:shd w:val="clear" w:color="auto" w:fill="auto"/>
            <w:vAlign w:val="center"/>
          </w:tcPr>
          <w:p w14:paraId="424E0C24">
            <w:pPr>
              <w:snapToGrid w:val="0"/>
              <w:ind w:left="0" w:leftChars="0" w:right="0" w:rightChars="0" w:firstLine="0" w:firstLineChars="0"/>
              <w:jc w:val="center"/>
              <w:rPr>
                <w:rFonts w:hint="default"/>
                <w:sz w:val="24"/>
                <w:szCs w:val="24"/>
              </w:rPr>
            </w:pPr>
            <w:r>
              <w:rPr>
                <w:rFonts w:hint="default"/>
                <w:sz w:val="24"/>
                <w:szCs w:val="24"/>
                <w:lang w:val="en-US" w:eastAsia="zh-CN"/>
              </w:rPr>
              <w:t>传承人隐私数据明文展示，未做脱敏</w:t>
            </w:r>
          </w:p>
        </w:tc>
        <w:tc>
          <w:tcPr>
            <w:tcW w:w="3652" w:type="dxa"/>
            <w:tcBorders>
              <w:top w:val="nil"/>
              <w:left w:val="nil"/>
              <w:bottom w:val="single" w:color="auto" w:sz="4" w:space="0"/>
              <w:right w:val="single" w:color="auto" w:sz="12" w:space="0"/>
            </w:tcBorders>
            <w:shd w:val="clear" w:color="auto" w:fill="auto"/>
            <w:vAlign w:val="center"/>
          </w:tcPr>
          <w:p w14:paraId="2D9BDB97">
            <w:pPr>
              <w:snapToGrid w:val="0"/>
              <w:ind w:left="0" w:leftChars="0" w:right="0" w:rightChars="0" w:firstLine="0" w:firstLineChars="0"/>
              <w:jc w:val="center"/>
              <w:rPr>
                <w:rFonts w:hint="default"/>
                <w:sz w:val="24"/>
                <w:szCs w:val="24"/>
              </w:rPr>
            </w:pPr>
            <w:r>
              <w:rPr>
                <w:rFonts w:hint="default"/>
                <w:sz w:val="24"/>
                <w:szCs w:val="24"/>
                <w:lang w:val="en-US" w:eastAsia="zh-CN"/>
              </w:rPr>
              <w:t>T3：隐私泄露，违反个人信息保护法</w:t>
            </w:r>
          </w:p>
        </w:tc>
      </w:tr>
      <w:tr w14:paraId="38F7F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180" w:type="dxa"/>
            <w:tcBorders>
              <w:top w:val="nil"/>
              <w:left w:val="single" w:color="auto" w:sz="12" w:space="0"/>
              <w:bottom w:val="single" w:color="auto" w:sz="12" w:space="0"/>
              <w:right w:val="single" w:color="auto" w:sz="4" w:space="0"/>
            </w:tcBorders>
            <w:shd w:val="clear" w:color="auto" w:fill="auto"/>
            <w:vAlign w:val="center"/>
          </w:tcPr>
          <w:p w14:paraId="066BBCB4">
            <w:pPr>
              <w:snapToGrid w:val="0"/>
              <w:ind w:left="0" w:leftChars="0" w:right="0" w:rightChars="0" w:firstLine="0" w:firstLineChars="0"/>
              <w:jc w:val="center"/>
              <w:rPr>
                <w:rFonts w:hint="default"/>
                <w:sz w:val="24"/>
                <w:szCs w:val="24"/>
              </w:rPr>
            </w:pPr>
            <w:r>
              <w:rPr>
                <w:rFonts w:hint="default"/>
                <w:sz w:val="24"/>
                <w:szCs w:val="24"/>
                <w:lang w:val="en-US" w:eastAsia="zh-CN"/>
              </w:rPr>
              <w:t>存储管理</w:t>
            </w:r>
          </w:p>
        </w:tc>
        <w:tc>
          <w:tcPr>
            <w:tcW w:w="3570" w:type="dxa"/>
            <w:tcBorders>
              <w:top w:val="nil"/>
              <w:left w:val="nil"/>
              <w:bottom w:val="single" w:color="auto" w:sz="12" w:space="0"/>
              <w:right w:val="single" w:color="auto" w:sz="4" w:space="0"/>
            </w:tcBorders>
            <w:shd w:val="clear" w:color="auto" w:fill="auto"/>
            <w:vAlign w:val="center"/>
          </w:tcPr>
          <w:p w14:paraId="38DA8C4E">
            <w:pPr>
              <w:snapToGrid w:val="0"/>
              <w:ind w:left="0" w:leftChars="0" w:right="0" w:rightChars="0" w:firstLine="0" w:firstLineChars="0"/>
              <w:jc w:val="center"/>
              <w:rPr>
                <w:rFonts w:hint="default"/>
                <w:sz w:val="24"/>
                <w:szCs w:val="24"/>
              </w:rPr>
            </w:pPr>
            <w:r>
              <w:rPr>
                <w:rFonts w:hint="default"/>
                <w:sz w:val="24"/>
                <w:szCs w:val="24"/>
                <w:lang w:val="en-US" w:eastAsia="zh-CN"/>
              </w:rPr>
              <w:t>档案完整性不可靠，元数据易被篡改</w:t>
            </w:r>
          </w:p>
        </w:tc>
        <w:tc>
          <w:tcPr>
            <w:tcW w:w="3652" w:type="dxa"/>
            <w:tcBorders>
              <w:top w:val="nil"/>
              <w:left w:val="nil"/>
              <w:bottom w:val="single" w:color="auto" w:sz="12" w:space="0"/>
              <w:right w:val="single" w:color="auto" w:sz="12" w:space="0"/>
            </w:tcBorders>
            <w:shd w:val="clear" w:color="auto" w:fill="auto"/>
            <w:vAlign w:val="center"/>
          </w:tcPr>
          <w:p w14:paraId="01A9AB52">
            <w:pPr>
              <w:snapToGrid w:val="0"/>
              <w:ind w:left="0" w:leftChars="0" w:right="0" w:rightChars="0" w:firstLine="0" w:firstLineChars="0"/>
              <w:jc w:val="center"/>
              <w:rPr>
                <w:rFonts w:hint="default"/>
                <w:sz w:val="24"/>
                <w:szCs w:val="24"/>
              </w:rPr>
            </w:pPr>
            <w:r>
              <w:rPr>
                <w:rFonts w:hint="default"/>
                <w:sz w:val="24"/>
                <w:szCs w:val="24"/>
                <w:lang w:val="en-US" w:eastAsia="zh-CN"/>
              </w:rPr>
              <w:t>T4：数据篡改，版权被盗用且无法追溯</w:t>
            </w:r>
          </w:p>
        </w:tc>
      </w:tr>
    </w:tbl>
    <w:p w14:paraId="4A0A2BF4">
      <w:pPr>
        <w:rPr>
          <w:rFonts w:hint="default"/>
          <w:sz w:val="24"/>
          <w:szCs w:val="24"/>
        </w:rPr>
      </w:pPr>
    </w:p>
    <w:p w14:paraId="5D1A7F64">
      <w:pPr>
        <w:rPr>
          <w:rFonts w:hint="default"/>
          <w:sz w:val="24"/>
          <w:szCs w:val="24"/>
        </w:rPr>
      </w:pPr>
      <w:r>
        <w:rPr>
          <w:rFonts w:hint="default"/>
          <w:sz w:val="24"/>
          <w:szCs w:val="24"/>
        </w:rPr>
        <w:t>2</w:t>
      </w:r>
      <w:r>
        <w:rPr>
          <w:rFonts w:hint="eastAsia"/>
          <w:sz w:val="24"/>
          <w:szCs w:val="24"/>
          <w:lang w:eastAsia="zh-CN"/>
        </w:rPr>
        <w:t>.</w:t>
      </w:r>
      <w:r>
        <w:rPr>
          <w:rFonts w:hint="default"/>
          <w:sz w:val="24"/>
          <w:szCs w:val="24"/>
        </w:rPr>
        <w:t xml:space="preserve"> 技术解决思路 </w:t>
      </w:r>
    </w:p>
    <w:p w14:paraId="3FFFAF25">
      <w:pPr>
        <w:ind w:firstLine="420" w:firstLineChars="0"/>
        <w:rPr>
          <w:rFonts w:hint="default"/>
          <w:sz w:val="24"/>
          <w:szCs w:val="24"/>
        </w:rPr>
      </w:pPr>
      <w:r>
        <w:rPr>
          <w:rFonts w:hint="default"/>
          <w:sz w:val="24"/>
          <w:szCs w:val="24"/>
        </w:rPr>
        <w:t>针对非遗数字档案跨馆共享的核心安全痛点，本系统核心技术思路</w:t>
      </w:r>
      <w:r>
        <w:rPr>
          <w:rFonts w:hint="default"/>
          <w:b/>
          <w:bCs/>
          <w:sz w:val="24"/>
          <w:szCs w:val="24"/>
        </w:rPr>
        <w:t>为生成与非遗原始数据唯一绑定的专属元数据，让该元数据与非遗原始数据形成 “一体双生” 的关联关系，伴随非遗数据采集、传输、存储、访问、溯源的全生命周期处理流程，全程记录数据各环节的操作行为与状态变化，留存完整、不可篡改的可信追溯痕迹</w:t>
      </w:r>
      <w:r>
        <w:rPr>
          <w:rFonts w:hint="default"/>
          <w:sz w:val="24"/>
          <w:szCs w:val="24"/>
        </w:rPr>
        <w:t>，实现非遗数据与元数据的同步管控、全程可溯。在此基础上，系统引入 CubeOS 的切面架构进行全流程安全增强，在不改动核心业务逻辑的前提下，将安全防护机制与业务流程解耦，具体技术实现方案如下：</w:t>
      </w:r>
    </w:p>
    <w:p w14:paraId="269F9EDC">
      <w:pPr>
        <w:rPr>
          <w:rFonts w:hint="default"/>
          <w:sz w:val="24"/>
          <w:szCs w:val="24"/>
        </w:rPr>
      </w:pPr>
      <w:r>
        <w:rPr>
          <w:rFonts w:hint="default"/>
          <w:b/>
          <w:bCs/>
          <w:sz w:val="24"/>
          <w:szCs w:val="24"/>
        </w:rPr>
        <w:t>传输安全（R1）</w:t>
      </w:r>
      <w:r>
        <w:rPr>
          <w:rFonts w:hint="default"/>
          <w:sz w:val="24"/>
          <w:szCs w:val="24"/>
        </w:rPr>
        <w:t>：复用 CubeOS 的 SM4 国密算法库，在非遗原始数据及绑定的元数据传输前，对二者进行一体化端到端加密处理，确保数据传输链路中，原始档案与元数据的机密性，从链路层规避数据窃听、篡改风险。</w:t>
      </w:r>
    </w:p>
    <w:p w14:paraId="421EE728">
      <w:pPr>
        <w:rPr>
          <w:rFonts w:hint="default"/>
          <w:sz w:val="24"/>
          <w:szCs w:val="24"/>
        </w:rPr>
      </w:pPr>
      <w:r>
        <w:rPr>
          <w:rFonts w:hint="default"/>
          <w:b/>
          <w:bCs/>
          <w:sz w:val="24"/>
          <w:szCs w:val="24"/>
        </w:rPr>
        <w:t>访问控制（R2）</w:t>
      </w:r>
      <w:r>
        <w:rPr>
          <w:rFonts w:hint="default"/>
          <w:sz w:val="24"/>
          <w:szCs w:val="24"/>
        </w:rPr>
        <w:t>：设计自定义 RBAC 权限模块，结合 CubeOS 的切面路由技术，在访问请求环节对操作主体与目标数据进行双重校验，校验结果同步写入元数据；同时在不改动业务逻辑的前提下强制触发细粒度权限校验，仅向有明确师承、购买、官方合作关系的主体开放对应核心数据访问权限，校验记录实时更新至元数据追溯体系。</w:t>
      </w:r>
    </w:p>
    <w:p w14:paraId="14FE43FE">
      <w:pPr>
        <w:rPr>
          <w:rFonts w:hint="default"/>
          <w:sz w:val="24"/>
          <w:szCs w:val="24"/>
        </w:rPr>
      </w:pPr>
      <w:r>
        <w:rPr>
          <w:rFonts w:hint="default"/>
          <w:b/>
          <w:bCs/>
          <w:sz w:val="24"/>
          <w:szCs w:val="24"/>
        </w:rPr>
        <w:t>隐私保护（R3）</w:t>
      </w:r>
      <w:r>
        <w:rPr>
          <w:rFonts w:hint="default"/>
          <w:sz w:val="24"/>
          <w:szCs w:val="24"/>
        </w:rPr>
        <w:t>：通过 CubeOS 切面架构在原始数据下发前完成拦截，自动调用数据脱敏模块，对身份证号、手机号等敏感隐私信息进行掩码处理；隐私过滤的操作类型、处理范围同步记录至绑定的元数据中，实现隐私处理行为的可追溯、可核查。</w:t>
      </w:r>
    </w:p>
    <w:p w14:paraId="672B7A0E">
      <w:pPr>
        <w:rPr>
          <w:rFonts w:hint="default"/>
          <w:sz w:val="24"/>
          <w:szCs w:val="24"/>
        </w:rPr>
      </w:pPr>
      <w:r>
        <w:rPr>
          <w:rFonts w:hint="default"/>
          <w:b/>
          <w:bCs/>
          <w:sz w:val="24"/>
          <w:szCs w:val="24"/>
        </w:rPr>
        <w:t>完整性与全链路溯源（R4）</w:t>
      </w:r>
      <w:r>
        <w:rPr>
          <w:rFonts w:hint="default"/>
          <w:sz w:val="24"/>
          <w:szCs w:val="24"/>
        </w:rPr>
        <w:t>：利用 SM3 哈希算法对非遗原始数据及绑定的元数据进行加密绑定，生成唯一哈希值，确保二者在全生命周期中不可被篡改；同时调用 CubeOS 审计日志机制，将数据采集、传输、存储、访问、脱敏、溯源等所有操作行为，实时、完整记录至元数据中，依托与原始数据绑定的元数据，实现非遗数字档案全生命周期操作痕迹的可信追溯，为版权维权、问题定位提供完整数据支撑。</w:t>
      </w:r>
    </w:p>
    <w:p w14:paraId="6AC9F4CA">
      <w:pPr>
        <w:rPr>
          <w:rFonts w:hint="default"/>
          <w:sz w:val="24"/>
          <w:szCs w:val="24"/>
        </w:rPr>
      </w:pPr>
    </w:p>
    <w:p w14:paraId="217A1AFB">
      <w:pPr>
        <w:rPr>
          <w:rFonts w:hint="default" w:eastAsiaTheme="minorEastAsia"/>
          <w:sz w:val="28"/>
          <w:szCs w:val="28"/>
          <w:lang w:val="en-US" w:eastAsia="zh-CN"/>
        </w:rPr>
      </w:pPr>
      <w:r>
        <w:rPr>
          <w:rFonts w:hint="eastAsia"/>
          <w:sz w:val="28"/>
          <w:szCs w:val="28"/>
          <w:lang w:val="en-US" w:eastAsia="zh-CN"/>
        </w:rPr>
        <w:t>三、</w:t>
      </w:r>
      <w:r>
        <w:rPr>
          <w:rFonts w:hint="default"/>
          <w:sz w:val="28"/>
          <w:szCs w:val="28"/>
        </w:rPr>
        <w:t xml:space="preserve"> 预期成果</w:t>
      </w:r>
      <w:r>
        <w:rPr>
          <w:rFonts w:hint="eastAsia"/>
          <w:sz w:val="28"/>
          <w:szCs w:val="28"/>
          <w:lang w:val="en-US" w:eastAsia="zh-CN"/>
        </w:rPr>
        <w:t>与项目意义</w:t>
      </w:r>
    </w:p>
    <w:p w14:paraId="02FD92C2">
      <w:pPr>
        <w:rPr>
          <w:rFonts w:hint="default" w:eastAsiaTheme="minorEastAsia"/>
          <w:sz w:val="24"/>
          <w:szCs w:val="24"/>
          <w:lang w:val="en-US" w:eastAsia="zh-CN"/>
        </w:rPr>
      </w:pPr>
      <w:r>
        <w:rPr>
          <w:rFonts w:hint="eastAsia"/>
          <w:sz w:val="24"/>
          <w:szCs w:val="24"/>
          <w:lang w:val="en-US" w:eastAsia="zh-CN"/>
        </w:rPr>
        <w:t>1.预期成果</w:t>
      </w:r>
    </w:p>
    <w:p w14:paraId="1E09AB91">
      <w:pPr>
        <w:rPr>
          <w:rFonts w:hint="default"/>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完成非遗数字档案跨馆共享与版权溯源管控系统原型开发，实现档案采集上传、跨馆授权访问、版权侵权溯源三条核心业务流程的全链路贯通，满足非遗馆跨机构资源共享的实际业务需求。</w:t>
      </w:r>
    </w:p>
    <w:p w14:paraId="7F5B1A03">
      <w:pPr>
        <w:rPr>
          <w:rFonts w:hint="default"/>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落地基于 CubeOS 切面架构的安全增强方案，完成 SM3/SM4 国密算法封装、自定义 RBAC 权限模型、数据脱敏、审计日志四大安全模块的开发与集成，实现安全机制与业务流程的解耦，保障系统运行性能不受安全防护影响。</w:t>
      </w:r>
    </w:p>
    <w:p w14:paraId="68DF8AAC">
      <w:pPr>
        <w:rPr>
          <w:rFonts w:hint="default"/>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设计并实现适配非遗档案的特征提取与匹配算法，完成档案库、用户表、权限表、日志表等核心数据库的搭建与优化，实现元数据的规范化管理、版本控制及数据的安全备份与导入导出。</w:t>
      </w:r>
    </w:p>
    <w:p w14:paraId="6636AE24">
      <w:pPr>
        <w:rPr>
          <w:rFonts w:hint="default"/>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形成一套完整的项目交付物，包括系统原型源码、单元测试用例、压力测试脚本、系统设计文档、功能演示文档及选题可行性报告等，保障项目的可复现性与可落地性。</w:t>
      </w:r>
    </w:p>
    <w:p w14:paraId="65FE9F91">
      <w:pPr>
        <w:rPr>
          <w:rFonts w:hint="default"/>
          <w:sz w:val="24"/>
          <w:szCs w:val="24"/>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default"/>
          <w:sz w:val="24"/>
          <w:szCs w:val="24"/>
        </w:rPr>
        <w:t>实现系统的基础交互界面开发，支持非遗馆管理员、合作馆馆员、普通游客等不同角色的操作需求，做到操作流程简洁、权限划分清晰、数据展示安全。</w:t>
      </w:r>
    </w:p>
    <w:p w14:paraId="20D2A603">
      <w:pPr>
        <w:rPr>
          <w:rFonts w:hint="default"/>
          <w:sz w:val="24"/>
          <w:szCs w:val="24"/>
        </w:rPr>
      </w:pPr>
    </w:p>
    <w:p w14:paraId="2503DAE8">
      <w:pPr>
        <w:numPr>
          <w:ilvl w:val="0"/>
          <w:numId w:val="1"/>
        </w:numPr>
        <w:rPr>
          <w:rFonts w:hint="eastAsia"/>
          <w:sz w:val="24"/>
          <w:szCs w:val="24"/>
          <w:lang w:val="en-US" w:eastAsia="zh-CN"/>
        </w:rPr>
      </w:pPr>
      <w:r>
        <w:rPr>
          <w:rFonts w:hint="eastAsia"/>
          <w:sz w:val="24"/>
          <w:szCs w:val="24"/>
          <w:lang w:val="en-US" w:eastAsia="zh-CN"/>
        </w:rPr>
        <w:t>拓展方向</w:t>
      </w:r>
    </w:p>
    <w:p w14:paraId="5664A97F">
      <w:pPr>
        <w:numPr>
          <w:ilvl w:val="0"/>
          <w:numId w:val="0"/>
        </w:numPr>
        <w:rPr>
          <w:rFonts w:hint="default"/>
          <w:sz w:val="24"/>
          <w:szCs w:val="24"/>
          <w:lang w:val="en-US" w:eastAsia="zh-CN"/>
        </w:rPr>
      </w:pPr>
      <w:r>
        <w:rPr>
          <w:rFonts w:hint="eastAsia"/>
          <w:sz w:val="24"/>
          <w:szCs w:val="24"/>
          <w:lang w:val="en-US" w:eastAsia="zh-CN"/>
        </w:rPr>
        <w:t>（1）</w:t>
      </w:r>
      <w:r>
        <w:rPr>
          <w:rFonts w:hint="default"/>
          <w:sz w:val="24"/>
          <w:szCs w:val="24"/>
          <w:lang w:val="en-US" w:eastAsia="zh-CN"/>
        </w:rPr>
        <w:t>增</w:t>
      </w:r>
      <w:r>
        <w:rPr>
          <w:rFonts w:hint="eastAsia"/>
          <w:sz w:val="24"/>
          <w:szCs w:val="24"/>
          <w:lang w:val="en-US" w:eastAsia="zh-CN"/>
        </w:rPr>
        <w:t>加</w:t>
      </w:r>
      <w:r>
        <w:rPr>
          <w:rFonts w:hint="default"/>
          <w:sz w:val="24"/>
          <w:szCs w:val="24"/>
          <w:lang w:val="en-US" w:eastAsia="zh-CN"/>
        </w:rPr>
        <w:t xml:space="preserve"> AI 智能溯源模块：接入大模型能力，实现非遗档案内容智能识别、关键词提取，进一步提升侵权匹配的精准度与效率。</w:t>
      </w:r>
    </w:p>
    <w:p w14:paraId="55855AB5">
      <w:pPr>
        <w:numPr>
          <w:ilvl w:val="0"/>
          <w:numId w:val="0"/>
        </w:numPr>
        <w:rPr>
          <w:rFonts w:hint="default"/>
          <w:sz w:val="24"/>
          <w:szCs w:val="24"/>
          <w:lang w:val="en-US" w:eastAsia="zh-CN"/>
        </w:rPr>
      </w:pPr>
      <w:r>
        <w:rPr>
          <w:rFonts w:hint="eastAsia"/>
          <w:sz w:val="24"/>
          <w:szCs w:val="24"/>
          <w:lang w:val="en-US" w:eastAsia="zh-CN"/>
        </w:rPr>
        <w:t>（2）</w:t>
      </w:r>
      <w:r>
        <w:rPr>
          <w:rFonts w:hint="default"/>
          <w:sz w:val="24"/>
          <w:szCs w:val="24"/>
          <w:lang w:val="en-US" w:eastAsia="zh-CN"/>
        </w:rPr>
        <w:t>拓展跨机构生态：对接多地非遗馆、文化档案馆系统，实现跨区域、跨层级非遗档案资源的互联互通，构建区域性非遗档案共享网络。</w:t>
      </w:r>
    </w:p>
    <w:p w14:paraId="146A0D81">
      <w:pPr>
        <w:numPr>
          <w:ilvl w:val="0"/>
          <w:numId w:val="0"/>
        </w:numPr>
        <w:rPr>
          <w:rFonts w:hint="default"/>
          <w:sz w:val="24"/>
          <w:szCs w:val="24"/>
          <w:lang w:val="en-US" w:eastAsia="zh-CN"/>
        </w:rPr>
      </w:pPr>
      <w:r>
        <w:rPr>
          <w:rFonts w:hint="eastAsia"/>
          <w:sz w:val="24"/>
          <w:szCs w:val="24"/>
          <w:lang w:val="en-US" w:eastAsia="zh-CN"/>
        </w:rPr>
        <w:t>（3）</w:t>
      </w:r>
      <w:r>
        <w:rPr>
          <w:rFonts w:hint="default"/>
          <w:sz w:val="24"/>
          <w:szCs w:val="24"/>
          <w:lang w:val="en-US" w:eastAsia="zh-CN"/>
        </w:rPr>
        <w:t>增加版权交易管控：嵌入版权授权交易模块，支持非遗档案授权期限、使用范围、收费标准的数字化管理，实现版权价值闭环。</w:t>
      </w:r>
    </w:p>
    <w:p w14:paraId="07FD4F97">
      <w:pPr>
        <w:numPr>
          <w:ilvl w:val="0"/>
          <w:numId w:val="0"/>
        </w:numPr>
        <w:rPr>
          <w:rFonts w:hint="default"/>
          <w:sz w:val="24"/>
          <w:szCs w:val="24"/>
          <w:lang w:val="en-US" w:eastAsia="zh-CN"/>
        </w:rPr>
      </w:pPr>
    </w:p>
    <w:p w14:paraId="70034887">
      <w:pPr>
        <w:numPr>
          <w:ilvl w:val="0"/>
          <w:numId w:val="1"/>
        </w:numPr>
        <w:ind w:left="0" w:leftChars="0" w:firstLine="0" w:firstLineChars="0"/>
        <w:rPr>
          <w:rFonts w:hint="default"/>
          <w:sz w:val="24"/>
          <w:szCs w:val="24"/>
          <w:lang w:val="en-US" w:eastAsia="zh-CN"/>
        </w:rPr>
      </w:pPr>
      <w:r>
        <w:rPr>
          <w:rFonts w:hint="eastAsia"/>
          <w:sz w:val="24"/>
          <w:szCs w:val="24"/>
          <w:lang w:val="en-US" w:eastAsia="zh-CN"/>
        </w:rPr>
        <w:t>理论价值</w:t>
      </w:r>
    </w:p>
    <w:p w14:paraId="048CCB23">
      <w:pPr>
        <w:rPr>
          <w:rFonts w:hint="default"/>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填补非遗数字化安全研究空白</w:t>
      </w:r>
    </w:p>
    <w:p w14:paraId="6D384E36">
      <w:pPr>
        <w:ind w:firstLine="420" w:firstLineChars="0"/>
        <w:rPr>
          <w:rFonts w:hint="default"/>
          <w:sz w:val="24"/>
          <w:szCs w:val="24"/>
        </w:rPr>
      </w:pPr>
      <w:r>
        <w:rPr>
          <w:rFonts w:hint="default"/>
          <w:sz w:val="24"/>
          <w:szCs w:val="24"/>
        </w:rPr>
        <w:t xml:space="preserve">聚焦非遗数字档案 </w:t>
      </w:r>
      <w:r>
        <w:rPr>
          <w:rFonts w:hint="eastAsia"/>
          <w:sz w:val="24"/>
          <w:szCs w:val="24"/>
          <w:lang w:eastAsia="zh-CN"/>
        </w:rPr>
        <w:t>“</w:t>
      </w:r>
      <w:r>
        <w:rPr>
          <w:rFonts w:hint="default"/>
          <w:sz w:val="24"/>
          <w:szCs w:val="24"/>
        </w:rPr>
        <w:t>跨馆共享 + 版权溯源</w:t>
      </w:r>
      <w:r>
        <w:rPr>
          <w:rFonts w:hint="eastAsia"/>
          <w:sz w:val="24"/>
          <w:szCs w:val="24"/>
          <w:lang w:eastAsia="zh-CN"/>
        </w:rPr>
        <w:t>”</w:t>
      </w:r>
      <w:r>
        <w:rPr>
          <w:rFonts w:hint="default"/>
          <w:sz w:val="24"/>
          <w:szCs w:val="24"/>
        </w:rPr>
        <w:t>双场景，构建适配文化类数据的安全防护模型，丰富网络安全与文化数字化交叉领域的研究成果，为同类文化资源数字化系统提供安全建设理论参考。</w:t>
      </w:r>
    </w:p>
    <w:p w14:paraId="42497F90">
      <w:pPr>
        <w:rPr>
          <w:rFonts w:hint="default"/>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完善非遗档案管理技术体系</w:t>
      </w:r>
    </w:p>
    <w:p w14:paraId="2CE55A24">
      <w:pPr>
        <w:ind w:firstLine="420" w:firstLineChars="0"/>
        <w:rPr>
          <w:rFonts w:hint="default"/>
          <w:sz w:val="24"/>
          <w:szCs w:val="24"/>
        </w:rPr>
      </w:pPr>
      <w:r>
        <w:rPr>
          <w:rFonts w:hint="default"/>
          <w:sz w:val="24"/>
          <w:szCs w:val="24"/>
        </w:rPr>
        <w:t xml:space="preserve">梳理非遗档案跨馆共享的安全威胁模型与业务风险点，形成 </w:t>
      </w:r>
      <w:r>
        <w:rPr>
          <w:rFonts w:hint="eastAsia"/>
          <w:sz w:val="24"/>
          <w:szCs w:val="24"/>
          <w:lang w:eastAsia="zh-CN"/>
        </w:rPr>
        <w:t>“</w:t>
      </w:r>
      <w:r>
        <w:rPr>
          <w:rFonts w:hint="default"/>
          <w:sz w:val="24"/>
          <w:szCs w:val="24"/>
        </w:rPr>
        <w:t>采集 - 传输 - 存储 - 访问 - 溯源</w:t>
      </w:r>
      <w:r>
        <w:rPr>
          <w:rFonts w:hint="eastAsia"/>
          <w:sz w:val="24"/>
          <w:szCs w:val="24"/>
          <w:lang w:eastAsia="zh-CN"/>
        </w:rPr>
        <w:t>”</w:t>
      </w:r>
      <w:r>
        <w:rPr>
          <w:rFonts w:hint="default"/>
          <w:sz w:val="24"/>
          <w:szCs w:val="24"/>
        </w:rPr>
        <w:t>全流程安全技术规范，完善非遗档案数字化管理的技术理论框架。</w:t>
      </w:r>
    </w:p>
    <w:p w14:paraId="50FFD136">
      <w:pPr>
        <w:rPr>
          <w:rFonts w:hint="default"/>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沉淀算法与架构应用案例</w:t>
      </w:r>
    </w:p>
    <w:p w14:paraId="10BA7AB9">
      <w:pPr>
        <w:ind w:firstLine="420" w:firstLineChars="0"/>
        <w:rPr>
          <w:rFonts w:hint="default"/>
          <w:sz w:val="24"/>
          <w:szCs w:val="24"/>
        </w:rPr>
      </w:pPr>
      <w:r>
        <w:rPr>
          <w:rFonts w:hint="default"/>
          <w:sz w:val="24"/>
          <w:szCs w:val="24"/>
        </w:rPr>
        <w:t>将国密算法、RBAC 权限模型、特征匹配算法与非遗业务场景结合，形成可复用的技术实现范式，为计算机技术在文化保护领域的应用提供理论与实践支撑。</w:t>
      </w:r>
    </w:p>
    <w:p w14:paraId="2A7FDC8F">
      <w:pPr>
        <w:ind w:firstLine="420" w:firstLineChars="0"/>
        <w:rPr>
          <w:rFonts w:hint="default"/>
          <w:sz w:val="24"/>
          <w:szCs w:val="24"/>
        </w:rPr>
      </w:pPr>
    </w:p>
    <w:p w14:paraId="4A1763FA">
      <w:pPr>
        <w:numPr>
          <w:ilvl w:val="0"/>
          <w:numId w:val="1"/>
        </w:numPr>
        <w:ind w:left="0" w:leftChars="0" w:firstLine="0" w:firstLineChars="0"/>
        <w:rPr>
          <w:rFonts w:hint="eastAsia"/>
          <w:sz w:val="24"/>
          <w:szCs w:val="24"/>
          <w:lang w:val="en-US" w:eastAsia="zh-CN"/>
        </w:rPr>
      </w:pPr>
      <w:r>
        <w:rPr>
          <w:rFonts w:hint="eastAsia"/>
          <w:sz w:val="24"/>
          <w:szCs w:val="24"/>
          <w:lang w:val="en-US" w:eastAsia="zh-CN"/>
        </w:rPr>
        <w:t>应用价值</w:t>
      </w:r>
    </w:p>
    <w:p w14:paraId="32F1E648">
      <w:pPr>
        <w:numPr>
          <w:ilvl w:val="0"/>
          <w:numId w:val="0"/>
        </w:numPr>
        <w:ind w:leftChars="0"/>
        <w:rPr>
          <w:rFonts w:hint="eastAsia"/>
          <w:sz w:val="24"/>
          <w:szCs w:val="24"/>
          <w:lang w:val="en-US" w:eastAsia="zh-CN"/>
        </w:rPr>
      </w:pPr>
      <w:r>
        <w:rPr>
          <w:rFonts w:hint="eastAsia"/>
          <w:sz w:val="24"/>
          <w:szCs w:val="24"/>
          <w:lang w:val="en-US" w:eastAsia="zh-CN"/>
        </w:rPr>
        <w:t>（1）解决非遗档案实际业务痛点</w:t>
      </w:r>
    </w:p>
    <w:p w14:paraId="0D618BCF">
      <w:pPr>
        <w:numPr>
          <w:ilvl w:val="0"/>
          <w:numId w:val="0"/>
        </w:numPr>
        <w:ind w:leftChars="0" w:firstLine="420" w:firstLineChars="0"/>
        <w:rPr>
          <w:rFonts w:hint="eastAsia"/>
          <w:sz w:val="24"/>
          <w:szCs w:val="24"/>
          <w:lang w:val="en-US" w:eastAsia="zh-CN"/>
        </w:rPr>
      </w:pPr>
      <w:r>
        <w:rPr>
          <w:rFonts w:hint="eastAsia"/>
          <w:sz w:val="24"/>
          <w:szCs w:val="24"/>
          <w:lang w:val="en-US" w:eastAsia="zh-CN"/>
        </w:rPr>
        <w:t>针对非遗机构跨馆共享 “不敢共享、共享无序”、版权保护 “无据可查、泄露难追” 的核心痛点，提供可落地的技术解决方案，降低非遗机构跨馆共享的安全风险，激活非遗文化资源的共享价值。</w:t>
      </w:r>
    </w:p>
    <w:p w14:paraId="2E7DF3D0">
      <w:pPr>
        <w:numPr>
          <w:ilvl w:val="0"/>
          <w:numId w:val="0"/>
        </w:numPr>
        <w:ind w:leftChars="0"/>
        <w:rPr>
          <w:rFonts w:hint="eastAsia"/>
          <w:sz w:val="24"/>
          <w:szCs w:val="24"/>
          <w:lang w:val="en-US" w:eastAsia="zh-CN"/>
        </w:rPr>
      </w:pPr>
      <w:r>
        <w:rPr>
          <w:rFonts w:hint="eastAsia"/>
          <w:sz w:val="24"/>
          <w:szCs w:val="24"/>
          <w:lang w:val="en-US" w:eastAsia="zh-CN"/>
        </w:rPr>
        <w:t>（2）助力国家文化数字化战略落地</w:t>
      </w:r>
    </w:p>
    <w:p w14:paraId="11E8718C">
      <w:pPr>
        <w:numPr>
          <w:ilvl w:val="0"/>
          <w:numId w:val="0"/>
        </w:numPr>
        <w:ind w:leftChars="0" w:firstLine="420" w:firstLineChars="0"/>
        <w:rPr>
          <w:rFonts w:hint="eastAsia"/>
          <w:sz w:val="24"/>
          <w:szCs w:val="24"/>
          <w:lang w:val="en-US" w:eastAsia="zh-CN"/>
        </w:rPr>
      </w:pPr>
      <w:r>
        <w:rPr>
          <w:rFonts w:hint="eastAsia"/>
          <w:sz w:val="24"/>
          <w:szCs w:val="24"/>
          <w:lang w:val="en-US" w:eastAsia="zh-CN"/>
        </w:rPr>
        <w:t>响应《“十四五” 文化发展规划》《关于推进实施国家文化数字化战略的意见》等政策要求，为非遗数字化建设提供安全、可复制的实践案例，推动非遗文化资源的活化利用与传承。</w:t>
      </w:r>
    </w:p>
    <w:p w14:paraId="7528E3B7">
      <w:pPr>
        <w:numPr>
          <w:ilvl w:val="0"/>
          <w:numId w:val="0"/>
        </w:numPr>
        <w:ind w:leftChars="0"/>
        <w:rPr>
          <w:rFonts w:hint="eastAsia"/>
          <w:sz w:val="24"/>
          <w:szCs w:val="24"/>
          <w:lang w:val="en-US" w:eastAsia="zh-CN"/>
        </w:rPr>
      </w:pPr>
      <w:r>
        <w:rPr>
          <w:rFonts w:hint="eastAsia"/>
          <w:sz w:val="24"/>
          <w:szCs w:val="24"/>
          <w:lang w:val="en-US" w:eastAsia="zh-CN"/>
        </w:rPr>
        <w:t>（3）赋能非遗保护机构数字化转型</w:t>
      </w:r>
    </w:p>
    <w:p w14:paraId="38804009">
      <w:pPr>
        <w:numPr>
          <w:ilvl w:val="0"/>
          <w:numId w:val="0"/>
        </w:numPr>
        <w:ind w:leftChars="0" w:firstLine="420" w:firstLineChars="0"/>
        <w:rPr>
          <w:rFonts w:hint="eastAsia"/>
          <w:sz w:val="24"/>
          <w:szCs w:val="24"/>
          <w:lang w:val="en-US" w:eastAsia="zh-CN"/>
        </w:rPr>
      </w:pPr>
      <w:r>
        <w:rPr>
          <w:rFonts w:hint="eastAsia"/>
          <w:sz w:val="24"/>
          <w:szCs w:val="24"/>
          <w:lang w:val="en-US" w:eastAsia="zh-CN"/>
        </w:rPr>
        <w:t>为非遗馆、文化保护机构提供轻量化、高适配的系统工具，帮助机构实现非遗档案管理的数字化、规范化、智能化，提升非遗保护工作的效率与水平，助力非遗文化的活态传承与广泛传播。</w:t>
      </w:r>
    </w:p>
    <w:p w14:paraId="019497B5">
      <w:pPr>
        <w:numPr>
          <w:ilvl w:val="0"/>
          <w:numId w:val="0"/>
        </w:numPr>
        <w:ind w:leftChars="0"/>
        <w:rPr>
          <w:rFonts w:hint="eastAsia"/>
          <w:sz w:val="24"/>
          <w:szCs w:val="24"/>
          <w:lang w:val="en-US" w:eastAsia="zh-CN"/>
        </w:rPr>
      </w:pPr>
      <w:r>
        <w:rPr>
          <w:rFonts w:hint="eastAsia"/>
          <w:sz w:val="24"/>
          <w:szCs w:val="24"/>
          <w:lang w:val="en-US" w:eastAsia="zh-CN"/>
        </w:rPr>
        <w:t>（4）适配合规要求降低运营风险</w:t>
      </w:r>
    </w:p>
    <w:p w14:paraId="177FDD42">
      <w:pPr>
        <w:numPr>
          <w:ilvl w:val="0"/>
          <w:numId w:val="0"/>
        </w:numPr>
        <w:ind w:leftChars="0" w:firstLine="420" w:firstLineChars="0"/>
        <w:rPr>
          <w:rFonts w:hint="eastAsia"/>
          <w:sz w:val="24"/>
          <w:szCs w:val="24"/>
          <w:lang w:val="en-US" w:eastAsia="zh-CN"/>
        </w:rPr>
      </w:pPr>
      <w:r>
        <w:rPr>
          <w:rFonts w:hint="eastAsia"/>
          <w:sz w:val="24"/>
          <w:szCs w:val="24"/>
          <w:lang w:val="en-US" w:eastAsia="zh-CN"/>
        </w:rPr>
        <w:t>可帮助非遗机构满足《个人信息保护法》《著作权法》《非物质文化遗产法》等法律法规要求，降低合规运营风险，避免法律追责。</w:t>
      </w:r>
    </w:p>
    <w:p w14:paraId="7A9A5944">
      <w:pPr>
        <w:numPr>
          <w:ilvl w:val="0"/>
          <w:numId w:val="0"/>
        </w:numPr>
        <w:ind w:leftChars="0"/>
        <w:rPr>
          <w:rFonts w:hint="default"/>
          <w:sz w:val="24"/>
          <w:szCs w:val="24"/>
          <w:lang w:val="en-US" w:eastAsia="zh-CN"/>
        </w:rPr>
      </w:pPr>
    </w:p>
    <w:p w14:paraId="263C0C1C">
      <w:pPr>
        <w:rPr>
          <w:rFonts w:hint="default"/>
          <w:sz w:val="24"/>
          <w:szCs w:val="24"/>
        </w:rPr>
      </w:pPr>
      <w:r>
        <w:rPr>
          <w:rFonts w:hint="eastAsia"/>
          <w:sz w:val="28"/>
          <w:szCs w:val="28"/>
          <w:lang w:val="en-US" w:eastAsia="zh-CN"/>
        </w:rPr>
        <w:t>四、</w:t>
      </w:r>
      <w:r>
        <w:rPr>
          <w:rFonts w:hint="default"/>
          <w:sz w:val="28"/>
          <w:szCs w:val="28"/>
        </w:rPr>
        <w:t>可行性评估</w:t>
      </w:r>
    </w:p>
    <w:p w14:paraId="0AEBEFDA">
      <w:pPr>
        <w:numPr>
          <w:ilvl w:val="0"/>
          <w:numId w:val="2"/>
        </w:numPr>
        <w:rPr>
          <w:rFonts w:hint="default"/>
          <w:sz w:val="24"/>
          <w:szCs w:val="24"/>
        </w:rPr>
      </w:pPr>
      <w:r>
        <w:rPr>
          <w:rFonts w:hint="default"/>
          <w:sz w:val="24"/>
          <w:szCs w:val="24"/>
        </w:rPr>
        <w:t>开发环境与硬件支撑</w:t>
      </w:r>
    </w:p>
    <w:p w14:paraId="6F0C540F">
      <w:pPr>
        <w:numPr>
          <w:ilvl w:val="0"/>
          <w:numId w:val="0"/>
        </w:numPr>
        <w:ind w:firstLine="420" w:firstLineChars="0"/>
        <w:rPr>
          <w:rFonts w:hint="eastAsia" w:eastAsiaTheme="minorEastAsia"/>
          <w:sz w:val="24"/>
          <w:szCs w:val="24"/>
          <w:lang w:eastAsia="zh-CN"/>
        </w:rPr>
      </w:pPr>
      <w:r>
        <w:rPr>
          <w:rFonts w:hint="default"/>
          <w:sz w:val="24"/>
          <w:szCs w:val="24"/>
        </w:rPr>
        <w:t>已完成本地开发环境的搭建，具备 Python 开发所需的编译器、第三方库（PyQt5、数据库驱动等）及 CubeOS 切面架构的基础运行环境；硬件方面依托普通开发终端即可完成系统原型的开发、测试与演示，无特殊高端硬件需求</w:t>
      </w:r>
      <w:r>
        <w:rPr>
          <w:rFonts w:hint="eastAsia"/>
          <w:sz w:val="24"/>
          <w:szCs w:val="24"/>
          <w:lang w:eastAsia="zh-CN"/>
        </w:rPr>
        <w:t>。</w:t>
      </w:r>
    </w:p>
    <w:p w14:paraId="070CA4E1">
      <w:pPr>
        <w:rPr>
          <w:rFonts w:hint="eastAsia"/>
          <w:sz w:val="24"/>
          <w:szCs w:val="24"/>
          <w:lang w:eastAsia="zh-CN"/>
        </w:rPr>
      </w:pPr>
      <w:r>
        <w:rPr>
          <w:rFonts w:hint="eastAsia"/>
          <w:sz w:val="24"/>
          <w:szCs w:val="24"/>
          <w:lang w:val="en-US" w:eastAsia="zh-CN"/>
        </w:rPr>
        <w:tab/>
      </w:r>
      <w:r>
        <w:rPr>
          <w:rFonts w:hint="default"/>
          <w:sz w:val="24"/>
          <w:szCs w:val="24"/>
        </w:rPr>
        <w:t>小组成员具备扎实的 Python 编程基础，能够完成业务流程的代码实现与界面设计；同时掌握国密算法（SM3/SM4）、RSA/DES 等加解密技术的实践应用，能够完成安全模块、数据存储模块的开发；核心的档案特征提取与匹配算法可基于现有成熟算法进行适配优化，技术实现路径清晰</w:t>
      </w:r>
      <w:r>
        <w:rPr>
          <w:rFonts w:hint="eastAsia"/>
          <w:sz w:val="24"/>
          <w:szCs w:val="24"/>
          <w:lang w:eastAsia="zh-CN"/>
        </w:rPr>
        <w:t>。</w:t>
      </w:r>
    </w:p>
    <w:p w14:paraId="55F54679">
      <w:pPr>
        <w:rPr>
          <w:rFonts w:hint="eastAsia"/>
          <w:sz w:val="24"/>
          <w:szCs w:val="24"/>
          <w:lang w:eastAsia="zh-CN"/>
        </w:rPr>
      </w:pPr>
    </w:p>
    <w:p w14:paraId="0AAAB526">
      <w:pPr>
        <w:rPr>
          <w:rFonts w:hint="default"/>
          <w:sz w:val="28"/>
          <w:szCs w:val="28"/>
        </w:rPr>
      </w:pPr>
      <w:r>
        <w:rPr>
          <w:rFonts w:hint="eastAsia"/>
          <w:sz w:val="28"/>
          <w:szCs w:val="28"/>
          <w:lang w:val="en-US" w:eastAsia="zh-CN"/>
        </w:rPr>
        <w:t>五、</w:t>
      </w:r>
      <w:r>
        <w:rPr>
          <w:rFonts w:hint="default"/>
          <w:sz w:val="28"/>
          <w:szCs w:val="28"/>
        </w:rPr>
        <w:t xml:space="preserve"> 团队分工与协作计划</w:t>
      </w:r>
    </w:p>
    <w:tbl>
      <w:tblPr>
        <w:tblStyle w:val="4"/>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106"/>
        <w:gridCol w:w="1725"/>
        <w:gridCol w:w="4836"/>
      </w:tblGrid>
      <w:tr w14:paraId="6210D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854" w:type="dxa"/>
            <w:tcBorders>
              <w:top w:val="single" w:color="auto" w:sz="12" w:space="0"/>
              <w:left w:val="single" w:color="auto" w:sz="12" w:space="0"/>
              <w:bottom w:val="single" w:color="auto" w:sz="4" w:space="0"/>
              <w:right w:val="single" w:color="auto" w:sz="4" w:space="0"/>
            </w:tcBorders>
            <w:shd w:val="clear" w:color="auto" w:fill="auto"/>
            <w:tcMar>
              <w:top w:w="60" w:type="dxa"/>
              <w:left w:w="60" w:type="dxa"/>
              <w:bottom w:w="60" w:type="dxa"/>
              <w:right w:w="60" w:type="dxa"/>
            </w:tcMar>
            <w:vAlign w:val="center"/>
          </w:tcPr>
          <w:p w14:paraId="33A4576E">
            <w:pPr>
              <w:keepNext/>
              <w:keepLines w:val="0"/>
              <w:widowControl/>
              <w:suppressLineNumbers w:val="0"/>
              <w:snapToGrid w:val="0"/>
              <w:ind w:left="0" w:leftChars="0" w:right="0" w:rightChars="0" w:firstLine="0" w:firstLineChars="0"/>
              <w:jc w:val="center"/>
              <w:rPr>
                <w:rFonts w:ascii="宋体" w:hAnsi="宋体" w:eastAsia="宋体" w:cs="宋体"/>
                <w:b/>
                <w:bCs/>
                <w:kern w:val="0"/>
                <w:sz w:val="24"/>
                <w:szCs w:val="24"/>
                <w:lang w:val="en-US" w:eastAsia="zh-CN" w:bidi="ar"/>
              </w:rPr>
            </w:pPr>
          </w:p>
          <w:p w14:paraId="31A9BDD0">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成员</w:t>
            </w:r>
          </w:p>
        </w:tc>
        <w:tc>
          <w:tcPr>
            <w:tcW w:w="1106" w:type="dxa"/>
            <w:tcBorders>
              <w:top w:val="single" w:color="auto" w:sz="12"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7266B97C">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角色</w:t>
            </w:r>
          </w:p>
        </w:tc>
        <w:tc>
          <w:tcPr>
            <w:tcW w:w="1725" w:type="dxa"/>
            <w:tcBorders>
              <w:top w:val="single" w:color="auto" w:sz="12"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0A743044">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主要职责</w:t>
            </w:r>
          </w:p>
        </w:tc>
        <w:tc>
          <w:tcPr>
            <w:tcW w:w="4836" w:type="dxa"/>
            <w:tcBorders>
              <w:top w:val="single" w:color="auto" w:sz="12" w:space="0"/>
              <w:left w:val="single" w:color="auto" w:sz="4" w:space="0"/>
              <w:bottom w:val="single" w:color="auto" w:sz="4" w:space="0"/>
              <w:right w:val="single" w:color="auto" w:sz="12" w:space="0"/>
            </w:tcBorders>
            <w:shd w:val="clear" w:color="auto" w:fill="auto"/>
            <w:tcMar>
              <w:top w:w="60" w:type="dxa"/>
              <w:left w:w="60" w:type="dxa"/>
              <w:bottom w:w="60" w:type="dxa"/>
              <w:right w:w="60" w:type="dxa"/>
            </w:tcMar>
            <w:vAlign w:val="center"/>
          </w:tcPr>
          <w:p w14:paraId="615ED9A7">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对应模块/任务</w:t>
            </w:r>
          </w:p>
        </w:tc>
      </w:tr>
      <w:tr w14:paraId="1FA50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54" w:type="dxa"/>
            <w:tcBorders>
              <w:top w:val="single" w:color="auto" w:sz="4" w:space="0"/>
              <w:left w:val="single" w:color="auto" w:sz="12" w:space="0"/>
              <w:bottom w:val="single" w:color="auto" w:sz="4" w:space="0"/>
              <w:right w:val="single" w:color="auto" w:sz="4" w:space="0"/>
            </w:tcBorders>
            <w:shd w:val="clear" w:color="auto" w:fill="auto"/>
            <w:tcMar>
              <w:top w:w="60" w:type="dxa"/>
              <w:left w:w="60" w:type="dxa"/>
              <w:bottom w:w="60" w:type="dxa"/>
              <w:right w:w="60" w:type="dxa"/>
            </w:tcMar>
            <w:vAlign w:val="center"/>
          </w:tcPr>
          <w:p w14:paraId="22C30F01">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郭珈琪</w:t>
            </w:r>
          </w:p>
        </w:tc>
        <w:tc>
          <w:tcPr>
            <w:tcW w:w="1106" w:type="dxa"/>
            <w:tcBorders>
              <w:top w:val="single" w:color="auto" w:sz="4"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38B4FCF1">
            <w:pPr>
              <w:keepNext/>
              <w:keepLines w:val="0"/>
              <w:widowControl/>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组长</w:t>
            </w:r>
          </w:p>
          <w:p w14:paraId="319E4DC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业务逻辑负责人</w:t>
            </w:r>
          </w:p>
        </w:tc>
        <w:tc>
          <w:tcPr>
            <w:tcW w:w="1725" w:type="dxa"/>
            <w:tcBorders>
              <w:top w:val="single" w:color="auto" w:sz="4"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74BBF7E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统筹进度</w:t>
            </w:r>
            <w:r>
              <w:rPr>
                <w:rFonts w:hint="eastAsia" w:ascii="宋体" w:hAnsi="宋体" w:eastAsia="宋体" w:cs="宋体"/>
                <w:kern w:val="0"/>
                <w:sz w:val="24"/>
                <w:szCs w:val="24"/>
                <w:lang w:val="en-US" w:eastAsia="zh-CN" w:bidi="ar"/>
              </w:rPr>
              <w:t>，负责</w:t>
            </w:r>
            <w:r>
              <w:rPr>
                <w:rFonts w:ascii="宋体" w:hAnsi="宋体" w:eastAsia="宋体" w:cs="宋体"/>
                <w:kern w:val="0"/>
                <w:sz w:val="24"/>
                <w:szCs w:val="24"/>
                <w:lang w:val="en-US" w:eastAsia="zh-CN" w:bidi="ar"/>
              </w:rPr>
              <w:t>核心业务流程的代码实现，提供 API 接口供其他模块调用</w:t>
            </w:r>
          </w:p>
        </w:tc>
        <w:tc>
          <w:tcPr>
            <w:tcW w:w="4836" w:type="dxa"/>
            <w:tcBorders>
              <w:top w:val="single" w:color="auto" w:sz="4" w:space="0"/>
              <w:left w:val="single" w:color="auto" w:sz="4" w:space="0"/>
              <w:bottom w:val="single" w:color="auto" w:sz="4" w:space="0"/>
              <w:right w:val="single" w:color="auto" w:sz="12" w:space="0"/>
            </w:tcBorders>
            <w:shd w:val="clear" w:color="auto" w:fill="auto"/>
            <w:tcMar>
              <w:top w:w="60" w:type="dxa"/>
              <w:left w:w="60" w:type="dxa"/>
              <w:bottom w:w="60" w:type="dxa"/>
              <w:right w:w="60" w:type="dxa"/>
            </w:tcMar>
            <w:vAlign w:val="center"/>
          </w:tcPr>
          <w:p w14:paraId="40EC9117">
            <w:pPr>
              <w:keepNext/>
              <w:keepLines w:val="0"/>
              <w:widowControl/>
              <w:numPr>
                <w:ilvl w:val="0"/>
                <w:numId w:val="3"/>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档案采集上传流实现（数据接收、分级存储逻辑）</w:t>
            </w:r>
          </w:p>
          <w:p w14:paraId="3CFDBAB0">
            <w:pPr>
              <w:keepNext/>
              <w:keepLines w:val="0"/>
              <w:widowControl/>
              <w:numPr>
                <w:ilvl w:val="0"/>
                <w:numId w:val="3"/>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跨馆访问申请与权限校验流程</w:t>
            </w:r>
          </w:p>
          <w:p w14:paraId="6A157DDB">
            <w:pPr>
              <w:keepNext/>
              <w:keepLines w:val="0"/>
              <w:widowControl/>
              <w:numPr>
                <w:ilvl w:val="0"/>
                <w:numId w:val="3"/>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版权侵权溯源请求与匹配流程</w:t>
            </w:r>
          </w:p>
          <w:p w14:paraId="0E8B509D">
            <w:pPr>
              <w:keepNext/>
              <w:keepLines w:val="0"/>
              <w:widowControl/>
              <w:numPr>
                <w:ilvl w:val="0"/>
                <w:numId w:val="3"/>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定义前后端交互接口规范</w:t>
            </w:r>
          </w:p>
          <w:p w14:paraId="3EAD549F">
            <w:pPr>
              <w:keepNext/>
              <w:keepLines w:val="0"/>
              <w:widowControl/>
              <w:numPr>
                <w:ilvl w:val="0"/>
                <w:numId w:val="3"/>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撰写各阶段报告</w:t>
            </w:r>
          </w:p>
        </w:tc>
      </w:tr>
      <w:tr w14:paraId="69B38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54" w:type="dxa"/>
            <w:tcBorders>
              <w:top w:val="single" w:color="auto" w:sz="4" w:space="0"/>
              <w:left w:val="single" w:color="auto" w:sz="12" w:space="0"/>
              <w:bottom w:val="single" w:color="auto" w:sz="4" w:space="0"/>
              <w:right w:val="single" w:color="auto" w:sz="4" w:space="0"/>
            </w:tcBorders>
            <w:shd w:val="clear" w:color="auto" w:fill="auto"/>
            <w:tcMar>
              <w:top w:w="60" w:type="dxa"/>
              <w:left w:w="60" w:type="dxa"/>
              <w:bottom w:w="60" w:type="dxa"/>
              <w:right w:w="60" w:type="dxa"/>
            </w:tcMar>
            <w:vAlign w:val="center"/>
          </w:tcPr>
          <w:p w14:paraId="3DD528A5">
            <w:pPr>
              <w:keepNext/>
              <w:keepLines w:val="0"/>
              <w:widowControl/>
              <w:suppressLineNumbers w:val="0"/>
              <w:snapToGrid w:val="0"/>
              <w:ind w:left="0" w:leftChars="0" w:right="0" w:rightChars="0" w:firstLine="0" w:firstLineChars="0"/>
              <w:jc w:val="center"/>
              <w:rPr>
                <w:rFonts w:hint="eastAsia" w:ascii="宋体" w:eastAsia="宋体"/>
                <w:sz w:val="24"/>
                <w:lang w:val="en-US" w:eastAsia="zh-CN"/>
              </w:rPr>
            </w:pPr>
            <w:r>
              <w:rPr>
                <w:rFonts w:hint="eastAsia" w:ascii="宋体" w:eastAsia="宋体"/>
                <w:sz w:val="24"/>
                <w:lang w:val="en-US" w:eastAsia="zh-CN"/>
              </w:rPr>
              <w:t>刘翊帆</w:t>
            </w:r>
          </w:p>
        </w:tc>
        <w:tc>
          <w:tcPr>
            <w:tcW w:w="1106" w:type="dxa"/>
            <w:tcBorders>
              <w:top w:val="single" w:color="auto" w:sz="4"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7835045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安全防御负责人</w:t>
            </w:r>
          </w:p>
        </w:tc>
        <w:tc>
          <w:tcPr>
            <w:tcW w:w="1725" w:type="dxa"/>
            <w:tcBorders>
              <w:top w:val="single" w:color="auto" w:sz="4"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51F30DA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负责系统安全机制的开发与集成，为业务层提供安全服务</w:t>
            </w:r>
          </w:p>
        </w:tc>
        <w:tc>
          <w:tcPr>
            <w:tcW w:w="4836" w:type="dxa"/>
            <w:tcBorders>
              <w:top w:val="single" w:color="auto" w:sz="4" w:space="0"/>
              <w:left w:val="single" w:color="auto" w:sz="4" w:space="0"/>
              <w:bottom w:val="single" w:color="auto" w:sz="4" w:space="0"/>
              <w:right w:val="single" w:color="auto" w:sz="12" w:space="0"/>
            </w:tcBorders>
            <w:shd w:val="clear" w:color="auto" w:fill="auto"/>
            <w:tcMar>
              <w:top w:w="60" w:type="dxa"/>
              <w:left w:w="60" w:type="dxa"/>
              <w:bottom w:w="60" w:type="dxa"/>
              <w:right w:w="60" w:type="dxa"/>
            </w:tcMar>
            <w:vAlign w:val="center"/>
          </w:tcPr>
          <w:p w14:paraId="3E86286F">
            <w:pPr>
              <w:keepNext/>
              <w:keepLines w:val="0"/>
              <w:widowControl/>
              <w:numPr>
                <w:ilvl w:val="0"/>
                <w:numId w:val="4"/>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SM3/SM4 国密算法封装（加密传输、哈希校验）</w:t>
            </w:r>
          </w:p>
          <w:p w14:paraId="6A9899E6">
            <w:pPr>
              <w:keepNext/>
              <w:keepLines w:val="0"/>
              <w:widowControl/>
              <w:numPr>
                <w:ilvl w:val="0"/>
                <w:numId w:val="4"/>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RBAC 权限模型设计与数据库实现</w:t>
            </w:r>
          </w:p>
          <w:p w14:paraId="038566E2">
            <w:pPr>
              <w:keepNext/>
              <w:keepLines w:val="0"/>
              <w:widowControl/>
              <w:numPr>
                <w:ilvl w:val="0"/>
                <w:numId w:val="4"/>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数据脱敏模块（身份证、手机号掩码）</w:t>
            </w:r>
          </w:p>
          <w:p w14:paraId="7DABC2D8">
            <w:pPr>
              <w:keepNext/>
              <w:keepLines w:val="0"/>
              <w:widowControl/>
              <w:numPr>
                <w:ilvl w:val="0"/>
                <w:numId w:val="0"/>
              </w:numPr>
              <w:suppressLineNumbers w:val="0"/>
              <w:snapToGrid w:val="0"/>
              <w:ind w:leftChars="0" w:right="0" w:rightChars="0"/>
              <w:jc w:val="left"/>
              <w:rPr>
                <w:rFonts w:ascii="宋体" w:eastAsia="宋体"/>
                <w:sz w:val="24"/>
              </w:rPr>
            </w:pPr>
            <w:r>
              <w:rPr>
                <w:rFonts w:ascii="宋体" w:hAnsi="宋体" w:eastAsia="宋体" w:cs="宋体"/>
                <w:kern w:val="0"/>
                <w:sz w:val="24"/>
                <w:szCs w:val="24"/>
                <w:lang w:val="en-US" w:eastAsia="zh-CN" w:bidi="ar"/>
              </w:rPr>
              <w:t>4. 审计日志记录接口</w:t>
            </w:r>
          </w:p>
        </w:tc>
      </w:tr>
      <w:tr w14:paraId="4F3F5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54" w:type="dxa"/>
            <w:tcBorders>
              <w:top w:val="single" w:color="auto" w:sz="4" w:space="0"/>
              <w:left w:val="single" w:color="auto" w:sz="12" w:space="0"/>
              <w:bottom w:val="single" w:color="auto" w:sz="4" w:space="0"/>
              <w:right w:val="single" w:color="auto" w:sz="4" w:space="0"/>
            </w:tcBorders>
            <w:shd w:val="clear" w:color="auto" w:fill="auto"/>
            <w:tcMar>
              <w:top w:w="60" w:type="dxa"/>
              <w:left w:w="60" w:type="dxa"/>
              <w:bottom w:w="60" w:type="dxa"/>
              <w:right w:w="60" w:type="dxa"/>
            </w:tcMar>
            <w:vAlign w:val="center"/>
          </w:tcPr>
          <w:p w14:paraId="395ED05D">
            <w:pPr>
              <w:keepNext/>
              <w:keepLines w:val="0"/>
              <w:widowControl/>
              <w:suppressLineNumbers w:val="0"/>
              <w:snapToGrid w:val="0"/>
              <w:ind w:left="0" w:leftChars="0" w:right="0" w:rightChars="0" w:firstLine="0" w:firstLineChars="0"/>
              <w:jc w:val="center"/>
              <w:rPr>
                <w:rFonts w:hint="eastAsia" w:ascii="宋体" w:eastAsia="宋体"/>
                <w:sz w:val="24"/>
                <w:lang w:val="en-US" w:eastAsia="zh-CN"/>
              </w:rPr>
            </w:pPr>
            <w:r>
              <w:rPr>
                <w:rFonts w:hint="eastAsia" w:ascii="宋体" w:eastAsia="宋体"/>
                <w:sz w:val="24"/>
                <w:lang w:val="en-US" w:eastAsia="zh-CN"/>
              </w:rPr>
              <w:t>高晓钰</w:t>
            </w:r>
          </w:p>
        </w:tc>
        <w:tc>
          <w:tcPr>
            <w:tcW w:w="1106" w:type="dxa"/>
            <w:tcBorders>
              <w:top w:val="single" w:color="auto" w:sz="4"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65D56EF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数据与存储负责人</w:t>
            </w:r>
          </w:p>
        </w:tc>
        <w:tc>
          <w:tcPr>
            <w:tcW w:w="1725" w:type="dxa"/>
            <w:tcBorders>
              <w:top w:val="single" w:color="auto" w:sz="4" w:space="0"/>
              <w:left w:val="single" w:color="auto" w:sz="4" w:space="0"/>
              <w:bottom w:val="single" w:color="auto" w:sz="4" w:space="0"/>
              <w:right w:val="single" w:color="auto" w:sz="4" w:space="0"/>
            </w:tcBorders>
            <w:shd w:val="clear" w:color="auto" w:fill="auto"/>
            <w:tcMar>
              <w:top w:w="60" w:type="dxa"/>
              <w:left w:w="60" w:type="dxa"/>
              <w:bottom w:w="60" w:type="dxa"/>
              <w:right w:w="60" w:type="dxa"/>
            </w:tcMar>
            <w:vAlign w:val="center"/>
          </w:tcPr>
          <w:p w14:paraId="4A203A1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负责数据模型设计、数据库搭建、数据存取优化及特征匹配算法</w:t>
            </w:r>
          </w:p>
        </w:tc>
        <w:tc>
          <w:tcPr>
            <w:tcW w:w="4836" w:type="dxa"/>
            <w:tcBorders>
              <w:top w:val="single" w:color="auto" w:sz="4" w:space="0"/>
              <w:left w:val="single" w:color="auto" w:sz="4" w:space="0"/>
              <w:bottom w:val="single" w:color="auto" w:sz="4" w:space="0"/>
              <w:right w:val="single" w:color="auto" w:sz="12" w:space="0"/>
            </w:tcBorders>
            <w:shd w:val="clear" w:color="auto" w:fill="auto"/>
            <w:tcMar>
              <w:top w:w="60" w:type="dxa"/>
              <w:left w:w="60" w:type="dxa"/>
              <w:bottom w:w="60" w:type="dxa"/>
              <w:right w:w="60" w:type="dxa"/>
            </w:tcMar>
            <w:vAlign w:val="center"/>
          </w:tcPr>
          <w:p w14:paraId="3BACDA48">
            <w:pPr>
              <w:keepNext/>
              <w:keepLines w:val="0"/>
              <w:widowControl/>
              <w:numPr>
                <w:ilvl w:val="0"/>
                <w:numId w:val="5"/>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数据库表结构设计（档案库、用户表、权限表、日志表）</w:t>
            </w:r>
          </w:p>
          <w:p w14:paraId="19DE910F">
            <w:pPr>
              <w:keepNext/>
              <w:keepLines w:val="0"/>
              <w:widowControl/>
              <w:numPr>
                <w:ilvl w:val="0"/>
                <w:numId w:val="5"/>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元数据管理与版本控制3. 档案特征提取与匹配算法（用于溯源）</w:t>
            </w:r>
          </w:p>
          <w:p w14:paraId="2DC95482">
            <w:pPr>
              <w:keepNext/>
              <w:keepLines w:val="0"/>
              <w:widowControl/>
              <w:numPr>
                <w:ilvl w:val="0"/>
                <w:numId w:val="0"/>
              </w:numPr>
              <w:suppressLineNumbers w:val="0"/>
              <w:snapToGrid w:val="0"/>
              <w:ind w:leftChars="0" w:right="0" w:rightChars="0"/>
              <w:jc w:val="left"/>
              <w:rPr>
                <w:rFonts w:ascii="宋体" w:eastAsia="宋体"/>
                <w:sz w:val="24"/>
              </w:rPr>
            </w:pPr>
            <w:r>
              <w:rPr>
                <w:rFonts w:ascii="宋体" w:hAnsi="宋体" w:eastAsia="宋体" w:cs="宋体"/>
                <w:kern w:val="0"/>
                <w:sz w:val="24"/>
                <w:szCs w:val="24"/>
                <w:lang w:val="en-US" w:eastAsia="zh-CN" w:bidi="ar"/>
              </w:rPr>
              <w:t>4. 数据导入导出及备份策略</w:t>
            </w:r>
          </w:p>
        </w:tc>
      </w:tr>
      <w:tr w14:paraId="16C1D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54" w:type="dxa"/>
            <w:tcBorders>
              <w:top w:val="single" w:color="auto" w:sz="4" w:space="0"/>
              <w:left w:val="single" w:color="auto" w:sz="12" w:space="0"/>
              <w:bottom w:val="single" w:color="auto" w:sz="12" w:space="0"/>
              <w:right w:val="single" w:color="auto" w:sz="4" w:space="0"/>
            </w:tcBorders>
            <w:shd w:val="clear" w:color="auto" w:fill="auto"/>
            <w:tcMar>
              <w:top w:w="60" w:type="dxa"/>
              <w:left w:w="60" w:type="dxa"/>
              <w:bottom w:w="60" w:type="dxa"/>
              <w:right w:w="60" w:type="dxa"/>
            </w:tcMar>
            <w:vAlign w:val="center"/>
          </w:tcPr>
          <w:p w14:paraId="329B388C">
            <w:pPr>
              <w:keepNext/>
              <w:keepLines w:val="0"/>
              <w:widowControl/>
              <w:suppressLineNumbers w:val="0"/>
              <w:snapToGrid w:val="0"/>
              <w:ind w:left="0" w:leftChars="0" w:right="0" w:rightChars="0" w:firstLine="0" w:firstLineChars="0"/>
              <w:jc w:val="center"/>
              <w:rPr>
                <w:rFonts w:hint="eastAsia" w:ascii="宋体" w:eastAsia="宋体"/>
                <w:sz w:val="24"/>
                <w:lang w:val="en-US" w:eastAsia="zh-CN"/>
              </w:rPr>
            </w:pPr>
            <w:r>
              <w:rPr>
                <w:rFonts w:hint="eastAsia" w:ascii="宋体" w:eastAsia="宋体"/>
                <w:sz w:val="24"/>
                <w:lang w:val="en-US" w:eastAsia="zh-CN"/>
              </w:rPr>
              <w:t>牛嘉悦</w:t>
            </w:r>
          </w:p>
        </w:tc>
        <w:tc>
          <w:tcPr>
            <w:tcW w:w="1106" w:type="dxa"/>
            <w:tcBorders>
              <w:top w:val="single" w:color="auto" w:sz="4" w:space="0"/>
              <w:left w:val="single" w:color="auto" w:sz="4" w:space="0"/>
              <w:bottom w:val="single" w:color="auto" w:sz="12" w:space="0"/>
              <w:right w:val="single" w:color="auto" w:sz="4" w:space="0"/>
            </w:tcBorders>
            <w:shd w:val="clear" w:color="auto" w:fill="auto"/>
            <w:tcMar>
              <w:top w:w="60" w:type="dxa"/>
              <w:left w:w="60" w:type="dxa"/>
              <w:bottom w:w="60" w:type="dxa"/>
              <w:right w:w="60" w:type="dxa"/>
            </w:tcMar>
            <w:vAlign w:val="center"/>
          </w:tcPr>
          <w:p w14:paraId="18B3AF9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测试与集成负责人</w:t>
            </w:r>
          </w:p>
        </w:tc>
        <w:tc>
          <w:tcPr>
            <w:tcW w:w="1725" w:type="dxa"/>
            <w:tcBorders>
              <w:top w:val="single" w:color="auto" w:sz="4" w:space="0"/>
              <w:left w:val="single" w:color="auto" w:sz="4" w:space="0"/>
              <w:bottom w:val="single" w:color="auto" w:sz="12" w:space="0"/>
              <w:right w:val="single" w:color="auto" w:sz="4" w:space="0"/>
            </w:tcBorders>
            <w:shd w:val="clear" w:color="auto" w:fill="auto"/>
            <w:tcMar>
              <w:top w:w="60" w:type="dxa"/>
              <w:left w:w="60" w:type="dxa"/>
              <w:bottom w:w="60" w:type="dxa"/>
              <w:right w:w="60" w:type="dxa"/>
            </w:tcMar>
            <w:vAlign w:val="center"/>
          </w:tcPr>
          <w:p w14:paraId="1449BB6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负责系统集成、测试、文档撰写与演示准备，保障项目质量</w:t>
            </w:r>
          </w:p>
        </w:tc>
        <w:tc>
          <w:tcPr>
            <w:tcW w:w="4836" w:type="dxa"/>
            <w:tcBorders>
              <w:top w:val="single" w:color="auto" w:sz="4" w:space="0"/>
              <w:left w:val="single" w:color="auto" w:sz="4" w:space="0"/>
              <w:bottom w:val="single" w:color="auto" w:sz="12" w:space="0"/>
              <w:right w:val="single" w:color="auto" w:sz="12" w:space="0"/>
            </w:tcBorders>
            <w:shd w:val="clear" w:color="auto" w:fill="auto"/>
            <w:tcMar>
              <w:top w:w="60" w:type="dxa"/>
              <w:left w:w="60" w:type="dxa"/>
              <w:bottom w:w="60" w:type="dxa"/>
              <w:right w:w="60" w:type="dxa"/>
            </w:tcMar>
            <w:vAlign w:val="center"/>
          </w:tcPr>
          <w:p w14:paraId="55E47BD7">
            <w:pPr>
              <w:keepNext/>
              <w:keepLines w:val="0"/>
              <w:widowControl/>
              <w:numPr>
                <w:ilvl w:val="0"/>
                <w:numId w:val="6"/>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模块接口联调与集成测试</w:t>
            </w:r>
          </w:p>
          <w:p w14:paraId="21AEC8CF">
            <w:pPr>
              <w:keepNext/>
              <w:keepLines w:val="0"/>
              <w:widowControl/>
              <w:numPr>
                <w:ilvl w:val="0"/>
                <w:numId w:val="6"/>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编写单元测试用例、压力测试脚本</w:t>
            </w:r>
          </w:p>
          <w:p w14:paraId="65C9B80F">
            <w:pPr>
              <w:keepNext/>
              <w:keepLines w:val="0"/>
              <w:widowControl/>
              <w:numPr>
                <w:ilvl w:val="0"/>
                <w:numId w:val="6"/>
              </w:numPr>
              <w:suppressLineNumbers w:val="0"/>
              <w:snapToGrid w:val="0"/>
              <w:ind w:left="0" w:leftChars="0" w:right="0" w:righ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跟踪缺陷并协助修复</w:t>
            </w:r>
          </w:p>
          <w:p w14:paraId="39AB7A78">
            <w:pPr>
              <w:keepNext/>
              <w:keepLines w:val="0"/>
              <w:widowControl/>
              <w:numPr>
                <w:ilvl w:val="0"/>
                <w:numId w:val="0"/>
              </w:numPr>
              <w:suppressLineNumbers w:val="0"/>
              <w:snapToGrid w:val="0"/>
              <w:ind w:leftChars="0" w:right="0" w:rightChars="0"/>
              <w:jc w:val="left"/>
              <w:rPr>
                <w:rFonts w:ascii="宋体" w:eastAsia="宋体"/>
                <w:sz w:val="24"/>
              </w:rPr>
            </w:pPr>
            <w:r>
              <w:rPr>
                <w:rFonts w:ascii="宋体" w:hAnsi="宋体" w:eastAsia="宋体" w:cs="宋体"/>
                <w:kern w:val="0"/>
                <w:sz w:val="24"/>
                <w:szCs w:val="24"/>
                <w:lang w:val="en-US" w:eastAsia="zh-CN" w:bidi="ar"/>
              </w:rPr>
              <w:t xml:space="preserve">4. </w:t>
            </w:r>
            <w:r>
              <w:rPr>
                <w:rFonts w:hint="eastAsia" w:ascii="宋体" w:hAnsi="宋体" w:eastAsia="宋体" w:cs="宋体"/>
                <w:kern w:val="0"/>
                <w:sz w:val="24"/>
                <w:szCs w:val="24"/>
                <w:lang w:val="en-US" w:eastAsia="zh-CN" w:bidi="ar"/>
              </w:rPr>
              <w:t>辅助</w:t>
            </w:r>
            <w:r>
              <w:rPr>
                <w:rFonts w:ascii="宋体" w:hAnsi="宋体" w:eastAsia="宋体" w:cs="宋体"/>
                <w:kern w:val="0"/>
                <w:sz w:val="24"/>
                <w:szCs w:val="24"/>
                <w:lang w:val="en-US" w:eastAsia="zh-CN" w:bidi="ar"/>
              </w:rPr>
              <w:t>撰写项目文档</w:t>
            </w:r>
          </w:p>
        </w:tc>
      </w:tr>
    </w:tbl>
    <w:p w14:paraId="29A4B7A7">
      <w:pPr>
        <w:rPr>
          <w:rFonts w:hint="default"/>
          <w:sz w:val="24"/>
          <w:szCs w:val="24"/>
        </w:rPr>
      </w:pPr>
    </w:p>
    <w:p w14:paraId="272400E7">
      <w:pPr>
        <w:rPr>
          <w:rFonts w:hint="default"/>
          <w:sz w:val="24"/>
          <w:szCs w:val="24"/>
        </w:rPr>
      </w:pPr>
    </w:p>
    <w:p w14:paraId="7075FB99">
      <w:pPr>
        <w:rPr>
          <w:sz w:val="24"/>
          <w:szCs w:val="24"/>
        </w:rPr>
      </w:pPr>
    </w:p>
    <w:p w14:paraId="2C83290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B5ECC3"/>
    <w:multiLevelType w:val="singleLevel"/>
    <w:tmpl w:val="D1B5ECC3"/>
    <w:lvl w:ilvl="0" w:tentative="0">
      <w:start w:val="1"/>
      <w:numFmt w:val="decimal"/>
      <w:lvlText w:val="%1."/>
      <w:lvlJc w:val="left"/>
      <w:pPr>
        <w:tabs>
          <w:tab w:val="left" w:pos="312"/>
        </w:tabs>
      </w:pPr>
    </w:lvl>
  </w:abstractNum>
  <w:abstractNum w:abstractNumId="1">
    <w:nsid w:val="F19B9A09"/>
    <w:multiLevelType w:val="singleLevel"/>
    <w:tmpl w:val="F19B9A09"/>
    <w:lvl w:ilvl="0" w:tentative="0">
      <w:start w:val="1"/>
      <w:numFmt w:val="decimal"/>
      <w:suff w:val="space"/>
      <w:lvlText w:val="%1."/>
      <w:lvlJc w:val="left"/>
    </w:lvl>
  </w:abstractNum>
  <w:abstractNum w:abstractNumId="2">
    <w:nsid w:val="0EB9D481"/>
    <w:multiLevelType w:val="singleLevel"/>
    <w:tmpl w:val="0EB9D481"/>
    <w:lvl w:ilvl="0" w:tentative="0">
      <w:start w:val="2"/>
      <w:numFmt w:val="decimal"/>
      <w:lvlText w:val="%1."/>
      <w:lvlJc w:val="left"/>
      <w:pPr>
        <w:tabs>
          <w:tab w:val="left" w:pos="312"/>
        </w:tabs>
      </w:pPr>
    </w:lvl>
  </w:abstractNum>
  <w:abstractNum w:abstractNumId="3">
    <w:nsid w:val="2B22CB1E"/>
    <w:multiLevelType w:val="singleLevel"/>
    <w:tmpl w:val="2B22CB1E"/>
    <w:lvl w:ilvl="0" w:tentative="0">
      <w:start w:val="1"/>
      <w:numFmt w:val="decimal"/>
      <w:suff w:val="space"/>
      <w:lvlText w:val="%1."/>
      <w:lvlJc w:val="left"/>
    </w:lvl>
  </w:abstractNum>
  <w:abstractNum w:abstractNumId="4">
    <w:nsid w:val="3D3EC4A7"/>
    <w:multiLevelType w:val="singleLevel"/>
    <w:tmpl w:val="3D3EC4A7"/>
    <w:lvl w:ilvl="0" w:tentative="0">
      <w:start w:val="1"/>
      <w:numFmt w:val="decimal"/>
      <w:suff w:val="space"/>
      <w:lvlText w:val="%1."/>
      <w:lvlJc w:val="left"/>
    </w:lvl>
  </w:abstractNum>
  <w:abstractNum w:abstractNumId="5">
    <w:nsid w:val="4DC432C3"/>
    <w:multiLevelType w:val="singleLevel"/>
    <w:tmpl w:val="4DC432C3"/>
    <w:lvl w:ilvl="0" w:tentative="0">
      <w:start w:val="1"/>
      <w:numFmt w:val="decimal"/>
      <w:suff w:val="space"/>
      <w:lvlText w:val="%1."/>
      <w:lvlJc w:val="left"/>
    </w:lvl>
  </w:abstractNum>
  <w:num w:numId="1">
    <w:abstractNumId w:val="2"/>
  </w:num>
  <w:num w:numId="2">
    <w:abstractNumId w:val="0"/>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B68D2"/>
    <w:rsid w:val="46D54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2026-03-29T09:16:12Z</dcterms:created>
  <dc:creator>Q</dc:creator>
  <cp:lastModifiedBy>Q.</cp:lastModifiedBy>
  <dcterms:modified xsi:type="dcterms:W3CDTF">2026-03-29T09:36:21Z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eyJoZGlkIjoiM2EzMmJmYTg3MWRkMzA1MGJhODk2MWJkNzU3N2Y4ODEiLCJ1c2VySWQiOiI0MDA1ODAxNzMifQ==</vt:lpwstr>
  </property>
  <property fmtid="{D5CDD505-2E9C-101B-9397-08002B2CF9AE}" pid="4" name="ICV">
    <vt:lpwstr>F4F4814DE5284A7F8381A154BD859421_12</vt:lpwstr>
  </property>
</Properties>
</file>