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Создание игры на Java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концепцию игры ( Добавить кошечек)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сюжет и лор игры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2.1 Придумать персонажей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2.2 Нарисовать персонажей (см. 5.9)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Level-design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3.1 Составить макеты уровней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3.2 Продумать стилистику игры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3.3 Создание вида уровней (Макеты с расположением элементов локаций)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3.4 Перенос макетов уровней в Tiled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3.5 Перенос готовых уровней в игру (см. 5.6)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макет и дизайн сайтов: новостной, рекламный, сайт с игрой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4.1 Написание кода сайтов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игры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5.1 Понять как работает физика игры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5.2 Понять как работает логика хитбокс персонажа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5.3 Понять как работает переход между локациями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5.4 Добавление механик в собственный продукт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5.5 Реализовать подбор ключевых предметов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5.6 Перенос уровней в код игры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5.7 Реализовать потерю жизней персонажа при получении урона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5.8 Разработать игровое меню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5.9 Добавить анимации персонажа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5.9 Тестирование основных механик игры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5.10 Перенос игры на сайт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Реклама проекта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6.1 Придумать рекламный текст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6.2 Разместить рекламу на сайте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