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17D" w:rsidRPr="0006417D" w:rsidRDefault="0006417D" w:rsidP="0006417D">
      <w:pPr>
        <w:spacing w:after="0" w:line="240" w:lineRule="auto"/>
        <w:outlineLvl w:val="0"/>
        <w:rPr>
          <w:rFonts w:ascii="Helvetica" w:eastAsia="Times New Roman" w:hAnsi="Helvetica" w:cs="Helvetica"/>
          <w:kern w:val="36"/>
          <w:sz w:val="48"/>
          <w:szCs w:val="48"/>
          <w:lang w:eastAsia="en-IN"/>
        </w:rPr>
      </w:pPr>
      <w:r w:rsidRPr="0006417D">
        <w:rPr>
          <w:rFonts w:ascii="Helvetica" w:eastAsia="Times New Roman" w:hAnsi="Helvetica" w:cs="Helvetica"/>
          <w:kern w:val="36"/>
          <w:sz w:val="48"/>
          <w:szCs w:val="48"/>
          <w:lang w:eastAsia="en-IN"/>
        </w:rPr>
        <w:t>Get Started with Calculations in Tableau</w:t>
      </w:r>
    </w:p>
    <w:p w:rsidR="0006417D" w:rsidRPr="0006417D" w:rsidRDefault="0006417D" w:rsidP="0006417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bookmarkStart w:id="0" w:name="Why"/>
      <w:bookmarkEnd w:id="0"/>
      <w:r w:rsidRPr="0006417D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Why Use Calculated Fields</w:t>
      </w:r>
    </w:p>
    <w:p w:rsidR="0006417D" w:rsidRPr="0006417D" w:rsidRDefault="0006417D" w:rsidP="0006417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Calculated fields allow you to create new data from data that already exists in your data source. When you create a calculated field, you are essentially creating a new field (or column) in your data source, the values or members of which are determined by a calculation that you control. This new calculated field is saved to your data source in Tableau, and can be used to create more robust visualizations. But don't worry: your original data remains untouched.</w:t>
      </w:r>
    </w:p>
    <w:p w:rsidR="0006417D" w:rsidRPr="0006417D" w:rsidRDefault="0006417D" w:rsidP="0006417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You can use calculated fields for many, many reasons. Some examples might include:</w:t>
      </w:r>
    </w:p>
    <w:p w:rsidR="0006417D" w:rsidRPr="0006417D" w:rsidRDefault="0006417D" w:rsidP="00064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To segment data</w:t>
      </w:r>
    </w:p>
    <w:p w:rsidR="0006417D" w:rsidRPr="0006417D" w:rsidRDefault="0006417D" w:rsidP="00064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To convert the data type of a field, such as converting a string to a date.</w:t>
      </w:r>
    </w:p>
    <w:p w:rsidR="0006417D" w:rsidRPr="0006417D" w:rsidRDefault="0006417D" w:rsidP="000641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To aggregate data</w:t>
      </w:r>
    </w:p>
    <w:p w:rsidR="0006417D" w:rsidRPr="0006417D" w:rsidRDefault="0006417D" w:rsidP="000641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To filter results</w:t>
      </w:r>
    </w:p>
    <w:p w:rsidR="0006417D" w:rsidRPr="0006417D" w:rsidRDefault="0006417D" w:rsidP="000641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To calculate ratios</w:t>
      </w:r>
    </w:p>
    <w:p w:rsidR="0006417D" w:rsidRPr="0006417D" w:rsidRDefault="0006417D" w:rsidP="0006417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bookmarkStart w:id="1" w:name="Types"/>
      <w:bookmarkEnd w:id="1"/>
      <w:r w:rsidRPr="0006417D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Types of calculations</w:t>
      </w:r>
    </w:p>
    <w:p w:rsidR="0006417D" w:rsidRPr="0006417D" w:rsidRDefault="0006417D" w:rsidP="0006417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You create calculated fields using calculations. There are three main types of calculations you can use to create calculated fields in Tableau:</w:t>
      </w:r>
    </w:p>
    <w:p w:rsidR="0006417D" w:rsidRPr="0006417D" w:rsidRDefault="0006417D" w:rsidP="000641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Basic calculations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- Basic calculations allow you to transform values or members at the data source level of detail (a row-level calculation) or at the visualization level of detail (an aggregate calculation).</w:t>
      </w:r>
    </w:p>
    <w:p w:rsidR="0006417D" w:rsidRPr="0006417D" w:rsidRDefault="0006417D" w:rsidP="000641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lastRenderedPageBreak/>
        <w:t>Level of Detail (</w:t>
      </w:r>
      <w:proofErr w:type="spellStart"/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LOD</w:t>
      </w:r>
      <w:proofErr w:type="spellEnd"/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) expressions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 - Just like basic calculations, </w:t>
      </w:r>
      <w:proofErr w:type="spellStart"/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LOD</w:t>
      </w:r>
      <w:proofErr w:type="spellEnd"/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calculations allow you to compute values at the data source level and the visualization level. However, </w:t>
      </w:r>
      <w:proofErr w:type="spellStart"/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LOD</w:t>
      </w:r>
      <w:proofErr w:type="spellEnd"/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calculations give you even more control on the level of granularity you want to compute. They can be performed at a more granular level (INCLUDE), a less granular level (EXCLUDE), or an entirely independent level (FIXED) with respect to the granularity of the visualization.</w:t>
      </w:r>
    </w:p>
    <w:p w:rsidR="0006417D" w:rsidRPr="0006417D" w:rsidRDefault="0006417D" w:rsidP="0006417D">
      <w:pPr>
        <w:spacing w:beforeAutospacing="1" w:after="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For more information, see </w:t>
      </w:r>
      <w:r w:rsidRPr="0006417D">
        <w:rPr>
          <w:rFonts w:ascii="Georgia" w:eastAsia="Times New Roman" w:hAnsi="Georgia" w:cs="Times New Roman"/>
          <w:color w:val="FF6D02"/>
          <w:sz w:val="24"/>
          <w:szCs w:val="24"/>
          <w:u w:val="single"/>
          <w:lang w:eastAsia="en-IN"/>
        </w:rPr>
        <w:t xml:space="preserve">Create Level of Detail Expressions in </w:t>
      </w:r>
      <w:proofErr w:type="gramStart"/>
      <w:r w:rsidRPr="0006417D">
        <w:rPr>
          <w:rFonts w:ascii="Georgia" w:eastAsia="Times New Roman" w:hAnsi="Georgia" w:cs="Times New Roman"/>
          <w:color w:val="FF6D02"/>
          <w:sz w:val="24"/>
          <w:szCs w:val="24"/>
          <w:u w:val="single"/>
          <w:lang w:eastAsia="en-IN"/>
        </w:rPr>
        <w:t>Tableau</w:t>
      </w:r>
      <w:r w:rsidRPr="0006417D">
        <w:rPr>
          <w:rFonts w:ascii="Georgia" w:eastAsia="Times New Roman" w:hAnsi="Georgia" w:cs="Times New Roman"/>
          <w:color w:val="FF6D0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06417D">
        <w:rPr>
          <w:rFonts w:ascii="Georgia" w:eastAsia="Times New Roman" w:hAnsi="Georgia" w:cs="Times New Roman"/>
          <w:color w:val="FF6D02"/>
          <w:sz w:val="24"/>
          <w:szCs w:val="24"/>
          <w:bdr w:val="none" w:sz="0" w:space="0" w:color="auto" w:frame="1"/>
          <w:lang w:eastAsia="en-IN"/>
        </w:rPr>
        <w:t>Link opens in a new window)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:rsidR="0006417D" w:rsidRPr="0006417D" w:rsidRDefault="0006417D" w:rsidP="0006417D">
      <w:pPr>
        <w:numPr>
          <w:ilvl w:val="0"/>
          <w:numId w:val="8"/>
        </w:numPr>
        <w:spacing w:beforeAutospacing="1" w:after="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Table calculations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- Table calculations allow you to transform values at the level of detail of the visualization only. For more information, see </w:t>
      </w:r>
      <w:r w:rsidRPr="0006417D">
        <w:rPr>
          <w:rFonts w:ascii="Georgia" w:eastAsia="Times New Roman" w:hAnsi="Georgia" w:cs="Times New Roman"/>
          <w:color w:val="FF6D02"/>
          <w:sz w:val="24"/>
          <w:szCs w:val="24"/>
          <w:u w:val="single"/>
          <w:lang w:eastAsia="en-IN"/>
        </w:rPr>
        <w:t xml:space="preserve">Transform Values with Table </w:t>
      </w:r>
      <w:proofErr w:type="gramStart"/>
      <w:r w:rsidRPr="0006417D">
        <w:rPr>
          <w:rFonts w:ascii="Georgia" w:eastAsia="Times New Roman" w:hAnsi="Georgia" w:cs="Times New Roman"/>
          <w:color w:val="FF6D02"/>
          <w:sz w:val="24"/>
          <w:szCs w:val="24"/>
          <w:u w:val="single"/>
          <w:lang w:eastAsia="en-IN"/>
        </w:rPr>
        <w:t>Calculations</w:t>
      </w:r>
      <w:r w:rsidRPr="0006417D">
        <w:rPr>
          <w:rFonts w:ascii="Georgia" w:eastAsia="Times New Roman" w:hAnsi="Georgia" w:cs="Times New Roman"/>
          <w:color w:val="FF6D0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06417D">
        <w:rPr>
          <w:rFonts w:ascii="Georgia" w:eastAsia="Times New Roman" w:hAnsi="Georgia" w:cs="Times New Roman"/>
          <w:color w:val="FF6D02"/>
          <w:sz w:val="24"/>
          <w:szCs w:val="24"/>
          <w:bdr w:val="none" w:sz="0" w:space="0" w:color="auto" w:frame="1"/>
          <w:lang w:eastAsia="en-IN"/>
        </w:rPr>
        <w:t>Link opens in a new window)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:rsidR="0006417D" w:rsidRPr="0006417D" w:rsidRDefault="0006417D" w:rsidP="0006417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 type of calculation you choose depends on the needs of your analysis and the question you want to answer.</w:t>
      </w:r>
    </w:p>
    <w:p w:rsidR="0006417D" w:rsidRPr="0006417D" w:rsidRDefault="0006417D" w:rsidP="0006417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bookmarkStart w:id="2" w:name="Create"/>
      <w:bookmarkEnd w:id="2"/>
      <w:r w:rsidRPr="0006417D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Create a calculated field</w:t>
      </w:r>
    </w:p>
    <w:p w:rsidR="0006417D" w:rsidRPr="0006417D" w:rsidRDefault="0006417D" w:rsidP="0006417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Once you have determined the type of calculation you want to use, it's time to create a calculated field. This example uses a basic calculation.</w:t>
      </w:r>
    </w:p>
    <w:p w:rsidR="0006417D" w:rsidRPr="0006417D" w:rsidRDefault="0006417D" w:rsidP="0006417D">
      <w:pPr>
        <w:shd w:val="clear" w:color="auto" w:fill="EBEBEB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Note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: The example in this article uses the 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Sample-Superstore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data source that comes with Tableau Desktop. To follow along with the steps in this article, connect to the 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Sample-Superstore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saved data source and navigate to 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Sheet 1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:rsidR="0006417D" w:rsidRPr="0006417D" w:rsidRDefault="0006417D" w:rsidP="000641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In Tableau, select 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Analysis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&gt; 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Create Calculated Field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:rsidR="0006417D" w:rsidRPr="0006417D" w:rsidRDefault="0006417D" w:rsidP="000641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In the Calculation Editor that opens, do the following:</w:t>
      </w:r>
    </w:p>
    <w:p w:rsidR="0006417D" w:rsidRPr="0006417D" w:rsidRDefault="0006417D" w:rsidP="000641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Enter a name for the calculated field. In this example, the field is called, 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Discount Ratio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:rsidR="0006417D" w:rsidRPr="0006417D" w:rsidRDefault="0006417D" w:rsidP="000641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Enter a formula. This example uses the following formula:</w:t>
      </w:r>
    </w:p>
    <w:p w:rsidR="0006417D" w:rsidRPr="0006417D" w:rsidRDefault="0006417D" w:rsidP="0006417D">
      <w:pPr>
        <w:shd w:val="clear" w:color="auto" w:fill="EBEBEB"/>
        <w:spacing w:before="100" w:beforeAutospacing="1" w:after="100" w:afterAutospacing="1" w:line="240" w:lineRule="auto"/>
        <w:ind w:left="1440"/>
        <w:rPr>
          <w:rFonts w:ascii="Courier" w:eastAsia="Times New Roman" w:hAnsi="Courier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06417D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IIF</w:t>
      </w:r>
      <w:proofErr w:type="spellEnd"/>
      <w:r w:rsidRPr="0006417D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(</w:t>
      </w:r>
      <w:proofErr w:type="gramEnd"/>
      <w:r w:rsidRPr="0006417D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[Sales] !=0, [Discount]/[Sales],0)</w:t>
      </w:r>
    </w:p>
    <w:p w:rsidR="0006417D" w:rsidRPr="0006417D" w:rsidRDefault="0006417D" w:rsidP="0006417D">
      <w:p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This formula checks if sales is not equal to zero. If true, it returns the discount ratio (Discount/Sales); if false, it returns zero.</w:t>
      </w:r>
    </w:p>
    <w:tbl>
      <w:tblPr>
        <w:tblW w:w="11988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1493"/>
      </w:tblGrid>
      <w:tr w:rsidR="0006417D" w:rsidRPr="0006417D" w:rsidTr="0006417D">
        <w:tc>
          <w:tcPr>
            <w:tcW w:w="0" w:type="auto"/>
            <w:hideMark/>
          </w:tcPr>
          <w:p w:rsidR="0006417D" w:rsidRPr="0006417D" w:rsidRDefault="0006417D" w:rsidP="000641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4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Tip</w:t>
            </w:r>
            <w:r w:rsidRPr="000641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hideMark/>
          </w:tcPr>
          <w:p w:rsidR="0006417D" w:rsidRPr="0006417D" w:rsidRDefault="0006417D" w:rsidP="000641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41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see a list of available functions, click the triangle icon on the right-side of the Calculation Editor.</w:t>
            </w:r>
          </w:p>
          <w:p w:rsidR="0006417D" w:rsidRPr="0006417D" w:rsidRDefault="0006417D" w:rsidP="000641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D600F21" wp14:editId="093121D5">
                  <wp:extent cx="6712447" cy="1653540"/>
                  <wp:effectExtent l="0" t="0" r="0" b="3810"/>
                  <wp:docPr id="6" name="Picture 6" descr="https://help.tableau.com/current/pro/desktop/en-us/Img/calc_fiel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help.tableau.com/current/pro/desktop/en-us/Img/calc_field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2447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417D" w:rsidRPr="0006417D" w:rsidRDefault="0006417D" w:rsidP="000641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41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 function includes syntax, a description, and an example for your reference.</w:t>
            </w:r>
          </w:p>
          <w:p w:rsidR="0006417D" w:rsidRPr="0006417D" w:rsidRDefault="0006417D" w:rsidP="000641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41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Double-click a function in the list to add it to the formula.</w:t>
            </w:r>
          </w:p>
          <w:p w:rsidR="0006417D" w:rsidRPr="0006417D" w:rsidRDefault="0006417D" w:rsidP="000641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41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more tips, see </w:t>
            </w:r>
            <w:r w:rsidRPr="0006417D">
              <w:rPr>
                <w:rFonts w:ascii="Times New Roman" w:eastAsia="Times New Roman" w:hAnsi="Times New Roman" w:cs="Times New Roman"/>
                <w:color w:val="FF6D02"/>
                <w:sz w:val="24"/>
                <w:szCs w:val="24"/>
                <w:u w:val="single"/>
                <w:lang w:eastAsia="en-IN"/>
              </w:rPr>
              <w:t>Tips for Working with Calculated Fields in Tableau</w:t>
            </w:r>
            <w:r w:rsidRPr="000641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06417D" w:rsidRPr="0006417D" w:rsidRDefault="0006417D" w:rsidP="000641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When finished, click 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OK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:rsidR="0006417D" w:rsidRPr="0006417D" w:rsidRDefault="0006417D" w:rsidP="0006417D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 new calculated field is added to Measures in the Data pane because it returns a number. An equal sign (=) appears next to the data type icon. All calculated fields have equal signs (=) next to them in the 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Data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pane.</w:t>
      </w:r>
    </w:p>
    <w:p w:rsidR="0006417D" w:rsidRPr="0006417D" w:rsidRDefault="0006417D" w:rsidP="0006417D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>
            <wp:extent cx="1958340" cy="1897380"/>
            <wp:effectExtent l="0" t="0" r="3810" b="7620"/>
            <wp:docPr id="5" name="Picture 5" descr="https://help.tableau.com/current/pro/desktop/en-us/Img/calc_fiel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elp.tableau.com/current/pro/desktop/en-us/Img/calc_fiel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17D" w:rsidRPr="0006417D" w:rsidRDefault="0006417D" w:rsidP="0006417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bookmarkStart w:id="3" w:name="Use"/>
      <w:bookmarkEnd w:id="3"/>
      <w:r w:rsidRPr="0006417D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Use a calculated field in the view</w:t>
      </w:r>
    </w:p>
    <w:p w:rsidR="0006417D" w:rsidRPr="0006417D" w:rsidRDefault="0006417D" w:rsidP="0006417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06417D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Step 1: Build the view</w:t>
      </w:r>
    </w:p>
    <w:p w:rsidR="0006417D" w:rsidRPr="0006417D" w:rsidRDefault="0006417D" w:rsidP="000641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From Dimensions, drag 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Region 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to the 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Columns 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shelf.</w:t>
      </w:r>
    </w:p>
    <w:p w:rsidR="0006417D" w:rsidRPr="0006417D" w:rsidRDefault="0006417D" w:rsidP="000641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From Dimensions, drag 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Category 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to the 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Rows 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shelf.</w:t>
      </w:r>
    </w:p>
    <w:p w:rsidR="0006417D" w:rsidRPr="0006417D" w:rsidRDefault="0006417D" w:rsidP="000641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On the 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Rows 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shelf, click the plus icon (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+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) on the 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Category 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field to drill-down to Subcategory.</w:t>
      </w:r>
    </w:p>
    <w:p w:rsidR="0006417D" w:rsidRPr="0006417D" w:rsidRDefault="0006417D" w:rsidP="0006417D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 view updates to look like this:</w:t>
      </w:r>
    </w:p>
    <w:p w:rsidR="0006417D" w:rsidRPr="0006417D" w:rsidRDefault="0006417D" w:rsidP="0006417D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>
            <wp:extent cx="6739544" cy="6446520"/>
            <wp:effectExtent l="0" t="0" r="4445" b="0"/>
            <wp:docPr id="4" name="Picture 4" descr="https://help.tableau.com/current/pro/desktop/en-us/Img/calcs_cre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elp.tableau.com/current/pro/desktop/en-us/Img/calcs_creat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544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17D" w:rsidRPr="0006417D" w:rsidRDefault="0006417D" w:rsidP="0006417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06417D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lastRenderedPageBreak/>
        <w:t>Step 2: Add the calculated field to the view</w:t>
      </w:r>
    </w:p>
    <w:p w:rsidR="0006417D" w:rsidRPr="0006417D" w:rsidRDefault="0006417D" w:rsidP="000641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From Measures, drag 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Discount Ratio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to </w:t>
      </w:r>
      <w:proofErr w:type="spellStart"/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Color</w:t>
      </w:r>
      <w:proofErr w:type="spellEnd"/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 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on the Marks card.</w:t>
      </w:r>
    </w:p>
    <w:p w:rsidR="0006417D" w:rsidRPr="0006417D" w:rsidRDefault="0006417D" w:rsidP="0006417D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 view updates to highlight table.</w:t>
      </w:r>
    </w:p>
    <w:p w:rsidR="0006417D" w:rsidRPr="0006417D" w:rsidRDefault="0006417D" w:rsidP="0006417D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>
            <wp:extent cx="6750377" cy="5036820"/>
            <wp:effectExtent l="0" t="0" r="0" b="0"/>
            <wp:docPr id="3" name="Picture 3" descr="https://help.tableau.com/current/pro/desktop/en-us/Img/calcs_cre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elp.tableau.com/current/pro/desktop/en-us/Img/calcs_creat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377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17D" w:rsidRPr="0006417D" w:rsidRDefault="0006417D" w:rsidP="0006417D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You can see that Binders are heavily discounted in the Central region. Notice that Discount Ratio is automatically aggregated as a sum.</w:t>
      </w:r>
    </w:p>
    <w:p w:rsidR="0006417D" w:rsidRPr="0006417D" w:rsidRDefault="0006417D" w:rsidP="000641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lastRenderedPageBreak/>
        <w:t>On the Rows shelf, right-click </w:t>
      </w:r>
      <w:proofErr w:type="gramStart"/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SUM(</w:t>
      </w:r>
      <w:proofErr w:type="gramEnd"/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Discount Ratio)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and select 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Measure (Sum)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&gt; 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Average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:rsidR="0006417D" w:rsidRPr="0006417D" w:rsidRDefault="0006417D" w:rsidP="0006417D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 view updates with the average of discount ratio shown.</w:t>
      </w:r>
    </w:p>
    <w:p w:rsidR="0006417D" w:rsidRPr="0006417D" w:rsidRDefault="0006417D" w:rsidP="0006417D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7020524" cy="4638303"/>
            <wp:effectExtent l="0" t="0" r="9525" b="0"/>
            <wp:docPr id="2" name="Picture 2" descr="https://help.tableau.com/current/pro/desktop/en-us/Img/calcs_crea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elp.tableau.com/current/pro/desktop/en-us/Img/calcs_creat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911" cy="463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17D" w:rsidRPr="0006417D" w:rsidRDefault="0006417D" w:rsidP="0006417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bookmarkStart w:id="4" w:name="Edit"/>
      <w:bookmarkEnd w:id="4"/>
      <w:r w:rsidRPr="0006417D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lastRenderedPageBreak/>
        <w:t>Edit a Calculated Field</w:t>
      </w:r>
    </w:p>
    <w:p w:rsidR="0006417D" w:rsidRPr="0006417D" w:rsidRDefault="0006417D" w:rsidP="0006417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If at any time you need to change a calculation, you can edit the calculated field and it will update across your entire workbook.</w:t>
      </w:r>
    </w:p>
    <w:p w:rsidR="0006417D" w:rsidRPr="0006417D" w:rsidRDefault="0006417D" w:rsidP="0006417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To edit a calculated field:</w:t>
      </w:r>
    </w:p>
    <w:p w:rsidR="0006417D" w:rsidRPr="0006417D" w:rsidRDefault="0006417D" w:rsidP="000641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In the 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Data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pane, right-click the calculated field and select 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Edit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:rsidR="0006417D" w:rsidRPr="0006417D" w:rsidRDefault="0006417D" w:rsidP="000641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In the Calculation Editor that opens, you can do the following:</w:t>
      </w:r>
    </w:p>
    <w:p w:rsidR="0006417D" w:rsidRPr="0006417D" w:rsidRDefault="0006417D" w:rsidP="0006417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Edit the name of the calculated field.</w:t>
      </w:r>
    </w:p>
    <w:p w:rsidR="0006417D" w:rsidRPr="0006417D" w:rsidRDefault="0006417D" w:rsidP="0006417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Update the formula.</w:t>
      </w:r>
    </w:p>
    <w:p w:rsidR="0006417D" w:rsidRPr="0006417D" w:rsidRDefault="0006417D" w:rsidP="0006417D">
      <w:p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For this example, the formula is changed to return a discount ratio for orders over 2000 USD in sales:</w:t>
      </w:r>
    </w:p>
    <w:p w:rsidR="0006417D" w:rsidRPr="0006417D" w:rsidRDefault="0006417D" w:rsidP="0006417D">
      <w:pPr>
        <w:shd w:val="clear" w:color="auto" w:fill="EBEBEB"/>
        <w:spacing w:before="100" w:beforeAutospacing="1" w:after="100" w:afterAutospacing="1" w:line="240" w:lineRule="auto"/>
        <w:ind w:left="1440"/>
        <w:rPr>
          <w:rFonts w:ascii="Courier" w:eastAsia="Times New Roman" w:hAnsi="Courier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06417D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IIF</w:t>
      </w:r>
      <w:proofErr w:type="spellEnd"/>
      <w:r w:rsidRPr="0006417D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(</w:t>
      </w:r>
      <w:proofErr w:type="gramEnd"/>
      <w:r w:rsidRPr="0006417D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[Sales] &gt; 2000, [Discount]/[Sales],0)</w:t>
      </w:r>
    </w:p>
    <w:p w:rsidR="0006417D" w:rsidRPr="0006417D" w:rsidRDefault="0006417D" w:rsidP="000641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Click </w:t>
      </w:r>
      <w:r w:rsidRPr="0006417D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OK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:rsidR="0006417D" w:rsidRPr="0006417D" w:rsidRDefault="0006417D" w:rsidP="0006417D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 view updates to reflect the changes automatically. You </w:t>
      </w:r>
      <w:r w:rsidRPr="0006417D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  <w:t>do not</w:t>
      </w:r>
      <w:r w:rsidRPr="0006417D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need to re-add the updated calculated field to the view.</w:t>
      </w:r>
    </w:p>
    <w:p w:rsidR="0006417D" w:rsidRPr="0006417D" w:rsidRDefault="0006417D" w:rsidP="0006417D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>
            <wp:extent cx="7024484" cy="5211481"/>
            <wp:effectExtent l="0" t="0" r="5080" b="8255"/>
            <wp:docPr id="1" name="Picture 1" descr="https://help.tableau.com/current/pro/desktop/en-us/Img/calcs_crea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elp.tableau.com/current/pro/desktop/en-us/Img/calcs_creat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016" cy="521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251B95" w:rsidRDefault="00251B95"/>
    <w:sectPr w:rsidR="00251B95" w:rsidSect="000641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4D56"/>
    <w:multiLevelType w:val="multilevel"/>
    <w:tmpl w:val="3B2C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C0C67"/>
    <w:multiLevelType w:val="multilevel"/>
    <w:tmpl w:val="1C38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E83338"/>
    <w:multiLevelType w:val="multilevel"/>
    <w:tmpl w:val="59A0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6E398F"/>
    <w:multiLevelType w:val="multilevel"/>
    <w:tmpl w:val="E2C68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566DB8"/>
    <w:multiLevelType w:val="multilevel"/>
    <w:tmpl w:val="FC785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6E2C0E"/>
    <w:multiLevelType w:val="multilevel"/>
    <w:tmpl w:val="A150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2"/>
    </w:lvlOverride>
  </w:num>
  <w:num w:numId="8">
    <w:abstractNumId w:val="2"/>
    <w:lvlOverride w:ilvl="0">
      <w:startOverride w:val="3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2"/>
    </w:lvlOverride>
  </w:num>
  <w:num w:numId="11">
    <w:abstractNumId w:val="4"/>
    <w:lvlOverride w:ilvl="0"/>
    <w:lvlOverride w:ilvl="1">
      <w:startOverride w:val="1"/>
    </w:lvlOverride>
  </w:num>
  <w:num w:numId="12">
    <w:abstractNumId w:val="4"/>
    <w:lvlOverride w:ilvl="0"/>
    <w:lvlOverride w:ilvl="1">
      <w:startOverride w:val="2"/>
    </w:lvlOverride>
  </w:num>
  <w:num w:numId="13">
    <w:abstractNumId w:val="4"/>
    <w:lvlOverride w:ilvl="0">
      <w:startOverride w:val="3"/>
    </w:lvlOverride>
    <w:lvlOverride w:ilvl="1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2"/>
    </w:lvlOverride>
  </w:num>
  <w:num w:numId="16">
    <w:abstractNumId w:val="3"/>
    <w:lvlOverride w:ilvl="0">
      <w:startOverride w:val="3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2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2"/>
    </w:lvlOverride>
  </w:num>
  <w:num w:numId="21">
    <w:abstractNumId w:val="5"/>
    <w:lvlOverride w:ilvl="0"/>
    <w:lvlOverride w:ilvl="1">
      <w:startOverride w:val="1"/>
    </w:lvlOverride>
  </w:num>
  <w:num w:numId="22">
    <w:abstractNumId w:val="5"/>
    <w:lvlOverride w:ilvl="0"/>
    <w:lvlOverride w:ilvl="1">
      <w:startOverride w:val="2"/>
    </w:lvlOverride>
  </w:num>
  <w:num w:numId="23">
    <w:abstractNumId w:val="5"/>
    <w:lvlOverride w:ilvl="0">
      <w:startOverride w:val="3"/>
    </w:lvlOverride>
    <w:lvlOverride w:ilv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839"/>
    <w:rsid w:val="0006417D"/>
    <w:rsid w:val="00251B95"/>
    <w:rsid w:val="00262E9E"/>
    <w:rsid w:val="007C7839"/>
    <w:rsid w:val="00B82BCD"/>
    <w:rsid w:val="00F7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41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641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641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1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41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641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rticletags--version">
    <w:name w:val="article__tags--version"/>
    <w:basedOn w:val="DefaultParagraphFont"/>
    <w:rsid w:val="0006417D"/>
  </w:style>
  <w:style w:type="character" w:customStyle="1" w:styleId="articletags--applies-to">
    <w:name w:val="article__tags--applies-to"/>
    <w:basedOn w:val="DefaultParagraphFont"/>
    <w:rsid w:val="0006417D"/>
  </w:style>
  <w:style w:type="paragraph" w:styleId="NormalWeb">
    <w:name w:val="Normal (Web)"/>
    <w:basedOn w:val="Normal"/>
    <w:uiPriority w:val="99"/>
    <w:unhideWhenUsed/>
    <w:rsid w:val="00064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6417D"/>
    <w:rPr>
      <w:color w:val="0000FF"/>
      <w:u w:val="single"/>
    </w:rPr>
  </w:style>
  <w:style w:type="character" w:customStyle="1" w:styleId="sr-only">
    <w:name w:val="sr-only"/>
    <w:basedOn w:val="DefaultParagraphFont"/>
    <w:rsid w:val="0006417D"/>
  </w:style>
  <w:style w:type="paragraph" w:customStyle="1" w:styleId="note">
    <w:name w:val="note"/>
    <w:basedOn w:val="Normal"/>
    <w:rsid w:val="00064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ample">
    <w:name w:val="example"/>
    <w:basedOn w:val="Normal"/>
    <w:rsid w:val="00064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417D"/>
    <w:rPr>
      <w:rFonts w:ascii="Courier New" w:eastAsia="Times New Roman" w:hAnsi="Courier New" w:cs="Courier New"/>
      <w:sz w:val="20"/>
      <w:szCs w:val="20"/>
    </w:rPr>
  </w:style>
  <w:style w:type="character" w:customStyle="1" w:styleId="uicontrol">
    <w:name w:val="uicontrol"/>
    <w:basedOn w:val="DefaultParagraphFont"/>
    <w:rsid w:val="0006417D"/>
  </w:style>
  <w:style w:type="paragraph" w:styleId="BalloonText">
    <w:name w:val="Balloon Text"/>
    <w:basedOn w:val="Normal"/>
    <w:link w:val="BalloonTextChar"/>
    <w:uiPriority w:val="99"/>
    <w:semiHidden/>
    <w:unhideWhenUsed/>
    <w:rsid w:val="00064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41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641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641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1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41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641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rticletags--version">
    <w:name w:val="article__tags--version"/>
    <w:basedOn w:val="DefaultParagraphFont"/>
    <w:rsid w:val="0006417D"/>
  </w:style>
  <w:style w:type="character" w:customStyle="1" w:styleId="articletags--applies-to">
    <w:name w:val="article__tags--applies-to"/>
    <w:basedOn w:val="DefaultParagraphFont"/>
    <w:rsid w:val="0006417D"/>
  </w:style>
  <w:style w:type="paragraph" w:styleId="NormalWeb">
    <w:name w:val="Normal (Web)"/>
    <w:basedOn w:val="Normal"/>
    <w:uiPriority w:val="99"/>
    <w:unhideWhenUsed/>
    <w:rsid w:val="00064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6417D"/>
    <w:rPr>
      <w:color w:val="0000FF"/>
      <w:u w:val="single"/>
    </w:rPr>
  </w:style>
  <w:style w:type="character" w:customStyle="1" w:styleId="sr-only">
    <w:name w:val="sr-only"/>
    <w:basedOn w:val="DefaultParagraphFont"/>
    <w:rsid w:val="0006417D"/>
  </w:style>
  <w:style w:type="paragraph" w:customStyle="1" w:styleId="note">
    <w:name w:val="note"/>
    <w:basedOn w:val="Normal"/>
    <w:rsid w:val="00064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ample">
    <w:name w:val="example"/>
    <w:basedOn w:val="Normal"/>
    <w:rsid w:val="00064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417D"/>
    <w:rPr>
      <w:rFonts w:ascii="Courier New" w:eastAsia="Times New Roman" w:hAnsi="Courier New" w:cs="Courier New"/>
      <w:sz w:val="20"/>
      <w:szCs w:val="20"/>
    </w:rPr>
  </w:style>
  <w:style w:type="character" w:customStyle="1" w:styleId="uicontrol">
    <w:name w:val="uicontrol"/>
    <w:basedOn w:val="DefaultParagraphFont"/>
    <w:rsid w:val="0006417D"/>
  </w:style>
  <w:style w:type="paragraph" w:styleId="BalloonText">
    <w:name w:val="Balloon Text"/>
    <w:basedOn w:val="Normal"/>
    <w:link w:val="BalloonTextChar"/>
    <w:uiPriority w:val="99"/>
    <w:semiHidden/>
    <w:unhideWhenUsed/>
    <w:rsid w:val="00064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5</cp:revision>
  <dcterms:created xsi:type="dcterms:W3CDTF">2021-10-06T17:14:00Z</dcterms:created>
  <dcterms:modified xsi:type="dcterms:W3CDTF">2021-10-06T17:15:00Z</dcterms:modified>
</cp:coreProperties>
</file>