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 AT BANKS</w:t>
      </w:r>
    </w:p>
    <w:p>
      <w:pPr>
        <w:widowControl w:val="on"/>
        <w:pBdr/>
        <w:spacing w:before="120" w:after="120" w:line="270" w:lineRule="auto"/>
        <w:ind w:left="0" w:right="0"/>
        <w:jc w:val="both"/>
      </w:pPr>
      <w:r>
        <w:rPr>
          <w:color w:val="000000"/>
          <w:sz w:val="20"/>
          <w:szCs w:val="20"/>
        </w:rPr>
        <w:t xml:space="preserve">Appointment of Auditors at Banks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Bank are appointed by the Reserve Bank of India (RBI), an independent regulatory body. SES recommends that shareholders vote FOR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Appointment of Auditors at Banks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Appointment of Auditors at Banks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 AT PSU</w:t>
      </w:r>
    </w:p>
    <w:p>
      <w:pPr>
        <w:widowControl w:val="on"/>
        <w:pBdr/>
        <w:spacing w:before="120" w:after="120" w:line="270" w:lineRule="auto"/>
        <w:ind w:left="0" w:right="0"/>
        <w:jc w:val="both"/>
      </w:pPr>
      <w:r>
        <w:rPr>
          <w:color w:val="000000"/>
          <w:sz w:val="20"/>
          <w:szCs w:val="20"/>
        </w:rPr>
        <w:t xml:space="preserve">Appointment of Auditors at PSU</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Company are appointed by the Comptroller &amp; Auditor General (CAG) of India, a constitutional and independent third party. SES recommends that shareholders vote FOR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Appointment of Auditors at PSU</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Appointment of Auditors at PSU</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BRANCH AUDITORS</w:t>
      </w:r>
    </w:p>
    <w:p>
      <w:pPr>
        <w:widowControl w:val="on"/>
        <w:pBdr/>
        <w:spacing w:before="120" w:after="120" w:line="270" w:lineRule="auto"/>
        <w:ind w:left="0" w:right="0"/>
        <w:jc w:val="both"/>
      </w:pPr>
      <w:r>
        <w:rPr>
          <w:color w:val="000000"/>
          <w:sz w:val="20"/>
          <w:szCs w:val="20"/>
        </w:rPr>
        <w:t xml:space="preserve">Appointment of Branch Auditors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This is a standard enabling resolution and normally, SES would have recommended voting for the resolution. However, as the Company proposes to appoint the branch Auditors in consultation with the particular audit firm which is the Statutory Auditors of the Company and SES has recommended voting against the reappointment of the audit firm due to its tenure of more than 10 years, SES recommends that shareholders vote AGAINST this resolution as well.</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Appointment of Branch Auditors</w:t>
      </w:r>
    </w:p>
    <w:p>
      <w:pPr>
        <w:widowControl w:val="on"/>
        <w:pBdr/>
        <w:spacing w:before="120" w:after="120" w:line="270" w:lineRule="auto"/>
        <w:ind w:left="0" w:right="0"/>
        <w:jc w:val="both"/>
      </w:pPr>
      <w:r>
        <w:rPr>
          <w:color w:val="000000"/>
          <w:sz w:val="20"/>
          <w:szCs w:val="20"/>
        </w:rPr>
        <w:t xml:space="preserve">Appointment of Branch Auditors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TO COST AUDITORS</w:t>
      </w:r>
    </w:p>
    <w:p>
      <w:pPr>
        <w:widowControl w:val="on"/>
        <w:pBdr/>
        <w:spacing w:before="120" w:after="120" w:line="270" w:lineRule="auto"/>
        <w:ind w:left="0" w:right="0"/>
        <w:jc w:val="both"/>
      </w:pPr>
      <w:r>
        <w:rPr>
          <w:color w:val="000000"/>
          <w:sz w:val="20"/>
          <w:szCs w:val="20"/>
        </w:rPr>
        <w:t xml:space="preserve">To ratify cost Auditors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Company are appointed by the Comptroller &amp; Auditor General (CAG) of India, a constitutional and independent third party. SES recommends that shareholders vote FOR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To ratify cost Auditors</w:t>
      </w:r>
    </w:p>
    <w:p>
      <w:pPr>
        <w:widowControl w:val="on"/>
        <w:pBdr/>
        <w:spacing w:before="120" w:after="120" w:line="270" w:lineRule="auto"/>
        <w:ind w:left="0" w:right="0"/>
        <w:jc w:val="both"/>
      </w:pPr>
      <w:r>
        <w:rPr>
          <w:color w:val="333333"/>
          <w:sz w:val="21"/>
          <w:szCs w:val="21"/>
          <w:shd w:val="clear" w:color="auto" w:fill="FFFFFF"/>
        </w:rPr>
        <w:t xml:space="preserve">To ratify cost Auditors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AUDITORS</w:t>
      </w:r>
    </w:p>
    <w:p>
      <w:pPr>
        <w:widowControl w:val="on"/>
        <w:pBdr/>
        <w:spacing w:before="120" w:after="120" w:line="270" w:lineRule="auto"/>
        <w:ind w:left="0" w:right="0"/>
        <w:jc w:val="both"/>
      </w:pPr>
      <w:r>
        <w:rPr>
          <w:color w:val="000000"/>
          <w:sz w:val="20"/>
          <w:szCs w:val="20"/>
        </w:rPr>
        <w:t xml:space="preserve">To remover auditors of the company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Company are appointed by the Comptroller &amp; Auditor General (CAG) of India, a constitutional and independent third party. SES recommends that shareholders vote FOR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To remover auditors of the company</w:t>
      </w:r>
    </w:p>
    <w:p>
      <w:pPr>
        <w:widowControl w:val="on"/>
        <w:pBdr/>
        <w:spacing w:before="120" w:after="120" w:line="270" w:lineRule="auto"/>
        <w:ind w:left="0" w:right="0"/>
        <w:jc w:val="both"/>
      </w:pPr>
      <w:r>
        <w:rPr>
          <w:color w:val="333333"/>
          <w:sz w:val="21"/>
          <w:szCs w:val="21"/>
          <w:shd w:val="clear" w:color="auto" w:fill="FFFFFF"/>
        </w:rPr>
        <w:t xml:space="preserve">To remover auditors of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To Appoint statutory auditors of he company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Since such relationships between the Company and the Auditors can cast a doubt on the independence and objectivity of the audit process, SES recommends that shareholders vote AGAINST the resolution. Shareholders may seek clarification from the Audit Committee Chairperson on the nature on the relationship and why the Chairperson believes that such a relationship does not impact the independence of the Auditors.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Deloitte Haskins &amp; Sells LLP,Select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1">
            <w:altChunkPr>
              <w:matchSrc/>
            </w:altChunkPr>
          </w:altChunk>
          <w:p/>
        </w:tc>
        <w:tc>
          <w:tcPr>
            <w:tcW w:w="9000" w:type="dxa"/>
            <w:vAlign w:val="top"/>
          </w:tcPr>
          <w:altChunk xmlns:r="http://schemas.openxmlformats.org/officeDocument/2006/relationships" xmlns:w="http://schemas.openxmlformats.org/wordprocessingml/2006/main" r:id="rDOCXId2">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Since the Auditors are guardians of integrity/ truthfulness of the Company's financial statements; any kind of relationship, howsoever remote, between the Company and the Auditors can cast a doubt on the independence and objectivity of the audit process. Therefore, SES discourages any relationship between the Auditors and the Company management such as non-audit work, unduly long tenure, relationship among the key people of the audit firm and the Company etc.</w:t>
      </w:r>
    </w:p>
    <w:p>
      <w:pPr>
        <w:widowControl w:val="on"/>
        <w:pBdr/>
        <w:spacing w:before="120" w:after="120" w:line="270" w:lineRule="auto"/>
        <w:ind w:left="0" w:right="0"/>
        <w:jc w:val="both"/>
      </w:pPr>
      <w:r>
        <w:rPr>
          <w:color w:val="000000"/>
          <w:sz w:val="20"/>
          <w:szCs w:val="20"/>
        </w:rPr>
        <w:t xml:space="preserve">Not added (AGAINST Recommendation)</w:t>
      </w:r>
    </w:p>
    <w:sectPr xmlns:w="http://schemas.openxmlformats.org/wordprocessingml/2006/main" w:rsidR="00AC197E" w:rsidRPr="00DF064E" w:rsidSect="000F6147">
      <w:footerReference xmlns:r="http://schemas.openxmlformats.org/officeDocument/2006/relationships" w:type="even" r:id="rId6496558ee9986af02"/>
      <w:footerReference xmlns:r="http://schemas.openxmlformats.org/officeDocument/2006/relationships" w:type="default" r:id="rId2308558ee9986ae66"/>
      <w:headerReference xmlns:r="http://schemas.openxmlformats.org/officeDocument/2006/relationships" w:type="even" r:id="rId3991558ee9986a495"/>
      <w:headerReference xmlns:r="http://schemas.openxmlformats.org/officeDocument/2006/relationships" w:type="default" r:id="rId7596558ee9986a3e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87777105"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304615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7254560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304615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687777105"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5304615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72545602"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304615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907076">
    <w:multiLevelType w:val="hybridMultilevel"/>
    <w:lvl w:ilvl="0" w:tplc="58117629">
      <w:start w:val="1"/>
      <w:numFmt w:val="decimal"/>
      <w:lvlText w:val="%1."/>
      <w:lvlJc w:val="left"/>
      <w:pPr>
        <w:ind w:left="720" w:hanging="360"/>
      </w:pPr>
    </w:lvl>
    <w:lvl w:ilvl="1" w:tplc="58117629" w:tentative="1">
      <w:start w:val="1"/>
      <w:numFmt w:val="lowerLetter"/>
      <w:lvlText w:val="%2."/>
      <w:lvlJc w:val="left"/>
      <w:pPr>
        <w:ind w:left="1440" w:hanging="360"/>
      </w:pPr>
    </w:lvl>
    <w:lvl w:ilvl="2" w:tplc="58117629" w:tentative="1">
      <w:start w:val="1"/>
      <w:numFmt w:val="lowerRoman"/>
      <w:lvlText w:val="%3."/>
      <w:lvlJc w:val="right"/>
      <w:pPr>
        <w:ind w:left="2160" w:hanging="180"/>
      </w:pPr>
    </w:lvl>
    <w:lvl w:ilvl="3" w:tplc="58117629" w:tentative="1">
      <w:start w:val="1"/>
      <w:numFmt w:val="decimal"/>
      <w:lvlText w:val="%4."/>
      <w:lvlJc w:val="left"/>
      <w:pPr>
        <w:ind w:left="2880" w:hanging="360"/>
      </w:pPr>
    </w:lvl>
    <w:lvl w:ilvl="4" w:tplc="58117629" w:tentative="1">
      <w:start w:val="1"/>
      <w:numFmt w:val="lowerLetter"/>
      <w:lvlText w:val="%5."/>
      <w:lvlJc w:val="left"/>
      <w:pPr>
        <w:ind w:left="3600" w:hanging="360"/>
      </w:pPr>
    </w:lvl>
    <w:lvl w:ilvl="5" w:tplc="58117629" w:tentative="1">
      <w:start w:val="1"/>
      <w:numFmt w:val="lowerRoman"/>
      <w:lvlText w:val="%6."/>
      <w:lvlJc w:val="right"/>
      <w:pPr>
        <w:ind w:left="4320" w:hanging="180"/>
      </w:pPr>
    </w:lvl>
    <w:lvl w:ilvl="6" w:tplc="58117629" w:tentative="1">
      <w:start w:val="1"/>
      <w:numFmt w:val="decimal"/>
      <w:lvlText w:val="%7."/>
      <w:lvlJc w:val="left"/>
      <w:pPr>
        <w:ind w:left="5040" w:hanging="360"/>
      </w:pPr>
    </w:lvl>
    <w:lvl w:ilvl="7" w:tplc="58117629" w:tentative="1">
      <w:start w:val="1"/>
      <w:numFmt w:val="lowerLetter"/>
      <w:lvlText w:val="%8."/>
      <w:lvlJc w:val="left"/>
      <w:pPr>
        <w:ind w:left="5760" w:hanging="360"/>
      </w:pPr>
    </w:lvl>
    <w:lvl w:ilvl="8" w:tplc="58117629" w:tentative="1">
      <w:start w:val="1"/>
      <w:numFmt w:val="lowerRoman"/>
      <w:lvlText w:val="%9."/>
      <w:lvlJc w:val="right"/>
      <w:pPr>
        <w:ind w:left="6480" w:hanging="180"/>
      </w:pPr>
    </w:lvl>
  </w:abstractNum>
  <w:abstractNum w:abstractNumId="28907075">
    <w:multiLevelType w:val="hybridMultilevel"/>
    <w:lvl w:ilvl="0" w:tplc="937255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8907075">
    <w:abstractNumId w:val="28907075"/>
  </w:num>
  <w:num w:numId="28907076">
    <w:abstractNumId w:val="2890707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53046151" Type="http://schemas.openxmlformats.org/officeDocument/2006/relationships/image" Target="media/imgrId53046151.png" /></Relationships>
</file>

<file path=word/_rels/defaultHeader.xml.rels><?xml version="1.0" encoding="UTF-8" standalone="yes" ?><Relationships xmlns="http://schemas.openxmlformats.org/package/2006/relationships"><Relationship Id="rId53046150" Type="http://schemas.openxmlformats.org/officeDocument/2006/relationships/image" Target="media/imgrId53046150.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596558ee9986a3e9" Type="http://schemas.openxmlformats.org/officeDocument/2006/relationships/header" Target="defaultHeader.xml"/><Relationship Id="rId3991558ee9986a495" Type="http://schemas.openxmlformats.org/officeDocument/2006/relationships/header" Target="evenHeader.xml"/><Relationship Id="rId2308558ee9986ae66" Type="http://schemas.openxmlformats.org/officeDocument/2006/relationships/footer" Target="defaultFooter.xml"/><Relationship Id="rId6496558ee9986af02"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53046151" Type="http://schemas.openxmlformats.org/officeDocument/2006/relationships/image" Target="media/imgrId53046151.png" /></Relationships>
</file>

<file path=word/_rels/evenHeader.xml.rels><?xml version="1.0" encoding="UTF-8" standalone="yes" ?><Relationships xmlns="http://schemas.openxmlformats.org/package/2006/relationships"><Relationship Id="rId53046150" Type="http://schemas.openxmlformats.org/officeDocument/2006/relationships/image" Target="media/imgrId53046150.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