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defaultHeader.xml" ContentType="application/vnd.openxmlformats-officedocument.wordprocessingml.header+xml"/>
  <Override PartName="/word/evenHeader.xml" ContentType="application/vnd.openxmlformats-officedocument.wordprocessingml.header+xml"/>
  <Override PartName="/word/defaultFooter.xml" ContentType="application/vnd.openxmlformats-officedocument.wordprocessingml.footer+xml"/>
  <Override PartName="/word/evenFooter.xml" ContentType="application/vnd.openxmlformats-officedocument.wordprocessingml.footer+xml"/>
  <Default Extension="zip" ContentType="application/vnd.openxmlformats-officedocument.wordprocessingml.document.main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id="_x0000_s100813" type="#_x0000_t202" style="position:absolute;mso-position-horizontal:right;width:260pt;height:40pt;z-index:155759466;v-text-anchor:center;" fillcolor="#EB641B" stroked="false">
            <v:textbox inset="2mm,3mm,2.5mm,1.3mm">
              <w:txbxContent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rFonts w:ascii="Cambria" w:hAnsi="Cambria" w:eastAsia="Cambria" w:cs="Cambria"/>
                      <w:color w:val="FFFFFF"/>
                      <w:sz w:val="40"/>
                      <w:szCs w:val="40"/>
                    </w:rPr>
                    <w:t xml:space="preserve">SES R</w:t>
                  </w:r>
                  <w:r>
                    <w:rPr>
                      <w:rFonts w:ascii="Cambria" w:hAnsi="Cambria" w:eastAsia="Cambria" w:cs="Cambria"/>
                      <w:color w:val="FFFFFF"/>
                      <w:sz w:val="36"/>
                      <w:szCs w:val="36"/>
                    </w:rPr>
                    <w:t xml:space="preserve">ECOMMENDATIONS</w:t>
                  </w:r>
                </w:p>
              </w:txbxContent>
            </v:textbox>
            <w10:wrap type="square"/>
          </v:shape>
        </w:pict>
      </w:r>
    </w:p>
    <w:p>
      <w:pPr>
        <w:widowControl w:val="on"/>
        <w:pBdr/>
        <w:spacing w:before="240" w:after="240" w:line="240" w:lineRule="auto"/>
        <w:ind w:left="0" w:right="0"/>
        <w:jc w:val="left"/>
      </w:pPr>
    </w:p>
    <w:tbl>
      <w:tblPr>
        <w:tblStyle w:val="NormalTablePHPDOCX"/>
        <w:tblW w:w="5000" w:type="pct"/>
        <w:tblInd w:w="-1.5" w:type="dxa"/>
        <w:tblBorders/>
      </w:tblPr>
      <w:tblGrid>
        <w:gridCol/>
        <w:gridCol/>
        <w:gridCol/>
        <w:gridCol/>
        <w:gridCol/>
        <w:gridCol/>
        <w:gridCol/>
        <w:gridCol/>
      </w:tblGrid>
      <w:tr>
        <w:trPr>
          <w:trHeight w:val="0" w:hRule="atLeast"/>
        </w:trPr>
        <w:tc>
          <w:tcPr>
            <w:gridSpan w:val="8"/>
            <w:tcBorders>
              <w:top w:val="single" w:color="000000" w:sz="5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position w:val="-3"/>
                <w:sz w:val="26"/>
                <w:szCs w:val="26"/>
              </w:rPr>
              <w:t xml:space="preserve">1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 - </w:t>
            </w:r>
            <w:r>
              <w:rPr>
                <w:b/>
                <w:bCs/>
                <w:color w:val="000000"/>
                <w:position w:val="-3"/>
                <w:sz w:val="26"/>
                <w:szCs w:val="26"/>
              </w:rPr>
              <w:t xml:space="preserve">A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GENDA </w:t>
            </w:r>
            <w:r>
              <w:rPr>
                <w:b/>
                <w:bCs/>
                <w:color w:val="000000"/>
                <w:position w:val="-3"/>
                <w:sz w:val="26"/>
                <w:szCs w:val="26"/>
              </w:rPr>
              <w:t xml:space="preserve">I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TEMS </w:t>
            </w:r>
            <w:r>
              <w:rPr>
                <w:b/>
                <w:bCs/>
                <w:color w:val="000000"/>
                <w:position w:val="-3"/>
                <w:sz w:val="26"/>
                <w:szCs w:val="26"/>
              </w:rPr>
              <w:t xml:space="preserve">A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ND </w:t>
            </w:r>
            <w:r>
              <w:rPr>
                <w:b/>
                <w:bCs/>
                <w:color w:val="000000"/>
                <w:position w:val="-3"/>
                <w:sz w:val="26"/>
                <w:szCs w:val="26"/>
              </w:rPr>
              <w:t xml:space="preserve">R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ECOMMENDATIONS</w:t>
            </w:r>
          </w:p>
        </w:tc>
      </w:tr>
      <w:tr>
        <w:trPr>
          <w:trHeight w:val="0" w:hRule="atLeast"/>
        </w:trPr>
        <w:tc>
          <w:tcPr>
            <w:gridSpan w:val="8"/>
            <w:tcBorders>
              <w:top w:val="single" w:color="000000" w:sz="5"/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1"/>
                <w:sz w:val="10"/>
                <w:szCs w:val="10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S. No.</w:t>
            </w:r>
          </w:p>
        </w:tc>
        <w:tc>
          <w:tcPr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Resolution</w:t>
            </w:r>
          </w:p>
        </w:tc>
        <w:tc>
          <w:tcPr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Type</w:t>
            </w:r>
          </w:p>
        </w:tc>
        <w:tc>
          <w:tcPr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Recommendation</w:t>
            </w:r>
          </w:p>
        </w:tc>
        <w:tc>
          <w:tcPr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Focus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Ress 1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S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FOR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0000"/>
                <w:position w:val="-3"/>
                <w:sz w:val="20"/>
                <w:szCs w:val="20"/>
                <w:shd w:val="clear" w:color="auto" w:fill="F2F2F2"/>
              </w:rPr>
              <w:t xml:space="preserve">C</w:t>
            </w:r>
          </w:p>
        </w:tc>
      </w:tr>
      <w:tr>
        <w:trPr>
          <w:trHeight w:val="0" w:hRule="atLeast"/>
        </w:trPr>
        <w:tc>
          <w:tcPr>
            <w:gridSpan w:val="5"/>
            <w:tcBorders>
              <w:bottom w:val="single" w:color="000000" w:sz="1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i/>
                <w:iCs/>
                <w:color w:val="000000"/>
                <w:position w:val="-2"/>
                <w:sz w:val="17"/>
                <w:szCs w:val="17"/>
              </w:rPr>
              <w:t xml:space="preserve">O - Ordinary Resolution; S - Special Resolution</w:t>
            </w:r>
          </w:p>
        </w:tc>
      </w:tr>
      <w:tr>
        <w:trPr>
          <w:trHeight w:val="0" w:hRule="atLeast"/>
        </w:trPr>
        <w:tc>
          <w:tcPr>
            <w:gridSpan w:val="5"/>
            <w:tcBorders>
              <w:bottom w:val="single" w:color="000000" w:sz="1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6"/>
                <w:szCs w:val="26"/>
              </w:rPr>
              <w:t xml:space="preserve">R</w:t>
            </w:r>
            <w:r>
              <w:rPr>
                <w:color w:val="000000"/>
                <w:position w:val="-3"/>
                <w:sz w:val="24"/>
                <w:szCs w:val="24"/>
              </w:rPr>
              <w:t xml:space="preserve">ESEARCH </w:t>
            </w:r>
            <w:r>
              <w:rPr>
                <w:color w:val="000000"/>
                <w:position w:val="-3"/>
                <w:sz w:val="26"/>
                <w:szCs w:val="26"/>
              </w:rPr>
              <w:t xml:space="preserve">A</w:t>
            </w:r>
            <w:r>
              <w:rPr>
                <w:color w:val="000000"/>
                <w:position w:val="-3"/>
                <w:sz w:val="24"/>
                <w:szCs w:val="24"/>
              </w:rPr>
              <w:t xml:space="preserve">NALYST:</w:t>
            </w:r>
          </w:p>
        </w:tc>
      </w:tr>
    </w:tbl>
    <w:p>
      <w:pPr>
        <w:widowControl w:val="on"/>
        <w:pBdr/>
        <w:spacing w:before="100" w:after="100" w:line="240" w:lineRule="auto"/>
        <w:ind w:left="0" w:right="0"/>
        <w:jc w:val="left"/>
      </w:pPr>
      <w:r>
        <w:rPr>
          <w:color w:val="000000"/>
          <w:sz w:val="10"/>
          <w:szCs w:val="10"/>
        </w:rPr>
        <w:t xml:space="preserve"> </w:t>
      </w:r>
    </w:p>
    <w:p>
      <w:pPr>
        <w:widowControl w:val="on"/>
        <w:pBdr/>
        <w:spacing w:before="75" w:after="0" w:line="240" w:lineRule="auto"/>
        <w:ind w:left="0" w:right="0"/>
        <w:jc w:val="left"/>
      </w:pPr>
      <w:r>
        <w:rPr>
          <w:b/>
          <w:bCs/>
          <w:i/>
          <w:iCs/>
          <w:color w:val="000000"/>
          <w:sz w:val="18"/>
          <w:szCs w:val="18"/>
        </w:rPr>
        <w:t xml:space="preserve">#Focus Terminology</w:t>
      </w:r>
    </w:p>
    <w:p>
      <w:pPr>
        <w:widowControl w:val="on"/>
        <w:pBdr/>
        <w:spacing w:before="0" w:after="0" w:line="240" w:lineRule="auto"/>
        <w:ind w:left="0" w:right="0"/>
        <w:jc w:val="both"/>
      </w:pPr>
      <w:r>
        <w:rPr>
          <w:b/>
          <w:bCs/>
          <w:i/>
          <w:iCs/>
          <w:color w:val="000000"/>
          <w:sz w:val="18"/>
          <w:szCs w:val="18"/>
        </w:rPr>
        <w:t xml:space="preserve">C - Compliance: </w:t>
      </w:r>
      <w:r>
        <w:rPr>
          <w:i/>
          <w:iCs/>
          <w:color w:val="000000"/>
          <w:sz w:val="18"/>
          <w:szCs w:val="18"/>
        </w:rPr>
        <w:t xml:space="preserve">The Company has not met statutory compliance requirements</w:t>
      </w:r>
    </w:p>
    <w:p>
      <w:pPr>
        <w:widowControl w:val="on"/>
        <w:pBdr/>
        <w:spacing w:before="0" w:after="0" w:line="240" w:lineRule="auto"/>
        <w:ind w:left="0" w:right="0"/>
        <w:jc w:val="both"/>
      </w:pPr>
      <w:r>
        <w:rPr>
          <w:b/>
          <w:bCs/>
          <w:i/>
          <w:iCs/>
          <w:color w:val="000000"/>
          <w:sz w:val="18"/>
          <w:szCs w:val="18"/>
        </w:rPr>
        <w:t xml:space="preserve">F - Fairness: </w:t>
      </w:r>
      <w:r>
        <w:rPr>
          <w:i/>
          <w:iCs/>
          <w:color w:val="000000"/>
          <w:sz w:val="18"/>
          <w:szCs w:val="18"/>
        </w:rPr>
        <w:t xml:space="preserve">The Company has proposed steps which may lead to undue advantage of a particular class of shareholders and can have adverse impact on non-controlling shareholders including minority shareholders</w:t>
      </w:r>
    </w:p>
    <w:p>
      <w:pPr>
        <w:widowControl w:val="on"/>
        <w:pBdr/>
        <w:spacing w:before="0" w:after="0" w:line="240" w:lineRule="auto"/>
        <w:ind w:left="0" w:right="0"/>
        <w:jc w:val="both"/>
      </w:pPr>
      <w:r>
        <w:rPr>
          <w:b/>
          <w:bCs/>
          <w:i/>
          <w:iCs/>
          <w:color w:val="000000"/>
          <w:sz w:val="18"/>
          <w:szCs w:val="18"/>
        </w:rPr>
        <w:t xml:space="preserve">G - Governance: </w:t>
      </w:r>
      <w:r>
        <w:rPr>
          <w:i/>
          <w:iCs/>
          <w:color w:val="000000"/>
          <w:sz w:val="18"/>
          <w:szCs w:val="18"/>
        </w:rPr>
        <w:t xml:space="preserve">SES questions the governance practices of the Company. The Company may have complied with the statutory requirements in letter. However, SES finds governance issues as per its standards.</w:t>
      </w:r>
    </w:p>
    <w:p>
      <w:pPr>
        <w:widowControl w:val="on"/>
        <w:pBdr/>
        <w:spacing w:before="0" w:after="0" w:line="240" w:lineRule="auto"/>
        <w:ind w:left="0" w:right="0"/>
        <w:jc w:val="both"/>
      </w:pPr>
      <w:r>
        <w:rPr>
          <w:b/>
          <w:bCs/>
          <w:i/>
          <w:iCs/>
          <w:color w:val="000000"/>
          <w:sz w:val="18"/>
          <w:szCs w:val="18"/>
        </w:rPr>
        <w:t xml:space="preserve">T - Disclosures &amp; Transparency: </w:t>
      </w:r>
      <w:r>
        <w:rPr>
          <w:i/>
          <w:iCs/>
          <w:color w:val="000000"/>
          <w:sz w:val="18"/>
          <w:szCs w:val="18"/>
        </w:rPr>
        <w:t xml:space="preserve">The Company has not made adequate disclosures necessary for shareholders to make an informed decision. The Company has intentionally or unintentionally kept the shareholders in dark.</w:t>
      </w:r>
    </w:p>
    <w:p>
      <w:r>
        <w:br w:type="page"/>
      </w:r>
    </w:p>
    <w:p>
      <w:r>
        <w:pict>
          <v:shape id="_x0000_s163242" type="#_x0000_t202" style="position:absolute;mso-position-horizontal:right;width:260pt;height:40pt;z-index:279344638;v-text-anchor:center;" fillcolor="#EB641B" stroked="false">
            <v:textbox inset="2mm,3mm,2.5mm,1.3mm">
              <w:txbxContent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center"/>
                  </w:pPr>
                  <w:r>
                    <w:rPr>
                      <w:rFonts w:ascii="Cambria" w:hAnsi="Cambria" w:eastAsia="Cambria" w:cs="Cambria"/>
                      <w:color w:val="FFFFFF"/>
                      <w:sz w:val="40"/>
                      <w:szCs w:val="40"/>
                    </w:rPr>
                    <w:t xml:space="preserve">C</w:t>
                  </w:r>
                  <w:r>
                    <w:rPr>
                      <w:rFonts w:ascii="Cambria" w:hAnsi="Cambria" w:eastAsia="Cambria" w:cs="Cambria"/>
                      <w:color w:val="FFFFFF"/>
                      <w:sz w:val="36"/>
                      <w:szCs w:val="36"/>
                    </w:rPr>
                    <w:t xml:space="preserve">OMPANY </w:t>
                  </w:r>
                  <w:r>
                    <w:rPr>
                      <w:rFonts w:ascii="Cambria" w:hAnsi="Cambria" w:eastAsia="Cambria" w:cs="Cambria"/>
                      <w:color w:val="FFFFFF"/>
                      <w:sz w:val="40"/>
                      <w:szCs w:val="40"/>
                    </w:rPr>
                    <w:t xml:space="preserve">B</w:t>
                  </w:r>
                  <w:r>
                    <w:rPr>
                      <w:rFonts w:ascii="Cambria" w:hAnsi="Cambria" w:eastAsia="Cambria" w:cs="Cambria"/>
                      <w:color w:val="FFFFFF"/>
                      <w:sz w:val="36"/>
                      <w:szCs w:val="36"/>
                    </w:rPr>
                    <w:t xml:space="preserve">ACKGROUND</w:t>
                  </w:r>
                </w:p>
              </w:txbxContent>
            </v:textbox>
            <w10:wrap type="square"/>
          </v:shape>
        </w:pict>
      </w:r>
    </w:p>
    <w:p>
      <w:pPr>
        <w:widowControl w:val="on"/>
        <w:pBdr/>
        <w:spacing w:before="240" w:after="240" w:line="240" w:lineRule="auto"/>
        <w:ind w:left="0" w:right="0"/>
        <w:jc w:val="left"/>
      </w:pPr>
    </w:p>
    <w:tbl>
      <w:tblPr>
        <w:tblStyle w:val="NormalTablePHPDOCX"/>
        <w:tblW w:w="5000" w:type="pct"/>
        <w:tblInd w:w="-1.5" w:type="dxa"/>
        <w:tblBorders/>
      </w:tblPr>
      <w:tblGrid>
        <w:gridCol/>
        <w:gridCol/>
        <w:gridCol/>
        <w:gridCol/>
        <w:gridCol/>
        <w:gridCol/>
        <w:gridCol/>
        <w:gridCol/>
      </w:tblGrid>
      <w:tr>
        <w:trPr>
          <w:trHeight w:val="0" w:hRule="atLeast"/>
        </w:trPr>
        <w:tc>
          <w:tcPr>
            <w:gridSpan w:val="8"/>
            <w:tcBorders>
              <w:top w:val="single" w:color="000000" w:sz="10"/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TABLE 2 - MARKET DATA (</w:t>
            </w:r>
            <w:r>
              <w:rPr>
                <w:i/>
                <w:iCs/>
                <w:color w:val="000000"/>
                <w:position w:val="-2"/>
                <w:sz w:val="18"/>
                <w:szCs w:val="18"/>
              </w:rPr>
              <w:t xml:space="preserve">As on []</w:t>
            </w:r>
            <w:r>
              <w:rPr>
                <w:color w:val="000000"/>
                <w:position w:val="-3"/>
                <w:sz w:val="20"/>
                <w:szCs w:val="20"/>
              </w:rPr>
              <w:t xml:space="preserve">)</w:t>
            </w:r>
          </w:p>
        </w:tc>
      </w:tr>
      <w:tr>
        <w:trPr>
          <w:trHeight w:val="0" w:hRule="atLeast"/>
        </w:trPr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Price (</w:t>
            </w:r>
            <w:r>
              <w:rPr>
                <w:rFonts w:ascii="Rupee Foradian" w:hAnsi="Rupee Foradian" w:eastAsia="Rupee Foradian" w:cs="Rupee Foradian"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`</w:t>
            </w: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)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12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M Cap (</w:t>
            </w:r>
            <w:r>
              <w:rPr>
                <w:rFonts w:ascii="Rupee Foradian" w:hAnsi="Rupee Foradian" w:eastAsia="Rupee Foradian" w:cs="Rupee Foradian"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`</w:t>
            </w: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 Cr.)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12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Shares*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12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PE Ratio"</w:t>
            </w:r>
          </w:p>
        </w:tc>
        <w:tc>
          <w:tcPr>
            <w:tcBorders>
              <w:bottom w:val="single" w:color="000000" w:sz="10"/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12</w:t>
            </w:r>
          </w:p>
        </w:tc>
      </w:tr>
    </w:tbl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tbl>
      <w:tblPr>
        <w:tblStyle w:val="NormalTablePHPDOCX"/>
        <w:tblW w:w="5000" w:type="pct"/>
        <w:tblInd w:w="-1.5" w:type="dxa"/>
        <w:tblBorders/>
      </w:tblPr>
      <w:tblGrid>
        <w:gridCol/>
        <w:gridCol/>
        <w:gridCol/>
        <w:gridCol/>
        <w:gridCol/>
        <w:gridCol/>
        <w:gridCol/>
        <w:gridCol/>
      </w:tblGrid>
      <w:tr>
        <w:trPr>
          <w:trHeight w:val="0" w:hRule="atLeast"/>
        </w:trPr>
        <w:tc>
          <w:tcPr>
            <w:gridSpan w:val="4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i/>
                <w:iCs/>
                <w:color w:val="000000"/>
                <w:position w:val="-2"/>
                <w:sz w:val="16"/>
                <w:szCs w:val="16"/>
              </w:rPr>
              <w:t xml:space="preserve">Standalone Data ; Source: Capitaline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2"/>
                <w:sz w:val="16"/>
                <w:szCs w:val="16"/>
              </w:rPr>
              <w:t xml:space="preserve">* As on [date]</w:t>
            </w:r>
          </w:p>
        </w:tc>
        <w:tc>
          <w:tcPr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2"/>
                <w:sz w:val="16"/>
                <w:szCs w:val="16"/>
              </w:rPr>
              <w:t xml:space="preserve">"Based on EPS for FY []</w:t>
            </w:r>
          </w:p>
        </w:tc>
      </w:tr>
      <w:tr>
        <w:trPr>
          <w:trHeight w:val="0" w:hRule="atLeast"/>
        </w:trPr>
        <w:tc>
          <w:tcPr>
            <w:gridSpan w:val="4"/>
            <w:tcBorders>
              <w:bottom w:val="single" w:color="000000" w:sz="10"/>
            </w:tcBorders>
            <w:tcMar>
              <w:top w:w="15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TABLE 3: FINANCIAL INDICATORS (STANDALONE)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TABLE 4: PEER COMPARISON (2015)</w:t>
            </w:r>
          </w:p>
        </w:tc>
      </w:tr>
      <w:tr>
        <w:trPr>
          <w:trHeight w:val="0" w:hRule="atLeast"/>
        </w:trPr>
        <w:tc>
          <w:tcPr>
            <w:tcW w:w="1275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(In </w:t>
            </w:r>
            <w:r>
              <w:rPr>
                <w:rFonts w:ascii="Rupee Foradian" w:hAnsi="Rupee Foradian" w:eastAsia="Rupee Foradian" w:cs="Rupee Foradian"/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`</w:t>
            </w: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 Crores)</w:t>
            </w:r>
          </w:p>
        </w:tc>
        <w:tc>
          <w:tcPr>
            <w:tcW w:w="500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2015</w:t>
            </w:r>
          </w:p>
        </w:tc>
        <w:tc>
          <w:tcPr>
            <w:tcW w:w="500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2014</w:t>
            </w:r>
          </w:p>
        </w:tc>
        <w:tc>
          <w:tcPr>
            <w:tcW w:w="500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2013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100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Tribhovandas Bhimji Zaveri Ltd</w:t>
            </w:r>
          </w:p>
        </w:tc>
        <w:tc>
          <w:tcPr>
            <w:tcW w:w="1100" w:type="pct"/>
            <w:tcBorders>
              <w:bottom w:val="single" w:color="000000" w:sz="10"/>
            </w:tcBorders>
            <w:shd w:val="clear" w:color="auto" w:fill="464646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center"/>
            </w:pPr>
            <w:r>
              <w:rPr>
                <w:b/>
                <w:bCs/>
                <w:color w:val="FFFFFF"/>
                <w:position w:val="-3"/>
                <w:sz w:val="20"/>
                <w:szCs w:val="20"/>
                <w:shd w:val="clear" w:color="auto" w:fill="464646"/>
              </w:rPr>
              <w:t xml:space="preserve">PC Jeweller Ltd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Revenue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11,903.21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10,915.79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10,112.67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1,934.20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6,348.52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Other Income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70.58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120.19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100.77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14.51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59.19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Total Income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11,973.79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11,035.98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10,213.44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1,948.71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6,407.71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PBDT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1,143.28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1,081.52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1,060.76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47.87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562.33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Net Profit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823.07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741.14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725.18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26.04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378.23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EPS (</w:t>
            </w:r>
            <w:r>
              <w:rPr>
                <w:rFonts w:ascii="Rupee Foradian" w:hAnsi="Rupee Foradian" w:eastAsia="Rupee Foradian" w:cs="Rupee Foradian"/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`</w:t>
            </w: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)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9.27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8.35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8.17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3.9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21.12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Dividend per share (</w:t>
            </w:r>
            <w:r>
              <w:rPr>
                <w:rFonts w:ascii="Rupee Foradian" w:hAnsi="Rupee Foradian" w:eastAsia="Rupee Foradian" w:cs="Rupee Foradian"/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`</w:t>
            </w: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)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2.3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2.1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2.1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3.2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Dividend Pay-Out (%)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28.84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29.23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29.88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29.80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17.61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OPM (%)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10.28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10.71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10.99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5.07</w:t>
            </w:r>
          </w:p>
        </w:tc>
        <w:tc>
          <w:tcPr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12.34</w:t>
            </w:r>
          </w:p>
        </w:tc>
      </w:tr>
      <w:tr>
        <w:trPr>
          <w:trHeight w:val="0" w:hRule="atLeast"/>
        </w:trPr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NPM (%)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6.91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6.79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7.17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1.37</w:t>
            </w:r>
          </w:p>
        </w:tc>
        <w:tc>
          <w:tcPr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5.96</w:t>
            </w:r>
          </w:p>
        </w:tc>
      </w:tr>
      <w:tr>
        <w:trPr>
          <w:trHeight w:val="0" w:hRule="atLeast"/>
        </w:trPr>
        <w:tc>
          <w:tcPr>
            <w:gridSpan w:val="4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i/>
                <w:iCs/>
                <w:color w:val="000000"/>
                <w:position w:val="-2"/>
                <w:sz w:val="16"/>
                <w:szCs w:val="16"/>
              </w:rPr>
              <w:t xml:space="preserve">Dividend pay-out includes Dividend Distribution Tax. Source: Capitaline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2"/>
                <w:sz w:val="16"/>
                <w:szCs w:val="16"/>
              </w:rPr>
              <w:t xml:space="preserve"> </w:t>
            </w:r>
          </w:p>
        </w:tc>
      </w:tr>
    </w:tbl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tbl>
      <w:tblPr>
        <w:tblStyle w:val="NormalTablePHPDOCX"/>
        <w:tblW w:w="5000" w:type="pct"/>
        <w:tblInd w:w="-1.5" w:type="dxa"/>
        <w:tblBorders/>
      </w:tblPr>
      <w:tblGrid>
        <w:gridCol/>
        <w:gridCol/>
        <w:gridCol/>
        <w:gridCol/>
        <w:gridCol/>
      </w:tblGrid>
      <w:tr>
        <w:trPr>
          <w:trHeight w:val="0" w:hRule="atLeast"/>
        </w:trPr>
        <w:tc>
          <w:tcPr>
            <w:tcW w:w="2775" w:type="pct"/>
            <w:gridSpan w:val="2"/>
            <w:tcBorders>
              <w:bottom w:val="single" w:color="000000" w:sz="10"/>
            </w:tcBorders>
            <w:tcMar>
              <w:top w:w="15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TABLE 5: MAJOR PUBLIC SHAREHOLDERS (JUN' 15)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2200" w:type="pct"/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TABLE 6: MAJOR PROMOTERS (JUN' 15)</w:t>
            </w:r>
          </w:p>
        </w:tc>
      </w:tr>
      <w:tr>
        <w:trPr>
          <w:trHeight w:val="0" w:hRule="atLeast"/>
        </w:trPr>
        <w:tc>
          <w:tcPr>
            <w:tcW w:w="2275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Jhunjhunwala Rakesh Radheshyam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5.66%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Tamilnadu Industrial Development Co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27.88%</w:t>
            </w:r>
          </w:p>
        </w:tc>
      </w:tr>
      <w:tr>
        <w:trPr>
          <w:trHeight w:val="0" w:hRule="atLeast"/>
        </w:trPr>
        <w:tc>
          <w:tcPr>
            <w:tcW w:w="225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Matthews Pacific Tiger Fund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3.09%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Tata Sons Ltd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15.22%</w:t>
            </w:r>
          </w:p>
        </w:tc>
      </w:tr>
      <w:tr>
        <w:trPr>
          <w:trHeight w:val="0" w:hRule="atLeast"/>
        </w:trPr>
        <w:tc>
          <w:tcPr>
            <w:tcW w:w="2275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Dendana Investments Mauritius Ltd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2.2%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Tata Steel Ltd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4.37%</w:t>
            </w:r>
          </w:p>
        </w:tc>
      </w:tr>
      <w:tr>
        <w:trPr>
          <w:trHeight w:val="0" w:hRule="atLeast"/>
        </w:trPr>
        <w:tc>
          <w:tcPr>
            <w:tcW w:w="225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National Westminster Bank PLC as De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1.72%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Tata Investment Corporation Ltd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1.94%</w:t>
            </w:r>
          </w:p>
        </w:tc>
      </w:tr>
      <w:tr>
        <w:trPr>
          <w:trHeight w:val="0" w:hRule="atLeast"/>
        </w:trPr>
        <w:tc>
          <w:tcPr>
            <w:tcW w:w="2275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Jhunjhunwala Rekha Rakesh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1.67%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Tata Chemicals Ltd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1.56%</w:t>
            </w:r>
          </w:p>
        </w:tc>
      </w:tr>
      <w:tr>
        <w:trPr>
          <w:trHeight w:val="0" w:hRule="atLeast"/>
        </w:trPr>
        <w:tc>
          <w:tcPr>
            <w:tcW w:w="225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Copthall Mauritius Investment Ltd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1.53%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Tata Global Beverage Ltd</w:t>
            </w:r>
          </w:p>
        </w:tc>
        <w:tc>
          <w:tcPr>
            <w:tcW w:w="500" w:type="pct"/>
            <w:shd w:val="clear" w:color="auto" w:fill="D9D9D9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D9D9D9"/>
              </w:rPr>
              <w:t xml:space="preserve">1.04%</w:t>
            </w:r>
          </w:p>
        </w:tc>
      </w:tr>
      <w:tr>
        <w:trPr>
          <w:trHeight w:val="0" w:hRule="atLeast"/>
        </w:trPr>
        <w:tc>
          <w:tcPr>
            <w:tcW w:w="2275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 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 </w:t>
            </w:r>
          </w:p>
        </w:tc>
        <w:tc>
          <w:tcPr>
            <w:tcW w:w="25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tcW w:w="1700" w:type="pct"/>
            <w:tcBorders>
              <w:right w:val="single" w:color="FFFFFF" w:sz="5"/>
            </w:tcBorders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Ewart Investments Ltd</w:t>
            </w:r>
          </w:p>
        </w:tc>
        <w:tc>
          <w:tcPr>
            <w:tcW w:w="500" w:type="pct"/>
            <w:shd w:val="clear" w:color="auto" w:fill="F2F2F2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right"/>
            </w:pPr>
            <w:r>
              <w:rPr>
                <w:color w:val="000000"/>
                <w:position w:val="-3"/>
                <w:sz w:val="20"/>
                <w:szCs w:val="20"/>
                <w:shd w:val="clear" w:color="auto" w:fill="F2F2F2"/>
              </w:rPr>
              <w:t xml:space="preserve">0.56%</w:t>
            </w:r>
          </w:p>
        </w:tc>
      </w:tr>
      <w:tr>
        <w:trPr>
          <w:trHeight w:val="0" w:hRule="atLeast"/>
        </w:trPr>
        <w:tc>
          <w:tcPr>
            <w:gridSpan w:val="2"/>
            <w:tcBorders>
              <w:bottom w:val="single" w:color="000000" w:sz="10"/>
            </w:tcBorders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1"/>
                <w:sz w:val="4"/>
                <w:szCs w:val="4"/>
              </w:rPr>
              <w:t xml:space="preserve"> 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</w:t>
            </w:r>
          </w:p>
        </w:tc>
        <w:tc>
          <w:tcPr>
            <w:gridSpan w:val="2"/>
            <w:tcBorders>
              <w:bottom w:val="single" w:color="000000" w:sz="10"/>
            </w:tcBorders>
            <w:tcMar>
              <w:top w:w="0" w:type="auto"/>
              <w:bottom w:w="0" w:type="auto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1"/>
                <w:sz w:val="4"/>
                <w:szCs w:val="4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SHAREHOLDING PATTERN (%) (JUNE)</w:t>
            </w:r>
          </w:p>
        </w:tc>
        <w:tc>
          <w:tcPr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  </w:t>
            </w:r>
          </w:p>
        </w:tc>
        <w:tc>
          <w:tcPr>
            <w:gridSpan w:val="2"/>
            <w:tcBorders>
              <w:bottom w:val="single" w:color="000000" w:sz="10"/>
            </w:tcBorders>
            <w:tcMar>
              <w:top w:w="30" w:type="dxa"/>
              <w:bottom w:w="30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0"/>
                <w:szCs w:val="20"/>
              </w:rPr>
              <w:t xml:space="preserve">DISCUSSION</w:t>
            </w:r>
          </w:p>
        </w:tc>
      </w:tr>
    </w:tbl>
    <w:p>
      <w:pPr>
        <w:widowControl w:val="on"/>
        <w:pBdr/>
        <w:spacing w:before="20" w:after="20" w:line="240" w:lineRule="auto"/>
        <w:ind w:left="0" w:right="0"/>
        <w:jc w:val="left"/>
      </w:pPr>
      <w:r>
        <w:rPr>
          <w:color w:val="000000"/>
          <w:sz w:val="2"/>
          <w:szCs w:val="2"/>
        </w:rPr>
        <w:t xml:space="preserve"> </w:t>
      </w:r>
    </w:p>
    <w:tbl>
      <w:tblPr>
        <w:tblStyle w:val="TableGridPHPDOCX"/>
        <w:tblOverlap w:val="never"/>
        <w:tblW w:w="0" w:type="auto"/>
        <w:tblBorders>
          <w:top w:val="nil" w:sz="6" w:space="0" w:color="auto"/>
          <w:left w:val="nil" w:sz="6" w:space="0" w:color="auto"/>
          <w:bottom w:val="nil" w:sz="6" w:space="0" w:color="auto"/>
          <w:right w:val="nil" w:sz="6" w:space="0" w:color="auto"/>
          <w:insideH w:val="nil" w:sz="6" w:space="0" w:color="auto"/>
          <w:insideV w:val="nil" w:sz="6" w:space="0" w:color="auto"/>
        </w:tblBorders>
      </w:tblPr>
      <w:tblGrid>
        <w:gridCol w:w="5500"/>
        <w:gridCol w:w="323"/>
        <w:gridCol w:w="4295"/>
      </w:tblGrid>
      <w:tr>
        <w:trPr/>
        <w:tc>
          <w:tcPr>
            <w:tcW w:w="5500" w:type="dxa"/>
            <w:vAlign w:val="center"/>
          </w:tcPr>
          <w:altChunk xmlns:r="http://schemas.openxmlformats.org/officeDocument/2006/relationships" xmlns:w="http://schemas.openxmlformats.org/wordprocessingml/2006/main" r:id="rDOCXId1">
            <w:altChunkPr>
              <w:matchSrc/>
            </w:altChunkPr>
          </w:altChunk>
          <w:p/>
        </w:tc>
        <w:tc>
          <w:tcPr>
            <w:tcW w:w="323" w:type="dxa"/>
            <w:vAlign w:val="center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tcW w:w="4295" w:type="dxa"/>
            <w:vAlign w:val="top"/>
          </w:tcPr>
          <w:p>
            <w:pPr>
              <w:widowControl w:val="on"/>
              <w:pBdr/>
              <w:spacing w:before="120" w:after="120" w:line="270" w:lineRule="auto"/>
              <w:ind w:left="0" w:right="0"/>
              <w:jc w:val="both"/>
            </w:pPr>
            <w:r>
              <w:rPr>
                <w:color w:val="000000"/>
                <w:sz w:val="20"/>
                <w:szCs w:val="20"/>
              </w:rPr>
              <w:t xml:space="preserve">Discussion</w:t>
            </w:r>
          </w:p>
        </w:tc>
      </w:tr>
    </w:tbl>
    <w:sectPr xmlns:w="http://schemas.openxmlformats.org/wordprocessingml/2006/main" w:rsidR="00AC197E" w:rsidRPr="00DF064E" w:rsidSect="000F6147">
      <w:footerReference xmlns:r="http://schemas.openxmlformats.org/officeDocument/2006/relationships" w:type="even" r:id="rId933855ae22baa9ef2"/>
      <w:footerReference xmlns:r="http://schemas.openxmlformats.org/officeDocument/2006/relationships" w:type="default" r:id="rId491255ae22baa9e3d"/>
      <w:headerReference xmlns:r="http://schemas.openxmlformats.org/officeDocument/2006/relationships" w:type="even" r:id="rId225955ae22baa96d6"/>
      <w:headerReference xmlns:r="http://schemas.openxmlformats.org/officeDocument/2006/relationships" w:type="default" r:id="rId685855ae22baa95bd"/>
      <w:pgSz w:w="11906" w:h="16838" w:orient="portrait" w:code="9"/>
      <w:pgMar w:top="1417" w:right="1000" w:bottom="1417" w:left="1000" w:header="200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solid" w:sz="4" w:space="0" w:color="cccccc"/>
        <w:left w:val="solid" w:sz="4" w:space="0" w:color="cccccc"/>
        <w:bottom w:val="solid" w:sz="4" w:space="0" w:color="cccccc"/>
        <w:right w:val="solid" w:sz="4" w:space="0" w:color="cccccc"/>
        <w:insideH w:val="solid" w:sz="4" w:space="0" w:color="cccccc"/>
        <w:insideV w:val="solid" w:sz="4" w:space="0" w:color="cccccc"/>
      </w:tblBorders>
    </w:tblPr>
    <w:tblGrid>
      <w:gridCol w:w="700"/>
      <w:gridCol w:w="11000"/>
      <w:gridCol w:w="2500"/>
      <w:gridCol w:w="2000"/>
    </w:tblGrid>
    <w:tr>
      <w:trPr/>
      <w:tc>
        <w:tcPr>
          <w:tcW w:w="700" w:type="dxa"/>
          <w:tcBorders>
            <w:top w:val="single" w:color="000000" w:sz="6" w:space="0"/>
          </w:tcBorders>
          <w:vAlign w:val="center"/>
        </w:tcPr>
        <w:p>
          <w:r>
            <w:rPr>
              <w:noProof/>
            </w:rPr>
            <w:drawing>
              <wp:inline distT="0" distB="0" distL="0" distR="0">
                <wp:extent cx="571500" cy="508000"/>
                <wp:effectExtent l="0" t="0" r="0" b="0"/>
                <wp:docPr id="897490137" name="0 Imagen" descr="footer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logo.png"/>
                        <pic:cNvPicPr/>
                      </pic:nvPicPr>
                      <pic:blipFill>
                        <a:blip r:embed="rId1058087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00" w:type="dxa"/>
          <w:tcBorders>
            <w:top w:val="single" w:color="000000" w:sz="6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© 2012 | Stakeholders Empowerment Services | All Rights Reserved</w:t>
          </w:r>
        </w:p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Report Release Date: </w:t>
          </w:r>
        </w:p>
      </w:tc>
      <w:tc>
        <w:tcPr>
          <w:tcW w:w="2500" w:type="dxa"/>
          <w:tcBorders>
            <w:top w:val="single" w:color="000000" w:sz="6" w:space="0"/>
          </w:tcBorders>
          <w:vAlign w:val="center"/>
        </w:tcPr>
        <w:p>
          <w:pPr>
            <w:jc w:val="right"/>
            <w:rPr>
              <w:sz w:val="20"/>
              <w:szCs w:val="20"/>
            </w:rPr>
          </w:pPr>
          <w:fldSimple w:instr="PAGE \* MERGEFORMAT">
            <w:r>
              <w:rPr>
                <w:sz w:val="20"/>
                <w:szCs w:val="20"/>
              </w:rPr>
              <w:t xml:space="preserve">1</w:t>
            </w:r>
          </w:fldSimple>
        </w:p>
      </w:tc>
      <w:tc>
        <w:tcPr>
          <w:tcW w:w="2000" w:type="dxa"/>
          <w:tcBorders>
            <w:top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rPr/>
          </w:pPr>
          <w:r>
            <w:rPr/>
            <w:t xml:space="preserve">| PAGE</w:t>
          </w:r>
        </w:p>
      </w:tc>
    </w:tr>
  </w:tbl>
</w:ftr>
</file>

<file path=word/default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nil" w:sz="8" w:space="0" w:color="cccccc"/>
        <w:left w:val="nil" w:sz="8" w:space="0" w:color="cccccc"/>
        <w:bottom w:val="nil" w:sz="8" w:space="0" w:color="cccccc"/>
        <w:right w:val="nil" w:sz="8" w:space="0" w:color="cccccc"/>
        <w:insideH w:val="nil" w:sz="8" w:space="0" w:color="cccccc"/>
        <w:insideV w:val="nil" w:sz="8" w:space="0" w:color="cccccc"/>
      </w:tblBorders>
    </w:tblPr>
    <w:tblGrid>
      <w:gridCol w:w="700"/>
      <w:gridCol w:w="1500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1592580" cy="579120"/>
                <wp:effectExtent l="0" t="0" r="0" b="0"/>
                <wp:docPr id="28791002" name="0 Imagen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58087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000" w:type="dxa"/>
          <w:vAlign w:val="center"/>
        </w:tcPr>
        <w:p>
          <w:pPr>
            <w:jc w:val="right"/>
            <w:rPr>
              <w:rFonts w:ascii="Cambria" w:hAnsi="Cambria" w:cs="Cambria"/>
              <w:color w:val="000000"/>
              <w:sz w:val="40"/>
              <w:szCs w:val="40"/>
            </w:rPr>
          </w:pPr>
          <w:r>
            <w:rPr>
              <w:rFonts w:ascii="Cambria" w:hAnsi="Cambria" w:cs="Cambria"/>
              <w:color w:val="000000"/>
              <w:sz w:val="40"/>
              <w:szCs w:val="40"/>
            </w:rPr>
            <w:t xml:space="preserve">Titan Company Ltd</w:t>
          </w:r>
        </w:p>
        <w:p>
          <w:pPr>
            <w:jc w:val="right"/>
            <w:spacing w:before="140" w:line="240" w:lineRule="auto"/>
            <w:rPr>
              <w:color w:val="0000ff"/>
              <w:sz w:val="20"/>
              <w:szCs w:val="20"/>
              <w:u w:val="single"/>
            </w:rPr>
          </w:pPr>
          <w:r>
            <w:fldChar w:fldCharType="begin"/>
          </w:r>
          <w:r>
            <w:instrText xml:space="preserve">HYPERLINK "http://www.titan.co.in"</w:instrText>
          </w:r>
          <w:r>
            <w:fldChar w:fldCharType="separate"/>
          </w:r>
          <w:r>
            <w:rPr>
              <w:color w:val="0000ff"/>
              <w:sz w:val="20"/>
              <w:szCs w:val="20"/>
              <w:u w:val="single"/>
            </w:rPr>
            <w:t xml:space="preserve">www.titan.co.in</w:t>
          </w:r>
          <w:r>
            <w:fldChar w:fldCharType="end"/>
          </w:r>
        </w:p>
      </w:tc>
    </w:tr>
    <w:tr>
      <w:trPr/>
      <w:tc>
        <w:tcPr>
          <w:tcBorders>
            <w:top w:val="single" w:color="000000" w:sz="13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Meeting Type : AGM</w:t>
          </w:r>
        </w:p>
      </w:tc>
      <w:tc>
        <w:tcPr>
          <w:tcBorders>
            <w:top w:val="single" w:color="000000" w:sz="13" w:space="0"/>
          </w:tcBorders>
          <w:vAlign w:val="center"/>
        </w:tcPr>
        <w:p>
          <w:pPr>
            <w:widowControl w:val="on"/>
            <w:pBdr/>
            <w:spacing w:before="0" w:after="0" w:line="240" w:lineRule="auto"/>
            <w:ind w:left="0" w:right="0"/>
            <w:jc w:val="right"/>
          </w:pPr>
          <w:r>
            <w:rPr>
              <w:color w:val="000000"/>
              <w:sz w:val="20"/>
              <w:szCs w:val="20"/>
            </w:rPr>
            <w:t xml:space="preserve">Meeting Date: </w:t>
          </w:r>
          <w:r>
            <w:rPr>
              <w:color w:val="000000"/>
              <w:sz w:val="20"/>
              <w:szCs w:val="20"/>
            </w:rPr>
            <w:t xml:space="preserve">21</w:t>
          </w:r>
          <w:r>
            <w:rPr>
              <w:color w:val="000000"/>
              <w:position w:val="3"/>
              <w:sz w:val="18"/>
              <w:szCs w:val="18"/>
              <w:vertAlign w:val="superscript"/>
            </w:rPr>
            <w:t xml:space="preserve">st</w:t>
          </w:r>
          <w:r>
            <w:rPr>
              <w:color w:val="000000"/>
              <w:sz w:val="20"/>
              <w:szCs w:val="20"/>
            </w:rPr>
            <w:t xml:space="preserve"> July, 2015</w:t>
          </w:r>
        </w:p>
      </w:tc>
    </w:tr>
  </w:tbl>
</w:hd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even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solid" w:sz="4" w:space="0" w:color="cccccc"/>
        <w:left w:val="solid" w:sz="4" w:space="0" w:color="cccccc"/>
        <w:bottom w:val="solid" w:sz="4" w:space="0" w:color="cccccc"/>
        <w:right w:val="solid" w:sz="4" w:space="0" w:color="cccccc"/>
        <w:insideH w:val="solid" w:sz="4" w:space="0" w:color="cccccc"/>
        <w:insideV w:val="solid" w:sz="4" w:space="0" w:color="cccccc"/>
      </w:tblBorders>
    </w:tblPr>
    <w:tblGrid>
      <w:gridCol w:w="700"/>
      <w:gridCol w:w="11000"/>
      <w:gridCol w:w="2500"/>
      <w:gridCol w:w="2000"/>
    </w:tblGrid>
    <w:tr>
      <w:trPr/>
      <w:tc>
        <w:tcPr>
          <w:tcW w:w="700" w:type="dxa"/>
          <w:tcBorders>
            <w:top w:val="single" w:color="000000" w:sz="6" w:space="0"/>
          </w:tcBorders>
          <w:vAlign w:val="center"/>
        </w:tcPr>
        <w:p>
          <w:r>
            <w:rPr>
              <w:noProof/>
            </w:rPr>
            <w:drawing>
              <wp:inline distT="0" distB="0" distL="0" distR="0">
                <wp:extent cx="571500" cy="508000"/>
                <wp:effectExtent l="0" t="0" r="0" b="0"/>
                <wp:docPr id="897490137" name="0 Imagen" descr="footer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logo.png"/>
                        <pic:cNvPicPr/>
                      </pic:nvPicPr>
                      <pic:blipFill>
                        <a:blip r:embed="rId1058087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00" w:type="dxa"/>
          <w:tcBorders>
            <w:top w:val="single" w:color="000000" w:sz="6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© 2012 | Stakeholders Empowerment Services | All Rights Reserved</w:t>
          </w:r>
        </w:p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Report Release Date: </w:t>
          </w:r>
        </w:p>
      </w:tc>
      <w:tc>
        <w:tcPr>
          <w:tcW w:w="2500" w:type="dxa"/>
          <w:tcBorders>
            <w:top w:val="single" w:color="000000" w:sz="6" w:space="0"/>
          </w:tcBorders>
          <w:vAlign w:val="center"/>
        </w:tcPr>
        <w:p>
          <w:pPr>
            <w:jc w:val="right"/>
            <w:rPr>
              <w:sz w:val="20"/>
              <w:szCs w:val="20"/>
            </w:rPr>
          </w:pPr>
          <w:fldSimple w:instr="PAGE \* MERGEFORMAT">
            <w:r>
              <w:rPr>
                <w:sz w:val="20"/>
                <w:szCs w:val="20"/>
              </w:rPr>
              <w:t xml:space="preserve">1</w:t>
            </w:r>
          </w:fldSimple>
        </w:p>
      </w:tc>
      <w:tc>
        <w:tcPr>
          <w:tcW w:w="2000" w:type="dxa"/>
          <w:tcBorders>
            <w:top w:val="single" w:color="000000" w:sz="6" w:space="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rPr/>
          </w:pPr>
          <w:r>
            <w:rPr/>
            <w:t xml:space="preserve">| PAGE</w:t>
          </w:r>
        </w:p>
      </w:tc>
    </w:tr>
  </w:tbl>
</w:ftr>
</file>

<file path=word/even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PHPDOCX"/>
      <w:tblOverlap w:val="never"/>
      <w:tblW w:w="0" w:type="auto"/>
      <w:tblBorders>
        <w:top w:val="nil" w:sz="8" w:space="0" w:color="cccccc"/>
        <w:left w:val="nil" w:sz="8" w:space="0" w:color="cccccc"/>
        <w:bottom w:val="nil" w:sz="8" w:space="0" w:color="cccccc"/>
        <w:right w:val="nil" w:sz="8" w:space="0" w:color="cccccc"/>
        <w:insideH w:val="nil" w:sz="8" w:space="0" w:color="cccccc"/>
        <w:insideV w:val="nil" w:sz="8" w:space="0" w:color="cccccc"/>
      </w:tblBorders>
    </w:tblPr>
    <w:tblGrid>
      <w:gridCol w:w="700"/>
      <w:gridCol w:w="150000"/>
    </w:tblGrid>
    <w:tr>
      <w:trPr/>
      <w:tc>
        <w:tcPr>
          <w:tcW w:w="700" w:type="dxa"/>
          <w:vAlign w:val="center"/>
        </w:tcPr>
        <w:p>
          <w:r>
            <w:rPr>
              <w:noProof/>
            </w:rPr>
            <w:drawing>
              <wp:inline distT="0" distB="0" distL="0" distR="0">
                <wp:extent cx="1592580" cy="579120"/>
                <wp:effectExtent l="0" t="0" r="0" b="0"/>
                <wp:docPr id="28791002" name="0 Imagen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58087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000" w:type="dxa"/>
          <w:vAlign w:val="center"/>
        </w:tcPr>
        <w:p>
          <w:pPr>
            <w:jc w:val="right"/>
            <w:rPr>
              <w:rFonts w:ascii="Cambria" w:hAnsi="Cambria" w:cs="Cambria"/>
              <w:color w:val="000000"/>
              <w:sz w:val="40"/>
              <w:szCs w:val="40"/>
            </w:rPr>
          </w:pPr>
          <w:r>
            <w:rPr>
              <w:rFonts w:ascii="Cambria" w:hAnsi="Cambria" w:cs="Cambria"/>
              <w:color w:val="000000"/>
              <w:sz w:val="40"/>
              <w:szCs w:val="40"/>
            </w:rPr>
            <w:t xml:space="preserve">Titan Company Ltd</w:t>
          </w:r>
        </w:p>
        <w:p>
          <w:pPr>
            <w:jc w:val="right"/>
            <w:spacing w:before="140" w:line="240" w:lineRule="auto"/>
            <w:rPr>
              <w:color w:val="0000ff"/>
              <w:sz w:val="20"/>
              <w:szCs w:val="20"/>
              <w:u w:val="single"/>
            </w:rPr>
          </w:pPr>
          <w:r>
            <w:fldChar w:fldCharType="begin"/>
          </w:r>
          <w:r>
            <w:instrText xml:space="preserve">HYPERLINK "http://www.titan.co.in"</w:instrText>
          </w:r>
          <w:r>
            <w:fldChar w:fldCharType="separate"/>
          </w:r>
          <w:r>
            <w:rPr>
              <w:color w:val="0000ff"/>
              <w:sz w:val="20"/>
              <w:szCs w:val="20"/>
              <w:u w:val="single"/>
            </w:rPr>
            <w:t xml:space="preserve">www.titan.co.in</w:t>
          </w:r>
          <w:r>
            <w:fldChar w:fldCharType="end"/>
          </w:r>
        </w:p>
      </w:tc>
    </w:tr>
    <w:tr>
      <w:trPr/>
      <w:tc>
        <w:tcPr>
          <w:tcBorders>
            <w:top w:val="single" w:color="000000" w:sz="13" w:space="0"/>
          </w:tcBorders>
          <w:vAlign w:val="center"/>
        </w:tcPr>
        <w:p>
          <w:pPr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Meeting Type : AGM</w:t>
          </w:r>
        </w:p>
      </w:tc>
      <w:tc>
        <w:tcPr>
          <w:tcBorders>
            <w:top w:val="single" w:color="000000" w:sz="13" w:space="0"/>
          </w:tcBorders>
          <w:vAlign w:val="center"/>
        </w:tcPr>
        <w:p>
          <w:pPr>
            <w:widowControl w:val="on"/>
            <w:pBdr/>
            <w:spacing w:before="0" w:after="0" w:line="240" w:lineRule="auto"/>
            <w:ind w:left="0" w:right="0"/>
            <w:jc w:val="right"/>
          </w:pPr>
          <w:r>
            <w:rPr>
              <w:color w:val="000000"/>
              <w:sz w:val="20"/>
              <w:szCs w:val="20"/>
            </w:rPr>
            <w:t xml:space="preserve">Meeting Date: </w:t>
          </w:r>
          <w:r>
            <w:rPr>
              <w:color w:val="000000"/>
              <w:sz w:val="20"/>
              <w:szCs w:val="20"/>
            </w:rPr>
            <w:t xml:space="preserve">21</w:t>
          </w:r>
          <w:r>
            <w:rPr>
              <w:color w:val="000000"/>
              <w:position w:val="3"/>
              <w:sz w:val="18"/>
              <w:szCs w:val="18"/>
              <w:vertAlign w:val="superscript"/>
            </w:rPr>
            <w:t xml:space="preserve">st</w:t>
          </w:r>
          <w:r>
            <w:rPr>
              <w:color w:val="000000"/>
              <w:sz w:val="20"/>
              <w:szCs w:val="20"/>
            </w:rPr>
            <w:t xml:space="preserve"> July, 2015</w:t>
          </w:r>
        </w:p>
      </w:tc>
    </w:tr>
  </w:tbl>
</w:hdr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612326">
    <w:multiLevelType w:val="hybridMultilevel"/>
    <w:lvl w:ilvl="0" w:tplc="58969997">
      <w:start w:val="1"/>
      <w:numFmt w:val="decimal"/>
      <w:lvlText w:val="%1."/>
      <w:lvlJc w:val="left"/>
      <w:pPr>
        <w:ind w:left="720" w:hanging="360"/>
      </w:pPr>
    </w:lvl>
    <w:lvl w:ilvl="1" w:tplc="58969997" w:tentative="1">
      <w:start w:val="1"/>
      <w:numFmt w:val="lowerLetter"/>
      <w:lvlText w:val="%2."/>
      <w:lvlJc w:val="left"/>
      <w:pPr>
        <w:ind w:left="1440" w:hanging="360"/>
      </w:pPr>
    </w:lvl>
    <w:lvl w:ilvl="2" w:tplc="58969997" w:tentative="1">
      <w:start w:val="1"/>
      <w:numFmt w:val="lowerRoman"/>
      <w:lvlText w:val="%3."/>
      <w:lvlJc w:val="right"/>
      <w:pPr>
        <w:ind w:left="2160" w:hanging="180"/>
      </w:pPr>
    </w:lvl>
    <w:lvl w:ilvl="3" w:tplc="58969997" w:tentative="1">
      <w:start w:val="1"/>
      <w:numFmt w:val="decimal"/>
      <w:lvlText w:val="%4."/>
      <w:lvlJc w:val="left"/>
      <w:pPr>
        <w:ind w:left="2880" w:hanging="360"/>
      </w:pPr>
    </w:lvl>
    <w:lvl w:ilvl="4" w:tplc="58969997" w:tentative="1">
      <w:start w:val="1"/>
      <w:numFmt w:val="lowerLetter"/>
      <w:lvlText w:val="%5."/>
      <w:lvlJc w:val="left"/>
      <w:pPr>
        <w:ind w:left="3600" w:hanging="360"/>
      </w:pPr>
    </w:lvl>
    <w:lvl w:ilvl="5" w:tplc="58969997" w:tentative="1">
      <w:start w:val="1"/>
      <w:numFmt w:val="lowerRoman"/>
      <w:lvlText w:val="%6."/>
      <w:lvlJc w:val="right"/>
      <w:pPr>
        <w:ind w:left="4320" w:hanging="180"/>
      </w:pPr>
    </w:lvl>
    <w:lvl w:ilvl="6" w:tplc="58969997" w:tentative="1">
      <w:start w:val="1"/>
      <w:numFmt w:val="decimal"/>
      <w:lvlText w:val="%7."/>
      <w:lvlJc w:val="left"/>
      <w:pPr>
        <w:ind w:left="5040" w:hanging="360"/>
      </w:pPr>
    </w:lvl>
    <w:lvl w:ilvl="7" w:tplc="58969997" w:tentative="1">
      <w:start w:val="1"/>
      <w:numFmt w:val="lowerLetter"/>
      <w:lvlText w:val="%8."/>
      <w:lvlJc w:val="left"/>
      <w:pPr>
        <w:ind w:left="5760" w:hanging="360"/>
      </w:pPr>
    </w:lvl>
    <w:lvl w:ilvl="8" w:tplc="589699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12325">
    <w:multiLevelType w:val="hybridMultilevel"/>
    <w:lvl w:ilvl="0" w:tplc="509625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4612325">
    <w:abstractNumId w:val="14612325"/>
  </w:num>
  <w:num w:numId="14612326">
    <w:abstractNumId w:val="146123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10580875" Type="http://schemas.openxmlformats.org/officeDocument/2006/relationships/image" Target="media/imgrId10580875.png" /></Relationships>
</file>

<file path=word/_rels/defaultHeader.xml.rels><?xml version="1.0" encoding="UTF-8" standalone="yes" ?><Relationships xmlns="http://schemas.openxmlformats.org/package/2006/relationships"><Relationship Id="rId10580874" Type="http://schemas.openxmlformats.org/officeDocument/2006/relationships/image" Target="media/imgrId10580874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85855ae22baa95bd" Type="http://schemas.openxmlformats.org/officeDocument/2006/relationships/header" Target="defaultHeader.xml"/><Relationship Id="rId225955ae22baa96d6" Type="http://schemas.openxmlformats.org/officeDocument/2006/relationships/header" Target="evenHeader.xml"/><Relationship Id="rId491255ae22baa9e3d" Type="http://schemas.openxmlformats.org/officeDocument/2006/relationships/footer" Target="defaultFooter.xml"/><Relationship Id="rId933855ae22baa9ef2" Type="http://schemas.openxmlformats.org/officeDocument/2006/relationships/footer" Target="evenFooter.xml"/><Relationship Id="rDOCXId1" Type="http://schemas.openxmlformats.org/officeDocument/2006/relationships/aFChunk" Target="docx1.zip" TargetMode="Internal"/></Relationships>

</file>

<file path=word/_rels/endnotes.xml.rels><?xml version="1.0" encoding="UTF-8" standalone="yes"?>
<Relationships xmlns="http://schemas.openxmlformats.org/package/2006/relationships"></Relationships>
</file>

<file path=word/_rels/evenFooter.xml.rels><?xml version="1.0" encoding="UTF-8" standalone="yes" ?><Relationships xmlns="http://schemas.openxmlformats.org/package/2006/relationships"><Relationship Id="rId10580875" Type="http://schemas.openxmlformats.org/officeDocument/2006/relationships/image" Target="media/imgrId10580875.png" /></Relationships>
</file>

<file path=word/_rels/evenHeader.xml.rels><?xml version="1.0" encoding="UTF-8" standalone="yes" ?><Relationships xmlns="http://schemas.openxmlformats.org/package/2006/relationships"><Relationship Id="rId10580874" Type="http://schemas.openxmlformats.org/officeDocument/2006/relationships/image" Target="media/imgrId10580874.png" /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