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634072" type="#_x0000_t202" style="position:absolute;mso-position-horizontal:right;width:260pt;height:40pt;z-index:33747754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 Adopt the Audited Standalone financial statements for the year ended 31st March, 2015 and the Rep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 Adopt the Audited Consolidated financial statements for the year ended 31st March 2015 and the Au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Declaration of Dividend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Re-appointment of Mr. M M Murugappan, Director retiring by rotation as a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Statutory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Appointment of Mrs. Bharati Rao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Re-appointment of Mr. K Srinivasan as Managing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Ratification of Cost Auditorâs Remuneration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Approval of offer/invitation to subscribe to Non-convertible Debentures on Private Placement basis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801050" type="#_x0000_t202" style="position:absolute;mso-position-horizontal:right;width:260pt;height:40pt;z-index:9143461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169.25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3,185.92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18,81,72,042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21.45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Grindwell Norton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1,168.69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1,148.60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1,110.39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47,300.00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29.37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17.48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3,337.00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1,198.06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1,168.05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1,118.37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1,130.40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50,637.00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258.23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151.55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154.78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184.57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17,711.00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148.33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74.54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101.02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12,164.00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7.89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105.91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37.45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31.84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65.30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22.84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37.44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6.34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9.10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25.72</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8.92%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Murugappa Holdings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29.46%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HDFC Trustee Company Ltd - A/C Hdfc</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4.82%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Murugappa Educational And Medical F</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Smallcap World Fund Inc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Ambadi Investments Private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American Funds Insurance Series Glo</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Southern Energy Development Corpora</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Equity Fund Limited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M.M.Muthiah Research Foundation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0.59%</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HDFC Trustee Company Limited - Hdfc</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 A M Arunachalam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0.77%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General Insurance Corporation Of In</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Umayal.R.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0.52%</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413518" type="#_x0000_t202" style="position:absolute;mso-position-horizontal:right;width:260pt;height:40pt;z-index:5245231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M.M. Murugappan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NEDP(R)(C)</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8(4)</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76.8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 L Palani Kumar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Production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Shobhan M Thakore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5(2)</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 Lakshminarayan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Chemical Industry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Sanjay Jayavarthanavelu</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Manufacturing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Aroon Raman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Bharati Rao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8(0)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K Srinivasan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Production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154.6</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Carborundum Universal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*Mr. T L Palani has been associated with the Company for more than 15 years. SES as a good governance practice and spirit behind the provisions of Section 149 of the Companies Act, 2013 considers Director associated with the Company more than 10 years as non-independent. Therefore, SES classifies him as a Non-Independent director on a governance basis.</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According to the Company there are 2 Non-Independent Directors out of the two only one Director is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Mr. T L Palani Kumar has been associated with the Company for more than 15 years. SES as a good governance practice considers Director associated with the Company more than 10 years as non-independent. Therefore, SES classifies him as a Non-Independent director on a governance basis. Hencce, according to SES the Baord comprises of 63% Independent Directors.</w:t>
            </w:r>
            <w:r>
              <w:rPr>
                <w:color w:val="000000"/>
                <w:sz w:val="18"/>
                <w:szCs w:val="18"/>
              </w:rPr>
              <w:br/>
              <w:t xml:space="preserve">  </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M Lakshminarayan(50%)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67%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76</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52166" type="#_x0000_t202" style="position:absolute;mso-position-horizontal:right;width:260pt;height:40pt;z-index:27920927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ND</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Carborundum Universal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Grindwell Norton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Infosys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Anand Mahajan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U. B. Pravin Rao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148.33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101.02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12164</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4.07%</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0.05%</w:t>
            </w:r>
          </w:p>
        </w:tc>
      </w:tr>
    </w:tbl>
    <w:p>
      <w:r>
        <w:br w:type="page"/>
      </w:r>
    </w:p>
    <w:p>
      <w:r>
        <w:pict>
          <v:shape id="_x0000_s953166" type="#_x0000_t202" style="position:absolute;mso-position-horizontal:right;width:260pt;height:40pt;z-index:61523039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78987649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89"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11774467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0"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49864833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6030997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995278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6119207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73503824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3755737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47841234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44113187"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9548715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39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4581736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40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87628684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47391401"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6213" cy="176213"/>
                  <wp:effectExtent l="0" t="0" r="0" b="0"/>
                  <wp:docPr id="434815129"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47391402" cstate="print"/>
                          <a:stretch>
                            <a:fillRect/>
                          </a:stretch>
                        </pic:blipFill>
                        <pic:spPr>
                          <a:xfrm>
                            <a:off x="0" y="0"/>
                            <a:ext cx="17621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Not Applicable as Auditors have not made any qualification.</w:t>
      </w:r>
    </w:p>
    <w:p>
      <w:r>
        <w:br w:type="page"/>
      </w:r>
    </w:p>
    <w:p>
      <w:r>
        <w:pict>
          <v:shape id="_x0000_s61861" type="#_x0000_t202" style="position:absolute;mso-position-horizontal:right;width:260pt;height:40pt;z-index:4216862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 #1(a) To Adopt the Audited Standalone financial statements for the year ended 31</w:t>
      </w:r>
      <w:r>
        <w:rPr>
          <w:color w:val="000000"/>
          <w:position w:val="3"/>
          <w:sz w:val="18"/>
          <w:szCs w:val="18"/>
          <w:vertAlign w:val="superscript"/>
        </w:rPr>
        <w:t xml:space="preserve">st</w:t>
      </w:r>
      <w:r>
        <w:rPr>
          <w:color w:val="000000"/>
          <w:sz w:val="20"/>
          <w:szCs w:val="20"/>
        </w:rPr>
        <w:t xml:space="preserve"> March, 2015 and the Reports of the Board and Auditors thereon</w:t>
      </w:r>
    </w:p>
    <w:p>
      <w:pPr>
        <w:widowControl w:val="on"/>
        <w:pBdr/>
        <w:spacing w:before="120" w:after="120" w:line="270" w:lineRule="auto"/>
        <w:ind w:left="0" w:right="0"/>
        <w:jc w:val="both"/>
      </w:pPr>
      <w:r>
        <w:rPr>
          <w:color w:val="000000"/>
          <w:sz w:val="20"/>
          <w:szCs w:val="20"/>
        </w:rPr>
        <w:t xml:space="preserve">#1(b) To Adopt the Audited Consolidated financial statements for the year ended 31</w:t>
      </w:r>
      <w:r>
        <w:rPr>
          <w:color w:val="000000"/>
          <w:position w:val="3"/>
          <w:sz w:val="18"/>
          <w:szCs w:val="18"/>
          <w:vertAlign w:val="superscript"/>
        </w:rPr>
        <w:t xml:space="preserve">st</w:t>
      </w:r>
      <w:r>
        <w:rPr>
          <w:color w:val="000000"/>
          <w:sz w:val="20"/>
          <w:szCs w:val="20"/>
        </w:rPr>
        <w:t xml:space="preserve"> March, 2015 and the Auditors Report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qualification.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not made any qualification.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mentioned that In thier opinion and to the best of thier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31st March, 2015, its profit and its cash flows for the year ended on that date.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 We did not audit the fi nancial statements of 13 subsidiaries and 2 jointly controlled entities, whose fi nancial statements refl ect total assets of `8892 million as at 31st March, 2015, total revenues of `9299 million and net cash fl ows amounting to `323 million for the year ended on that date, as considered in the consolidated financial statements. These financial statements have been audited by other auditors whose reports have been furnished to us by the Management and our opinion on the consolidated fi nancial statements, in so far as it relates to the amounts and disclosures included in respect of these subsidiaries and jointly controlled entities, and our report in terms of sub-sections (3) and (11) of Section 143 of the Act, insofar as it relates to the aforesaid subsidiaries and jointly controlled entities, is based solely on the reports of the other auditors.</w:t>
      </w:r>
    </w:p>
    <w:p>
      <w:pPr>
        <w:widowControl w:val="on"/>
        <w:pBdr/>
        <w:spacing w:before="120" w:after="120" w:line="270" w:lineRule="auto"/>
        <w:ind w:left="0" w:right="0"/>
        <w:jc w:val="both"/>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consolidated accounts include the unaudited financial statement for 1 subsidiary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 has been made to the Acounting Policy.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22.84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11.57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859.89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733.57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Major contingent liabilities are due to disputed income tax, sales tax, excise duty, service tax and customs duty demands which are under various stages of appeal proceedings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Declaration of Dividend</w:t>
      </w:r>
    </w:p>
    <w:p>
      <w:pPr>
        <w:numPr>
          <w:ilvl w:val="0"/>
          <w:numId w:val="1"/>
        </w:numPr>
        <w:spacing w:before="0" w:after="0" w:line="240" w:lineRule="auto"/>
        <w:jc w:val="left"/>
        <w:rPr>
          <w:color w:val="000000"/>
          <w:sz w:val="20"/>
          <w:szCs w:val="20"/>
        </w:rPr>
      </w:pPr>
      <w:r>
        <w:rPr>
          <w:color w:val="000000"/>
          <w:sz w:val="20"/>
          <w:szCs w:val="20"/>
        </w:rPr>
        <w:t xml:space="preserve">To declare a final dividend of Rs 0.50 per equtiy share of Rs 1</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enough cash to pay the dividend.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Board has considered it appropriate to recommend a fi nal dividend of Rs 0.50 per equity share of Rs 1 each. The Company had declared and paid an interim dividend at the rate of Rs 0.75 per equity share of Rs 1 each in January, 2015. This aggregates to a total dividend of Rs 1.25 per equity share of Rs 1 each for the year, which is the same as last year. The Company has enough cash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TO COST AUDITORS</w:t>
      </w:r>
    </w:p>
    <w:p>
      <w:pPr>
        <w:widowControl w:val="on"/>
        <w:pBdr/>
        <w:spacing w:before="120" w:after="120" w:line="270" w:lineRule="auto"/>
        <w:ind w:left="0" w:right="0"/>
        <w:jc w:val="both"/>
      </w:pPr>
      <w:r>
        <w:rPr>
          <w:color w:val="000000"/>
          <w:sz w:val="20"/>
          <w:szCs w:val="20"/>
        </w:rPr>
        <w:t xml:space="preserve">Ratification of Cost Auditors' remuneration</w:t>
      </w:r>
    </w:p>
    <w:p>
      <w:pPr>
        <w:numPr>
          <w:ilvl w:val="0"/>
          <w:numId w:val="1"/>
        </w:numPr>
        <w:spacing w:before="0" w:after="0" w:line="240" w:lineRule="auto"/>
        <w:jc w:val="left"/>
        <w:rPr>
          <w:color w:val="000000"/>
          <w:sz w:val="20"/>
          <w:szCs w:val="20"/>
        </w:rPr>
      </w:pPr>
      <w:r>
        <w:rPr>
          <w:color w:val="000000"/>
          <w:sz w:val="20"/>
          <w:szCs w:val="20"/>
        </w:rPr>
        <w:t xml:space="preserve">To ratify remuneration of Rs 4.00 lacs to M/S Mahadevan &amp; Co., Cost Accountants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regarding the ratification of remuneration of Rs. 3 lacs to M/s PSV &amp; Assosciates, Cost Accountants. SES recommedns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The Company has stated that the Board, on the recommendation of the Audit Committee, has approved the appointment and remuneration of M/s. S Mahadevan &amp; Co., Cost Accountants as the Cost Auditors to conduct the audit of the cost accounting records of the Company pursuant to the Companies (Cost Records and Audit) Rules, 2014 for the financial years 2014-15 and 2015-16 on a remuneration of Rs 4,00,000 p.a excluding the applicable service tax and out of pocket expenses incurred by them in connection with the cost audit. </w:t>
      </w:r>
    </w:p>
    <w:p>
      <w:pPr>
        <w:widowControl w:val="on"/>
        <w:pBdr/>
        <w:spacing w:before="120" w:after="120" w:line="270" w:lineRule="auto"/>
        <w:ind w:left="0" w:right="0"/>
        <w:jc w:val="both"/>
      </w:pPr>
      <w:r>
        <w:rPr>
          <w:color w:val="000000"/>
          <w:sz w:val="20"/>
          <w:szCs w:val="20"/>
        </w:rPr>
        <w:t xml:space="preserve">This is an enabling resolution for the ratification of remuneration paid to cost Auditors. No concern has been identified regarding the remuneration paid to M/s Mahadevan &amp; Co.</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 Ratification of appointment of Statutory Auditors</w:t>
      </w:r>
    </w:p>
    <w:p>
      <w:pPr>
        <w:widowControl w:val="on"/>
        <w:pBdr/>
        <w:spacing w:before="120" w:after="120" w:line="270" w:lineRule="auto"/>
        <w:ind w:left="0" w:right="0"/>
        <w:jc w:val="both"/>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current auditors, Deloitte Haskins &amp; Sells, have been associated with the Company for 10 years. Prior to their appointment, M/S. A.F. Ferguson &amp; Co. were the auditors of the Company for 10 years. Since Deloitte Haskins &amp; Sells and M/S. A.F. Ferguson &amp; Co. operate under the same umbrella company, SES considers the tenure of the current auditors to be 20 years. Provisions of the Companies Act 2013 state that auditors should not have tenure of over 10 years. However, the Companies Act 2013 and the Rules there under provide a transition period of 3 years. M/s Deloitte Haskins &amp; Sells were appointed for a term of two years in the AGM held last year on 1</w:t>
      </w:r>
      <w:r>
        <w:rPr>
          <w:color w:val="000000"/>
          <w:position w:val="3"/>
          <w:sz w:val="18"/>
          <w:szCs w:val="18"/>
          <w:shd w:val="clear" w:color="auto" w:fill="D9D9D9"/>
          <w:vertAlign w:val="superscript"/>
        </w:rPr>
        <w:t xml:space="preserve">st</w:t>
      </w:r>
      <w:r>
        <w:rPr>
          <w:color w:val="000000"/>
          <w:sz w:val="20"/>
          <w:szCs w:val="20"/>
          <w:shd w:val="clear" w:color="auto" w:fill="D9D9D9"/>
        </w:rPr>
        <w:t xml:space="preserve"> August, 2014 subject to ratification by the shareholders’ every year. Although SES had recommended against the appointment of the Auditors in the report for the AGM held last year, however since the Auditors were appointed by the shareholders’, SES is not raising any concern regarding the ratification of appointment of Auditors.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Geetha Suryanarayanan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Deloitte Touche Tohamatsu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120" w:after="120" w:line="270" w:lineRule="auto"/>
        <w:ind w:left="0" w:right="0"/>
        <w:jc w:val="both"/>
      </w:pPr>
      <w:r>
        <w:rPr>
          <w:color w:val="000000"/>
          <w:sz w:val="20"/>
          <w:szCs w:val="20"/>
        </w:rPr>
        <w:t xml:space="preserve">Prior to appointment of M/s. Deloitte Haskins &amp; Sells in FY2005-06, Fraser &amp; Ross, was the audit firm for the company for more than 10 years. Since M/s. Deloitte Haskins &amp; Sells and Fraser &amp; Ross are members of the Deloitte Touche Tohmatsu, SES considers M/s. Deloitte Haskins &amp; Sells to have been the auditors of the Company for more than 20 years (in accordance with Section 139(2) of the companies Act 2013 read with Rules notified on 31</w:t>
      </w:r>
      <w:r>
        <w:rPr>
          <w:color w:val="000000"/>
          <w:position w:val="3"/>
          <w:sz w:val="18"/>
          <w:szCs w:val="18"/>
          <w:vertAlign w:val="superscript"/>
        </w:rPr>
        <w:t xml:space="preserve">st</w:t>
      </w:r>
      <w:r>
        <w:rPr>
          <w:color w:val="000000"/>
          <w:sz w:val="20"/>
          <w:szCs w:val="20"/>
        </w:rPr>
        <w:t xml:space="preserve"> March 2014).</w:t>
      </w:r>
    </w:p>
    <w:p>
      <w:pPr>
        <w:widowControl w:val="on"/>
        <w:pBdr/>
        <w:spacing w:before="120" w:after="120" w:line="270" w:lineRule="auto"/>
        <w:ind w:left="450" w:right="0"/>
        <w:jc w:val="both"/>
      </w:pPr>
      <w:r>
        <w:rPr>
          <w:i/>
          <w:iCs/>
          <w:color w:val="000000"/>
          <w:sz w:val="20"/>
          <w:szCs w:val="20"/>
        </w:rPr>
        <w:t xml:space="preserve">139(2) Provided further that as on the date of appointment no audit firm having a common partner or partners to the other audit firm, whose tenure has expired in a company immediately preceding the financial year, shall be appointed as auditor of the same company for a period of five years: Provided also that every company, existing on or before the commencement of this Act which is required to comply with provisions of this sub-section, shall comply with the requirements of this sub-section within three years from the date of commencement of this Act: </w:t>
      </w:r>
    </w:p>
    <w:p>
      <w:pPr>
        <w:widowControl w:val="on"/>
        <w:pBdr/>
        <w:spacing w:before="120" w:after="120" w:line="270" w:lineRule="auto"/>
        <w:ind w:left="450" w:right="0"/>
        <w:jc w:val="both"/>
      </w:pPr>
      <w:r>
        <w:rPr>
          <w:i/>
          <w:iCs/>
          <w:color w:val="000000"/>
          <w:sz w:val="20"/>
          <w:szCs w:val="20"/>
        </w:rPr>
        <w:t xml:space="preserve">Rule 6(3)(ii): The incoming auditor or audit firm shall not be eligible if such auditor or audit firm is associated with the outgoing auditor or audit firm under the same network of audit firms. </w:t>
      </w:r>
    </w:p>
    <w:p>
      <w:pPr>
        <w:widowControl w:val="on"/>
        <w:pBdr/>
        <w:spacing w:before="120" w:after="120" w:line="270" w:lineRule="auto"/>
        <w:ind w:left="450" w:right="0"/>
        <w:jc w:val="both"/>
      </w:pPr>
      <w:r>
        <w:rPr>
          <w:i/>
          <w:iCs/>
          <w:color w:val="000000"/>
          <w:sz w:val="20"/>
          <w:szCs w:val="20"/>
        </w:rPr>
        <w:t xml:space="preserve">Explanation I - For the purposes of these rules the term “same network” includes the firms operating or functioning, hitherto or in future, under the same brand name, trade name or common control. </w:t>
      </w:r>
    </w:p>
    <w:p>
      <w:pPr>
        <w:widowControl w:val="on"/>
        <w:pBdr/>
        <w:spacing w:before="120" w:after="120" w:line="270" w:lineRule="auto"/>
        <w:ind w:left="450" w:right="0"/>
        <w:jc w:val="both"/>
      </w:pPr>
      <w:r>
        <w:rPr>
          <w:i/>
          <w:iCs/>
          <w:color w:val="000000"/>
          <w:sz w:val="20"/>
          <w:szCs w:val="20"/>
        </w:rPr>
        <w:t xml:space="preserve">Explanation II - For the purpose of rotation of auditors, (a) a break in the term for a continuous period of five years shall be considered as fulfilling the requirement of rotation; (b) if a partner, who is in charge of an audit firm and also certifies the financial statements of the company, retires from the said firm and joins another firm of chartered accountants, such other firm shall also be ineligible to be appointed for a period of five years. Note: 1 Audit Firm shall include other firms whose name or trade mark or brand is used by the firm or any of its partners.</w:t>
      </w:r>
    </w:p>
    <w:p>
      <w:pPr>
        <w:widowControl w:val="on"/>
        <w:pBdr/>
        <w:spacing w:before="120" w:after="120" w:line="270" w:lineRule="auto"/>
        <w:ind w:left="450" w:right="0"/>
        <w:jc w:val="both"/>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provisions of the Act are effective from 1st April, 2014. Section 139 of the Companies Act, 2013 and the Rules made thereunder, provide for the appointment and rotation of auditors. As per this section, a company can appoint a firm as auditors for maximum two terms of five consecutive years each. An audit firm which has completed its term of 10 consecutive years shall not be eligible for re-appointment as auditors in the same company for 5 years from the completion of such term. For the purpose of calculating period of 10 consecutive years, the period for which the auditor firm has held office prior to the commencement of the Act (i.e. 1st April, 2014), shall be taken into consideration. However, a transition period of 3 years from the commencement of the Act has been prescribed to comply with the provisions of rotation of auditors. </w:t>
      </w:r>
    </w:p>
    <w:p>
      <w:pPr>
        <w:widowControl w:val="on"/>
        <w:pBdr/>
        <w:spacing w:before="120" w:after="120" w:line="270" w:lineRule="auto"/>
        <w:ind w:left="0" w:right="0"/>
        <w:jc w:val="both"/>
      </w:pPr>
      <w:r>
        <w:rPr>
          <w:color w:val="000000"/>
          <w:sz w:val="20"/>
          <w:szCs w:val="20"/>
        </w:rPr>
        <w:t xml:space="preserve">The current Auditors, M/s Deloitte Haskins &amp; Sells were appointed for a term of two years in the AGM held last year on 1</w:t>
      </w:r>
      <w:r>
        <w:rPr>
          <w:color w:val="000000"/>
          <w:position w:val="3"/>
          <w:sz w:val="18"/>
          <w:szCs w:val="18"/>
          <w:vertAlign w:val="superscript"/>
        </w:rPr>
        <w:t xml:space="preserve">st</w:t>
      </w:r>
      <w:r>
        <w:rPr>
          <w:color w:val="000000"/>
          <w:sz w:val="20"/>
          <w:szCs w:val="20"/>
        </w:rPr>
        <w:t xml:space="preserve"> August, 2014 subject to ratification by the shareholders’ every year. SES is not raising any concern as the Auditors were appointed by the shareholders.</w:t>
      </w:r>
    </w:p>
    <w:p>
      <w:pPr>
        <w:widowControl w:val="on"/>
        <w:pBdr/>
        <w:spacing w:before="120" w:after="120" w:line="270" w:lineRule="auto"/>
        <w:ind w:left="0" w:right="0"/>
        <w:jc w:val="both"/>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K Srinivasan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Production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SR(M),CSR(M),RM(M)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1.69</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Srinivasan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Anand Mahajan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Grindwell Norton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1.546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148.33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4.07</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K Srinivasan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K Srinivasan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K SRINIVASAN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w:pPr>
        <w:widowControl w:val="on"/>
        <w:pBdr/>
        <w:spacing w:before="80" w:after="80" w:line="240" w:lineRule="auto"/>
        <w:ind w:left="0" w:right="0"/>
        <w:jc w:val="left"/>
      </w:pPr>
      <w:r>
        <w:rPr>
          <w:color w:val="000000"/>
          <w:sz w:val="8"/>
          <w:szCs w:val="8"/>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NON-EXECUTIVE DIRECTORS</w:t>
      </w:r>
    </w:p>
    <w:p>
      <w:pPr>
        <w:widowControl w:val="on"/>
        <w:pBdr/>
        <w:spacing w:before="120" w:after="120" w:line="270" w:lineRule="auto"/>
        <w:ind w:left="0" w:right="0"/>
        <w:jc w:val="both"/>
      </w:pPr>
      <w:r>
        <w:rPr>
          <w:color w:val="000000"/>
          <w:sz w:val="20"/>
          <w:szCs w:val="20"/>
        </w:rPr>
        <w:t xml:space="preserve"> Re-appointment of Mr. M M Murugappan, Director retiring by rotation as a Director</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on Mr. M M Murugappan.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Murugappan Murugappan Muthiah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B.Tech(Chemical), M.Sc.( Chemical)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Mr. Murugappan has over 37 years of experience in diverse areas of technology, research &amp; development, strategy &amp; business development and human resources.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SR(C)</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Murugappan Murugappan Muthiah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Murugappan Murugappan Muthiah</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M M Murugappan has attended all the AGMs held in last three years. He attended 72% of the Board Commitee meetings held last year and 89% of the meetings held in last three years.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REMUNERATION</w:t>
      </w:r>
    </w:p>
    <w:p>
      <w:pPr>
        <w:widowControl w:val="on"/>
        <w:pBdr/>
        <w:spacing w:before="120" w:after="120" w:line="270" w:lineRule="auto"/>
        <w:ind w:left="0" w:right="0"/>
        <w:jc w:val="both"/>
      </w:pPr>
      <w:r>
        <w:rPr>
          <w:color w:val="000000"/>
          <w:sz w:val="20"/>
          <w:szCs w:val="20"/>
        </w:rPr>
        <w:t xml:space="preserve">His remuneration is not aligned disucssion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P.G.(Economics), CAIIB</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She served in Bank assignments both in India and abroad in areas like Commercial Banking, Project Finance, and International Banking for 40 years. Serves as an Advisor of Mergers &amp; Acquisitions at Sta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4.60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40" w:after="40" w:line="240" w:lineRule="auto"/>
        <w:ind w:left="0" w:right="0"/>
        <w:jc w:val="left"/>
      </w:pPr>
      <w:r>
        <w:rPr>
          <w:color w:val="000000"/>
          <w:sz w:val="4"/>
          <w:szCs w:val="4"/>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Bharati Rao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bl>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 To Approve the offer/invitation to subscribe to Non-convertible Debentures on Private Placement basis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securities to be issued are non- convertible in nature, they will cause no dilution to the existing shareholders. Hence,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The Company has stated that he Company in the ordinary course of business raises long term borrowings, either by way of term loans, inter-corporate deposits, external commercial borrowings or debentures. The Company proposes to borrow upto ` 2500 million in the coming months, which may be in any one mode (or) in a combination of modes including issue of redeemable non-convertible debentures (NCDs) on private placement basis. If the Company proposes to raise funds by issue of NCDs on private placement basis, the Act mandates that it shall obtain prior approval of its shareholders by means of special resolution in respect of such borrowings during the year. The proceeds from the issue of NCDs is expected to be used for general corporate / business purposes including working capital, purchase of assets, making investments etc. </w:t>
      </w:r>
    </w:p>
    <w:p>
      <w:pPr>
        <w:widowControl w:val="on"/>
        <w:pBdr/>
        <w:spacing w:before="120" w:after="120" w:line="270" w:lineRule="auto"/>
        <w:ind w:left="0" w:right="0"/>
        <w:jc w:val="both"/>
      </w:pPr>
      <w:r>
        <w:rPr>
          <w:color w:val="000000"/>
          <w:sz w:val="20"/>
          <w:szCs w:val="20"/>
        </w:rPr>
        <w:t xml:space="preserve">There will be no dilution to the shareholders as the securities proposed to be issued are non-convertible in nature.</w:t>
      </w:r>
    </w:p>
    <w:p>
      <w:r>
        <w:br w:type="page"/>
      </w:r>
    </w:p>
    <w:altChunk xmlns:r="http://schemas.openxmlformats.org/officeDocument/2006/relationships" xmlns:w="http://schemas.openxmlformats.org/wordprocessingml/2006/main" r:id="rDOCXId11">
      <w:altChunkPr>
        <w:matchSrc/>
      </w:altChunkPr>
    </w:altChunk>
    <w:sectPr xmlns:w="http://schemas.openxmlformats.org/wordprocessingml/2006/main" w:rsidR="00AC197E" w:rsidRPr="00DF064E" w:rsidSect="000F6147">
      <w:footerReference xmlns:r="http://schemas.openxmlformats.org/officeDocument/2006/relationships" w:type="even" r:id="rId641855b8ea7b13e7c"/>
      <w:footerReference xmlns:r="http://schemas.openxmlformats.org/officeDocument/2006/relationships" w:type="default" r:id="rId437355b8ea7b13d19"/>
      <w:headerReference xmlns:r="http://schemas.openxmlformats.org/officeDocument/2006/relationships" w:type="even" r:id="rId856655b8ea7b12875"/>
      <w:headerReference xmlns:r="http://schemas.openxmlformats.org/officeDocument/2006/relationships" w:type="default" r:id="rId964555b8ea7b12781"/>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0932458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739138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49644811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739138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Carborundum Universal Ltd</w:t>
          </w:r>
        </w:p>
        <w:p>
          <w:pPr>
            <w:jc w:val="right"/>
            <w:spacing w:before="140" w:line="240" w:lineRule="auto"/>
            <w:rPr>
              <w:color w:val="#EB641B"/>
              <w:sz w:val="20"/>
              <w:szCs w:val="20"/>
              <w:u w:val="single"/>
            </w:rPr>
          </w:pPr>
          <w:r>
            <w:fldChar w:fldCharType="begin"/>
          </w:r>
          <w:r>
            <w:instrText xml:space="preserve">HYPERLINK "http://www.cumi.murugappa.com"</w:instrText>
          </w:r>
          <w:r>
            <w:fldChar w:fldCharType="separate"/>
          </w:r>
          <w:r>
            <w:rPr>
              <w:color w:val="#EB641B"/>
              <w:sz w:val="20"/>
              <w:szCs w:val="20"/>
              <w:u w:val="single"/>
            </w:rPr>
            <w:t xml:space="preserve">www.cumi.murugappa.com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03</w:t>
          </w:r>
          <w:r>
            <w:rPr>
              <w:color w:val="000000"/>
              <w:position w:val="3"/>
              <w:sz w:val="18"/>
              <w:szCs w:val="18"/>
              <w:vertAlign w:val="superscript"/>
            </w:rPr>
            <w:t xml:space="preserve">rd</w:t>
          </w:r>
          <w:r>
            <w:rPr>
              <w:color w:val="000000"/>
              <w:sz w:val="20"/>
              <w:szCs w:val="20"/>
            </w:rPr>
            <w:t xml:space="preserve"> August,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0932458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4739138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496448116"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739138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Carborundum Universal Ltd</w:t>
          </w:r>
        </w:p>
        <w:p>
          <w:pPr>
            <w:jc w:val="right"/>
            <w:spacing w:before="140" w:line="240" w:lineRule="auto"/>
            <w:rPr>
              <w:color w:val="#EB641B"/>
              <w:sz w:val="20"/>
              <w:szCs w:val="20"/>
              <w:u w:val="single"/>
            </w:rPr>
          </w:pPr>
          <w:r>
            <w:fldChar w:fldCharType="begin"/>
          </w:r>
          <w:r>
            <w:instrText xml:space="preserve">HYPERLINK "http://www.cumi.murugappa.com"</w:instrText>
          </w:r>
          <w:r>
            <w:fldChar w:fldCharType="separate"/>
          </w:r>
          <w:r>
            <w:rPr>
              <w:color w:val="#EB641B"/>
              <w:sz w:val="20"/>
              <w:szCs w:val="20"/>
              <w:u w:val="single"/>
            </w:rPr>
            <w:t xml:space="preserve">www.cumi.murugappa.com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03</w:t>
          </w:r>
          <w:r>
            <w:rPr>
              <w:color w:val="000000"/>
              <w:position w:val="3"/>
              <w:sz w:val="18"/>
              <w:szCs w:val="18"/>
              <w:vertAlign w:val="superscript"/>
            </w:rPr>
            <w:t xml:space="preserve">rd</w:t>
          </w:r>
          <w:r>
            <w:rPr>
              <w:color w:val="000000"/>
              <w:sz w:val="20"/>
              <w:szCs w:val="20"/>
            </w:rPr>
            <w:t xml:space="preserve"> August,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971911">
    <w:multiLevelType w:val="hybridMultilevel"/>
    <w:lvl w:ilvl="0" w:tplc="78548114">
      <w:start w:val="1"/>
      <w:numFmt w:val="decimal"/>
      <w:lvlText w:val="%1."/>
      <w:lvlJc w:val="left"/>
      <w:pPr>
        <w:ind w:left="720" w:hanging="360"/>
      </w:pPr>
    </w:lvl>
    <w:lvl w:ilvl="1" w:tplc="78548114" w:tentative="1">
      <w:start w:val="1"/>
      <w:numFmt w:val="lowerLetter"/>
      <w:lvlText w:val="%2."/>
      <w:lvlJc w:val="left"/>
      <w:pPr>
        <w:ind w:left="1440" w:hanging="360"/>
      </w:pPr>
    </w:lvl>
    <w:lvl w:ilvl="2" w:tplc="78548114" w:tentative="1">
      <w:start w:val="1"/>
      <w:numFmt w:val="lowerRoman"/>
      <w:lvlText w:val="%3."/>
      <w:lvlJc w:val="right"/>
      <w:pPr>
        <w:ind w:left="2160" w:hanging="180"/>
      </w:pPr>
    </w:lvl>
    <w:lvl w:ilvl="3" w:tplc="78548114" w:tentative="1">
      <w:start w:val="1"/>
      <w:numFmt w:val="decimal"/>
      <w:lvlText w:val="%4."/>
      <w:lvlJc w:val="left"/>
      <w:pPr>
        <w:ind w:left="2880" w:hanging="360"/>
      </w:pPr>
    </w:lvl>
    <w:lvl w:ilvl="4" w:tplc="78548114" w:tentative="1">
      <w:start w:val="1"/>
      <w:numFmt w:val="lowerLetter"/>
      <w:lvlText w:val="%5."/>
      <w:lvlJc w:val="left"/>
      <w:pPr>
        <w:ind w:left="3600" w:hanging="360"/>
      </w:pPr>
    </w:lvl>
    <w:lvl w:ilvl="5" w:tplc="78548114" w:tentative="1">
      <w:start w:val="1"/>
      <w:numFmt w:val="lowerRoman"/>
      <w:lvlText w:val="%6."/>
      <w:lvlJc w:val="right"/>
      <w:pPr>
        <w:ind w:left="4320" w:hanging="180"/>
      </w:pPr>
    </w:lvl>
    <w:lvl w:ilvl="6" w:tplc="78548114" w:tentative="1">
      <w:start w:val="1"/>
      <w:numFmt w:val="decimal"/>
      <w:lvlText w:val="%7."/>
      <w:lvlJc w:val="left"/>
      <w:pPr>
        <w:ind w:left="5040" w:hanging="360"/>
      </w:pPr>
    </w:lvl>
    <w:lvl w:ilvl="7" w:tplc="78548114" w:tentative="1">
      <w:start w:val="1"/>
      <w:numFmt w:val="lowerLetter"/>
      <w:lvlText w:val="%8."/>
      <w:lvlJc w:val="left"/>
      <w:pPr>
        <w:ind w:left="5760" w:hanging="360"/>
      </w:pPr>
    </w:lvl>
    <w:lvl w:ilvl="8" w:tplc="78548114" w:tentative="1">
      <w:start w:val="1"/>
      <w:numFmt w:val="lowerRoman"/>
      <w:lvlText w:val="%9."/>
      <w:lvlJc w:val="right"/>
      <w:pPr>
        <w:ind w:left="6480" w:hanging="180"/>
      </w:pPr>
    </w:lvl>
  </w:abstractNum>
  <w:abstractNum w:abstractNumId="23971910">
    <w:multiLevelType w:val="hybridMultilevel"/>
    <w:lvl w:ilvl="0" w:tplc="332766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3971910">
    <w:abstractNumId w:val="23971910"/>
  </w:num>
  <w:num w:numId="23971911">
    <w:abstractNumId w:val="239719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47391388" Type="http://schemas.openxmlformats.org/officeDocument/2006/relationships/image" Target="media/imgrId47391388.png" /></Relationships>
</file>

<file path=word/_rels/defaultHeader.xml.rels><?xml version="1.0" encoding="UTF-8" standalone="yes" ?><Relationships xmlns="http://schemas.openxmlformats.org/package/2006/relationships"><Relationship Id="rId47391387" Type="http://schemas.openxmlformats.org/officeDocument/2006/relationships/image" Target="media/imgrId47391387.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64555b8ea7b12781" Type="http://schemas.openxmlformats.org/officeDocument/2006/relationships/header" Target="defaultHeader.xml"/><Relationship Id="rId856655b8ea7b12875" Type="http://schemas.openxmlformats.org/officeDocument/2006/relationships/header" Target="evenHeader.xml"/><Relationship Id="rId437355b8ea7b13d19" Type="http://schemas.openxmlformats.org/officeDocument/2006/relationships/footer" Target="defaultFooter.xml"/><Relationship Id="rId641855b8ea7b13e7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47391389" Type="http://schemas.openxmlformats.org/officeDocument/2006/relationships/image" Target="media/imgrId47391389.png"/><Relationship Id="rId47391390" Type="http://schemas.openxmlformats.org/officeDocument/2006/relationships/image" Target="media/imgrId47391390.png"/><Relationship Id="rId47391391" Type="http://schemas.openxmlformats.org/officeDocument/2006/relationships/image" Target="media/imgrId47391391.png"/><Relationship Id="rId47391392" Type="http://schemas.openxmlformats.org/officeDocument/2006/relationships/image" Target="media/imgrId47391392.png"/><Relationship Id="rId47391393" Type="http://schemas.openxmlformats.org/officeDocument/2006/relationships/image" Target="media/imgrId47391393.png"/><Relationship Id="rId47391394" Type="http://schemas.openxmlformats.org/officeDocument/2006/relationships/image" Target="media/imgrId47391394.png"/><Relationship Id="rId47391395" Type="http://schemas.openxmlformats.org/officeDocument/2006/relationships/image" Target="media/imgrId47391395.png"/><Relationship Id="rId47391396" Type="http://schemas.openxmlformats.org/officeDocument/2006/relationships/image" Target="media/imgrId47391396.png"/><Relationship Id="rId47391397" Type="http://schemas.openxmlformats.org/officeDocument/2006/relationships/image" Target="media/imgrId47391397.png"/><Relationship Id="rId47391398" Type="http://schemas.openxmlformats.org/officeDocument/2006/relationships/image" Target="media/imgrId47391398.png"/><Relationship Id="rId47391399" Type="http://schemas.openxmlformats.org/officeDocument/2006/relationships/image" Target="media/imgrId47391399.png"/><Relationship Id="rId47391400" Type="http://schemas.openxmlformats.org/officeDocument/2006/relationships/image" Target="media/imgrId47391400.png"/><Relationship Id="rId47391401" Type="http://schemas.openxmlformats.org/officeDocument/2006/relationships/image" Target="media/imgrId47391401.png"/><Relationship Id="rId47391402" Type="http://schemas.openxmlformats.org/officeDocument/2006/relationships/image" Target="media/imgrId47391402.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47391388" Type="http://schemas.openxmlformats.org/officeDocument/2006/relationships/image" Target="media/imgrId47391388.png" /></Relationships>
</file>

<file path=word/_rels/evenHeader.xml.rels><?xml version="1.0" encoding="UTF-8" standalone="yes" ?><Relationships xmlns="http://schemas.openxmlformats.org/package/2006/relationships"><Relationship Id="rId47391387" Type="http://schemas.openxmlformats.org/officeDocument/2006/relationships/image" Target="media/imgrId47391387.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