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44197" type="#_x0000_t202" style="position:absolute;mso-position-horizontal:right;width:260pt;height:40pt;z-index:63496370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Deceleration of Dividend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Shashi Kiran Shetty, who retires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Auditor and fixing their remuneration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Shashi Kiran Shetty as Chairman &amp; Managing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789712" type="#_x0000_t202" style="position:absolute;mso-position-horizontal:right;width:260pt;height:40pt;z-index:8121930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299.40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3,773.87</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126,047,762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38.88</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Gateway Distriparks Ltd</w:t>
            </w: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1,137.65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983.93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1,018.64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275.89</w:t>
            </w: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41.56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33.03</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63.69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31.91</w:t>
            </w: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1,179.21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1,016.96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1,082.33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307.79</w:t>
            </w: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236.34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170.96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245.04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136.16</w:t>
            </w: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97.49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56.12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115.55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80.69</w:t>
            </w: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7.42</w:t>
            </w: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w:t>
            </w: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38.74</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19.37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109.65</w:t>
            </w: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20.28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26.68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50.97</w:t>
            </w: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8.57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5.70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11.34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29.25</w:t>
            </w: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Blackstone GPV Capital Partners Mau</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4.44%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Shashi Kiran Shetty</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62.38%</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Blackstone GPV Capital Partners Mau</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4.42%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Shashi Kiran Shetty as Trustee for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3.03%</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Blackstone GPV Capital Partners Mau</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Arathi Shetty</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2.98%</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New Vernon Pvt Equity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2.72%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Adarsh Sudhakar Hegde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0.75%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Acacia Partners I P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Umesh Kumar Shetty</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0.75%</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Blackstone GPV Capital Partners Mau</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Shobha Shetty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0.01%</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Acacia Institutional Partners LP</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Asha Suresh Shetty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0.01%</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437844" type="#_x0000_t202" style="position:absolute;mso-position-horizontal:right;width:260pt;height:40pt;z-index:13089533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Shashi Kiran Janardhan Shetty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528.55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Adarsh Sudhakar Hegde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logistics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319.88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Arathi Shetty</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Akhilesh Krishna Gupta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consulting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Keki Manchersha Elavia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9(5)</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18.45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Mohinder Pal Bansal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7(2)</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Hari Lakshiminarayan Mundra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37.85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Jayaram Ramachandran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Academician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7(4)</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30.95</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Carborundum Universal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Shashi Kiran Janardhan Shetty(60%)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55</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921707" type="#_x0000_t202" style="position:absolute;mso-position-horizontal:right;width:260pt;height:40pt;z-index:41348498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Shashi Kiran Janardhan Shetty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5.29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124.95:1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Adarsh Sudhakar Hegde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3.42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75.62:1</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0" w:after="0" w:line="240" w:lineRule="auto"/>
        <w:ind w:left="0" w:right="0"/>
        <w:jc w:val="both"/>
      </w:pPr>
      <w:r>
        <w:rPr>
          <w:color w:val="000000"/>
          <w:sz w:val="18"/>
          <w:szCs w:val="18"/>
        </w:rPr>
        <w:t xml:space="preserve">The remuneration paid to [executive/managing director] of the Company is [reasonable] given the size and performance of the Company. It can be inferred from the graph that the growth in total shareholders' return is more/less than the growth in remuneration of [Mr. (Managing/Executive Director)] as CAGR of his remuneration is []% whereas CAGR - TSR is []%.</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Allcargo Logistics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Gateway Distriparks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ABCD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Shashi Kiran Janardhan Shetty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Prem Kishan Gupta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XYZ</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5.2855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1.028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97.49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80.69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5.42%</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1.27%</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w:t>
            </w:r>
          </w:p>
        </w:tc>
      </w:tr>
    </w:tbl>
    <w:p>
      <w:r>
        <w:br w:type="page"/>
      </w:r>
    </w:p>
    <w:p>
      <w:r>
        <w:pict>
          <v:shape id="_x0000_s798956" type="#_x0000_t202" style="position:absolute;mso-position-horizontal:right;width:260pt;height:40pt;z-index:8662447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206472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1"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68806142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2"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59860814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7240931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1113011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6926919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7607146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32622419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45729081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87363719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8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29007348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8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343981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8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11836366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83"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82067916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84"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0" w:after="0" w:line="240" w:lineRule="auto"/>
        <w:ind w:left="0" w:right="0"/>
        <w:jc w:val="left"/>
      </w:pPr>
      <w:r>
        <w:rPr>
          <w:color w:val="000000"/>
          <w:sz w:val="20"/>
          <w:szCs w:val="20"/>
        </w:rPr>
        <w:t xml:space="preserve"> </w:t>
      </w:r>
    </w:p>
    <w:p>
      <w:r>
        <w:br w:type="page"/>
      </w:r>
    </w:p>
    <w:p>
      <w:r>
        <w:pict>
          <v:shape id="_x0000_s39864" type="#_x0000_t202" style="position:absolute;mso-position-horizontal:right;width:260pt;height:40pt;z-index:20361949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To receive, consider and adopt:</w:t>
      </w:r>
      <w:r>
        <w:rPr>
          <w:color w:val="000000"/>
          <w:sz w:val="20"/>
          <w:szCs w:val="20"/>
        </w:rPr>
        <w:br/>
        <w:t xml:space="preserve"> a. the Audited Financial Statement of the Company for the financial year ended March 31, 2015 together with the reports of the Directors’ and Auditors’ thereon; and</w:t>
      </w:r>
      <w:r>
        <w:rPr>
          <w:color w:val="000000"/>
          <w:sz w:val="20"/>
          <w:szCs w:val="20"/>
        </w:rPr>
        <w:br/>
        <w:t xml:space="preserve"> b. the Audited Consolidated Financial Statement of the Company for the financial year ended March 31, 2015 together with the report of Auditors’ thereon.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proportion of assets &amp; turnover as per the consolidated accounts, which have not been audited by statutory Auditors represent significant amount of the total assets &amp; turnover. SES is of the opinion that a material portion of the Company's financial statements are audited by other Auditors whose report has been taken as basis for finalization of accounts including consolidated accounts. SES is of the opinion that unless a material portion is audited by Auditors giving audit report on consolidated accounts, in accordance with </w:t>
      </w:r>
      <w:hyperlink r:id="rId887455b9031792777" w:history="1">
        <w:r>
          <w:rPr>
            <w:color w:val="0000CC"/>
            <w:sz w:val="20"/>
            <w:szCs w:val="20"/>
            <w:u w:val="single"/>
            <w:shd w:val="clear" w:color="auto" w:fill="D9D9D9"/>
          </w:rPr>
          <w:t xml:space="preserve">guidelines</w:t>
        </w:r>
      </w:hyperlink>
      <w:r>
        <w:rPr>
          <w:color w:val="000000"/>
          <w:sz w:val="20"/>
          <w:szCs w:val="20"/>
          <w:shd w:val="clear" w:color="auto" w:fill="D9D9D9"/>
        </w:rPr>
        <w:t xml:space="preserve"> of Institute of Chartered Accountants of India, the certifying Auditors cannot be called a Principal Auditors. SES cannot pass any judgment on this issue and recommends that shareholders seek clarifications on the same from the Company and vote based on their own judgment.</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Auditors’ have not made any qualifications in their Report.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The Auditors state that the standalone financial statements give the information required by the Act in the manner so required and give a true and fair view in conformity with the accounting principles generally accepted in India, of the state of affairs of the Company as at 31 March 2015, and its profit and its cash flows for the year ended on that date.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The Auditors did not audit the financial statements of 91 subsidiaries these financial statements have been audited by other auditors whose reports have been furnished to Auditors by the Management and our opinion on the consolidated financial statements, in so far as it relates to the amounts and disclosures included in respect of these subsidiaries, and our report in terms of sub-sections (3) and (11) of Section 143 of the Act, in so far as it relates to the aforesaid subsidiaries, is based solely on the reports of the other auditors.</w:t>
      </w:r>
    </w:p>
    <w:p>
      <w:pPr>
        <w:widowControl w:val="on"/>
        <w:pBdr/>
        <w:spacing w:before="120" w:after="120" w:line="270" w:lineRule="auto"/>
        <w:ind w:left="0" w:right="0"/>
        <w:jc w:val="both"/>
      </w:pPr>
      <w:r>
        <w:rPr>
          <w:color w:val="000000"/>
          <w:sz w:val="20"/>
          <w:szCs w:val="20"/>
        </w:rPr>
        <w:t xml:space="preserve">The Auditors did not audit financial statements of 11 subsidiaries have been audited by one of the joint auditors, Appan &amp; Lokhandwala Associates, Chartered Accountants as We did not audit the financial statements of 6 subsidiaries and 3 jointly controlled entities, These financial statements are unaudited and have been furnished to us by the Management and our opinion on the consolidated financial statements, in so far as it relates to the amounts and disclosures included in respect of these subsidiaries, jointly controlled entities and associates, and our report in terms of sub-sections (3) and (11) of Section 143 of the Act in so far as it relates to the aforesaid subsidiaries, jointly controlled entities and associates, is based solely on such unaudited financial statements. In our opinion and according to the information and explanations given to us by the Management, these financial statements are not material to the Group. considered in the consolidated financial statements, have been audited by one of the joint auditors, Appan &amp; Lokhandwala Associates, Chartered Accountants.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1674.25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4595.47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3.90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changes in accounting policy have been specified by the company.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6.76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6.23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8.51%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129.87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111.25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16.74%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7.24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8.36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1.28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0.88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45.45%</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0.17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0.15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23.55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8.55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57.78%</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473.98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815.02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1280.25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1215.87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67.03%</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120" w:after="120" w:line="270" w:lineRule="auto"/>
        <w:ind w:left="0" w:right="0"/>
        <w:jc w:val="both"/>
      </w:pPr>
      <w:r>
        <w:rPr>
          <w:color w:val="000000"/>
          <w:sz w:val="20"/>
          <w:szCs w:val="20"/>
        </w:rPr>
        <w:t xml:space="preserve">Major portion of contingent liabilities is constituted by Bank Guarantees and Corporate Guarantees given by the Company on behalf of its subsidiaries.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8.62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8.62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Advance given for Purchase of land</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20.67%</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120" w:after="120" w:line="270" w:lineRule="auto"/>
        <w:ind w:left="0" w:right="0"/>
        <w:jc w:val="both"/>
      </w:pPr>
      <w:r>
        <w:rPr>
          <w:color w:val="000000"/>
          <w:sz w:val="20"/>
          <w:szCs w:val="20"/>
        </w:rPr>
        <w:t xml:space="preserve">In the background of information and discussion above, SES is of the opinion that the Statutory Auditors [] are not qualified to act as principal Auditors. SES places reliance on Auditing Standard SA 600, titled "Using the work of another auditor" </w:t>
      </w:r>
      <w:hyperlink r:id="rId121255b9031823770" w:history="1">
        <w:r>
          <w:rPr>
            <w:color w:val="0000CC"/>
            <w:sz w:val="20"/>
            <w:szCs w:val="20"/>
            <w:u w:val="single"/>
          </w:rPr>
          <w:t xml:space="preserve">http://www.icai.org/resource_file/17633Link_39_600SA-AAS10.pdf</w:t>
        </w:r>
      </w:hyperlink>
      <w:r>
        <w:rPr>
          <w:color w:val="000000"/>
          <w:sz w:val="20"/>
          <w:szCs w:val="20"/>
        </w:rPr>
        <w:t xml:space="preserve"> The standard provides following guidelines if work of other auditor is used. 2. The purpose of this Standard on Auditing (SA) is to establish standards to be applied in situations where an auditor (referred to herein as the 'principal auditor'), reporting on the financial information of an entity, uses the work of another auditor (referred to herein as the `other auditor`) with respect to the financial information of one or more components included in the financial information of the entity. This Standard also discusses the principal auditor's responsibility in relation to his use of the work of the other auditor. In this Standard, the term 'financial information' encompasses 'financial statements'. Handbook of Auditing Pronouncements-I 5. When the principal auditor uses the work of another auditor, the principal auditor should determine how the work of the other auditor will affect the audit. 6. "Principal auditor" means the auditor with responsibility for reporting on the financial information of an entity when that financial information includes the financial information of one or more components audited by another auditor. 7. "Other auditor" means an auditor, other than the principal auditor, with responsibility for reporting on the financial information of a component which is included in the financial information audited by the principal auditor. 8. "Component" means a division, branch, subsidiary, joint venture, associated enterprises or other entity whose financial information is included in the financial information audited by the principal auditor. Acceptance as Principal Auditor 9. The auditor should consider whether the auditor's own participation is sufficient to be able to act as the principal auditor. For this purpose the auditor would consider: (a) the materiality of the portion of the financial information which the principal auditor audits; (b) the principal auditor's degree of knowledge regarding the business of the components; (c) the risk of material misstatements in the financial information of the components audited by the other auditor; and (d) the performance of additional procedures as set out in this SA regarding the components audited by other auditor resulting in the principal auditor having significant participation in such audit. When the principal auditor has to base his opinion on the financial information of the entity as a whole relying upon the statements and reports of the other auditors, his report should state clearly the division of responsibility for the financial information of the entity by indicating the extent to which the financial information of components audited by the other auditors have been included in the financial information of the entity, e.g., the number of divisions/branches/subsidiaries or other components audited by other auditors. SES View: SES is of the opinion that Clause 9 of the Auditing Standard SA 600 casts upon the auditor to consider whether the auditor's own participation is sufficient to be able to act as the principal auditor. There are various factors for judging and most important one being "Materiality". SES is not aware how the Auditors are content with the factors indicated in the Auditing Standard SA 600, however, SES is of the opinion that at least on materiality ground, Auditor cannot qualify to be a principal Auditor.</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To declare final dividend on equity shares of the Company for the financial year ended March 31, 2015.</w:t>
      </w:r>
    </w:p>
    <w:p>
      <w:pPr>
        <w:numPr>
          <w:ilvl w:val="0"/>
          <w:numId w:val="1"/>
        </w:numPr>
        <w:spacing w:before="0" w:after="0" w:line="240" w:lineRule="auto"/>
        <w:jc w:val="left"/>
        <w:rPr>
          <w:color w:val="000000"/>
          <w:sz w:val="20"/>
          <w:szCs w:val="20"/>
        </w:rPr>
      </w:pPr>
      <w:r>
        <w:rPr>
          <w:color w:val="000000"/>
          <w:sz w:val="20"/>
          <w:szCs w:val="20"/>
        </w:rPr>
        <w:t xml:space="preserve">The Company has proposed a Dividend of 1.4 per equity share.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Considering the profitable performance of the Company for the year under review,  Directors have recommended a final dividend of ` 1.40 per equity share of ` 2 each fully paid up, representing 70% on the total paid up capital of the Company. The dividend  will absorb a sum of  2,1.24 Crores including dividend distribution tax. During the year under review, your Company had declared and paid an interim dividend of ` 0.60 per equity share of ` 2 each fully paid up, representing 30% on the total paid up capital of the Company amounting to ` 756 Lakhs.</w:t>
      </w:r>
    </w:p>
    <w:p>
      <w:pPr>
        <w:widowControl w:val="on"/>
        <w:pBdr/>
        <w:spacing w:before="120" w:after="120" w:line="270" w:lineRule="auto"/>
        <w:ind w:left="0" w:right="0"/>
        <w:jc w:val="both"/>
      </w:pPr>
      <w:r>
        <w:rPr>
          <w:color w:val="000000"/>
          <w:sz w:val="20"/>
          <w:szCs w:val="20"/>
        </w:rPr>
        <w:t xml:space="preserve">Text if yes</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To appoint Auditors and fix their remuneration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current Auditors, M/s. Appan &amp; Lokhandwala Associates, Chartered Accountant have been associated with the Company for 9 years. Provisions of the Companies Act, 2013 state that Auditors should not have tenure of over 10 years. Although the Companies Act, 2013 and the Rules thereunder provide a transition period of 3 years, SES believes that the Company should rotate its Auditors in ensuing AGM.  The Company has already utilized the transition period available under the act by appointing the Auditors for a term of one year in last AGM concluded on 7th August, 2014. Therefore SES recommends that shareholders vote AGAINST the Resolution. Further, if the Auditors is rotated in the AGM, the new Auditors should be appointed for a period of 5 years (in accordance with the Companies Act, 2013). The audit partner, [], has been associated with the Company for [] years, SES recommends the audit partner should be rotated. As per the MCA voluntary guidelines on corporate governance, Audit partner has to be rotated every three years.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M/s S R Batliboi &amp; Associates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0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Not applicable</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Nt applicable years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Appan &amp; Lokhandwala Associates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9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 Subramanian</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4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Ernst &amp; Young  </w:t>
            </w:r>
          </w:p>
        </w:tc>
      </w:tr>
    </w:tbl>
    <w:p>
      <w:pPr>
        <w:widowControl w:val="on"/>
        <w:pBdr/>
        <w:spacing w:before="200" w:after="200" w:line="240" w:lineRule="auto"/>
        <w:ind w:left="0" w:right="0"/>
        <w:jc w:val="left"/>
      </w:pPr>
      <w:r>
        <w:rPr>
          <w:color w:val="000000"/>
          <w:sz w:val="20"/>
          <w:szCs w:val="20"/>
        </w:rPr>
        <w:t xml:space="preserve">Financial interests in or association with the company: </w:t>
      </w:r>
      <w:r>
        <w:rPr>
          <w:color w:val="000000"/>
          <w:sz w:val="20"/>
          <w:szCs w:val="20"/>
          <w:shd w:val="clear" w:color="auto" w:fill="00B0F0"/>
        </w:rPr>
        <w:t xml:space="preserve">[]</w:t>
      </w:r>
    </w:p>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Case 1: The Auditors was appointed under the Companies Act, 1956 for 1 year, total tenure is less than 5 years and the Company proposes to appoint the exiting Auditors for a period of remaining tenure of first 5 years term: No concern FOR</w:t>
      </w:r>
      <w:r>
        <w:rPr>
          <w:color w:val="000000"/>
          <w:sz w:val="20"/>
          <w:szCs w:val="20"/>
        </w:rPr>
        <w:br/>
        <w:t xml:space="preserve"> Case 2: The Auditors was appointed under the Companies Act, 2013 for 1 year, total tenure is less than 5 years and the Company proposes to appoint the exiting Auditors for a period of remaining tenure of first 5 years term: AGAINST</w:t>
      </w:r>
      <w:r>
        <w:rPr>
          <w:color w:val="000000"/>
          <w:sz w:val="20"/>
          <w:szCs w:val="20"/>
        </w:rPr>
        <w:br/>
        <w:t xml:space="preserve"> Case 3: The Auditors was appointed under the Companies Act, 1956 for 1 year, total tenure is more than 5 years and the Company proposes to appoint the exiting Auditors for a period of remaining tenure of second 5 years term: AGAINST</w:t>
      </w:r>
      <w:r>
        <w:rPr>
          <w:color w:val="000000"/>
          <w:sz w:val="20"/>
          <w:szCs w:val="20"/>
        </w:rPr>
        <w:br/>
        <w:t xml:space="preserve"> Case 4: The Auditors was appointed under the Companies Act, 2013 for 1 year, total tenure is more than 5 years and the Company proposes to appoint the exiting Auditors for a period of remaining tenure of second 5 years term: AGAINST</w:t>
      </w:r>
      <w:r>
        <w:rPr>
          <w:color w:val="000000"/>
          <w:sz w:val="20"/>
          <w:szCs w:val="20"/>
        </w:rPr>
        <w:br/>
        <w:t xml:space="preserve"> Case 5: The Auditors was appointed under the Companies Act, 2013 for 3 years (transition period), and the Company ratifies the appointment the exiting Auditors: AGAINST</w:t>
      </w:r>
      <w:r>
        <w:rPr>
          <w:color w:val="000000"/>
          <w:sz w:val="20"/>
          <w:szCs w:val="20"/>
        </w:rPr>
        <w:br/>
        <w:t xml:space="preserve"> Case 6: The Auditors was appointed under the Companies Act, 2013 for 3 years (transition period), the Company ratifies the appointment the exiting Auditors and seeks approval for appointment of new Auditors in the same resolution: AGAINST</w:t>
      </w:r>
      <w:r>
        <w:rPr>
          <w:color w:val="000000"/>
          <w:sz w:val="20"/>
          <w:szCs w:val="20"/>
        </w:rPr>
        <w:br/>
        <w:t xml:space="preserve"> Case7: The Auditors was appointed under the companies Act,2013 for 3 years (transition period), the Company ratifies and seeks approval for appointment of new Auditors in two different Resolution: For Both Resolution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120" w:after="120" w:line="270" w:lineRule="auto"/>
        <w:ind w:left="0" w:right="0"/>
        <w:jc w:val="both"/>
      </w:pPr>
      <w:r>
        <w:rPr>
          <w:color w:val="000000"/>
          <w:sz w:val="20"/>
          <w:szCs w:val="20"/>
        </w:rPr>
        <w:t xml:space="preserve">Resolution #3: To appoint a director in place of Mr. Shashi Kiran Shetty (DIN:00012754), who retires by rotation and being eligible offers, himself for re-appointment.</w:t>
      </w:r>
    </w:p>
    <w:p>
      <w:pPr>
        <w:widowControl w:val="on"/>
        <w:pBdr/>
        <w:spacing w:before="120" w:after="120" w:line="270" w:lineRule="auto"/>
        <w:ind w:left="0" w:right="0"/>
        <w:jc w:val="both"/>
      </w:pPr>
      <w:r>
        <w:rPr>
          <w:color w:val="000000"/>
          <w:sz w:val="20"/>
          <w:szCs w:val="20"/>
        </w:rPr>
        <w:t xml:space="preserve">Resolution #5:  To consider and approve re-appointment of Mr. Shashi Kiran Shetty (DIN:00012754) as Chairman &amp; Managing Director of the Company for a period of 5 years effective from April 1, 2015 on the terms &amp; conditions and Remuneration as  recommended by the Nomination and remuneration Committee and the Board of Directors of the Company.</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[Director] is a [position] at [company] and a [position] at [company] and therefore, holds two full-time positions. SES is of the opinion that to fulfil his/her responsibilities as a director with due-diligence, an individual should not hold more than one full-time position. Therefore, recommends that shareholders vote AGAISNT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 FOR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proposes to pay to [] crore as minimum remuneration to Executive Directors. The remuneration package includes basic salary, perquisites and allowances and performance based variable pay. SES is of the opinion that performance based pay should depend on internal as well as external benchmarks. The Executive Directors alone cannot be held responsible for losses in FY[]. The Company proposes to pay the entire remuneration as minimum remuneration, including the variable pay and is excessive even after considering the maximum amount payable under Schedule V of the Companies Act, 2013 in case of inadequacy of profit. As a good governance practice the Company should disclose performance evaluation criteria as well as remuneration policy. Shareholders should note that the Company has disclosed that in case of inadequate profits, the Company will pay the entire remuneration (including variable pay) to the director. By paying the entire remuneration as minimum remuneration, the Company proposes to pay its directors generously even if it makes losses. Although compliant with law, such practices are against good governance. SES recommends that minimum remuneration paid to the directors should be subject to Schedule V of the Companies Act, 2013.</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Shashi Kiran Janardhan Shetty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Managing director Allcargo Logistics Limited, Managing Partner SKS Netgate LLP</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Industry Specialist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He is the promoter director and founder of Allcargo Logistics limited. He has more than 3 decades of experience in Logistic Industry.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SR(M),CSR(M),RM(M)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Shashi Kiran Janardhan Shetty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3.2574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5.29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3.1016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3.128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6.5</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Shashi Kiran Janardhan Shetty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Prem Kishan Gupta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Allcargo Logistics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Gateway Distriparks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5.2855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1.028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97.49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80.69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5.42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1.27</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Shashi Kiran Janardhan Shetty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Shashi Kiran Janardhan Shetty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75%</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SHASHI KIRAN JANARDHAN SHETTY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20,00,000 per month</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Board has the power to increase it to 30,00,000 per month</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Not disclosed</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 per the applicable provisions of the Companies Act, 2013</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widowControl w:val="on"/>
        <w:pBdr/>
        <w:spacing w:before="120" w:after="120" w:line="270" w:lineRule="auto"/>
        <w:ind w:left="0" w:right="0"/>
        <w:jc w:val="both"/>
      </w:pPr>
      <w:r>
        <w:rPr>
          <w:color w:val="000000"/>
          <w:sz w:val="20"/>
          <w:szCs w:val="20"/>
        </w:rPr>
        <w:t xml:space="preserve">[#Although minimum remuneration includes variable pay however, the total remuneration paid is not excessive]</w:t>
      </w:r>
    </w:p>
    <w:p>
      <w:r>
        <w:br w:type="page"/>
      </w:r>
    </w:p>
    <w:altChunk xmlns:r="http://schemas.openxmlformats.org/officeDocument/2006/relationships" xmlns:w="http://schemas.openxmlformats.org/wordprocessingml/2006/main" r:id="rDOCXId11">
      <w:altChunkPr>
        <w:matchSrc/>
      </w:altChunkPr>
    </w:altChunk>
    <w:sectPr xmlns:w="http://schemas.openxmlformats.org/wordprocessingml/2006/main" w:rsidR="00AC197E" w:rsidRPr="00DF064E" w:rsidSect="000F6147">
      <w:footerReference xmlns:r="http://schemas.openxmlformats.org/officeDocument/2006/relationships" w:type="even" r:id="rId833055b9031646291"/>
      <w:footerReference xmlns:r="http://schemas.openxmlformats.org/officeDocument/2006/relationships" w:type="default" r:id="rId711555b9031646152"/>
      <w:headerReference xmlns:r="http://schemas.openxmlformats.org/officeDocument/2006/relationships" w:type="even" r:id="rId204955b9031644c0f"/>
      <w:headerReference xmlns:r="http://schemas.openxmlformats.org/officeDocument/2006/relationships" w:type="default" r:id="rId137555b9031644ac9"/>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883759687"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1238057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51594318"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38056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Allcargo Logistics Ltd</w:t>
          </w:r>
        </w:p>
        <w:p>
          <w:pPr>
            <w:jc w:val="right"/>
            <w:spacing w:before="140" w:line="240" w:lineRule="auto"/>
            <w:rPr>
              <w:color w:val="#EB641B"/>
              <w:sz w:val="20"/>
              <w:szCs w:val="20"/>
              <w:u w:val="single"/>
            </w:rPr>
          </w:pPr>
          <w:r>
            <w:fldChar w:fldCharType="begin"/>
          </w:r>
          <w:r>
            <w:instrText xml:space="preserve">HYPERLINK "http://www.allcargologistics.com"</w:instrText>
          </w:r>
          <w:r>
            <w:fldChar w:fldCharType="separate"/>
          </w:r>
          <w:r>
            <w:rPr>
              <w:color w:val="#EB641B"/>
              <w:sz w:val="20"/>
              <w:szCs w:val="20"/>
              <w:u w:val="single"/>
            </w:rPr>
            <w:t xml:space="preserve">www.allcargologistics.com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10</w:t>
          </w:r>
          <w:r>
            <w:rPr>
              <w:color w:val="000000"/>
              <w:position w:val="3"/>
              <w:sz w:val="18"/>
              <w:szCs w:val="18"/>
              <w:vertAlign w:val="superscript"/>
            </w:rPr>
            <w:t xml:space="preserve">th</w:t>
          </w:r>
          <w:r>
            <w:rPr>
              <w:color w:val="000000"/>
              <w:sz w:val="20"/>
              <w:szCs w:val="20"/>
            </w:rPr>
            <w:t xml:space="preserve"> August,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883759687"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1238057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51594318"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38056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Allcargo Logistics Ltd</w:t>
          </w:r>
        </w:p>
        <w:p>
          <w:pPr>
            <w:jc w:val="right"/>
            <w:spacing w:before="140" w:line="240" w:lineRule="auto"/>
            <w:rPr>
              <w:color w:val="#EB641B"/>
              <w:sz w:val="20"/>
              <w:szCs w:val="20"/>
              <w:u w:val="single"/>
            </w:rPr>
          </w:pPr>
          <w:r>
            <w:fldChar w:fldCharType="begin"/>
          </w:r>
          <w:r>
            <w:instrText xml:space="preserve">HYPERLINK "http://www.allcargologistics.com"</w:instrText>
          </w:r>
          <w:r>
            <w:fldChar w:fldCharType="separate"/>
          </w:r>
          <w:r>
            <w:rPr>
              <w:color w:val="#EB641B"/>
              <w:sz w:val="20"/>
              <w:szCs w:val="20"/>
              <w:u w:val="single"/>
            </w:rPr>
            <w:t xml:space="preserve">www.allcargologistics.com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10</w:t>
          </w:r>
          <w:r>
            <w:rPr>
              <w:color w:val="000000"/>
              <w:position w:val="3"/>
              <w:sz w:val="18"/>
              <w:szCs w:val="18"/>
              <w:vertAlign w:val="superscript"/>
            </w:rPr>
            <w:t xml:space="preserve">th</w:t>
          </w:r>
          <w:r>
            <w:rPr>
              <w:color w:val="000000"/>
              <w:sz w:val="20"/>
              <w:szCs w:val="20"/>
            </w:rPr>
            <w:t xml:space="preserve"> August,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947123">
    <w:multiLevelType w:val="hybridMultilevel"/>
    <w:lvl w:ilvl="0" w:tplc="66451885">
      <w:start w:val="1"/>
      <w:numFmt w:val="decimal"/>
      <w:lvlText w:val="%1."/>
      <w:lvlJc w:val="left"/>
      <w:pPr>
        <w:ind w:left="720" w:hanging="360"/>
      </w:pPr>
    </w:lvl>
    <w:lvl w:ilvl="1" w:tplc="66451885" w:tentative="1">
      <w:start w:val="1"/>
      <w:numFmt w:val="lowerLetter"/>
      <w:lvlText w:val="%2."/>
      <w:lvlJc w:val="left"/>
      <w:pPr>
        <w:ind w:left="1440" w:hanging="360"/>
      </w:pPr>
    </w:lvl>
    <w:lvl w:ilvl="2" w:tplc="66451885" w:tentative="1">
      <w:start w:val="1"/>
      <w:numFmt w:val="lowerRoman"/>
      <w:lvlText w:val="%3."/>
      <w:lvlJc w:val="right"/>
      <w:pPr>
        <w:ind w:left="2160" w:hanging="180"/>
      </w:pPr>
    </w:lvl>
    <w:lvl w:ilvl="3" w:tplc="66451885" w:tentative="1">
      <w:start w:val="1"/>
      <w:numFmt w:val="decimal"/>
      <w:lvlText w:val="%4."/>
      <w:lvlJc w:val="left"/>
      <w:pPr>
        <w:ind w:left="2880" w:hanging="360"/>
      </w:pPr>
    </w:lvl>
    <w:lvl w:ilvl="4" w:tplc="66451885" w:tentative="1">
      <w:start w:val="1"/>
      <w:numFmt w:val="lowerLetter"/>
      <w:lvlText w:val="%5."/>
      <w:lvlJc w:val="left"/>
      <w:pPr>
        <w:ind w:left="3600" w:hanging="360"/>
      </w:pPr>
    </w:lvl>
    <w:lvl w:ilvl="5" w:tplc="66451885" w:tentative="1">
      <w:start w:val="1"/>
      <w:numFmt w:val="lowerRoman"/>
      <w:lvlText w:val="%6."/>
      <w:lvlJc w:val="right"/>
      <w:pPr>
        <w:ind w:left="4320" w:hanging="180"/>
      </w:pPr>
    </w:lvl>
    <w:lvl w:ilvl="6" w:tplc="66451885" w:tentative="1">
      <w:start w:val="1"/>
      <w:numFmt w:val="decimal"/>
      <w:lvlText w:val="%7."/>
      <w:lvlJc w:val="left"/>
      <w:pPr>
        <w:ind w:left="5040" w:hanging="360"/>
      </w:pPr>
    </w:lvl>
    <w:lvl w:ilvl="7" w:tplc="66451885" w:tentative="1">
      <w:start w:val="1"/>
      <w:numFmt w:val="lowerLetter"/>
      <w:lvlText w:val="%8."/>
      <w:lvlJc w:val="left"/>
      <w:pPr>
        <w:ind w:left="5760" w:hanging="360"/>
      </w:pPr>
    </w:lvl>
    <w:lvl w:ilvl="8" w:tplc="66451885" w:tentative="1">
      <w:start w:val="1"/>
      <w:numFmt w:val="lowerRoman"/>
      <w:lvlText w:val="%9."/>
      <w:lvlJc w:val="right"/>
      <w:pPr>
        <w:ind w:left="6480" w:hanging="180"/>
      </w:pPr>
    </w:lvl>
  </w:abstractNum>
  <w:abstractNum w:abstractNumId="16947122">
    <w:multiLevelType w:val="hybridMultilevel"/>
    <w:lvl w:ilvl="0" w:tplc="8318230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6947122">
    <w:abstractNumId w:val="16947122"/>
  </w:num>
  <w:num w:numId="16947123">
    <w:abstractNumId w:val="169471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12380570" Type="http://schemas.openxmlformats.org/officeDocument/2006/relationships/image" Target="media/imgrId12380570.png" /></Relationships>
</file>

<file path=word/_rels/defaultHeader.xml.rels><?xml version="1.0" encoding="UTF-8" standalone="yes" ?><Relationships xmlns="http://schemas.openxmlformats.org/package/2006/relationships"><Relationship Id="rId12380569" Type="http://schemas.openxmlformats.org/officeDocument/2006/relationships/image" Target="media/imgrId12380569.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37555b9031644ac9" Type="http://schemas.openxmlformats.org/officeDocument/2006/relationships/header" Target="defaultHeader.xml"/><Relationship Id="rId204955b9031644c0f" Type="http://schemas.openxmlformats.org/officeDocument/2006/relationships/header" Target="evenHeader.xml"/><Relationship Id="rId711555b9031646152" Type="http://schemas.openxmlformats.org/officeDocument/2006/relationships/footer" Target="defaultFooter.xml"/><Relationship Id="rId833055b9031646291"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12380571" Type="http://schemas.openxmlformats.org/officeDocument/2006/relationships/image" Target="media/imgrId12380571.png"/><Relationship Id="rId12380572" Type="http://schemas.openxmlformats.org/officeDocument/2006/relationships/image" Target="media/imgrId12380572.png"/><Relationship Id="rId12380573" Type="http://schemas.openxmlformats.org/officeDocument/2006/relationships/image" Target="media/imgrId12380573.png"/><Relationship Id="rId12380574" Type="http://schemas.openxmlformats.org/officeDocument/2006/relationships/image" Target="media/imgrId12380574.png"/><Relationship Id="rId12380575" Type="http://schemas.openxmlformats.org/officeDocument/2006/relationships/image" Target="media/imgrId12380575.png"/><Relationship Id="rId12380576" Type="http://schemas.openxmlformats.org/officeDocument/2006/relationships/image" Target="media/imgrId12380576.png"/><Relationship Id="rId12380577" Type="http://schemas.openxmlformats.org/officeDocument/2006/relationships/image" Target="media/imgrId12380577.png"/><Relationship Id="rId12380578" Type="http://schemas.openxmlformats.org/officeDocument/2006/relationships/image" Target="media/imgrId12380578.png"/><Relationship Id="rId12380579" Type="http://schemas.openxmlformats.org/officeDocument/2006/relationships/image" Target="media/imgrId12380579.png"/><Relationship Id="rId12380580" Type="http://schemas.openxmlformats.org/officeDocument/2006/relationships/image" Target="media/imgrId12380580.png"/><Relationship Id="rId12380581" Type="http://schemas.openxmlformats.org/officeDocument/2006/relationships/image" Target="media/imgrId12380581.png"/><Relationship Id="rId12380582" Type="http://schemas.openxmlformats.org/officeDocument/2006/relationships/image" Target="media/imgrId12380582.png"/><Relationship Id="rId12380583" Type="http://schemas.openxmlformats.org/officeDocument/2006/relationships/image" Target="media/imgrId12380583.png"/><Relationship Id="rId12380584" Type="http://schemas.openxmlformats.org/officeDocument/2006/relationships/image" Target="media/imgrId12380584.png"/><Relationship Id="rId887455b9031792777" Type="http://schemas.openxmlformats.org/officeDocument/2006/relationships/hyperlink" Target="http://220.227.161.86/17633Link_39_600SA-AAS10.pdf" TargetMode="External"/><Relationship Id="rId121255b9031823770" Type="http://schemas.openxmlformats.org/officeDocument/2006/relationships/hyperlink" Target="http://www.icai.org/resource_file/17633Link_39_600SA-AAS10.pdf" TargetMode="External"/><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12380570" Type="http://schemas.openxmlformats.org/officeDocument/2006/relationships/image" Target="media/imgrId12380570.png" /></Relationships>
</file>

<file path=word/_rels/evenHeader.xml.rels><?xml version="1.0" encoding="UTF-8" standalone="yes" ?><Relationships xmlns="http://schemas.openxmlformats.org/package/2006/relationships"><Relationship Id="rId12380569" Type="http://schemas.openxmlformats.org/officeDocument/2006/relationships/image" Target="media/imgrId12380569.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