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defaultHeader.xml" ContentType="application/vnd.openxmlformats-officedocument.wordprocessingml.header+xml"/>
  <Override PartName="/word/evenHeader.xml" ContentType="application/vnd.openxmlformats-officedocument.wordprocessingml.header+xml"/>
  <Override PartName="/word/defaultFooter.xml" ContentType="application/vnd.openxmlformats-officedocument.wordprocessingml.footer+xml"/>
  <Override PartName="/word/evenFooter.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pict>
          <v:shape id="_x0000_s448797" type="#_x0000_t202" style="position:absolute;mso-position-horizontal:right;width:260pt;height:40pt;z-index:102736331;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tcW w:w="3000" w:type="pct"/>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tcW w:w="7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tcW w:w="4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w:pPr>
        <w:widowControl w:val="on"/>
        <w:pBdr/>
        <w:spacing w:before="100" w:after="100" w:line="240" w:lineRule="auto"/>
        <w:ind w:left="0" w:right="0"/>
        <w:jc w:val="left"/>
      </w:pPr>
      <w:r>
        <w:rPr>
          <w:color w:val="000000"/>
          <w:sz w:val="10"/>
          <w:szCs w:val="10"/>
        </w:rPr>
        <w:t xml:space="preserve"> </w:t>
      </w:r>
    </w:p>
    <w:p>
      <w:pPr>
        <w:widowControl w:val="on"/>
        <w:pBdr/>
        <w:spacing w:before="75" w:after="0" w:line="240" w:lineRule="auto"/>
        <w:ind w:left="0" w:right="0"/>
        <w:jc w:val="left"/>
      </w:pPr>
      <w:r>
        <w:rPr>
          <w:b/>
          <w:bCs/>
          <w:i/>
          <w:iCs/>
          <w:color w:val="000000"/>
          <w:sz w:val="18"/>
          <w:szCs w:val="18"/>
        </w:rPr>
        <w:t xml:space="preserve">#Focus Terminology</w:t>
      </w:r>
    </w:p>
    <w:p>
      <w:pPr>
        <w:widowControl w:val="on"/>
        <w:pBdr/>
        <w:spacing w:before="0"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w:r>
        <w:br w:type="page"/>
      </w:r>
    </w:p>
    <w:p>
      <w:r>
        <w:pict>
          <v:shape id="_x0000_s130038" type="#_x0000_t202" style="position:absolute;mso-position-horizontal:right;width:260pt;height:40pt;z-index:937391443;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w:t>
            </w:r>
          </w:p>
        </w:tc>
      </w:tr>
      <w:tr>
        <w:trPr>
          <w:trHeight w:val="0" w:hRule="atLeast"/>
        </w:trPr>
        <w:tc>
          <w:tcPr>
            <w:tcW w:w="1275"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tc>
        <w:tc>
          <w:tcPr>
            <w:tcW w:w="500" w:type="pct"/>
            <w:tcBorders>
              <w:bottom w:val="single" w:color="000000" w:sz="10"/>
            </w:tcBorders>
            <w:shd w:val="clear" w:color="auto" w:fill="464646"/>
            <w:tcMar>
              <w:top w:w="15" w:type="dxa"/>
              <w:bottom w:w="15" w:type="dxa"/>
            </w:tcMar>
            <w:vAlign w:val="center"/>
          </w:tcPr>
          <w:p/>
        </w:tc>
        <w:tc>
          <w:tcPr>
            <w:tcW w:w="500" w:type="pct"/>
            <w:tcBorders>
              <w:bottom w:val="single" w:color="000000" w:sz="10"/>
            </w:tcBorders>
            <w:shd w:val="clear" w:color="auto" w:fill="464646"/>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Abbott India Ltd</w:t>
            </w:r>
          </w:p>
        </w:tc>
        <w:tc>
          <w:tcPr>
            <w:tcW w:w="1100" w:type="pct"/>
            <w:tcBorders>
              <w:bottom w:val="single" w:color="000000" w:sz="10"/>
            </w:tcBorders>
            <w:shd w:val="clear" w:color="auto" w:fill="464646"/>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tblGrid>
      <w:tr>
        <w:trPr>
          <w:trHeight w:val="0" w:hRule="atLeast"/>
        </w:trPr>
        <w:tc>
          <w:tcPr>
            <w:tcW w:w="2775" w:type="pct"/>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SHAREHOLDERS (MAR'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2200" w:type="pct"/>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(MAR'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(MARCH)</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00"/>
        <w:gridCol w:w="323"/>
        <w:gridCol w:w="4295"/>
      </w:tblGrid>
      <w:tr>
        <w:trPr/>
        <w:tc>
          <w:tcPr>
            <w:tcW w:w="5500" w:type="dxa"/>
            <w:vAlign w:val="center"/>
          </w:tcPr>
          <w:altChunk xmlns:r="http://schemas.openxmlformats.org/officeDocument/2006/relationships" xmlns:w="http://schemas.openxmlformats.org/wordprocessingml/2006/main" r:id="rDOCXId1">
            <w:altChunkPr>
              <w:matchSrc/>
            </w:altChunkPr>
          </w:altChunk>
          <w:p/>
        </w:tc>
        <w:tc>
          <w:tcPr>
            <w:tcW w:w="323" w:type="dxa"/>
            <w:vAlign w:val="center"/>
          </w:tcPr>
          <w:p>
            <w:pPr>
              <w:rPr/>
            </w:pPr>
            <w:r>
              <w:rPr/>
              <w:t xml:space="preserve"/>
            </w:r>
          </w:p>
        </w:tc>
        <w:tc>
          <w:tcPr>
            <w:tcW w:w="4295" w:type="dxa"/>
            <w:vAlign w:val="top"/>
          </w:tcPr>
          <w:p>
            <w:pPr>
              <w:widowControl w:val="on"/>
              <w:pBdr/>
              <w:spacing w:before="120" w:after="120" w:line="270" w:lineRule="auto"/>
              <w:ind w:left="0" w:right="0"/>
              <w:jc w:val="both"/>
            </w:pPr>
            <w:r>
              <w:rPr>
                <w:color w:val="000000"/>
                <w:sz w:val="20"/>
                <w:szCs w:val="20"/>
              </w:rPr>
              <w:t xml:space="preserve">Discussion</w:t>
            </w:r>
          </w:p>
        </w:tc>
      </w:tr>
    </w:tbl>
    <w:p>
      <w:r>
        <w:br w:type="page"/>
      </w:r>
    </w:p>
    <w:p>
      <w:r>
        <w:pict>
          <v:shape id="_x0000_s253648" type="#_x0000_t202" style="position:absolute;mso-position-horizontal:right;width:260pt;height:40pt;z-index:757523767;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Ipca Laboratories Ltd</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rDOCXId2">
            <w:altChunkPr>
              <w:matchSrc/>
            </w:altChunkPr>
          </w:altChunk>
          <w:p/>
        </w:tc>
        <w:tc>
          <w:tcPr>
            <w:tcW w:w="7000" w:type="dxa"/>
            <w:vAlign w:val="center"/>
          </w:tcPr>
          <w:altChunk xmlns:r="http://schemas.openxmlformats.org/officeDocument/2006/relationships" xmlns:w="http://schemas.openxmlformats.org/wordprocessingml/2006/main" r:id="rDOCXId3">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tc>
      </w:tr>
    </w:tbl>
    <w:p>
      <w:r>
        <w:br w:type="column"/>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Stakeholders' Relationship</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Management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TABLE (AS PER SES)</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0</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w:r>
        <w:br w:type="page"/>
      </w:r>
    </w:p>
    <w:p>
      <w:r>
        <w:pict>
          <v:shape id="_x0000_s32389" type="#_x0000_t202" style="position:absolute;mso-position-horizontal:right;width:260pt;height:40pt;z-index:146893393;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tc>
        <w:tc>
          <w:tcPr>
            <w:gridSpan w:val="2"/>
            <w:tcBorders>
              <w:left w:val="single" w:color="FFFFFF" w:sz="5"/>
              <w:bottom w:val="single" w:color="FFFFFF" w:sz="10"/>
            </w:tcBorders>
            <w:shd w:val="clear" w:color="auto" w:fill="464646"/>
            <w:tcMar>
              <w:top w:w="15" w:type="dxa"/>
              <w:bottom w:w="15" w:type="dxa"/>
            </w:tcMar>
            <w:vAlign w:val="center"/>
          </w:tcP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4">
            <w:altChunkPr>
              <w:matchSrc/>
            </w:altChunkPr>
          </w:altChunk>
          <w:p/>
        </w:tc>
        <w:tc>
          <w:tcPr>
            <w:tcW w:w="7000" w:type="dxa"/>
            <w:vAlign w:val="center"/>
          </w:tcPr>
          <w:altChunk xmlns:r="http://schemas.openxmlformats.org/officeDocument/2006/relationships" xmlns:w="http://schemas.openxmlformats.org/wordprocessingml/2006/main" r:id="rDOCXId5">
            <w:altChunkPr>
              <w:matchSrc/>
            </w:altChunkPr>
          </w:altChunk>
          <w:p/>
        </w:tc>
      </w:tr>
    </w:tbl>
    <w:p>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tc>
        <w:tc>
          <w:tcPr>
            <w:tcBorders>
              <w:bottom w:val="single" w:color="FFFFFF" w:sz="10"/>
              <w:right w:val="single" w:color="FFFFFF" w:sz="5"/>
            </w:tcBorders>
            <w:shd w:val="clear" w:color="auto" w:fill="464646"/>
            <w:tcMar>
              <w:top w:w="15" w:type="dxa"/>
              <w:bottom w:w="15" w:type="dxa"/>
            </w:tcMar>
            <w:vAlign w:val="center"/>
          </w:tcPr>
          <w:p/>
        </w:tc>
        <w:tc>
          <w:tcPr>
            <w:tcBorders>
              <w:bottom w:val="single" w:color="FFFFFF" w:sz="10"/>
            </w:tcBorders>
            <w:shd w:val="clear" w:color="auto" w:fill="464646"/>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r>
    </w:tbl>
    <w:p>
      <w:r>
        <w:br w:type="page"/>
      </w:r>
    </w:p>
    <w:p>
      <w:r>
        <w:pict>
          <v:shape id="_x0000_s644386" type="#_x0000_t202" style="position:absolute;mso-position-horizontal:right;width:260pt;height:40pt;z-index:35890247;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w:pPr>
        <w:widowControl w:val="on"/>
        <w:pBdr/>
        <w:spacing w:before="200" w:after="200" w:line="240" w:lineRule="auto"/>
        <w:ind w:left="0" w:right="0"/>
        <w:jc w:val="left"/>
      </w:pPr>
    </w:p>
    <w:tbl>
      <w:tblPr>
        <w:tblStyle w:val="NormalTablePHPDOCX"/>
        <w:tblW w:w="5000" w:type="pct"/>
        <w:tblInd w:w="-1.5" w:type="dxa"/>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w:pPr>
        <w:widowControl w:val="on"/>
        <w:pBdr/>
        <w:spacing w:before="40" w:after="40" w:line="240" w:lineRule="auto"/>
        <w:ind w:left="0" w:right="0"/>
        <w:jc w:val="left"/>
      </w:pPr>
      <w:r>
        <w:rPr>
          <w:color w:val="000000"/>
          <w:sz w:val="4"/>
          <w:szCs w:val="4"/>
        </w:rPr>
        <w:t xml:space="preserve"> </w:t>
      </w:r>
    </w:p>
    <w:tbl>
      <w:tblPr>
        <w:tblStyle w:val="TableGridPHPDOCX"/>
        <w:tblOverlap w:val="never"/>
        <w:tblW w:w="0" w:type="auto"/>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455" w:hRule="atLeast"/>
        </w:trPr>
        <w:tc>
          <w:tcPr>
            <w:tcW w:w="200" w:type="dxa"/>
            <w:tcBorders>
              <w:top w:val="single" w:color="000000" w:sz="13" w:space="0"/>
            </w:tcBorders>
            <w:vAlign w:val="center"/>
          </w:tcPr>
          <w:p>
            <w:r>
              <w:rPr>
                <w:noProof/>
              </w:rPr>
              <w:drawing>
                <wp:inline distT="0" distB="0" distL="0" distR="0">
                  <wp:extent cx="171450" cy="176213"/>
                  <wp:effectExtent l="0" t="0" r="0" b="0"/>
                  <wp:docPr id="951085364"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9980788" cstate="print"/>
                          <a:stretch>
                            <a:fillRect/>
                          </a:stretch>
                        </pic:blipFill>
                        <pic:spPr>
                          <a:xfrm>
                            <a:off x="0" y="0"/>
                            <a:ext cx="171450"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71450" cy="176213"/>
                  <wp:effectExtent l="0" t="0" r="0" b="0"/>
                  <wp:docPr id="666960954"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9980789" cstate="print"/>
                          <a:stretch>
                            <a:fillRect/>
                          </a:stretch>
                        </pic:blipFill>
                        <pic:spPr>
                          <a:xfrm>
                            <a:off x="0" y="0"/>
                            <a:ext cx="171450"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720828812"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9980790"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205274567"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9980791"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627485441"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9980792"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8847178"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9980793"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318930189"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9980794"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916601373"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9980795"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34894465"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9980796"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977747595"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9980797"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416666529"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9980798"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200975596"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9980799"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455" w:hRule="atLeast"/>
        </w:trPr>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34657438"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9980800"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417209470"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9980801"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w:pPr>
        <w:widowControl w:val="on"/>
        <w:pBdr/>
        <w:spacing w:before="0" w:after="0" w:line="240" w:lineRule="auto"/>
        <w:ind w:left="0" w:right="0"/>
        <w:jc w:val="both"/>
      </w:pPr>
      <w:r>
        <w:rPr>
          <w:i/>
          <w:iCs/>
          <w:color w:val="000000"/>
          <w:sz w:val="18"/>
          <w:szCs w:val="18"/>
        </w:rPr>
        <w:t xml:space="preserve">* Not applicable</w:t>
      </w:r>
    </w:p>
    <w:p>
      <w:r>
        <w:br w:type="page"/>
      </w:r>
    </w:p>
    <w:p>
      <w:r>
        <w:pict>
          <v:shape id="_x0000_s977762" type="#_x0000_t202" style="position:absolute;mso-position-horizontal:right;width:260pt;height:40pt;z-index:5404473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6">
            <w:altChunkPr>
              <w:matchSrc/>
            </w:altChunkPr>
          </w:altChunk>
          <w:p/>
        </w:tc>
        <w:tc>
          <w:tcPr>
            <w:tcW w:w="7000" w:type="dxa"/>
            <w:vAlign w:val="center"/>
          </w:tcPr>
          <w:altChunk xmlns:r="http://schemas.openxmlformats.org/officeDocument/2006/relationships" xmlns:w="http://schemas.openxmlformats.org/wordprocessingml/2006/main" r:id="rDOCXId7">
            <w:altChunkPr>
              <w:matchSrc/>
            </w:altChunkPr>
          </w:altChunk>
          <w:p/>
        </w:tc>
      </w:tr>
    </w:tbl>
    <w:p>
      <w:r>
        <w:br w:type="page"/>
      </w:r>
    </w:p>
    <w:p>
      <w:pPr>
        <w:widowControl w:val="on"/>
        <w:pBdr/>
        <w:spacing w:before="20" w:after="20" w:line="240" w:lineRule="auto"/>
        <w:ind w:left="0" w:right="0"/>
        <w:jc w:val="left"/>
      </w:pPr>
      <w:r>
        <w:rPr>
          <w:color w:val="000000"/>
          <w:sz w:val="2"/>
          <w:szCs w:val="2"/>
        </w:rPr>
        <w:t xml:space="preserve"> </w:t>
      </w:r>
    </w:p>
    <w:p>
      <w:pPr>
        <w:pBdr>
          <w:top w:val="single" w:color="F2F2F2" w:sz="2" w:space="3"/>
          <w:bottom w:val="single" w:color="F2F2F2" w:sz="2" w:space="3"/>
        </w:pBdr>
        <w:shd w:val="clear" w:fill="F2F2F2"/>
        <w:spacing w:before="3" w:after="3" w:line="240" w:lineRule="auto"/>
        <w:outlineLvl w:val="2"/>
        <w:rPr>
          <w:b w:val="on"/>
          <w:bCs w:val="on"/>
          <w:color w:val="000000"/>
          <w:sz w:val="20"/>
          <w:szCs w:val="20"/>
        </w:rPr>
      </w:pPr>
      <w:r>
        <w:rPr>
          <w:b w:val="on"/>
          <w:bCs w:val="on"/>
          <w:color w:val="000000"/>
          <w:sz w:val="20"/>
          <w:szCs w:val="20"/>
        </w:rPr>
        <w:t xml:space="preserve"> DISCLAIMERS</w:t>
      </w:r>
    </w:p>
    <w:p>
      <w:pPr>
        <w:widowControl w:val="on"/>
        <w:pBdr/>
        <w:spacing w:before="20" w:after="20" w:line="240" w:lineRule="auto"/>
        <w:ind w:left="0" w:right="0"/>
        <w:jc w:val="left"/>
      </w:pPr>
      <w:r>
        <w:rPr>
          <w:color w:val="000000"/>
          <w:sz w:val="2"/>
          <w:szCs w:val="2"/>
        </w:rPr>
        <w:t xml:space="preserve"> </w:t>
      </w:r>
    </w:p>
    <w:p>
      <w:pPr>
        <w:widowControl w:val="on"/>
        <w:pBdr/>
        <w:spacing w:before="20" w:after="20" w:line="240" w:lineRule="auto"/>
        <w:ind w:left="0" w:right="0"/>
        <w:jc w:val="left"/>
      </w:pPr>
      <w:r>
        <w:rPr>
          <w:color w:val="000000"/>
          <w:sz w:val="2"/>
          <w:szCs w:val="2"/>
        </w:rPr>
        <w:t xml:space="preserve"> </w:t>
      </w:r>
    </w:p>
    <w:p>
      <w:pPr>
        <w:widowControl w:val="on"/>
        <w:pBdr/>
        <w:spacing w:before="20" w:after="20" w:line="240" w:lineRule="auto"/>
        <w:ind w:left="0" w:right="0"/>
        <w:jc w:val="left"/>
      </w:pPr>
      <w:r>
        <w:rPr>
          <w:color w:val="000000"/>
          <w:sz w:val="2"/>
          <w:szCs w:val="2"/>
        </w:rPr>
        <w:t xml:space="preserve"> </w:t>
      </w:r>
    </w:p>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45" w:type="dxa"/>
        <w:tblBorders/>
      </w:tblPr>
      <w:tblGrid>
        <w:gridCol/>
        <w:gridCol/>
      </w:tblGrid>
      <w:tr>
        <w:trPr>
          <w:trHeight w:val="0" w:hRule="atLeast"/>
        </w:trPr>
        <w:tc>
          <w:tcPr>
            <w:tcW w:w="3000" w:type="pct"/>
            <w:tcMar>
              <w:top w:w="15" w:type="dxa"/>
              <w:bottom w:w="15" w:type="dxa"/>
            </w:tcMar>
            <w:vAlign w:val="center"/>
          </w:tcPr>
          <w:tbl>
            <w:tblPr>
              <w:tblStyle w:val="NormalTablePHPDOCX"/>
              <w:tblW w:w="0" w:type="auto"/>
              <w:tblCellSpacing w:w="30" w:type="dxa"/>
              <w:tblInd w:w="0" w:type="auto"/>
              <w:tblBorders/>
            </w:tblPr>
            <w:tblGrid>
              <w:gridCol/>
              <w:gridCol/>
            </w:tblGrid>
            <w:tr>
              <w:trPr>
                <w:trHeight w:val="0" w:hRule="atLeast"/>
              </w:trPr>
              <w:tc>
                <w:tcPr>
                  <w:tcBorders>
                    <w:right w:val="single" w:color="FFFFFF" w:sz="50"/>
                  </w:tcBorders>
                  <w:shd w:val="clear" w:color="auto" w:fill="F2F2F2"/>
                  <w:tcMar>
                    <w:top w:w="75" w:type="dxa"/>
                    <w:bottom w:w="75" w:type="dxa"/>
                  </w:tcMar>
                  <w:vAlign w:val="center"/>
                </w:tcPr>
                <w:p>
                  <w:pPr>
                    <w:widowControl w:val="on"/>
                    <w:pBdr/>
                    <w:spacing w:before="0" w:after="0" w:line="240" w:lineRule="auto"/>
                    <w:ind w:left="0" w:right="0"/>
                    <w:jc w:val="left"/>
                  </w:pPr>
                  <w:r>
                    <w:rPr>
                      <w:color w:val="000000"/>
                      <w:position w:val="-2"/>
                      <w:sz w:val="15"/>
                      <w:szCs w:val="15"/>
                      <w:shd w:val="clear" w:color="auto" w:fill="F2F2F2"/>
                    </w:rPr>
                    <w:t xml:space="preserve">Sources</w:t>
                  </w:r>
                </w:p>
              </w:tc>
              <w:tc>
                <w:tcPr>
                  <w:tcMar>
                    <w:top w:w="15" w:type="dxa"/>
                    <w:bottom w:w="15" w:type="dxa"/>
                  </w:tcMar>
                  <w:vAlign w:val="center"/>
                </w:tcPr>
                <w:p/>
              </w:tc>
            </w:tr>
            <w:tr>
              <w:trPr>
                <w:trHeight w:val="0" w:hRule="atLeast"/>
              </w:trPr>
              <w:tc>
                <w:tcPr>
                  <w:tcW w:w="3750" w:type="pct"/>
                  <w:tcMar>
                    <w:top w:w="15" w:type="dxa"/>
                    <w:bottom w:w="15" w:type="dxa"/>
                  </w:tcMar>
                  <w:vAlign w:val="center"/>
                </w:tcPr>
                <w:p>
                  <w:pPr>
                    <w:widowControl w:val="on"/>
                    <w:pBdr/>
                    <w:spacing w:before="150" w:after="150" w:line="240" w:lineRule="auto"/>
                    <w:ind w:left="0" w:right="0"/>
                    <w:jc w:val="both"/>
                    <w:textAlignment w:val="center"/>
                  </w:pPr>
                  <w:r>
                    <w:rPr>
                      <w:color w:val="000000"/>
                      <w:position w:val="-2"/>
                      <w:sz w:val="15"/>
                      <w:szCs w:val="15"/>
                    </w:rPr>
                    <w:t xml:space="preserve">Only publicly available data has been used while making the report. Our data sources include: BSE, NSE, SEBI, Capitaline, Moneycontrol, Businessweek, Reuters, Annual Reports, IPO Documents and Company Website. </w:t>
                  </w:r>
                </w:p>
              </w:tc>
            </w:tr>
          </w:tbl>
          <w:p/>
        </w:tc>
        <w:tc>
          <w:tcPr>
            <w:tcW w:w="2000" w:type="pct"/>
            <w:tcMar>
              <w:top w:w="15" w:type="dxa"/>
              <w:bottom w:w="15" w:type="dxa"/>
            </w:tcMar>
            <w:vAlign w:val="center"/>
          </w:tcPr>
          <w:tbl>
            <w:tblPr>
              <w:tblStyle w:val="NormalTablePHPDOCX"/>
              <w:tblW w:w="0" w:type="auto"/>
              <w:tblCellSpacing w:w="30" w:type="dxa"/>
              <w:tblInd w:w="0" w:type="auto"/>
              <w:tblBorders/>
            </w:tblPr>
            <w:tblGrid>
              <w:gridCol/>
            </w:tblGrid>
            <w:tr>
              <w:trPr>
                <w:trHeight w:val="0" w:hRule="atLeast"/>
              </w:trPr>
              <w:tc>
                <w:tcPr>
                  <w:shd w:val="clear" w:color="auto" w:fill="F2F2F2"/>
                  <w:tcMar>
                    <w:top w:w="75" w:type="dxa"/>
                    <w:bottom w:w="75" w:type="dxa"/>
                  </w:tcMar>
                  <w:vAlign w:val="center"/>
                </w:tcPr>
                <w:p>
                  <w:pPr>
                    <w:widowControl w:val="on"/>
                    <w:pBdr/>
                    <w:spacing w:before="0" w:after="0" w:line="240" w:lineRule="auto"/>
                    <w:ind w:left="0" w:right="0"/>
                    <w:jc w:val="left"/>
                  </w:pPr>
                  <w:r>
                    <w:rPr>
                      <w:color w:val="000000"/>
                      <w:position w:val="-2"/>
                      <w:sz w:val="15"/>
                      <w:szCs w:val="15"/>
                      <w:shd w:val="clear" w:color="auto" w:fill="F2F2F2"/>
                    </w:rPr>
                    <w:t xml:space="preserve">Company Information</w:t>
                  </w:r>
                </w:p>
              </w:tc>
            </w:tr>
            <w:tr>
              <w:trPr>
                <w:trHeight w:val="0" w:hRule="atLeast"/>
              </w:trPr>
              <w:tc>
                <w:tcPr>
                  <w:tcMar>
                    <w:top w:w="15" w:type="dxa"/>
                    <w:bottom w:w="15" w:type="dxa"/>
                  </w:tcMar>
                  <w:vAlign w:val="center"/>
                </w:tcPr>
                <w:p>
                  <w:pPr>
                    <w:widowControl w:val="on"/>
                    <w:pBdr/>
                    <w:spacing w:before="150" w:after="150" w:line="240" w:lineRule="auto"/>
                    <w:ind w:left="0" w:right="0"/>
                    <w:jc w:val="both"/>
                    <w:textAlignment w:val="center"/>
                  </w:pPr>
                  <w:r>
                    <w:rPr>
                      <w:color w:val="000000"/>
                      <w:position w:val="-2"/>
                      <w:sz w:val="15"/>
                      <w:szCs w:val="15"/>
                    </w:rPr>
                    <w:t xml:space="preserve">This Report or any portion hereof may not be reprinted, sold, reproduced or redistributed without the written consent of Stakeholders Empowerment Services</w:t>
                  </w:r>
                </w:p>
              </w:tc>
            </w:tr>
          </w:tbl>
          <w:p/>
        </w:tc>
      </w:tr>
    </w:tbl>
    <w:sectPr xmlns:w="http://schemas.openxmlformats.org/wordprocessingml/2006/main" w:rsidR="00AC197E" w:rsidRPr="00DF064E" w:rsidSect="000F6147">
      <w:footerReference xmlns:r="http://schemas.openxmlformats.org/officeDocument/2006/relationships" w:type="even" r:id="rId569855b601ebaca2e"/>
      <w:footerReference xmlns:r="http://schemas.openxmlformats.org/officeDocument/2006/relationships" w:type="default" r:id="rId908055b601ebac8d1"/>
      <w:headerReference xmlns:r="http://schemas.openxmlformats.org/officeDocument/2006/relationships" w:type="even" r:id="rId314255b601ebab23c"/>
      <w:headerReference xmlns:r="http://schemas.openxmlformats.org/officeDocument/2006/relationships" w:type="default" r:id="rId312255b601ebab0f9"/>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default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572507559"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79980787"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default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851695772"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9980786"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Ipca Laboratories Ltd</w:t>
          </w:r>
        </w:p>
        <w:p>
          <w:pPr>
            <w:jc w:val="right"/>
            <w:spacing w:before="140" w:line="240" w:lineRule="auto"/>
            <w:rPr>
              <w:color w:val="0000ff"/>
              <w:sz w:val="20"/>
              <w:szCs w:val="20"/>
              <w:u w:val="single"/>
            </w:rPr>
          </w:pPr>
          <w:r>
            <w:fldChar w:fldCharType="begin"/>
          </w:r>
          <w:r>
            <w:instrText xml:space="preserve">HYPERLINK "http://www.ipca.com"</w:instrText>
          </w:r>
          <w:r>
            <w:fldChar w:fldCharType="separate"/>
          </w:r>
          <w:r>
            <w:rPr>
              <w:color w:val="0000ff"/>
              <w:sz w:val="20"/>
              <w:szCs w:val="20"/>
              <w:u w:val="single"/>
            </w:rPr>
            <w:t xml:space="preserve">www.ipca.com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30</w:t>
          </w:r>
          <w:r>
            <w:rPr>
              <w:color w:val="000000"/>
              <w:position w:val="3"/>
              <w:sz w:val="18"/>
              <w:szCs w:val="18"/>
              <w:vertAlign w:val="superscript"/>
            </w:rPr>
            <w:t xml:space="preserve">th</w:t>
          </w:r>
          <w:r>
            <w:rPr>
              <w:color w:val="000000"/>
              <w:sz w:val="20"/>
              <w:szCs w:val="20"/>
            </w:rPr>
            <w:t xml:space="preserve"> November, -0001</w:t>
          </w:r>
        </w:p>
      </w:tc>
    </w:tr>
  </w:tbl>
  <w:p>
    <w:r>
      <w:rPr>
        <w:noProof/>
      </w:rPr>
      <w:pict>
        <v:shape id="WordPictureWatermark665555b601ece0c48" type="#_x0000_t75" style="position:absolute;margin-left:0;margin-top:0;width:780;height:900;z-index:-251656192;mso-position-horizontal:center;mso-position-horizontal-relative:margin;mso-position-vertical:center;mso-position-vertical-relative:margin" o:allowincell="f">
          <v:imagedata r:id="rId665555b601ece0c48" o:title="859655b601ece215c"/>
        </v:shape>
      </w:pict>
    </w:r>
  </w:p>
</w:hdr>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even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572507559"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79980787"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even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851695772"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9980786"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Ipca Laboratories Ltd</w:t>
          </w:r>
        </w:p>
        <w:p>
          <w:pPr>
            <w:jc w:val="right"/>
            <w:spacing w:before="140" w:line="240" w:lineRule="auto"/>
            <w:rPr>
              <w:color w:val="0000ff"/>
              <w:sz w:val="20"/>
              <w:szCs w:val="20"/>
              <w:u w:val="single"/>
            </w:rPr>
          </w:pPr>
          <w:r>
            <w:fldChar w:fldCharType="begin"/>
          </w:r>
          <w:r>
            <w:instrText xml:space="preserve">HYPERLINK "http://www.ipca.com"</w:instrText>
          </w:r>
          <w:r>
            <w:fldChar w:fldCharType="separate"/>
          </w:r>
          <w:r>
            <w:rPr>
              <w:color w:val="0000ff"/>
              <w:sz w:val="20"/>
              <w:szCs w:val="20"/>
              <w:u w:val="single"/>
            </w:rPr>
            <w:t xml:space="preserve">www.ipca.com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30</w:t>
          </w:r>
          <w:r>
            <w:rPr>
              <w:color w:val="000000"/>
              <w:position w:val="3"/>
              <w:sz w:val="18"/>
              <w:szCs w:val="18"/>
              <w:vertAlign w:val="superscript"/>
            </w:rPr>
            <w:t xml:space="preserve">th</w:t>
          </w:r>
          <w:r>
            <w:rPr>
              <w:color w:val="000000"/>
              <w:sz w:val="20"/>
              <w:szCs w:val="20"/>
            </w:rPr>
            <w:t xml:space="preserve"> November, -0001</w:t>
          </w:r>
        </w:p>
      </w:tc>
    </w:tr>
  </w:tbl>
  <w:p>
    <w:r>
      <w:rPr>
        <w:noProof/>
      </w:rPr>
      <w:pict>
        <v:shape id="WordPictureWatermark665555b601ece0c48" type="#_x0000_t75" style="position:absolute;margin-left:0;margin-top:0;width:780;height:900;z-index:-251656192;mso-position-horizontal:center;mso-position-horizontal-relative:margin;mso-position-vertical:center;mso-position-vertical-relative:margin" o:allowincell="f">
          <v:imagedata r:id="rId665555b601ece0c48" o:title="577955b601ece1d53"/>
        </v:shape>
      </w:pict>
    </w:r>
  </w:p>
</w:hdr>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875240">
    <w:multiLevelType w:val="hybridMultilevel"/>
    <w:lvl w:ilvl="0" w:tplc="22014456">
      <w:start w:val="1"/>
      <w:numFmt w:val="decimal"/>
      <w:lvlText w:val="%1."/>
      <w:lvlJc w:val="left"/>
      <w:pPr>
        <w:ind w:left="720" w:hanging="360"/>
      </w:pPr>
    </w:lvl>
    <w:lvl w:ilvl="1" w:tplc="22014456" w:tentative="1">
      <w:start w:val="1"/>
      <w:numFmt w:val="lowerLetter"/>
      <w:lvlText w:val="%2."/>
      <w:lvlJc w:val="left"/>
      <w:pPr>
        <w:ind w:left="1440" w:hanging="360"/>
      </w:pPr>
    </w:lvl>
    <w:lvl w:ilvl="2" w:tplc="22014456" w:tentative="1">
      <w:start w:val="1"/>
      <w:numFmt w:val="lowerRoman"/>
      <w:lvlText w:val="%3."/>
      <w:lvlJc w:val="right"/>
      <w:pPr>
        <w:ind w:left="2160" w:hanging="180"/>
      </w:pPr>
    </w:lvl>
    <w:lvl w:ilvl="3" w:tplc="22014456" w:tentative="1">
      <w:start w:val="1"/>
      <w:numFmt w:val="decimal"/>
      <w:lvlText w:val="%4."/>
      <w:lvlJc w:val="left"/>
      <w:pPr>
        <w:ind w:left="2880" w:hanging="360"/>
      </w:pPr>
    </w:lvl>
    <w:lvl w:ilvl="4" w:tplc="22014456" w:tentative="1">
      <w:start w:val="1"/>
      <w:numFmt w:val="lowerLetter"/>
      <w:lvlText w:val="%5."/>
      <w:lvlJc w:val="left"/>
      <w:pPr>
        <w:ind w:left="3600" w:hanging="360"/>
      </w:pPr>
    </w:lvl>
    <w:lvl w:ilvl="5" w:tplc="22014456" w:tentative="1">
      <w:start w:val="1"/>
      <w:numFmt w:val="lowerRoman"/>
      <w:lvlText w:val="%6."/>
      <w:lvlJc w:val="right"/>
      <w:pPr>
        <w:ind w:left="4320" w:hanging="180"/>
      </w:pPr>
    </w:lvl>
    <w:lvl w:ilvl="6" w:tplc="22014456" w:tentative="1">
      <w:start w:val="1"/>
      <w:numFmt w:val="decimal"/>
      <w:lvlText w:val="%7."/>
      <w:lvlJc w:val="left"/>
      <w:pPr>
        <w:ind w:left="5040" w:hanging="360"/>
      </w:pPr>
    </w:lvl>
    <w:lvl w:ilvl="7" w:tplc="22014456" w:tentative="1">
      <w:start w:val="1"/>
      <w:numFmt w:val="lowerLetter"/>
      <w:lvlText w:val="%8."/>
      <w:lvlJc w:val="left"/>
      <w:pPr>
        <w:ind w:left="5760" w:hanging="360"/>
      </w:pPr>
    </w:lvl>
    <w:lvl w:ilvl="8" w:tplc="22014456" w:tentative="1">
      <w:start w:val="1"/>
      <w:numFmt w:val="lowerRoman"/>
      <w:lvlText w:val="%9."/>
      <w:lvlJc w:val="right"/>
      <w:pPr>
        <w:ind w:left="6480" w:hanging="180"/>
      </w:pPr>
    </w:lvl>
  </w:abstractNum>
  <w:abstractNum w:abstractNumId="10875239">
    <w:multiLevelType w:val="hybridMultilevel"/>
    <w:lvl w:ilvl="0" w:tplc="5955875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10875239">
    <w:abstractNumId w:val="10875239"/>
  </w:num>
  <w:num w:numId="10875240">
    <w:abstractNumId w:val="108752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evenAndOddHeaders/>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efaultFooter.xml.rels><?xml version="1.0" encoding="UTF-8" standalone="yes" ?><Relationships xmlns="http://schemas.openxmlformats.org/package/2006/relationships"><Relationship Id="rId79980787" Type="http://schemas.openxmlformats.org/officeDocument/2006/relationships/image" Target="media/imgrId79980787.png" /></Relationships>
</file>

<file path=word/_rels/defaultHeader.xml.rels><?xml version="1.0" encoding="UTF-8" standalone="yes"?>
<Relationships xmlns="http://schemas.openxmlformats.org/package/2006/relationships"><Relationship Id="rId79980786" Type="http://schemas.openxmlformats.org/officeDocument/2006/relationships/image" Target="media/imgrId79980786.png"/><Relationship Id="rId665555b601ece0c48" Type="http://schemas.openxmlformats.org/officeDocument/2006/relationships/image" Target="media/image665555b601ece0c48.png"/></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312255b601ebab0f9" Type="http://schemas.openxmlformats.org/officeDocument/2006/relationships/header" Target="defaultHeader.xml"/><Relationship Id="rId314255b601ebab23c" Type="http://schemas.openxmlformats.org/officeDocument/2006/relationships/header" Target="evenHeader.xml"/><Relationship Id="rId908055b601ebac8d1" Type="http://schemas.openxmlformats.org/officeDocument/2006/relationships/footer" Target="defaultFooter.xml"/><Relationship Id="rId569855b601ebaca2e" Type="http://schemas.openxmlformats.org/officeDocument/2006/relationships/footer" Target="evenFooter.xml"/><Relationship Id="rDOCXId1" Type="http://schemas.openxmlformats.org/officeDocument/2006/relationships/aFChunk" Target="docx1.zip" TargetMode="Internal"/><Relationship Id="rDOCXId2" Type="http://schemas.openxmlformats.org/officeDocument/2006/relationships/aFChunk" Target="docx2.zip" TargetMode="Internal"/><Relationship Id="rDOCXId3" Type="http://schemas.openxmlformats.org/officeDocument/2006/relationships/aFChunk" Target="docx3.zip" TargetMode="Internal"/><Relationship Id="rDOCXId4" Type="http://schemas.openxmlformats.org/officeDocument/2006/relationships/aFChunk" Target="docx4.zip" TargetMode="Internal"/><Relationship Id="rDOCXId5" Type="http://schemas.openxmlformats.org/officeDocument/2006/relationships/aFChunk" Target="docx5.zip" TargetMode="Internal"/><Relationship Id="rId79980788" Type="http://schemas.openxmlformats.org/officeDocument/2006/relationships/image" Target="media/imgrId79980788.png"/><Relationship Id="rId79980789" Type="http://schemas.openxmlformats.org/officeDocument/2006/relationships/image" Target="media/imgrId79980789.png"/><Relationship Id="rId79980790" Type="http://schemas.openxmlformats.org/officeDocument/2006/relationships/image" Target="media/imgrId79980790.png"/><Relationship Id="rId79980791" Type="http://schemas.openxmlformats.org/officeDocument/2006/relationships/image" Target="media/imgrId79980791.png"/><Relationship Id="rId79980792" Type="http://schemas.openxmlformats.org/officeDocument/2006/relationships/image" Target="media/imgrId79980792.png"/><Relationship Id="rId79980793" Type="http://schemas.openxmlformats.org/officeDocument/2006/relationships/image" Target="media/imgrId79980793.png"/><Relationship Id="rId79980794" Type="http://schemas.openxmlformats.org/officeDocument/2006/relationships/image" Target="media/imgrId79980794.png"/><Relationship Id="rId79980795" Type="http://schemas.openxmlformats.org/officeDocument/2006/relationships/image" Target="media/imgrId79980795.png"/><Relationship Id="rId79980796" Type="http://schemas.openxmlformats.org/officeDocument/2006/relationships/image" Target="media/imgrId79980796.png"/><Relationship Id="rId79980797" Type="http://schemas.openxmlformats.org/officeDocument/2006/relationships/image" Target="media/imgrId79980797.png"/><Relationship Id="rId79980798" Type="http://schemas.openxmlformats.org/officeDocument/2006/relationships/image" Target="media/imgrId79980798.png"/><Relationship Id="rId79980799" Type="http://schemas.openxmlformats.org/officeDocument/2006/relationships/image" Target="media/imgrId79980799.png"/><Relationship Id="rId79980800" Type="http://schemas.openxmlformats.org/officeDocument/2006/relationships/image" Target="media/imgrId79980800.png"/><Relationship Id="rId79980801" Type="http://schemas.openxmlformats.org/officeDocument/2006/relationships/image" Target="media/imgrId79980801.png"/><Relationship Id="rDOCXId6" Type="http://schemas.openxmlformats.org/officeDocument/2006/relationships/aFChunk" Target="docx6.zip" TargetMode="Internal"/><Relationship Id="rDOCXId7" Type="http://schemas.openxmlformats.org/officeDocument/2006/relationships/aFChunk" Target="docx7.zip" TargetMode="Internal"/></Relationships>

</file>

<file path=word/_rels/endnotes.xml.rels><?xml version="1.0" encoding="UTF-8" standalone="yes"?>
<Relationships xmlns="http://schemas.openxmlformats.org/package/2006/relationships"></Relationships>
</file>

<file path=word/_rels/evenFooter.xml.rels><?xml version="1.0" encoding="UTF-8" standalone="yes" ?><Relationships xmlns="http://schemas.openxmlformats.org/package/2006/relationships"><Relationship Id="rId79980787" Type="http://schemas.openxmlformats.org/officeDocument/2006/relationships/image" Target="media/imgrId79980787.png" /></Relationships>
</file>

<file path=word/_rels/evenHeader.xml.rels><?xml version="1.0" encoding="UTF-8" standalone="yes"?>
<Relationships xmlns="http://schemas.openxmlformats.org/package/2006/relationships"><Relationship Id="rId79980786" Type="http://schemas.openxmlformats.org/officeDocument/2006/relationships/image" Target="media/imgrId79980786.png"/><Relationship Id="rId665555b601ece0c48" Type="http://schemas.openxmlformats.org/officeDocument/2006/relationships/image" Target="media/image665555b601ece0c48.png"/></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