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175440" type="#_x0000_t202" style="position:absolute;mso-position-horizontal:right;width:260pt;height:40pt;z-index:3465487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Confirmation of Interim dividend &amp; approval for final dividend for FY 14/15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T K Kurien as a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AGAINST</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Azim H Premji as Executive Chairman and Managing Director of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Rishad Azim Premji as whole time director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636505" type="#_x0000_t202" style="position:absolute;mso-position-horizontal:right;width:260pt;height:40pt;z-index:75626708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552.35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1,36,390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2,46,90,43,038</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16.55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39,133.30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33,517.30</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1,235.10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1,034.50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40,368.40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34,551.80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3,337.00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4,466.73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10,344.90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7,906.40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7,387.40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5,650.20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35.33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24.64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 Partner Represen</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Premji Trust</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15.02%</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Premji Foundation (I) Pvt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Yasmeen A Premji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0.04%</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595344" type="#_x0000_t202" style="position:absolute;mso-position-horizontal:right;width:260pt;height:40pt;z-index:79564596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Azim H. Premji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476.83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Azim H. Premji</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476.83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Rishad Premji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166.68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 K Kurien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894.16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Ashok S. Ganguly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Ireena Vittal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29.1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William Arthur Owens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Narayanan Vaghul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44.46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Jagdish N. Sheth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 K. Sharma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30.56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Vyomesh Joshi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20.2</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Wipro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66.67%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66.67%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 K. Sharma(50)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69</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16412" type="#_x0000_t202" style="position:absolute;mso-position-horizontal:right;width:260pt;height:40pt;z-index:39538147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6.96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169.63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3.99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89.01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Rishad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Azim H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 Sikka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 Chadrasekaran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21.28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19256.96</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0.06%</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r>
    </w:tbl>
    <w:p>
      <w:r>
        <w:br w:type="page"/>
      </w:r>
    </w:p>
    <w:p>
      <w:r>
        <w:pict>
          <v:shape id="_x0000_s725913" type="#_x0000_t202" style="position:absolute;mso-position-horizontal:right;width:260pt;height:40pt;z-index:83076593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67801143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4"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63860373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5"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721980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6324414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84354575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2972282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9947961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97611820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89301185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5700662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8352741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7980763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1367797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6"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0340762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68935087"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No Qualification was made by the Auditors</w:t>
      </w:r>
    </w:p>
    <w:p>
      <w:r>
        <w:br w:type="page"/>
      </w:r>
    </w:p>
    <w:p>
      <w:r>
        <w:pict>
          <v:shape id="_x0000_s234986" type="#_x0000_t202" style="position:absolute;mso-position-horizontal:right;width:260pt;height:40pt;z-index:15268747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audited Financial Statements (including consolidated Financial Statements) for the Financial Year ended 31</w:t>
      </w:r>
      <w:r>
        <w:rPr>
          <w:color w:val="000000"/>
          <w:position w:val="3"/>
          <w:sz w:val="18"/>
          <w:szCs w:val="18"/>
          <w:vertAlign w:val="superscript"/>
        </w:rPr>
        <w:t xml:space="preserve">st</w:t>
      </w:r>
      <w:r>
        <w:rPr>
          <w:color w:val="000000"/>
          <w:sz w:val="20"/>
          <w:szCs w:val="20"/>
        </w:rPr>
        <w:t xml:space="preserve"> March, 2015 and reports of the Board of Directors and the Audiotrs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qualification.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not made any qualification.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No concern has been raised by the Audiotors.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Without qualifying thier opinion, the Auditors have drawn attention to note 28 to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Without qualifying their opinion, the Auditors have drawn attention to note 28 to the consolidated financial statements that describes the principles of Accounting Standard (AS) 30, Financial Instruments: Recognition and Measurements, applied by the Group on certain foreign currency borrowing designated as a hedging instrument to hed</w:t>
      </w:r>
      <w:r>
        <w:rPr>
          <w:rFonts w:ascii="georgia" w:hAnsi="georgia" w:eastAsia="georgia" w:cs="georgia"/>
          <w:color w:val="000000"/>
          <w:sz w:val="20"/>
          <w:szCs w:val="20"/>
        </w:rPr>
        <w:t xml:space="preserve">ge its net investment in a non-integral foreign operations, These principles of AS 30, are yet to be notified under </w:t>
      </w:r>
      <w:r>
        <w:rPr>
          <w:color w:val="000000"/>
          <w:sz w:val="20"/>
          <w:szCs w:val="20"/>
        </w:rPr>
        <w:t xml:space="preserve">Section 133 of the Act, read with Rule 7 of the Companies (Accounts) Rules, 2014. Had the Group not applied the principles of AS 30, the profit after taxation for the year ended March 31, 2015 would have been lower by ` 390 million.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85.96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169.80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No discussion by the Company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222.83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142.83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Ratio increased due to decrease in interest expense by `100 million during the year ended March 31, 2015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27.63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2935.90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2732.00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34621.60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29355.90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8.48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9.31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1090.40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1780.80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Includes loans given to subsidiaries of the Company including interest accrued, where applicable and inter-corporate deposits with subsidiary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2220.90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Confirmation of interim Dividend paid during the year 2014-15 and declaration of final Dividend for 2014-15 on equity shares.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sufficient cash to pay the dividend.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Analysis text if yes</w:t>
      </w:r>
    </w:p>
    <w:p>
      <w:pPr>
        <w:widowControl w:val="on"/>
        <w:pBdr/>
        <w:spacing w:before="120" w:after="120" w:line="270" w:lineRule="auto"/>
        <w:ind w:left="0" w:right="0"/>
        <w:jc w:val="both"/>
      </w:pPr>
      <w:r>
        <w:rPr>
          <w:color w:val="000000"/>
          <w:sz w:val="20"/>
          <w:szCs w:val="20"/>
        </w:rPr>
        <w:t xml:space="preserve">The Company [has/does not have] sufficient cash and cash equivalents including short-term liquid investments/ operating cash flow to pay the dividends. The Company [has/has not] made losses in the previous financial year. The Company [has/has not] defaulted in any of its debt obligations.</w:t>
      </w:r>
    </w:p>
    <w:p>
      <w:pPr>
        <w:widowControl w:val="on"/>
        <w:pBdr/>
        <w:spacing w:before="120" w:after="120" w:line="270" w:lineRule="auto"/>
        <w:ind w:left="0" w:right="0"/>
        <w:jc w:val="both"/>
      </w:pPr>
      <w:r>
        <w:rPr>
          <w:color w:val="000000"/>
          <w:sz w:val="20"/>
          <w:szCs w:val="20"/>
        </w:rPr>
        <w:t xml:space="preserve">Look at extraordinary items.</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Board has proposed a final cash dividend of ` 7.00 per equity share and ADR. If approved, it would result in a cash outflow of approximately ` 2,073.90 crore, including corporate dividend tax thereon. This is in addition to the interim dividend of ` 5.00 per equity share and ADR declared in January 2015. After maintaining a steady dividend payout ratio of 31%, 35% and 36% for the years 2013-14, 2012-13 and 2011-12, the Board has considered the need of liquidity and strategic requirements, enhanced the dividend payout ratio in 2014-15 to 41.78%. The Company has sufficient cash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Re-appointment of M/s BSR &amp; Co. LLP (Registration No. 101248W/W-100022 with the ICAI), Chartered Accountants, as Auditors of the Company</w:t>
      </w:r>
    </w:p>
    <w:p>
      <w:pPr>
        <w:numPr>
          <w:ilvl w:val="0"/>
          <w:numId w:val="1"/>
        </w:numPr>
        <w:spacing w:before="0" w:after="0" w:line="240" w:lineRule="auto"/>
        <w:jc w:val="left"/>
        <w:rPr>
          <w:color w:val="000000"/>
          <w:sz w:val="20"/>
          <w:szCs w:val="20"/>
        </w:rPr>
      </w:pPr>
      <w:r>
        <w:rPr>
          <w:color w:val="000000"/>
          <w:sz w:val="20"/>
          <w:szCs w:val="20"/>
        </w:rPr>
        <w:t xml:space="preserve">for a term of one year</w:t>
      </w:r>
    </w:p>
    <w:p>
      <w:pPr>
        <w:widowControl w:val="on"/>
        <w:pBdr/>
        <w:spacing w:before="120" w:after="120" w:line="270" w:lineRule="auto"/>
        <w:ind w:left="0" w:right="0"/>
        <w:jc w:val="both"/>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M/s BSR &amp; Co. LLP, have been associated with the Company for 10 years. Provisions of the Companies Act, 2013 states that Auditors should not have tenure of over 10 years. Although the Companies Act, 2013 and the Rules thereunder provide a transition period of 3 years, SES believes that the Company should rotate its Auditors in ensuing AGM. The Company has already utilized the transition period available under the Act by appointing the Auditors for one year in last AGM concluded on 23rd July, 2014. Therefore, SES recommends that shareholders vote AGAINST the Resolution. Further, if the Auditors is rotated in the AGM, the new Auditors should be appointed for a period of 5 years (in accordance with the Companies Act, 2013).</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BSR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Supreet Sachdev</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#3: Re-appointment of Mr. T K Kurien (DIN 03009368), director who retires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with respect to the profile, time commitments and performance of Mr. T K Kurien.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limits have been placed on perquisites and variable pay to Mr. Azim Premji. However since, the remuneration paid to him in the previous years is uniform and not excessive, SES is not raising any concern.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Mr. Azim Premji, who was appointed Chairman and Managing Director by the members to hold office upto July 30, 2015 will attain the age of 70 years on July 24, 2015 and hence continuation of his employment as Executive Chairman and Managing Director requires the approval of members by way of a special resolution. </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196(3) of the Companies Act, 2013 provides that no company shall continue the employment of a person who has attained the age of 70 years, as Managing Director, Whole time director or Manager unless it is approved by the members by passing a special resolution. </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stated that keeping in view that Mr. Azim H Premji has rich and varied experience in the Industry and has been involved in the operations of the Company over a long period of time, it would be in the interest of the Company to continue the employment of Mr. Azim H Premji as Executive Chairman and Managing Director designated as Executive Chairman. Therefore, no concern has been identified in this regard.</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profile and appointment of Mr. Rashi Premji.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Whole Time Director, Wipro Ltd.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Managing Director, Wipro Ltd.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Whole Time Director, Wipro Ltd.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 COM, CA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B.E(Electrical Engg)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MBA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Finance, Sales and Management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More than four decades of managerial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Economics, Finance &amp; Business Administration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None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6.965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4.2009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3.2175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Rishad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 Sikka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Wipro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8.9416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8193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12164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0.04</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@All directorships and full-time positions held by Mr. Premji are at private limited related party companies. Therefore, SES is not raising any concern.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T K KURIEN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AZIM H. PREMJI</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2.50 lacs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None</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no</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Special Allowance: 1.10 lacs per month</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None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 the event of absence or inadequacy of profits in any financial year during the tenure of the Chai</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RISHAD PREMJI</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4,16,600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Contribution to retirals: 1,22,195 per month</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no</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3,01,336 per month</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No</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SES is not raising any concern has been identified regading the profile of Mr. T K Kurien. </w:t>
      </w:r>
    </w:p>
    <w:sectPr xmlns:w="http://schemas.openxmlformats.org/wordprocessingml/2006/main" w:rsidR="00AC197E" w:rsidRPr="00DF064E" w:rsidSect="000F6147">
      <w:footerReference xmlns:r="http://schemas.openxmlformats.org/officeDocument/2006/relationships" w:type="even" r:id="rId3378559fb5db35d61"/>
      <w:footerReference xmlns:r="http://schemas.openxmlformats.org/officeDocument/2006/relationships" w:type="default" r:id="rId9651559fb5db35cc3"/>
      <w:headerReference xmlns:r="http://schemas.openxmlformats.org/officeDocument/2006/relationships" w:type="even" r:id="rId5000559fb5db35627"/>
      <w:headerReference xmlns:r="http://schemas.openxmlformats.org/officeDocument/2006/relationships" w:type="default" r:id="rId3833559fb5db35561"/>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411286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68935073"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283164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8935072"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2231559fb5e0aaa2a" type="#_x0000_t75" style="position:absolute;margin-left:0;margin-top:0;width:780;height:900;z-index:-251656192;mso-position-horizontal:center;mso-position-horizontal-relative:margin;mso-position-vertical:center;mso-position-vertical-relative:margin" o:allowincell="f">
          <v:imagedata r:id="rId2231559fb5e0aaa2a" o:title="4416559fb5e0aca41"/>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411286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68935073"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283164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8935072"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2231559fb5e0aaa2a" type="#_x0000_t75" style="position:absolute;margin-left:0;margin-top:0;width:780;height:900;z-index:-251656192;mso-position-horizontal:center;mso-position-horizontal-relative:margin;mso-position-vertical:center;mso-position-vertical-relative:margin" o:allowincell="f">
          <v:imagedata r:id="rId2231559fb5e0aaa2a" o:title="7180559fb5e0aba42"/>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706844">
    <w:multiLevelType w:val="hybridMultilevel"/>
    <w:lvl w:ilvl="0" w:tplc="62505804">
      <w:start w:val="1"/>
      <w:numFmt w:val="decimal"/>
      <w:lvlText w:val="%1."/>
      <w:lvlJc w:val="left"/>
      <w:pPr>
        <w:ind w:left="720" w:hanging="360"/>
      </w:pPr>
    </w:lvl>
    <w:lvl w:ilvl="1" w:tplc="62505804" w:tentative="1">
      <w:start w:val="1"/>
      <w:numFmt w:val="lowerLetter"/>
      <w:lvlText w:val="%2."/>
      <w:lvlJc w:val="left"/>
      <w:pPr>
        <w:ind w:left="1440" w:hanging="360"/>
      </w:pPr>
    </w:lvl>
    <w:lvl w:ilvl="2" w:tplc="62505804" w:tentative="1">
      <w:start w:val="1"/>
      <w:numFmt w:val="lowerRoman"/>
      <w:lvlText w:val="%3."/>
      <w:lvlJc w:val="right"/>
      <w:pPr>
        <w:ind w:left="2160" w:hanging="180"/>
      </w:pPr>
    </w:lvl>
    <w:lvl w:ilvl="3" w:tplc="62505804" w:tentative="1">
      <w:start w:val="1"/>
      <w:numFmt w:val="decimal"/>
      <w:lvlText w:val="%4."/>
      <w:lvlJc w:val="left"/>
      <w:pPr>
        <w:ind w:left="2880" w:hanging="360"/>
      </w:pPr>
    </w:lvl>
    <w:lvl w:ilvl="4" w:tplc="62505804" w:tentative="1">
      <w:start w:val="1"/>
      <w:numFmt w:val="lowerLetter"/>
      <w:lvlText w:val="%5."/>
      <w:lvlJc w:val="left"/>
      <w:pPr>
        <w:ind w:left="3600" w:hanging="360"/>
      </w:pPr>
    </w:lvl>
    <w:lvl w:ilvl="5" w:tplc="62505804" w:tentative="1">
      <w:start w:val="1"/>
      <w:numFmt w:val="lowerRoman"/>
      <w:lvlText w:val="%6."/>
      <w:lvlJc w:val="right"/>
      <w:pPr>
        <w:ind w:left="4320" w:hanging="180"/>
      </w:pPr>
    </w:lvl>
    <w:lvl w:ilvl="6" w:tplc="62505804" w:tentative="1">
      <w:start w:val="1"/>
      <w:numFmt w:val="decimal"/>
      <w:lvlText w:val="%7."/>
      <w:lvlJc w:val="left"/>
      <w:pPr>
        <w:ind w:left="5040" w:hanging="360"/>
      </w:pPr>
    </w:lvl>
    <w:lvl w:ilvl="7" w:tplc="62505804" w:tentative="1">
      <w:start w:val="1"/>
      <w:numFmt w:val="lowerLetter"/>
      <w:lvlText w:val="%8."/>
      <w:lvlJc w:val="left"/>
      <w:pPr>
        <w:ind w:left="5760" w:hanging="360"/>
      </w:pPr>
    </w:lvl>
    <w:lvl w:ilvl="8" w:tplc="62505804" w:tentative="1">
      <w:start w:val="1"/>
      <w:numFmt w:val="lowerRoman"/>
      <w:lvlText w:val="%9."/>
      <w:lvlJc w:val="right"/>
      <w:pPr>
        <w:ind w:left="6480" w:hanging="180"/>
      </w:pPr>
    </w:lvl>
  </w:abstractNum>
  <w:abstractNum w:abstractNumId="75706843">
    <w:multiLevelType w:val="hybridMultilevel"/>
    <w:lvl w:ilvl="0" w:tplc="164751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5706843">
    <w:abstractNumId w:val="75706843"/>
  </w:num>
  <w:num w:numId="75706844">
    <w:abstractNumId w:val="757068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68935073" Type="http://schemas.openxmlformats.org/officeDocument/2006/relationships/image" Target="media/imgrId68935073.png" /></Relationships>
</file>

<file path=word/_rels/defaultHeader.xml.rels><?xml version="1.0" encoding="UTF-8" standalone="yes"?>
<Relationships xmlns="http://schemas.openxmlformats.org/package/2006/relationships"><Relationship Id="rId68935072" Type="http://schemas.openxmlformats.org/officeDocument/2006/relationships/image" Target="media/imgrId68935072.png"/><Relationship Id="rId2231559fb5e0aaa2a" Type="http://schemas.openxmlformats.org/officeDocument/2006/relationships/image" Target="media/image2231559fb5e0aaa2a.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833559fb5db35561" Type="http://schemas.openxmlformats.org/officeDocument/2006/relationships/header" Target="defaultHeader.xml"/><Relationship Id="rId5000559fb5db35627" Type="http://schemas.openxmlformats.org/officeDocument/2006/relationships/header" Target="evenHeader.xml"/><Relationship Id="rId9651559fb5db35cc3" Type="http://schemas.openxmlformats.org/officeDocument/2006/relationships/footer" Target="defaultFooter.xml"/><Relationship Id="rId3378559fb5db35d61"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68935074" Type="http://schemas.openxmlformats.org/officeDocument/2006/relationships/image" Target="media/imgrId68935074.png"/><Relationship Id="rId68935075" Type="http://schemas.openxmlformats.org/officeDocument/2006/relationships/image" Target="media/imgrId68935075.png"/><Relationship Id="rId68935076" Type="http://schemas.openxmlformats.org/officeDocument/2006/relationships/image" Target="media/imgrId68935076.png"/><Relationship Id="rId68935077" Type="http://schemas.openxmlformats.org/officeDocument/2006/relationships/image" Target="media/imgrId68935077.png"/><Relationship Id="rId68935078" Type="http://schemas.openxmlformats.org/officeDocument/2006/relationships/image" Target="media/imgrId68935078.png"/><Relationship Id="rId68935079" Type="http://schemas.openxmlformats.org/officeDocument/2006/relationships/image" Target="media/imgrId68935079.png"/><Relationship Id="rId68935080" Type="http://schemas.openxmlformats.org/officeDocument/2006/relationships/image" Target="media/imgrId68935080.png"/><Relationship Id="rId68935081" Type="http://schemas.openxmlformats.org/officeDocument/2006/relationships/image" Target="media/imgrId68935081.png"/><Relationship Id="rId68935082" Type="http://schemas.openxmlformats.org/officeDocument/2006/relationships/image" Target="media/imgrId68935082.png"/><Relationship Id="rId68935083" Type="http://schemas.openxmlformats.org/officeDocument/2006/relationships/image" Target="media/imgrId68935083.png"/><Relationship Id="rId68935084" Type="http://schemas.openxmlformats.org/officeDocument/2006/relationships/image" Target="media/imgrId68935084.png"/><Relationship Id="rId68935085" Type="http://schemas.openxmlformats.org/officeDocument/2006/relationships/image" Target="media/imgrId68935085.png"/><Relationship Id="rId68935086" Type="http://schemas.openxmlformats.org/officeDocument/2006/relationships/image" Target="media/imgrId68935086.png"/><Relationship Id="rId68935087" Type="http://schemas.openxmlformats.org/officeDocument/2006/relationships/image" Target="media/imgrId68935087.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68935073" Type="http://schemas.openxmlformats.org/officeDocument/2006/relationships/image" Target="media/imgrId68935073.png" /></Relationships>
</file>

<file path=word/_rels/evenHeader.xml.rels><?xml version="1.0" encoding="UTF-8" standalone="yes"?>
<Relationships xmlns="http://schemas.openxmlformats.org/package/2006/relationships"><Relationship Id="rId68935072" Type="http://schemas.openxmlformats.org/officeDocument/2006/relationships/image" Target="media/imgrId68935072.png"/><Relationship Id="rId2231559fb5e0aaa2a" Type="http://schemas.openxmlformats.org/officeDocument/2006/relationships/image" Target="media/image2231559fb5e0aaa2a.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