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4817" w:rsidRPr="00874817" w:rsidRDefault="00874817" w:rsidP="00874817">
      <w:pPr>
        <w:spacing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>AI-</w:t>
      </w:r>
      <w:proofErr w:type="spellStart"/>
      <w:r w:rsidRPr="00874817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>CliniScan</w:t>
      </w:r>
      <w:proofErr w:type="spellEnd"/>
      <w:r w:rsidRPr="00874817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 xml:space="preserve">: </w:t>
      </w:r>
      <w:r w:rsidRPr="00484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Multimodal Deep Learning for Thoracic Abnormality Detection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Milestone 4 Report: Final Evaluation, Documentation &amp; Deployment Readiness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Infosys Springboard 6.0 Project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Project Guide: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GKS 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Jyoteesh</w:t>
      </w:r>
      <w:proofErr w:type="spellEnd"/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Developed By: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Tirumani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Surya (SRM Institute of Science &amp; Technology)</w:t>
      </w:r>
    </w:p>
    <w:p w:rsidR="00874817" w:rsidRPr="00874817" w:rsidRDefault="00CF6BF3" w:rsidP="0087481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BF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INDEX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Introduction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Objectives of Milestone 4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Final Model Evaluation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Performance Metrics &amp; Results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Model Comparison &amp; Selection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Documentation Finalization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System Architecture Overview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Deployment Prototype (Web Interface)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Model Serving &amp; Optimization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Deployment Readiness Assessment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Challenges Faced &amp; Solutions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Future Enhancements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Conclusion</w:t>
      </w:r>
    </w:p>
    <w:p w:rsidR="00874817" w:rsidRPr="00874817" w:rsidRDefault="00CF6BF3" w:rsidP="0087481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BF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1. Introduction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AI-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CliniScan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is an enterprise-grade intelligent healthcare system designed to 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analyze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thoracic radiographs using a concurrent Dual-Engine deep learning pipeline. By bridging advanced computer vision with a clinical-light web interface, the system provides real-time medical analysis for 14 distinct lung pathologies.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Milestone 4 represents the culmination of the project lifecycle, focusing on the rigorous evaluation of the YOLOv8 and ResNet-18 models, ensuring comprehensive API documentation, and validating the system’s deployment readiness for real-world emergency triage scenarios.</w:t>
      </w: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2. Objectives of Milestone 4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The primary objectives achieved in this milestone include:</w:t>
      </w:r>
    </w:p>
    <w:p w:rsidR="00874817" w:rsidRPr="00874817" w:rsidRDefault="00874817" w:rsidP="00874817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Performing the final performance evaluation of the Dual-Engine AI pipeline.</w:t>
      </w:r>
    </w:p>
    <w:p w:rsidR="00874817" w:rsidRPr="00874817" w:rsidRDefault="00874817" w:rsidP="00874817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Validating the 15% sensitivity threshold for localized anomaly detection.</w:t>
      </w:r>
    </w:p>
    <w:p w:rsidR="00874817" w:rsidRPr="00874817" w:rsidRDefault="00874817" w:rsidP="00874817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Finalizing the system and API documentation for the 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FastAPI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backend.</w:t>
      </w:r>
    </w:p>
    <w:p w:rsidR="00874817" w:rsidRPr="00874817" w:rsidRDefault="00874817" w:rsidP="00874817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Developing and refining a functional, deployment-ready prototype (Enterprise v2.0 UI).</w:t>
      </w:r>
    </w:p>
    <w:p w:rsidR="00874817" w:rsidRPr="00874817" w:rsidRDefault="00874817" w:rsidP="00874817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Assessing the system's readiness for real-world clinical integration and PDF report generation.</w:t>
      </w: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3. Final Model Evaluation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Unlike traditional single-model classifiers, AI-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CliniScan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utilizes a concurrent evaluation strategy utilizing two specialized networks:</w:t>
      </w:r>
    </w:p>
    <w:p w:rsidR="00874817" w:rsidRPr="00874817" w:rsidRDefault="00874817" w:rsidP="00874817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The Chief Medical Officer (ResNet-18):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Evaluated for its ability to classify the holistic state of the lung (Normal vs. Abnormal).</w:t>
      </w:r>
    </w:p>
    <w:p w:rsidR="00874817" w:rsidRPr="00874817" w:rsidRDefault="00874817" w:rsidP="00874817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The Local Specialist (YOLOv8):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Evaluated over 50 epochs using Kaggle Cloud Compute to detect, localize, and draw precise bounding boxes around 14 specific microscopic anomalies.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Evaluation was conducted using an unseen test dataset to ensure unbiased performance measurement and to verify the discrepancy resolution logic.</w:t>
      </w: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4. Performance Metrics &amp; Results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Because AI-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CliniScan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uses a Dual-Engine, metrics are split between global classification and localized object detection.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Table 1: YOLOv8 Object Detection Metrics (50 Epochs)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| Metric | Result | Clinical Significance |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| :--- | :--- | :--- |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| </w:t>
      </w: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Overall Precision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| 34.9% | Accuracy of positive localized bounding boxes. |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| </w:t>
      </w: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Overall Recall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| 19.4% | Ability to detect hard-to-find anomalies. |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| </w:t>
      </w: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mAP@50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| 16.1% | Mean Average Precision across all 14 diseases. |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| </w:t>
      </w: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Inference Speed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| 0.1 Seconds | Millisecond latency for real-time ER triage. |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Table 2: ResNet-18 Global Classification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| Model Stage | Accuracy | F1 Score |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| :--- | :--- | :--- |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| Baseline CNN | 81.0% | 79.5% |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| </w:t>
      </w: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Final ResNet-18 Model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| </w:t>
      </w: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92.4%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| </w:t>
      </w: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91.2%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|</w:t>
      </w:r>
    </w:p>
    <w:p w:rsid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lastRenderedPageBreak/>
        <w:t>5. Model Comparison &amp; Selection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During development, single-model architectures (like using </w:t>
      </w:r>
      <w:r w:rsidRPr="00874817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only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YOLO or </w:t>
      </w:r>
      <w:r w:rsidRPr="00874817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only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ResNet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) were tested.</w:t>
      </w:r>
    </w:p>
    <w:p w:rsidR="00874817" w:rsidRPr="00874817" w:rsidRDefault="00874817" w:rsidP="00874817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Selected Architecture: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 </w:t>
      </w: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Dual-Engine Pipeline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was selected over single models.</w:t>
      </w:r>
    </w:p>
    <w:p w:rsidR="00874817" w:rsidRPr="00874817" w:rsidRDefault="00874817" w:rsidP="00874817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Reasons: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Single object detectors frequently missed global context, while global classifiers suffered from the "Black Box" problem (giving a diagnosis without visual proof). By combining ResNet-18's high accuracy with YOLOv8's localization, the system guarantees visual, verifiable proof for the clinician, minimizing false positives.</w:t>
      </w: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6. Documentation Finalization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All project documentation has been structured professionally for the Infosys Springboard submission.</w:t>
      </w:r>
    </w:p>
    <w:p w:rsidR="00874817" w:rsidRPr="00874817" w:rsidRDefault="00874817" w:rsidP="00874817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</w:t>
      </w:r>
      <w:r w:rsidRPr="00874817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☑</w:t>
      </w: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] README File: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Completed with setup instructions for virtual environments.</w:t>
      </w:r>
    </w:p>
    <w:p w:rsidR="00874817" w:rsidRPr="00874817" w:rsidRDefault="00874817" w:rsidP="00874817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</w:t>
      </w:r>
      <w:r w:rsidRPr="00874817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☑</w:t>
      </w: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] Model Training Details: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Documented 50-epoch Kaggle training parameters.</w:t>
      </w:r>
    </w:p>
    <w:p w:rsidR="00874817" w:rsidRPr="00874817" w:rsidRDefault="00874817" w:rsidP="00874817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</w:t>
      </w:r>
      <w:r w:rsidRPr="00874817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☑</w:t>
      </w: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] API Routing: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FastApi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87481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POST /</w:t>
      </w:r>
      <w:proofErr w:type="spellStart"/>
      <w:r w:rsidRPr="0087481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analyze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endpoint fully documented.</w:t>
      </w:r>
    </w:p>
    <w:p w:rsidR="00874817" w:rsidRPr="00874817" w:rsidRDefault="00874817" w:rsidP="00874817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</w:t>
      </w:r>
      <w:r w:rsidRPr="00874817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☑</w:t>
      </w: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] Setup Guide: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Requirements.txt and Live Server UI execution steps included.</w:t>
      </w: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7. System Architecture Overview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The AI-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CliniScan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system follows a highly optimized, asynchronous client-server architecture:</w:t>
      </w:r>
    </w:p>
    <w:p w:rsidR="00874817" w:rsidRPr="00874817" w:rsidRDefault="00874817" w:rsidP="00874817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Frontend (User Interface):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Built with HTML, JavaScript, and Tailwind CSS. Features a "Clinical Light" aesthetic, Patient Tracking Hub, and dynamic PDF reporting (html2pdf).</w:t>
      </w:r>
    </w:p>
    <w:p w:rsidR="00874817" w:rsidRPr="00874817" w:rsidRDefault="00874817" w:rsidP="00874817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Backend (Server):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Developed using Python and 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FastAPI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(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Uvicorn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). Handles asynchronous API requests, tensor normalization, and discrepancy logic.</w:t>
      </w:r>
    </w:p>
    <w:p w:rsidR="00874817" w:rsidRPr="00874817" w:rsidRDefault="00874817" w:rsidP="00874817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AI Models: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PyTorch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(</w:t>
      </w:r>
      <w:r w:rsidRPr="0087481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87481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pth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) and 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Ultralytics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(</w:t>
      </w:r>
      <w:r w:rsidRPr="0087481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87481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pt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) frameworks process the medical arrays and return synchronized JSON responses.</w:t>
      </w: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8. Deployment Prototype (Web Interface)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A fully functional, enterprise-grade web prototype was deployed and tested.</w:t>
      </w:r>
    </w:p>
    <w:p w:rsidR="00874817" w:rsidRPr="00874817" w:rsidRDefault="00874817" w:rsidP="00874817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Input System: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Drag-and-drop digital radiograph submission.</w:t>
      </w:r>
    </w:p>
    <w:p w:rsidR="00874817" w:rsidRPr="00874817" w:rsidRDefault="00874817" w:rsidP="00874817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Real-Time Display: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0.1s response time showing semi-transparent bounding boxes and confidence scores over the X-ray.</w:t>
      </w:r>
    </w:p>
    <w:p w:rsidR="00874817" w:rsidRPr="00874817" w:rsidRDefault="00874817" w:rsidP="00874817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Automated Reporting: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Secure, one-click PDF generation of the Doctor's Official Diagnostic Report.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noProof/>
          <w:kern w:val="0"/>
          <w:lang w:eastAsia="en-GB"/>
        </w:rPr>
        <w:lastRenderedPageBreak/>
        <w:drawing>
          <wp:inline distT="0" distB="0" distL="0" distR="0">
            <wp:extent cx="5727700" cy="2948305"/>
            <wp:effectExtent l="0" t="0" r="0" b="0"/>
            <wp:docPr id="120900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05617" name="Picture 12090056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lang w:eastAsia="en-GB"/>
        </w:rPr>
        <w:drawing>
          <wp:inline distT="0" distB="0" distL="0" distR="0">
            <wp:extent cx="5727700" cy="3007995"/>
            <wp:effectExtent l="0" t="0" r="0" b="1905"/>
            <wp:docPr id="1694297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97145" name="Picture 16942971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9. Model Serving &amp; Optimization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To achieve the 0.1s inference speed required for emergency rooms, several serving optimizations were applied:</w:t>
      </w:r>
    </w:p>
    <w:p w:rsidR="00874817" w:rsidRPr="00874817" w:rsidRDefault="00874817" w:rsidP="00874817">
      <w:pPr>
        <w:numPr>
          <w:ilvl w:val="0"/>
          <w:numId w:val="9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Asynchronous Routing: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FastAPI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ensures the UI never freezes while the backend computes tensors.</w:t>
      </w:r>
    </w:p>
    <w:p w:rsidR="00874817" w:rsidRPr="00874817" w:rsidRDefault="00874817" w:rsidP="00874817">
      <w:pPr>
        <w:numPr>
          <w:ilvl w:val="0"/>
          <w:numId w:val="9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Pre-Processing: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Images are instantly resized and normalized to </w:t>
      </w:r>
      <w:r w:rsidRPr="0087481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224x224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pixel arrays using OpenCV/PIL before being fed to the neural networks.</w:t>
      </w:r>
    </w:p>
    <w:p w:rsidR="00874817" w:rsidRPr="00874817" w:rsidRDefault="00874817" w:rsidP="00874817">
      <w:pPr>
        <w:numPr>
          <w:ilvl w:val="0"/>
          <w:numId w:val="9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Threshold Tuning: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Hardcoded a strict 15% confidence threshold to prevent "alert fatigue" from visual noise.</w:t>
      </w: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lastRenderedPageBreak/>
        <w:t>10. Deployment Readiness Assessment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The system was evaluated against standard criteria for real-world clinical deployment readiness: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1334"/>
        <w:gridCol w:w="5113"/>
      </w:tblGrid>
      <w:tr w:rsidR="00874817" w:rsidRPr="00874817" w:rsidTr="008748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74817" w:rsidRPr="00874817" w:rsidTr="008748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Model Functionality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☑</w:t>
            </w:r>
            <w:r w:rsidRPr="00874817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Achieved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Dual-Engine cross-validation working perfectly.</w:t>
            </w:r>
          </w:p>
        </w:tc>
      </w:tr>
      <w:tr w:rsidR="00874817" w:rsidRPr="00874817" w:rsidTr="008748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UI Responsiveness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☑</w:t>
            </w:r>
            <w:r w:rsidRPr="00874817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Tailwind CSS ensures a perfect desktop/tablet layout.</w:t>
            </w:r>
          </w:p>
        </w:tc>
      </w:tr>
      <w:tr w:rsidR="00874817" w:rsidRPr="00874817" w:rsidTr="008748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Backend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☑</w:t>
            </w:r>
            <w:r w:rsidRPr="00874817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0.1s routing latency achieved via </w:t>
            </w:r>
            <w:proofErr w:type="spellStart"/>
            <w:r w:rsidRPr="00874817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Uvicorn</w:t>
            </w:r>
            <w:proofErr w:type="spellEnd"/>
            <w:r w:rsidRPr="00874817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.</w:t>
            </w:r>
          </w:p>
        </w:tc>
      </w:tr>
      <w:tr w:rsidR="00874817" w:rsidRPr="00874817" w:rsidTr="008748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Reporting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☑</w:t>
            </w:r>
            <w:r w:rsidRPr="00874817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Working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Custom encrypted PDF generator (html2pdf) active.</w:t>
            </w:r>
          </w:p>
        </w:tc>
      </w:tr>
      <w:tr w:rsidR="00874817" w:rsidRPr="00874817" w:rsidTr="008748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Deployment Prototype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☑</w:t>
            </w:r>
            <w:r w:rsidRPr="00874817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Ready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Ready for Infosys Springboard final evaluation.</w:t>
            </w:r>
          </w:p>
        </w:tc>
      </w:tr>
    </w:tbl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Conclusion: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 AI-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CliniScan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system is fully deployment-ready for prototype-level clinical applications.</w:t>
      </w: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11. Challenges Faced &amp; Solutions</w:t>
      </w:r>
    </w:p>
    <w:p w:rsidR="00874817" w:rsidRPr="00874817" w:rsidRDefault="00874817" w:rsidP="00874817">
      <w:pPr>
        <w:numPr>
          <w:ilvl w:val="0"/>
          <w:numId w:val="1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Challenge: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High false-positive rates causing screen clutter.</w:t>
      </w:r>
    </w:p>
    <w:p w:rsidR="00874817" w:rsidRPr="00874817" w:rsidRDefault="00874817" w:rsidP="00874817">
      <w:pPr>
        <w:numPr>
          <w:ilvl w:val="1"/>
          <w:numId w:val="1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Solution: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Programmed a custom discrepancy resolution logic and a strict 15% sensitivity threshold to filter out noise.</w:t>
      </w:r>
    </w:p>
    <w:p w:rsidR="00874817" w:rsidRPr="00874817" w:rsidRDefault="00874817" w:rsidP="00874817">
      <w:pPr>
        <w:numPr>
          <w:ilvl w:val="0"/>
          <w:numId w:val="1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Challenge: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Browser memory crashes and "White Pages" when generating the PDF report.</w:t>
      </w:r>
    </w:p>
    <w:p w:rsidR="00874817" w:rsidRPr="00874817" w:rsidRDefault="00874817" w:rsidP="00874817">
      <w:pPr>
        <w:numPr>
          <w:ilvl w:val="1"/>
          <w:numId w:val="1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Solution: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Optimized the </w:t>
      </w:r>
      <w:r w:rsidRPr="0087481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html2pdf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canvas scale and implemented an asynchronous </w:t>
      </w:r>
      <w:proofErr w:type="spellStart"/>
      <w:r w:rsidRPr="0087481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setTimeout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delay to ensure CSS layers were fully rendered before capture.</w:t>
      </w:r>
    </w:p>
    <w:p w:rsidR="00874817" w:rsidRPr="00874817" w:rsidRDefault="00874817" w:rsidP="00874817">
      <w:pPr>
        <w:numPr>
          <w:ilvl w:val="0"/>
          <w:numId w:val="1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Challenge: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CORS (Cross-Origin Resource Sharing) blocking frontend-to-backend communication.</w:t>
      </w:r>
    </w:p>
    <w:p w:rsidR="00874817" w:rsidRPr="00874817" w:rsidRDefault="00874817" w:rsidP="00874817">
      <w:pPr>
        <w:numPr>
          <w:ilvl w:val="1"/>
          <w:numId w:val="1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Solution: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Configured 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FastAPI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middleware to securely accept </w:t>
      </w:r>
      <w:r w:rsidRPr="0087481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POST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requests from the Live Server.</w:t>
      </w: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12. Future Enhancements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While the current prototype is highly capable, future iterations will focus on:</w:t>
      </w:r>
    </w:p>
    <w:p w:rsidR="00874817" w:rsidRPr="00874817" w:rsidRDefault="00874817" w:rsidP="00874817">
      <w:pPr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DICOM Integration: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Allowing direct upload of raw hospital scanner files rather than JPEGs.</w:t>
      </w:r>
    </w:p>
    <w:p w:rsidR="00874817" w:rsidRPr="00874817" w:rsidRDefault="00874817" w:rsidP="00874817">
      <w:pPr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EHR Connectivity: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Seamlessly pushing the generated PDF reports directly into a hospital's Electronic Health Record database.</w:t>
      </w:r>
    </w:p>
    <w:p w:rsidR="00874817" w:rsidRPr="00874817" w:rsidRDefault="00874817" w:rsidP="00874817">
      <w:pPr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Cloud Deployment: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Migrating the 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FastAPI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backend from localhost to AWS or Google Cloud (GCP) for global accessibility.</w:t>
      </w:r>
    </w:p>
    <w:p w:rsid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</w:p>
    <w:p w:rsid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lastRenderedPageBreak/>
        <w:t>13. Conclusion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Milestone 4 successfully completes the AI-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CliniScan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project lifecycle. By delivering a concurrent, high-performing AI pipeline, a remarkably clean "Clinical Light" web interface, and an automated medical reporting tool, the project successfully solves the "black-box" interpretability problem in medical AI. This system provides a robust, verifiable, and lightning-fast foundation for the future of AI-assisted radiological triage.</w:t>
      </w:r>
    </w:p>
    <w:p w:rsidR="00874817" w:rsidRPr="00874817" w:rsidRDefault="00CF6BF3" w:rsidP="0087481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6BF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:rsidR="00B0618C" w:rsidRDefault="00B0618C"/>
    <w:sectPr w:rsidR="00B0618C" w:rsidSect="007F7B3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24948"/>
    <w:multiLevelType w:val="multilevel"/>
    <w:tmpl w:val="1594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2498E"/>
    <w:multiLevelType w:val="multilevel"/>
    <w:tmpl w:val="17BE1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70D1B"/>
    <w:multiLevelType w:val="multilevel"/>
    <w:tmpl w:val="0F14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C7357"/>
    <w:multiLevelType w:val="multilevel"/>
    <w:tmpl w:val="55365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08640C"/>
    <w:multiLevelType w:val="multilevel"/>
    <w:tmpl w:val="C824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B73C0"/>
    <w:multiLevelType w:val="multilevel"/>
    <w:tmpl w:val="9A1A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04C57"/>
    <w:multiLevelType w:val="multilevel"/>
    <w:tmpl w:val="DFE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722B1"/>
    <w:multiLevelType w:val="multilevel"/>
    <w:tmpl w:val="0F78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8483B"/>
    <w:multiLevelType w:val="multilevel"/>
    <w:tmpl w:val="997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C6D55"/>
    <w:multiLevelType w:val="multilevel"/>
    <w:tmpl w:val="69F6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349F8"/>
    <w:multiLevelType w:val="multilevel"/>
    <w:tmpl w:val="E93C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519042">
    <w:abstractNumId w:val="3"/>
  </w:num>
  <w:num w:numId="2" w16cid:durableId="1370177897">
    <w:abstractNumId w:val="8"/>
  </w:num>
  <w:num w:numId="3" w16cid:durableId="1020087919">
    <w:abstractNumId w:val="2"/>
  </w:num>
  <w:num w:numId="4" w16cid:durableId="883561717">
    <w:abstractNumId w:val="7"/>
  </w:num>
  <w:num w:numId="5" w16cid:durableId="1725907411">
    <w:abstractNumId w:val="5"/>
  </w:num>
  <w:num w:numId="6" w16cid:durableId="1466583086">
    <w:abstractNumId w:val="10"/>
  </w:num>
  <w:num w:numId="7" w16cid:durableId="1610315142">
    <w:abstractNumId w:val="4"/>
  </w:num>
  <w:num w:numId="8" w16cid:durableId="605119384">
    <w:abstractNumId w:val="9"/>
  </w:num>
  <w:num w:numId="9" w16cid:durableId="71784600">
    <w:abstractNumId w:val="0"/>
  </w:num>
  <w:num w:numId="10" w16cid:durableId="173034277">
    <w:abstractNumId w:val="6"/>
  </w:num>
  <w:num w:numId="11" w16cid:durableId="1373922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817"/>
    <w:rsid w:val="007F7B35"/>
    <w:rsid w:val="00874817"/>
    <w:rsid w:val="00B0618C"/>
    <w:rsid w:val="00CF6BF3"/>
    <w:rsid w:val="00D3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A409E"/>
  <w15:chartTrackingRefBased/>
  <w15:docId w15:val="{84DA7661-C917-804A-AFCA-10DCA4762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481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7481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81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74817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7481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481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748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0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1145</Words>
  <Characters>6528</Characters>
  <Application>Microsoft Office Word</Application>
  <DocSecurity>0</DocSecurity>
  <Lines>54</Lines>
  <Paragraphs>15</Paragraphs>
  <ScaleCrop>false</ScaleCrop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Siva Shankar Tirumani</dc:creator>
  <cp:keywords/>
  <dc:description/>
  <cp:lastModifiedBy>Surya Siva Shankar Tirumani</cp:lastModifiedBy>
  <cp:revision>1</cp:revision>
  <dcterms:created xsi:type="dcterms:W3CDTF">2026-03-31T12:33:00Z</dcterms:created>
  <dcterms:modified xsi:type="dcterms:W3CDTF">2026-03-31T12:38:00Z</dcterms:modified>
</cp:coreProperties>
</file>