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  <w:jc w:val="center"/>
      </w:pPr>
      <w:r>
        <w:rPr>
          <w:b/>
          <w:color w:val="0066CC"/>
          <w:sz w:val="64"/>
        </w:rPr>
        <w:t>VisionInspect AI</w:t>
      </w:r>
    </w:p>
    <w:p>
      <w:pPr>
        <w:spacing w:after="480"/>
        <w:jc w:val="center"/>
      </w:pPr>
      <w:r>
        <w:rPr>
          <w:color w:val="5A5A5A"/>
          <w:sz w:val="28"/>
        </w:rPr>
        <w:t>Milestone 2 Documentation: PaDiM Anomaly Detection, Mahalanobis Feature Embedding &amp; SSIM Heatmap Overlay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1. Executive Summary</w:t>
      </w:r>
    </w:p>
    <w:p>
      <w:r>
        <w:t>Milestone 2 focuses on unsupervised anomaly detection using Patch Distribution Modeling (PaDiM). Multi-scale feature embeddings from ResNet18 (Layer1, Layer2, Layer3) are extracted to compute multivariate Gaussian statistics (mean vector and covariance matrix) per pixel location across 15 categories.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2. Peak-Boosted Anomaly Scoring</w:t>
      </w:r>
    </w:p>
    <w:p>
      <w:r>
        <w:t>To capture fine localized anomalies (small cracks, scratches, cut leads, broken teeth), the anomaly score is computed as:</w:t>
      </w:r>
    </w:p>
    <w:p>
      <w:r>
        <w:t>Anomaly Score = 0.60 * Top_0.1%_Peak + 0.40 * Top_1.0%_Mean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3. Anomaly Localization &amp; Heatmaps</w:t>
      </w:r>
    </w:p>
    <w:p>
      <w:r>
        <w:t>1. Connected Component Analysis (`localization.py`): Finds contour bounding boxes for localized defects.</w:t>
        <w:br/>
        <w:t>2. High-Contrast Jet Heatmap: Generates visual anomaly heatmaps overlaid on the cropped product image.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078D4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050A0"/>
                <w:sz w:val="20"/>
              </w:rPr>
              <w:t xml:space="preserve">[PERFORMANCE] </w:t>
            </w:r>
            <w:r>
              <w:rPr>
                <w:rFonts w:ascii="Segoe UI" w:hAnsi="Segoe UI"/>
                <w:color w:val="282828"/>
                <w:sz w:val="19"/>
              </w:rPr>
              <w:t>PaDiM models for all 15 categories have been fitted, saved (models/padim_{cat}.pth), and benchmarked under 1 second per image latency.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