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0000"/>
          <w:sz w:val="56"/>
          <w:szCs w:val="56"/>
        </w:rPr>
        <w:t xml:space="preserve">VisionInspect AI</w:t>
      </w:r>
    </w:p>
    <w:p>
      <w:pPr>
        <w:spacing w:before="200"/>
        <w:jc w:val="center"/>
      </w:pPr>
      <w:r>
        <w:rPr>
          <w:color w:val="000000"/>
          <w:sz w:val="28"/>
          <w:szCs w:val="28"/>
        </w:rPr>
        <w:t xml:space="preserve">Manufacturing Defect Detection &amp; Quality Inspection System</w:t>
      </w:r>
    </w:p>
    <w:p>
      <w:pPr>
        <w:spacing w:before="600"/>
        <w:jc w:val="center"/>
      </w:pPr>
      <w:r>
        <w:rPr>
          <w:b/>
          <w:bCs/>
          <w:color w:val="000000"/>
          <w:sz w:val="32"/>
          <w:szCs w:val="32"/>
        </w:rPr>
        <w:t xml:space="preserve">Database Module — Progress Update</w:t>
      </w:r>
    </w:p>
    <w:p>
      <w:pPr>
        <w:spacing w:before="100"/>
        <w:jc w:val="center"/>
      </w:pPr>
      <w:r>
        <w:rPr>
          <w:i/>
          <w:iCs/>
          <w:color w:val="000000"/>
          <w:sz w:val="24"/>
          <w:szCs w:val="24"/>
        </w:rPr>
        <w:t xml:space="preserve">Milestone 2 — Progress Report</w:t>
      </w:r>
    </w:p>
    <w:p>
      <w:pPr>
        <w:spacing w:before="1600"/>
      </w:pPr>
    </w:p>
    <w:p>
      <w:pPr>
        <w:jc w:val="center"/>
      </w:pPr>
      <w:r>
        <w:rPr>
          <w:color w:val="000000"/>
          <w:sz w:val="24"/>
          <w:szCs w:val="24"/>
        </w:rPr>
        <w:t xml:space="preserve">Prepared by: Arnab Ghosal</w:t>
      </w:r>
    </w:p>
    <w:p>
      <w:pPr>
        <w:spacing w:before="100"/>
        <w:jc w:val="center"/>
      </w:pPr>
      <w:r>
        <w:rPr>
          <w:color w:val="000000"/>
          <w:sz w:val="24"/>
          <w:szCs w:val="24"/>
        </w:rPr>
        <w:t xml:space="preserve">Team: VisionInspectAI Team-2</w:t>
      </w:r>
    </w:p>
    <w:p>
      <w:pPr>
        <w:spacing w:before="100"/>
        <w:jc w:val="center"/>
      </w:pPr>
      <w:r>
        <w:rPr>
          <w:color w:val="000000"/>
          <w:sz w:val="24"/>
          <w:szCs w:val="24"/>
        </w:rPr>
        <w:t xml:space="preserve">Date: July 2026</w:t>
      </w:r>
    </w:p>
    <w:p>
      <w:r>
        <w:br w:type="page"/>
      </w:r>
    </w:p>
    <w:p>
      <w:pPr>
        <w:pStyle w:val="Heading1"/>
        <w:spacing w:after="160" w:before="300"/>
      </w:pPr>
      <w:r>
        <w:rPr>
          <w:b/>
          <w:bCs/>
          <w:color w:val="000000"/>
        </w:rPr>
        <w:t xml:space="preserve">1. Overview</w:t>
      </w:r>
    </w:p>
    <w:p>
      <w:pPr>
        <w:spacing w:after="160"/>
      </w:pPr>
      <w:r>
        <w:rPr>
          <w:sz w:val="22"/>
          <w:szCs w:val="22"/>
        </w:rPr>
        <w:t xml:space="preserve">This document summarizes the progress made on the Database module during Milestone 2 of the VisionInspect AI project. The database design and implementation were completed and finalized during Milestone 1. During Milestone 2, the focus shifted to reviewing the existing PostgreSQL schema for correctness, and coordinating with the team on how the database layer integrates with the rest of the system as other modules (AI model training and the analytics dashboard) progressed.</w:t>
      </w:r>
    </w:p>
    <w:p>
      <w:pPr>
        <w:spacing w:after="160"/>
      </w:pPr>
      <w:r>
        <w:rPr>
          <w:sz w:val="22"/>
          <w:szCs w:val="22"/>
        </w:rPr>
        <w:t xml:space="preserve">Since the core schema work was already complete and solid from Milestone 1, this milestone did not require major new development on the database side. Effort was instead directed towards verification, coordination, and preparing the module to plug into the backend once the team finalizes the backend database engine.</w:t>
      </w:r>
    </w:p>
    <w:p>
      <w:pPr>
        <w:pStyle w:val="Heading1"/>
        <w:spacing w:after="160" w:before="300"/>
      </w:pPr>
      <w:r>
        <w:rPr>
          <w:b/>
          <w:bCs/>
          <w:color w:val="000000"/>
        </w:rPr>
        <w:t xml:space="preserve">2. Work Completed This Milestone</w:t>
      </w:r>
    </w:p>
    <w:p>
      <w:pPr>
        <w:pStyle w:val="ListParagraph"/>
        <w:numPr>
          <w:ilvl w:val="0"/>
          <w:numId w:val="1"/>
        </w:numPr>
        <w:spacing w:after="80"/>
      </w:pPr>
      <w:r>
        <w:rPr>
          <w:sz w:val="22"/>
          <w:szCs w:val="22"/>
        </w:rPr>
        <w:t xml:space="preserve">Reviewed the existing PostgreSQL schema (users, inspections, defects, quality_decisions, reports) to confirm it still aligns with the current project requirements.</w:t>
      </w:r>
    </w:p>
    <w:p>
      <w:pPr>
        <w:pStyle w:val="ListParagraph"/>
        <w:numPr>
          <w:ilvl w:val="0"/>
          <w:numId w:val="1"/>
        </w:numPr>
        <w:spacing w:after="80"/>
      </w:pPr>
      <w:r>
        <w:rPr>
          <w:sz w:val="22"/>
          <w:szCs w:val="22"/>
        </w:rPr>
        <w:t xml:space="preserve">Verified that all table relationships and constraints (foreign keys, severity score ranges, etc.) are correctly enforced.</w:t>
      </w:r>
    </w:p>
    <w:p>
      <w:pPr>
        <w:pStyle w:val="ListParagraph"/>
        <w:numPr>
          <w:ilvl w:val="0"/>
          <w:numId w:val="1"/>
        </w:numPr>
        <w:spacing w:after="80"/>
      </w:pPr>
      <w:r>
        <w:rPr>
          <w:sz w:val="22"/>
          <w:szCs w:val="22"/>
        </w:rPr>
        <w:t xml:space="preserve">Coordinated with the team member handling MongoDB integration to confirm that both databases will stay linked through a common inspection_id field.</w:t>
      </w:r>
    </w:p>
    <w:p>
      <w:pPr>
        <w:pStyle w:val="ListParagraph"/>
        <w:numPr>
          <w:ilvl w:val="0"/>
          <w:numId w:val="1"/>
        </w:numPr>
        <w:spacing w:after="80"/>
      </w:pPr>
      <w:r>
        <w:rPr>
          <w:sz w:val="22"/>
          <w:szCs w:val="22"/>
        </w:rPr>
        <w:t xml:space="preserve">Confirmed that the database design and logic remain valid and reusable regardless of which relational database engine (PostgreSQL or MySQL) the backend ultimately connects to — only minor syntax changes would be needed if the engine changes, not a redesign.</w:t>
      </w:r>
    </w:p>
    <w:p>
      <w:pPr>
        <w:pStyle w:val="ListParagraph"/>
        <w:numPr>
          <w:ilvl w:val="0"/>
          <w:numId w:val="1"/>
        </w:numPr>
        <w:spacing w:after="80"/>
      </w:pPr>
      <w:r>
        <w:rPr>
          <w:sz w:val="22"/>
          <w:szCs w:val="22"/>
        </w:rPr>
        <w:t xml:space="preserve">Kept the database module (schema.sql, models.py, connection.py, documentation) up to date and available on GitHub for whenever backend integration is ready.</w:t>
      </w:r>
    </w:p>
    <w:p>
      <w:pPr>
        <w:pStyle w:val="Heading1"/>
        <w:spacing w:after="160" w:before="300"/>
      </w:pPr>
      <w:r>
        <w:rPr>
          <w:b/>
          <w:bCs/>
          <w:color w:val="000000"/>
        </w:rPr>
        <w:t xml:space="preserve">3. Cross-Database Coordination</w:t>
      </w:r>
    </w:p>
    <w:p>
      <w:pPr>
        <w:spacing w:after="160"/>
      </w:pPr>
      <w:r>
        <w:rPr>
          <w:sz w:val="22"/>
          <w:szCs w:val="22"/>
        </w:rPr>
        <w:t xml:space="preserve">The project uses two databases for different purposes: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c>
          <w:tcPr>
            <w:tcW w:type="dxa" w:w="2400"/>
            <w:shd w:fill="E0E0E0" w:val="clear"/>
          </w:tcPr>
          <w:p>
            <w:r>
              <w:rPr>
                <w:b/>
                <w:bCs/>
                <w:color w:val="000000"/>
                <w:sz w:val="20"/>
                <w:szCs w:val="20"/>
              </w:rPr>
              <w:t xml:space="preserve">Database</w:t>
            </w:r>
          </w:p>
        </w:tc>
        <w:tc>
          <w:tcPr>
            <w:tcW w:type="dxa" w:w="4600"/>
            <w:shd w:fill="E0E0E0" w:val="clear"/>
          </w:tcPr>
          <w:p>
            <w:r>
              <w:rPr>
                <w:b/>
                <w:bCs/>
                <w:color w:val="000000"/>
                <w:sz w:val="20"/>
                <w:szCs w:val="20"/>
              </w:rPr>
              <w:t xml:space="preserve">Purpose</w:t>
            </w:r>
          </w:p>
        </w:tc>
        <w:tc>
          <w:tcPr>
            <w:tcW w:type="dxa" w:w="2000"/>
            <w:shd w:fill="E0E0E0" w:val="clear"/>
          </w:tcPr>
          <w:p>
            <w:r>
              <w:rPr>
                <w:b/>
                <w:bCs/>
                <w:color w:val="000000"/>
                <w:sz w:val="20"/>
                <w:szCs w:val="20"/>
              </w:rPr>
              <w:t xml:space="preserve">Owner</w:t>
            </w:r>
          </w:p>
        </w:tc>
      </w:tr>
      <w:tr>
        <w:tc>
          <w:tcPr>
            <w:tcW w:type="dxa" w:w="2400"/>
          </w:tcPr>
          <w:p>
            <w:r>
              <w:rPr>
                <w:b w:val="false"/>
                <w:bCs w:val="false"/>
                <w:color w:val="000000"/>
                <w:sz w:val="20"/>
                <w:szCs w:val="20"/>
              </w:rPr>
              <w:t xml:space="preserve">PostgreSQL</w:t>
            </w:r>
          </w:p>
        </w:tc>
        <w:tc>
          <w:tcPr>
            <w:tcW w:type="dxa" w:w="4600"/>
          </w:tcPr>
          <w:p>
            <w:r>
              <w:rPr>
                <w:b w:val="false"/>
                <w:bCs w:val="false"/>
                <w:color w:val="000000"/>
                <w:sz w:val="20"/>
                <w:szCs w:val="20"/>
              </w:rPr>
              <w:t xml:space="preserve">Structured data — users, inspections, defects, quality decisions</w:t>
            </w:r>
          </w:p>
        </w:tc>
        <w:tc>
          <w:tcPr>
            <w:tcW w:type="dxa" w:w="2000"/>
          </w:tcPr>
          <w:p>
            <w:r>
              <w:rPr>
                <w:b w:val="false"/>
                <w:bCs w:val="false"/>
                <w:color w:val="000000"/>
                <w:sz w:val="20"/>
                <w:szCs w:val="20"/>
              </w:rPr>
              <w:t xml:space="preserve">Arnab Ghosal</w:t>
            </w:r>
          </w:p>
        </w:tc>
      </w:tr>
      <w:tr>
        <w:tc>
          <w:tcPr>
            <w:tcW w:type="dxa" w:w="2400"/>
          </w:tcPr>
          <w:p>
            <w:r>
              <w:rPr>
                <w:b w:val="false"/>
                <w:bCs w:val="false"/>
                <w:color w:val="000000"/>
                <w:sz w:val="20"/>
                <w:szCs w:val="20"/>
              </w:rPr>
              <w:t xml:space="preserve">MongoDB</w:t>
            </w:r>
          </w:p>
        </w:tc>
        <w:tc>
          <w:tcPr>
            <w:tcW w:type="dxa" w:w="4600"/>
          </w:tcPr>
          <w:p>
            <w:r>
              <w:rPr>
                <w:b w:val="false"/>
                <w:bCs w:val="false"/>
                <w:color w:val="000000"/>
                <w:sz w:val="20"/>
                <w:szCs w:val="20"/>
              </w:rPr>
              <w:t xml:space="preserve">Flexible AI inference logs (raw model outputs)</w:t>
            </w:r>
          </w:p>
        </w:tc>
        <w:tc>
          <w:tcPr>
            <w:tcW w:type="dxa" w:w="2000"/>
          </w:tcPr>
          <w:p>
            <w:r>
              <w:rPr>
                <w:b w:val="false"/>
                <w:bCs w:val="false"/>
                <w:color w:val="000000"/>
                <w:sz w:val="20"/>
                <w:szCs w:val="20"/>
              </w:rPr>
              <w:t xml:space="preserve">Om Shakthi Vemuganti</w:t>
            </w:r>
          </w:p>
        </w:tc>
      </w:tr>
    </w:tbl>
    <w:p>
      <w:pPr>
        <w:spacing w:after="160"/>
      </w:pPr>
      <w:r>
        <w:rPr>
          <w:sz w:val="22"/>
          <w:szCs w:val="22"/>
        </w:rPr>
        <w:t xml:space="preserve"/>
      </w:r>
    </w:p>
    <w:p>
      <w:pPr>
        <w:spacing w:after="160"/>
      </w:pPr>
      <w:r>
        <w:rPr>
          <w:sz w:val="22"/>
          <w:szCs w:val="22"/>
        </w:rPr>
        <w:t xml:space="preserve">Both databases are designed to stay connected through a shared inspection_id field. This ensures that a single inspection can be traced across both the structured records in PostgreSQL and the raw AI inference logs in MongoDB, without duplicating data or losing the link between them. This linking approach was discussed and confirmed with the MongoDB owner this milestone.</w:t>
      </w:r>
    </w:p>
    <w:p>
      <w:pPr>
        <w:pStyle w:val="Heading1"/>
        <w:spacing w:after="160" w:before="300"/>
      </w:pPr>
      <w:r>
        <w:rPr>
          <w:b/>
          <w:bCs/>
          <w:color w:val="000000"/>
        </w:rPr>
        <w:t xml:space="preserve">4. Note on Backend Integration</w:t>
      </w:r>
    </w:p>
    <w:p>
      <w:pPr>
        <w:spacing w:after="160"/>
      </w:pPr>
      <w:r>
        <w:rPr>
          <w:sz w:val="22"/>
          <w:szCs w:val="22"/>
        </w:rPr>
        <w:t xml:space="preserve">The backend developed so far uses MySQL rather than PostgreSQL. As a result, the PostgreSQL database is not yet directly connected to the live backend. This does not affect the validity of the schema design — the table structure, relationships, and severity scoring logic remain the same regardless of the underlying SQL engine. Once the team finalizes the backend's database engine, integration can proceed with minimal changes.</w:t>
      </w:r>
    </w:p>
    <w:p>
      <w:pPr>
        <w:pStyle w:val="Heading1"/>
        <w:spacing w:after="160" w:before="300"/>
      </w:pPr>
      <w:r>
        <w:rPr>
          <w:b/>
          <w:bCs/>
          <w:color w:val="000000"/>
        </w:rPr>
        <w:t xml:space="preserve">5. Plan Going Forward</w:t>
      </w:r>
    </w:p>
    <w:p>
      <w:pPr>
        <w:spacing w:after="160"/>
      </w:pPr>
      <w:r>
        <w:rPr>
          <w:sz w:val="22"/>
          <w:szCs w:val="22"/>
        </w:rPr>
        <w:t xml:space="preserve">With the database design finalized and stable, the focus for upcoming milestones will shift from independent module development to supporting other teammates as needed — for example, assisting with backend-database integration and testing once the backend setup is finalized, and helping troubleshoot any database-related issues that come up during dashboard or model integration.</w:t>
      </w:r>
    </w:p>
    <w:p>
      <w:pPr>
        <w:pStyle w:val="Heading1"/>
        <w:spacing w:after="160" w:before="300"/>
      </w:pPr>
      <w:r>
        <w:rPr>
          <w:b/>
          <w:bCs/>
          <w:color w:val="000000"/>
        </w:rPr>
        <w:t xml:space="preserve">6. Conclusion</w:t>
      </w:r>
    </w:p>
    <w:p>
      <w:pPr>
        <w:spacing w:after="160"/>
      </w:pPr>
      <w:r>
        <w:rPr>
          <w:sz w:val="22"/>
          <w:szCs w:val="22"/>
        </w:rPr>
        <w:t xml:space="preserve">The database module remains complete and stable going into Milestone 2. This milestone's effort was focused on reviewing, verifying, and coordinating rather than new development, since the schema, models, and documentation were already finalized in Milestone 1. The module is ready to be connected to the backend as soon as the team finalizes that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8"/>
        <w:szCs w:val="18"/>
      </w:rPr>
      <w:t xml:space="preserve">Page </w:t>
    </w:r>
    <w:r>
      <w:rPr>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4444"/>
        <w:sz w:val="16"/>
        <w:szCs w:val="16"/>
      </w:rPr>
      <w:t xml:space="preserve">VisionInspect AI — Database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2026-07-23T08:48:20.153Z</dcterms:created>
  <dcterms:modified xsi:type="dcterms:W3CDTF">2026-07-23T08:48:20.153Z</dcterms:modified>
</cp:coreProperties>
</file>

<file path=docProps/custom.xml><?xml version="1.0" encoding="utf-8"?>
<Properties xmlns="http://schemas.openxmlformats.org/officeDocument/2006/custom-properties" xmlns:vt="http://schemas.openxmlformats.org/officeDocument/2006/docPropsVTypes"/>
</file>