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b/>
          <w:color w:val="1B365D"/>
          <w:sz w:val="48"/>
        </w:rPr>
        <w:t>VisionInspectAI: Real-Time Product Object Localization &amp; Anomaly Detection Pipeline</w:t>
      </w:r>
    </w:p>
    <w:p>
      <w:pPr>
        <w:spacing w:after="4000"/>
        <w:jc w:val="center"/>
      </w:pPr>
      <w:r>
        <w:rPr>
          <w:color w:val="666666"/>
          <w:sz w:val="28"/>
        </w:rPr>
        <w:t>Ragul</w:t>
      </w:r>
    </w:p>
    <w:p>
      <w:r>
        <w:br w:type="page"/>
      </w:r>
    </w:p>
    <w:p>
      <w:pPr>
        <w:spacing w:after="240"/>
      </w:pPr>
      <w:r>
        <w:rPr>
          <w:b/>
          <w:color w:val="1B365D"/>
          <w:sz w:val="36"/>
        </w:rPr>
        <w:t>Table of Contents</w:t>
      </w:r>
    </w:p>
    <w:tbl>
      <w:tblPr>
        <w:tblW w:type="auto" w:w="0"/>
        <w:tblLayout w:type="fixed"/>
        <w:tblLook w:firstColumn="1" w:firstRow="1" w:lastColumn="0" w:lastRow="0" w:noHBand="0" w:noVBand="1" w:val="04A0"/>
      </w:tblPr>
      <w:tblGrid>
        <w:gridCol w:w="7200"/>
        <w:gridCol w:w="2160"/>
      </w:tblGrid>
      <w:tr>
        <w:tc>
          <w:tcPr>
            <w:tcW w:type="dxa" w:w="4680"/>
          </w:tcPr>
          <w:p>
            <w:r>
              <w:rPr>
                <w:b/>
              </w:rPr>
              <w:t>1. Project Description</w:t>
            </w:r>
          </w:p>
        </w:tc>
        <w:tc>
          <w:tcPr>
            <w:tcW w:type="dxa" w:w="4680"/>
          </w:tcPr>
          <w:p>
            <w:pPr>
              <w:jc w:val="right"/>
            </w:pPr>
            <w:r>
              <w:t>1</w:t>
            </w:r>
          </w:p>
        </w:tc>
      </w:tr>
      <w:tr>
        <w:tc>
          <w:tcPr>
            <w:tcW w:type="dxa" w:w="4680"/>
          </w:tcPr>
          <w:p>
            <w:r>
              <w:rPr>
                <w:b/>
              </w:rPr>
              <w:t>2. Dataset Used</w:t>
            </w:r>
          </w:p>
        </w:tc>
        <w:tc>
          <w:tcPr>
            <w:tcW w:type="dxa" w:w="4680"/>
          </w:tcPr>
          <w:p>
            <w:pPr>
              <w:jc w:val="right"/>
            </w:pPr>
            <w:r>
              <w:t>1</w:t>
            </w:r>
          </w:p>
        </w:tc>
      </w:tr>
      <w:tr>
        <w:tc>
          <w:tcPr>
            <w:tcW w:type="dxa" w:w="4680"/>
          </w:tcPr>
          <w:p>
            <w:r>
              <w:rPr>
                <w:b/>
              </w:rPr>
              <w:t>3. Environment Setup</w:t>
            </w:r>
          </w:p>
        </w:tc>
        <w:tc>
          <w:tcPr>
            <w:tcW w:type="dxa" w:w="4680"/>
          </w:tcPr>
          <w:p>
            <w:pPr>
              <w:jc w:val="right"/>
            </w:pPr>
            <w:r>
              <w:t>2</w:t>
            </w:r>
          </w:p>
        </w:tc>
      </w:tr>
      <w:tr>
        <w:tc>
          <w:tcPr>
            <w:tcW w:type="dxa" w:w="4680"/>
          </w:tcPr>
          <w:p>
            <w:r>
              <w:rPr>
                <w:b/>
              </w:rPr>
              <w:t>4. Data Exploration</w:t>
            </w:r>
          </w:p>
        </w:tc>
        <w:tc>
          <w:tcPr>
            <w:tcW w:type="dxa" w:w="4680"/>
          </w:tcPr>
          <w:p>
            <w:pPr>
              <w:jc w:val="right"/>
            </w:pPr>
            <w:r>
              <w:t>3</w:t>
            </w:r>
          </w:p>
        </w:tc>
      </w:tr>
      <w:tr>
        <w:tc>
          <w:tcPr>
            <w:tcW w:type="dxa" w:w="4680"/>
          </w:tcPr>
          <w:p>
            <w:r>
              <w:rPr>
                <w:b/>
              </w:rPr>
              <w:t>5. Data Preprocessing</w:t>
            </w:r>
          </w:p>
        </w:tc>
        <w:tc>
          <w:tcPr>
            <w:tcW w:type="dxa" w:w="4680"/>
          </w:tcPr>
          <w:p>
            <w:pPr>
              <w:jc w:val="right"/>
            </w:pPr>
            <w:r>
              <w:t>3</w:t>
            </w:r>
          </w:p>
        </w:tc>
      </w:tr>
      <w:tr>
        <w:tc>
          <w:tcPr>
            <w:tcW w:type="dxa" w:w="4680"/>
          </w:tcPr>
          <w:p>
            <w:r>
              <w:rPr>
                <w:b/>
              </w:rPr>
              <w:t>6. Proposed System &amp; Architecture</w:t>
            </w:r>
          </w:p>
        </w:tc>
        <w:tc>
          <w:tcPr>
            <w:tcW w:type="dxa" w:w="4680"/>
          </w:tcPr>
          <w:p>
            <w:pPr>
              <w:jc w:val="right"/>
            </w:pPr>
            <w:r>
              <w:t>4</w:t>
            </w:r>
          </w:p>
        </w:tc>
      </w:tr>
      <w:tr>
        <w:tc>
          <w:tcPr>
            <w:tcW w:type="dxa" w:w="4680"/>
          </w:tcPr>
          <w:p>
            <w:r>
              <w:rPr>
                <w:b/>
              </w:rPr>
              <w:t>7. Training &amp; Threshold Calibration Pipeline</w:t>
            </w:r>
          </w:p>
        </w:tc>
        <w:tc>
          <w:tcPr>
            <w:tcW w:type="dxa" w:w="4680"/>
          </w:tcPr>
          <w:p>
            <w:pPr>
              <w:jc w:val="right"/>
            </w:pPr>
            <w:r>
              <w:t>5</w:t>
            </w:r>
          </w:p>
        </w:tc>
      </w:tr>
      <w:tr>
        <w:tc>
          <w:tcPr>
            <w:tcW w:type="dxa" w:w="4680"/>
          </w:tcPr>
          <w:p>
            <w:r>
              <w:rPr>
                <w:b/>
              </w:rPr>
              <w:t>8. Conclusion</w:t>
            </w:r>
          </w:p>
        </w:tc>
        <w:tc>
          <w:tcPr>
            <w:tcW w:type="dxa" w:w="4680"/>
          </w:tcPr>
          <w:p>
            <w:pPr>
              <w:jc w:val="right"/>
            </w:pPr>
            <w:r>
              <w:t>7</w:t>
            </w:r>
          </w:p>
        </w:tc>
      </w:tr>
    </w:tbl>
    <w:p>
      <w:r>
        <w:br w:type="page"/>
      </w:r>
    </w:p>
    <w:p>
      <w:pPr>
        <w:keepNext/>
        <w:spacing w:before="0" w:after="120"/>
      </w:pPr>
      <w:r>
        <w:rPr>
          <w:b/>
          <w:color w:val="1B365D"/>
          <w:sz w:val="32"/>
        </w:rPr>
        <w:t>1. Project Description</w:t>
      </w:r>
    </w:p>
    <w:p>
      <w:pPr>
        <w:spacing w:after="120" w:line="276" w:lineRule="auto"/>
      </w:pPr>
      <w:r>
        <w:t>The VisionInspectAI system is an end-to-end industrial machine learning pipeline designed to automatically localize products and detect surface and structural defects on manufacturing lines. The primary goal of this project is to process raw images of manufacturing components and perform unsupervised anomaly detection to identify product defects in real-time.</w:t>
      </w:r>
    </w:p>
    <w:p>
      <w:pPr>
        <w:spacing w:after="120" w:line="276" w:lineRule="auto"/>
      </w:pPr>
      <w:r>
        <w:t>This project implements a sequential, two-stage computer vision workflow. Stage 1 integrates a YOLOv8 (You Only Look Once) architecture for real-time product boundary localization and Region of Interest (ROI) cropping, filtering out background noise and conveyor belt variations. Stage 2 utilizes a Deep Convolutional Autoencoder architecture for unsupervised anomaly reconstruction, comparing input pixel structures to learn standard representation parameters and highlight anomalies via a localized Top-5% worst-pixel Mean Squared Error (MSE) metric.</w:t>
      </w:r>
    </w:p>
    <w:p>
      <w:pPr>
        <w:keepNext/>
        <w:spacing w:before="360" w:after="120"/>
      </w:pPr>
      <w:r>
        <w:rPr>
          <w:b/>
          <w:color w:val="1B365D"/>
          <w:sz w:val="32"/>
        </w:rPr>
        <w:t>2. Dataset Used</w:t>
      </w:r>
    </w:p>
    <w:p>
      <w:pPr>
        <w:spacing w:after="120" w:line="276" w:lineRule="auto"/>
      </w:pPr>
      <w:r>
        <w:t>The project utilizes the industry-standard MVTec Anomaly Detection (MVTec AD) dataset, specifically curated for benchmarking unsupervised anomaly detection algorithms. The dataset covers 15 distinct categories of industrial materials, including:</w:t>
      </w:r>
    </w:p>
    <w:p>
      <w:pPr>
        <w:pStyle w:val="ListBullet"/>
        <w:spacing w:after="120" w:line="276" w:lineRule="auto"/>
      </w:pPr>
      <w:r>
        <w:t xml:space="preserve"> 5 Texture categories: carpet, grid, leather, tile, wood.</w:t>
      </w:r>
    </w:p>
    <w:p>
      <w:pPr>
        <w:pStyle w:val="ListBullet"/>
        <w:spacing w:after="120" w:line="276" w:lineRule="auto"/>
      </w:pPr>
      <w:r>
        <w:t xml:space="preserve"> 10 Object categories: bottle, cable, capsule, hazelnut, metal_nut, pill, screw, toothbrush, transistor, zipper.</w:t>
      </w:r>
    </w:p>
    <w:p>
      <w:pPr>
        <w:spacing w:after="120" w:line="276" w:lineRule="auto"/>
      </w:pPr>
      <w:r>
        <w:t>Scope &amp; Split: Each category features a training set containing only defect-free, normal images (for unsupervised learning) and a test set containing both normal images and images with various categories of defects (e.g., broken components, scratches, cuts, folds, and structural changes).</w:t>
      </w:r>
    </w:p>
    <w:p>
      <w:pPr>
        <w:keepNext/>
        <w:spacing w:before="360" w:after="120"/>
      </w:pPr>
      <w:r>
        <w:rPr>
          <w:b/>
          <w:color w:val="1B365D"/>
          <w:sz w:val="32"/>
        </w:rPr>
        <w:t>3. Environment Setup</w:t>
      </w:r>
    </w:p>
    <w:p>
      <w:pPr>
        <w:spacing w:after="120" w:line="276" w:lineRule="auto"/>
      </w:pPr>
      <w:r>
        <w:t>The pipeline was developed and executed locally using a virtual environment on Windows. Key software packages and libraries installed include:</w:t>
      </w:r>
    </w:p>
    <w:p>
      <w:pPr>
        <w:pStyle w:val="ListBullet"/>
        <w:spacing w:after="120" w:line="276" w:lineRule="auto"/>
      </w:pPr>
      <w:r>
        <w:t>PyTorch (torch, torchvision): Core deep learning framework used to model, train, and validate the Convolutional Autoencoder and handle tensor-based calculations.</w:t>
      </w:r>
    </w:p>
    <w:p>
      <w:pPr>
        <w:pStyle w:val="ListBullet"/>
        <w:spacing w:after="120" w:line="276" w:lineRule="auto"/>
      </w:pPr>
      <w:r>
        <w:t>Ultralytics: Primary state-of-the-art framework for initializing and running the YOLOv8 object detection model.</w:t>
      </w:r>
    </w:p>
    <w:p>
      <w:pPr>
        <w:pStyle w:val="ListBullet"/>
        <w:spacing w:after="120" w:line="276" w:lineRule="auto"/>
      </w:pPr>
      <w:r>
        <w:t>OpenCV (opencv-python): Used for real-time computer vision operations, including heatmap generation using the JET colormap and pixel blends.</w:t>
      </w:r>
    </w:p>
    <w:p>
      <w:pPr>
        <w:pStyle w:val="ListBullet"/>
        <w:spacing w:after="120" w:line="276" w:lineRule="auto"/>
      </w:pPr>
      <w:r>
        <w:t>Pillow (PIL): Standard Python image processing library for uploading, formatting, and cropping raw inputs.</w:t>
      </w:r>
    </w:p>
    <w:p>
      <w:pPr>
        <w:pStyle w:val="ListBullet"/>
        <w:spacing w:after="120" w:line="276" w:lineRule="auto"/>
      </w:pPr>
      <w:r>
        <w:t>FastAPI &amp; Uvicorn: High-performance web framework used to expose endpoints, serve static assets, and run the real-time inference server.</w:t>
      </w:r>
    </w:p>
    <w:p>
      <w:pPr>
        <w:pStyle w:val="ListBullet"/>
        <w:spacing w:after="120" w:line="276" w:lineRule="auto"/>
      </w:pPr>
      <w:r>
        <w:t>Python-docx: Document generation library used to automatically output project reports and pipeline statistics.</w:t>
      </w:r>
    </w:p>
    <w:p>
      <w:pPr>
        <w:pStyle w:val="ListBullet"/>
        <w:spacing w:after="120" w:line="276" w:lineRule="auto"/>
      </w:pPr>
      <w:r>
        <w:t>Hardware: Executed locally utilizing an NVIDIA GeForce RTX 3050 Laptop GPU for accelerated training of high-epoch Autoencoder models and real-time inference processing.</w:t>
      </w:r>
    </w:p>
    <w:p>
      <w:pPr>
        <w:keepNext/>
        <w:spacing w:before="360" w:after="120"/>
      </w:pPr>
      <w:r>
        <w:rPr>
          <w:b/>
          <w:color w:val="1B365D"/>
          <w:sz w:val="32"/>
        </w:rPr>
        <w:t>4. Data Exploration</w:t>
      </w:r>
    </w:p>
    <w:p>
      <w:pPr>
        <w:spacing w:after="120" w:line="276" w:lineRule="auto"/>
      </w:pPr>
      <w:r>
        <w:t>A rigorous exploration of the dataset was conducted to understand the spatial distribution and variance in lighting, alignment, and defect sizes:</w:t>
      </w:r>
    </w:p>
    <w:p>
      <w:pPr>
        <w:pStyle w:val="ListBullet"/>
        <w:spacing w:after="120" w:line="276" w:lineRule="auto"/>
      </w:pPr>
      <w:r>
        <w:t>Class Mapping: Mapped all 15 MVTec AD subfolders to identify corresponding sample distributions.</w:t>
      </w:r>
    </w:p>
    <w:p>
      <w:pPr>
        <w:pStyle w:val="ListBullet"/>
        <w:spacing w:after="120" w:line="276" w:lineRule="auto"/>
      </w:pPr>
      <w:r>
        <w:t>Defect Variance Analysis: Evaluated target defects to observe the difference between global anomalies (e.g., a completely mismatched product category) and highly localized anomalies (e.g., a tiny scratch or small chip on a bottle edge).</w:t>
      </w:r>
    </w:p>
    <w:p>
      <w:pPr>
        <w:pStyle w:val="ListBullet"/>
        <w:spacing w:after="120" w:line="276" w:lineRule="auto"/>
      </w:pPr>
      <w:r>
        <w:t>Label Verification: Checked directories to ensure train/test splits were formatted with correct normal and anomalous directory structures.</w:t>
      </w:r>
    </w:p>
    <w:p>
      <w:pPr>
        <w:keepNext/>
        <w:spacing w:before="360" w:after="120"/>
      </w:pPr>
      <w:r>
        <w:rPr>
          <w:b/>
          <w:color w:val="1B365D"/>
          <w:sz w:val="32"/>
        </w:rPr>
        <w:t>5. Data Preprocessing</w:t>
      </w:r>
    </w:p>
    <w:p>
      <w:pPr>
        <w:spacing w:after="120" w:line="276" w:lineRule="auto"/>
      </w:pPr>
      <w:r>
        <w:t>To normalize incoming camera frames before running anomaly reconstruction, the following preprocessing steps are applied:</w:t>
      </w:r>
    </w:p>
    <w:p>
      <w:pPr>
        <w:pStyle w:val="ListBullet"/>
        <w:spacing w:after="120" w:line="276" w:lineRule="auto"/>
      </w:pPr>
      <w:r>
        <w:t>Image Resizing: Raw images are downscaled to 128x128 pixels to reduce computational overhead on CPU/GPU, standardizing input bounds.</w:t>
      </w:r>
    </w:p>
    <w:p>
      <w:pPr>
        <w:pStyle w:val="ListBullet"/>
        <w:spacing w:after="120" w:line="276" w:lineRule="auto"/>
      </w:pPr>
      <w:r>
        <w:t>Bounding Box Padding: When YOLO crops the product boundary, a 10% padding (5% on each edge) is added to ensure target edges are not clipped during crop scaling.</w:t>
      </w:r>
    </w:p>
    <w:p>
      <w:pPr>
        <w:pStyle w:val="ListBullet"/>
        <w:spacing w:after="120" w:line="276" w:lineRule="auto"/>
      </w:pPr>
      <w:r>
        <w:t>Tensor Normalization: Inputs are scaled to [0.0, 1.0] range and converted to PyTorch FloatTensors before entering the Autoencoder.</w:t>
      </w:r>
    </w:p>
    <w:p>
      <w:r>
        <w:br w:type="page"/>
      </w:r>
    </w:p>
    <w:p>
      <w:pPr>
        <w:keepNext/>
        <w:spacing w:before="360" w:after="120"/>
      </w:pPr>
      <w:r>
        <w:rPr>
          <w:b/>
          <w:color w:val="1B365D"/>
          <w:sz w:val="32"/>
        </w:rPr>
        <w:t>6. Proposed System &amp; Architecture</w:t>
      </w:r>
    </w:p>
    <w:p>
      <w:pPr>
        <w:spacing w:after="120" w:line="276" w:lineRule="auto"/>
      </w:pPr>
      <w:r>
        <w:t>The VisionInspectAI system operates in a sequential, dual-stage pipeline that combines deep object localization with unsupervised reconstruction to achieve robust anomaly detection:</w:t>
      </w:r>
    </w:p>
    <w:p>
      <w:pPr>
        <w:spacing w:before="120" w:after="240"/>
      </w:pPr>
      <w:r>
        <w:rPr>
          <w:rFonts w:ascii="Consolas" w:hAnsi="Consolas"/>
          <w:sz w:val="19"/>
        </w:rPr>
        <w:t>┌────────────────────────────────────────────────────────┐</w:t>
        <w:br/>
        <w:t>│                      Raw Input Image                   │</w:t>
        <w:br/>
        <w:t>└───────────────────────────┬────────────────────────────┘</w:t>
        <w:br/>
        <w:t xml:space="preserve">                            │</w:t>
        <w:br/>
        <w:t xml:space="preserve">                            ▼</w:t>
        <w:br/>
        <w:t>┌────────────────────────────────────────────────────────┐</w:t>
        <w:br/>
        <w:t>│        Stage 1: YOLOv8 Object Bounding Box Crop        │</w:t>
        <w:br/>
        <w:t>│    (Bypasses texture datasets; pads crop bounding box) │</w:t>
        <w:br/>
        <w:t>└───────────────────────────┬────────────────────────────┘</w:t>
        <w:br/>
        <w:t xml:space="preserve">                            │</w:t>
        <w:br/>
        <w:t xml:space="preserve">                            ▼</w:t>
        <w:br/>
        <w:t>┌────────────────────────────────────────────────────────┐</w:t>
        <w:br/>
        <w:t>│        Stage 2: PyTorch Convolutional Autoencoder      │</w:t>
        <w:br/>
        <w:t>│  (Reconstructs input; targets Top-5% worst-pixel MSE) │</w:t>
        <w:br/>
        <w:t>└───────────────────────────┬────────────────────────────┘</w:t>
        <w:br/>
        <w:t xml:space="preserve">                            │</w:t>
        <w:br/>
        <w:t xml:space="preserve">                            ▼</w:t>
        <w:br/>
        <w:t>┌────────────────────────────────────────────────────────┐</w:t>
        <w:br/>
        <w:t>│            Quality Inspection Classification           │</w:t>
        <w:br/>
        <w:t>│       If Top-5% MSE &gt; 3-Sigma Threshold -&gt; FAIL        │</w:t>
        <w:br/>
        <w:t>│       If Top-5% MSE &lt;= 3-Sigma Threshold -&gt; PASS       │</w:t>
        <w:br/>
        <w:t>└───────────────────────────┬────────────────────────────┘</w:t>
        <w:br/>
        <w:t xml:space="preserve">                            │</w:t>
        <w:br/>
        <w:t xml:space="preserve">                            ▼</w:t>
        <w:br/>
        <w:t>┌────────────────────────────────────────────────────────┐</w:t>
        <w:br/>
        <w:t>│      Web Dashboard Output: Bbox, Heatmap &amp; Overlay      │</w:t>
        <w:br/>
        <w:t>└────────────────────────────────────────────────────────┘</w:t>
      </w:r>
    </w:p>
    <w:p>
      <w:pPr>
        <w:keepNext/>
        <w:spacing w:before="240" w:after="80"/>
      </w:pPr>
      <w:r>
        <w:rPr>
          <w:b/>
          <w:color w:val="5C768D"/>
          <w:sz w:val="26"/>
        </w:rPr>
        <w:t>Stage 1: YOLOv8 Product Localization</w:t>
      </w:r>
    </w:p>
    <w:p>
      <w:pPr>
        <w:spacing w:after="120" w:line="276" w:lineRule="auto"/>
      </w:pPr>
      <w:r>
        <w:t>Object categories in MVTec AD frequently suffer from camera displacement, translation variance, and background conveyor belt changes. YOLOv8 is deployed to detect the main target object, output a bounding box, apply a 10% pad margin, and crop the ROI. This ensures the Autoencoder only analyzes the product surface. Texture categories (carpet, grid, leather, tile, wood) bypass YOLO and process the full frame because the texture fills the entire image.</w:t>
      </w:r>
    </w:p>
    <w:p>
      <w:pPr>
        <w:keepNext/>
        <w:spacing w:before="240" w:after="80"/>
      </w:pPr>
      <w:r>
        <w:rPr>
          <w:b/>
          <w:color w:val="5C768D"/>
          <w:sz w:val="26"/>
        </w:rPr>
        <w:t>Stage 2: Autoencoder Reconstruction &amp; Top-5% worst-pixel MSE</w:t>
      </w:r>
    </w:p>
    <w:p>
      <w:pPr>
        <w:spacing w:after="120" w:line="276" w:lineRule="auto"/>
      </w:pPr>
      <w:r>
        <w:t>The Autoencoder consists of a Convolutional Encoder (4 layers, kernel=4, stride=2, padding=1) that compresses the image into a bottleneck latent space, and a Decoder (4 layers, transposed convolutions) that reconstructs the 3x128x128 image. The network is trained *only* on normal, defect-free images, meaning it can only reconstruct normal product structures.</w:t>
      </w:r>
    </w:p>
    <w:p>
      <w:pPr>
        <w:spacing w:after="120" w:line="276" w:lineRule="auto"/>
      </w:pPr>
      <w:r>
        <w:t>When an anomalous image (containing a crack, cut, or chip) is processed, the Autoencoder fails to reconstruct the defect. Rather than taking a global average MSE across all 16,384 pixels (which dilutes localized defects against the normal body/background), the system computes the mean of the top 5% worst reconstructed pixels (Top-K MSE). This amplifies the defect signal, making it highly sensitive to small, localized anomalies.</w:t>
      </w:r>
    </w:p>
    <w:p>
      <w:pPr>
        <w:keepNext/>
        <w:spacing w:before="360" w:after="120"/>
      </w:pPr>
      <w:r>
        <w:rPr>
          <w:b/>
          <w:color w:val="1B365D"/>
          <w:sz w:val="32"/>
        </w:rPr>
        <w:t>7. Training &amp; Threshold Calibration Pipeline</w:t>
      </w:r>
    </w:p>
    <w:p>
      <w:pPr>
        <w:spacing w:after="120" w:line="276" w:lineRule="auto"/>
      </w:pPr>
      <w:r>
        <w:t>To ensure robust performance, the training pipeline runs for 25 epochs per category using a Cosine Annealing Learning Rate Scheduler starting at 2e-3 and decreasing to 1e-5. This scheduler prevents local minima trapping and improves network generalization.</w:t>
      </w:r>
    </w:p>
    <w:p>
      <w:pPr>
        <w:spacing w:after="120" w:line="276" w:lineRule="auto"/>
      </w:pPr>
      <w:r>
        <w:t>After training, thresholds are calibrated using a 3-sigma statistical safety margin calculated on the normal validation set:</w:t>
      </w:r>
    </w:p>
    <w:p>
      <w:pPr>
        <w:jc w:val="center"/>
      </w:pPr>
      <w:r>
        <w:rPr>
          <w:rFonts w:ascii="Consolas" w:hAnsi="Consolas"/>
          <w:b/>
          <w:sz w:val="22"/>
        </w:rPr>
        <w:t>Threshold = Mean_Normal + 3 * Std_Normal</w:t>
      </w:r>
    </w:p>
    <w:p>
      <w:pPr>
        <w:spacing w:after="120" w:line="276" w:lineRule="auto"/>
      </w:pPr>
      <w:r>
        <w:t>This ensures that 99.7% of all normal, good products pass successfully, while defects (including small cracks) are flagged. The calibrated thresholds for all categories are listed below:</w:t>
      </w:r>
    </w:p>
    <w:tbl>
      <w:tblPr>
        <w:tblW w:type="auto" w:w="0"/>
        <w:tblLayout w:type="fixed"/>
        <w:tblLook w:firstColumn="1" w:firstRow="1" w:lastColumn="0" w:lastRow="0" w:noHBand="0" w:noVBand="1" w:val="04A0"/>
      </w:tblPr>
      <w:tblGrid>
        <w:gridCol w:w="5040"/>
        <w:gridCol w:w="4320"/>
      </w:tblGrid>
      <w:tr>
        <w:tc>
          <w:tcPr>
            <w:tcW w:type="dxa" w:w="4680"/>
            <w:shd w:fill="F2F2F2"/>
          </w:tcPr>
          <w:p>
            <w:r>
              <w:rPr>
                <w:b/>
              </w:rPr>
              <w:t>Category</w:t>
            </w:r>
          </w:p>
        </w:tc>
        <w:tc>
          <w:tcPr>
            <w:tcW w:type="dxa" w:w="4680"/>
            <w:shd w:fill="F2F2F2"/>
          </w:tcPr>
          <w:p>
            <w:r>
              <w:rPr>
                <w:b/>
              </w:rPr>
              <w:t>Calibrated Threshold (Top-5% MSE)</w:t>
            </w:r>
          </w:p>
        </w:tc>
      </w:tr>
      <w:tr>
        <w:tc>
          <w:tcPr>
            <w:tcW w:type="dxa" w:w="4680"/>
          </w:tcPr>
          <w:p>
            <w:r>
              <w:t>bottle</w:t>
            </w:r>
          </w:p>
        </w:tc>
        <w:tc>
          <w:tcPr>
            <w:tcW w:type="dxa" w:w="4680"/>
          </w:tcPr>
          <w:p>
            <w:r>
              <w:t>0.017216</w:t>
            </w:r>
          </w:p>
        </w:tc>
      </w:tr>
      <w:tr>
        <w:tc>
          <w:tcPr>
            <w:tcW w:type="dxa" w:w="4680"/>
            <w:shd w:fill="F9F9F9"/>
          </w:tcPr>
          <w:p>
            <w:r>
              <w:t>cable</w:t>
            </w:r>
          </w:p>
        </w:tc>
        <w:tc>
          <w:tcPr>
            <w:tcW w:type="dxa" w:w="4680"/>
            <w:shd w:fill="F9F9F9"/>
          </w:tcPr>
          <w:p>
            <w:r>
              <w:t>0.028136</w:t>
            </w:r>
          </w:p>
        </w:tc>
      </w:tr>
      <w:tr>
        <w:tc>
          <w:tcPr>
            <w:tcW w:type="dxa" w:w="4680"/>
          </w:tcPr>
          <w:p>
            <w:r>
              <w:t>capsule</w:t>
            </w:r>
          </w:p>
        </w:tc>
        <w:tc>
          <w:tcPr>
            <w:tcW w:type="dxa" w:w="4680"/>
          </w:tcPr>
          <w:p>
            <w:r>
              <w:t>0.005667</w:t>
            </w:r>
          </w:p>
        </w:tc>
      </w:tr>
      <w:tr>
        <w:tc>
          <w:tcPr>
            <w:tcW w:type="dxa" w:w="4680"/>
            <w:shd w:fill="F9F9F9"/>
          </w:tcPr>
          <w:p>
            <w:r>
              <w:t>carpet</w:t>
            </w:r>
          </w:p>
        </w:tc>
        <w:tc>
          <w:tcPr>
            <w:tcW w:type="dxa" w:w="4680"/>
            <w:shd w:fill="F9F9F9"/>
          </w:tcPr>
          <w:p>
            <w:r>
              <w:t>0.014516</w:t>
            </w:r>
          </w:p>
        </w:tc>
      </w:tr>
      <w:tr>
        <w:tc>
          <w:tcPr>
            <w:tcW w:type="dxa" w:w="4680"/>
          </w:tcPr>
          <w:p>
            <w:r>
              <w:t>grid</w:t>
            </w:r>
          </w:p>
        </w:tc>
        <w:tc>
          <w:tcPr>
            <w:tcW w:type="dxa" w:w="4680"/>
          </w:tcPr>
          <w:p>
            <w:r>
              <w:t>0.011530</w:t>
            </w:r>
          </w:p>
        </w:tc>
      </w:tr>
      <w:tr>
        <w:tc>
          <w:tcPr>
            <w:tcW w:type="dxa" w:w="4680"/>
            <w:shd w:fill="F9F9F9"/>
          </w:tcPr>
          <w:p>
            <w:r>
              <w:t>hazelnut</w:t>
            </w:r>
          </w:p>
        </w:tc>
        <w:tc>
          <w:tcPr>
            <w:tcW w:type="dxa" w:w="4680"/>
            <w:shd w:fill="F9F9F9"/>
          </w:tcPr>
          <w:p>
            <w:r>
              <w:t>0.008952</w:t>
            </w:r>
          </w:p>
        </w:tc>
      </w:tr>
      <w:tr>
        <w:tc>
          <w:tcPr>
            <w:tcW w:type="dxa" w:w="4680"/>
          </w:tcPr>
          <w:p>
            <w:r>
              <w:t>leather</w:t>
            </w:r>
          </w:p>
        </w:tc>
        <w:tc>
          <w:tcPr>
            <w:tcW w:type="dxa" w:w="4680"/>
          </w:tcPr>
          <w:p>
            <w:r>
              <w:t>0.004567</w:t>
            </w:r>
          </w:p>
        </w:tc>
      </w:tr>
      <w:tr>
        <w:tc>
          <w:tcPr>
            <w:tcW w:type="dxa" w:w="4680"/>
            <w:shd w:fill="F9F9F9"/>
          </w:tcPr>
          <w:p>
            <w:r>
              <w:t>metal_nut</w:t>
            </w:r>
          </w:p>
        </w:tc>
        <w:tc>
          <w:tcPr>
            <w:tcW w:type="dxa" w:w="4680"/>
            <w:shd w:fill="F9F9F9"/>
          </w:tcPr>
          <w:p>
            <w:r>
              <w:t>0.025286</w:t>
            </w:r>
          </w:p>
        </w:tc>
      </w:tr>
      <w:tr>
        <w:tc>
          <w:tcPr>
            <w:tcW w:type="dxa" w:w="4680"/>
          </w:tcPr>
          <w:p>
            <w:r>
              <w:t>pill</w:t>
            </w:r>
          </w:p>
        </w:tc>
        <w:tc>
          <w:tcPr>
            <w:tcW w:type="dxa" w:w="4680"/>
          </w:tcPr>
          <w:p>
            <w:r>
              <w:t>0.008796</w:t>
            </w:r>
          </w:p>
        </w:tc>
      </w:tr>
      <w:tr>
        <w:tc>
          <w:tcPr>
            <w:tcW w:type="dxa" w:w="4680"/>
            <w:shd w:fill="F9F9F9"/>
          </w:tcPr>
          <w:p>
            <w:r>
              <w:t>screw</w:t>
            </w:r>
          </w:p>
        </w:tc>
        <w:tc>
          <w:tcPr>
            <w:tcW w:type="dxa" w:w="4680"/>
            <w:shd w:fill="F9F9F9"/>
          </w:tcPr>
          <w:p>
            <w:r>
              <w:t>0.011649</w:t>
            </w:r>
          </w:p>
        </w:tc>
      </w:tr>
      <w:tr>
        <w:tc>
          <w:tcPr>
            <w:tcW w:type="dxa" w:w="4680"/>
          </w:tcPr>
          <w:p>
            <w:r>
              <w:t>tile</w:t>
            </w:r>
          </w:p>
        </w:tc>
        <w:tc>
          <w:tcPr>
            <w:tcW w:type="dxa" w:w="4680"/>
          </w:tcPr>
          <w:p>
            <w:r>
              <w:t>0.034607</w:t>
            </w:r>
          </w:p>
        </w:tc>
      </w:tr>
      <w:tr>
        <w:tc>
          <w:tcPr>
            <w:tcW w:type="dxa" w:w="4680"/>
            <w:shd w:fill="F9F9F9"/>
          </w:tcPr>
          <w:p>
            <w:r>
              <w:t>toothbrush</w:t>
            </w:r>
          </w:p>
        </w:tc>
        <w:tc>
          <w:tcPr>
            <w:tcW w:type="dxa" w:w="4680"/>
            <w:shd w:fill="F9F9F9"/>
          </w:tcPr>
          <w:p>
            <w:r>
              <w:t>0.069813</w:t>
            </w:r>
          </w:p>
        </w:tc>
      </w:tr>
      <w:tr>
        <w:tc>
          <w:tcPr>
            <w:tcW w:type="dxa" w:w="4680"/>
          </w:tcPr>
          <w:p>
            <w:r>
              <w:t>transistor</w:t>
            </w:r>
          </w:p>
        </w:tc>
        <w:tc>
          <w:tcPr>
            <w:tcW w:type="dxa" w:w="4680"/>
          </w:tcPr>
          <w:p>
            <w:r>
              <w:t>0.019222</w:t>
            </w:r>
          </w:p>
        </w:tc>
      </w:tr>
      <w:tr>
        <w:tc>
          <w:tcPr>
            <w:tcW w:type="dxa" w:w="4680"/>
            <w:shd w:fill="F9F9F9"/>
          </w:tcPr>
          <w:p>
            <w:r>
              <w:t>wood</w:t>
            </w:r>
          </w:p>
        </w:tc>
        <w:tc>
          <w:tcPr>
            <w:tcW w:type="dxa" w:w="4680"/>
            <w:shd w:fill="F9F9F9"/>
          </w:tcPr>
          <w:p>
            <w:r>
              <w:t>0.008313</w:t>
            </w:r>
          </w:p>
        </w:tc>
      </w:tr>
      <w:tr>
        <w:tc>
          <w:tcPr>
            <w:tcW w:type="dxa" w:w="4680"/>
          </w:tcPr>
          <w:p>
            <w:r>
              <w:t>zipper</w:t>
            </w:r>
          </w:p>
        </w:tc>
        <w:tc>
          <w:tcPr>
            <w:tcW w:type="dxa" w:w="4680"/>
          </w:tcPr>
          <w:p>
            <w:r>
              <w:t>0.015190</w:t>
            </w:r>
          </w:p>
        </w:tc>
      </w:tr>
    </w:tbl>
    <w:p>
      <w:pPr>
        <w:keepNext/>
        <w:spacing w:before="360" w:after="120"/>
      </w:pPr>
      <w:r>
        <w:rPr>
          <w:b/>
          <w:color w:val="1B365D"/>
          <w:sz w:val="32"/>
        </w:rPr>
        <w:t>8. Conclusion</w:t>
      </w:r>
    </w:p>
    <w:p>
      <w:pPr>
        <w:spacing w:after="120" w:line="276" w:lineRule="auto"/>
      </w:pPr>
      <w:r>
        <w:t>The VisionInspectAI system demonstrates an end-to-end industrial vision pipeline. By combining YOLOv8 for object localization and a PyTorch Autoencoder with a localized Top-5% worst-pixel MSE metric, the pipeline achieves accurate, robust anomaly detection. The system is served via a high-performance FastAPI server and is fully integrated with a modern glassmorphic web dashboard, allowing real-time inspection, custom thresholds, and defect heatmap overlays for manufacturing lines.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