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20"/>
        <w:jc w:val="center"/>
      </w:pPr>
      <w:r>
        <w:rPr>
          <w:rFonts w:ascii="Aptos Display" w:hAnsi="Aptos Display"/>
          <w:b/>
          <w:color w:val="173A5E"/>
          <w:sz w:val="62"/>
        </w:rPr>
        <w:t>VisionInspect AI</w:t>
      </w:r>
    </w:p>
    <w:p>
      <w:pPr>
        <w:keepNext/>
        <w:spacing w:after="20"/>
        <w:jc w:val="center"/>
      </w:pPr>
      <w:r>
        <w:rPr>
          <w:b/>
          <w:color w:val="26313D"/>
          <w:sz w:val="44"/>
        </w:rPr>
        <w:t>AI/ML Module Implementation Report</w:t>
      </w:r>
    </w:p>
    <w:p>
      <w:pPr>
        <w:keepNext/>
        <w:spacing w:after="160"/>
        <w:jc w:val="center"/>
      </w:pPr>
      <w:r>
        <w:rPr>
          <w:color w:val="667584"/>
          <w:sz w:val="25"/>
        </w:rPr>
        <w:t>Manufacturing Defect Detection, Explainability and Quality Decision Support</w:t>
      </w:r>
    </w:p>
    <w:p>
      <w:pPr>
        <w:spacing w:before="0" w:after="80"/>
        <w:jc w:val="center"/>
      </w:pPr>
      <w:r>
        <w:drawing>
          <wp:inline xmlns:a="http://schemas.openxmlformats.org/drawingml/2006/main" xmlns:pic="http://schemas.openxmlformats.org/drawingml/2006/picture">
            <wp:extent cx="5806440" cy="1096772"/>
            <wp:docPr id="31" name="Picture 31" descr="Image: image30.png"/>
            <wp:cNvGraphicFramePr>
              <a:graphicFrameLocks noChangeAspect="1"/>
            </wp:cNvGraphicFramePr>
            <a:graphic>
              <a:graphicData uri="http://schemas.openxmlformats.org/drawingml/2006/picture">
                <pic:pic>
                  <pic:nvPicPr>
                    <pic:cNvPr id="0" name="cover_pipeline_clean.png"/>
                    <pic:cNvPicPr/>
                  </pic:nvPicPr>
                  <pic:blipFill>
                    <a:blip r:embed="rId40"/>
                    <a:stretch>
                      <a:fillRect/>
                    </a:stretch>
                  </pic:blipFill>
                  <pic:spPr>
                    <a:xfrm>
                      <a:off x="0" y="0"/>
                      <a:ext cx="5806440" cy="1096772"/>
                    </a:xfrm>
                    <a:prstGeom prst="rect"/>
                  </pic:spPr>
                </pic:pic>
              </a:graphicData>
            </a:graphic>
          </wp:inline>
        </w:drawing>
      </w:r>
    </w:p>
    <w:tbl>
      <w:tblPr>
        <w:tblW w:type="auto" w:w="0"/>
        <w:jc w:val="center"/>
        <w:tblLayout w:type="fixed"/>
        <w:tblLook w:firstColumn="1" w:firstRow="1" w:lastColumn="0" w:lastRow="0" w:noHBand="0" w:noVBand="1" w:val="04A0"/>
      </w:tblPr>
      <w:tblGrid>
        <w:gridCol w:w="2952"/>
        <w:gridCol w:w="6984"/>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7"/>
              </w:rPr>
              <w:t>Submission field</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7"/>
              </w:rPr>
              <w:t>Details</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Project</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VisionInspect AI</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Assigned module</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AI/ML module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Prepared by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Himanshu Sekhar Parhi</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Mentor</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Sai Jyoteesh</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Programme</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Infosys Springboard Programme</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Submission date</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7"/>
              </w:rPr>
              <w:t>10.07.2026</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5F9FC"/>
            <w:tcBorders>
              <w:top w:val="single" w:sz="8" w:color="245A8D" w:space="0"/>
              <w:left w:val="single" w:sz="8" w:color="245A8D" w:space="0"/>
              <w:bottom w:val="single" w:sz="8" w:color="245A8D" w:space="0"/>
              <w:right w:val="single" w:sz="8" w:color="245A8D" w:space="0"/>
            </w:tcBorders>
            <w:tcMar>
              <w:top w:w="45" w:type="dxa"/>
              <w:start w:w="65" w:type="dxa"/>
              <w:bottom w:w="45" w:type="dxa"/>
              <w:end w:w="65" w:type="dxa"/>
            </w:tcMar>
          </w:tcPr>
          <w:p>
            <w:pPr>
              <w:spacing w:after="20"/>
            </w:pPr>
            <w:r>
              <w:rPr>
                <w:b/>
                <w:color w:val="1F5A89"/>
                <w:sz w:val="20"/>
              </w:rPr>
              <w:t>Report purpose</w:t>
            </w:r>
            <w:r>
              <w:br/>
            </w:r>
            <w:r>
              <w:rPr>
                <w:color w:val="243444"/>
                <w:sz w:val="18"/>
              </w:rPr>
              <w:t>This report documents the AI/ML module of VisionInspect AI from dataset understanding and image preparation through anomaly detection, defect classification, localization, severity scoring and structured output. It distinguishes the deployed OpenCV baseline from the trained PaDiM candidate and links technical claims to notebook, source-code, artifact and test evidence.</w:t>
            </w:r>
          </w:p>
        </w:tc>
      </w:tr>
    </w:tbl>
    <w:p>
      <w:pPr>
        <w:spacing w:after="20"/>
      </w:pPr>
    </w:p>
    <w:tbl>
      <w:tblPr>
        <w:tblW w:type="auto" w:w="0"/>
        <w:jc w:val="center"/>
        <w:tblLayout w:type="fixed"/>
        <w:tblLook w:firstColumn="1" w:firstRow="1" w:lastColumn="0" w:lastRow="0" w:noHBand="0" w:noVBand="1" w:val="04A0"/>
      </w:tblPr>
      <w:tblGrid>
        <w:gridCol w:w="4925"/>
        <w:gridCol w:w="4925"/>
      </w:tblGrid>
      <w:tr>
        <w:trPr>
          <w:cantSplit/>
          <w:tblHeader w:val="true"/>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Image processing</w:t>
            </w:r>
          </w:p>
          <w:p>
            <w:pPr>
              <w:spacing w:after="0"/>
            </w:pPr>
            <w:r>
              <w:rPr>
                <w:color w:val="26313D"/>
                <w:sz w:val="17"/>
              </w:rPr>
              <w:t>Validation, RGB handling, resizing, enhancement and defect cues.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D97928"/>
                <w:sz w:val="19"/>
              </w:rPr>
              <w:t>Anomaly intelligence</w:t>
            </w:r>
          </w:p>
          <w:p>
            <w:pPr>
              <w:spacing w:after="0"/>
            </w:pPr>
            <w:r>
              <w:rPr>
                <w:color w:val="26313D"/>
                <w:sz w:val="17"/>
              </w:rPr>
              <w:t>OpenCV baseline and trained PaDiM anomaly detection/localization.</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Decision intelligence</w:t>
            </w:r>
          </w:p>
          <w:p>
            <w:pPr>
              <w:spacing w:after="0"/>
            </w:pPr>
            <w:r>
              <w:rPr>
                <w:color w:val="26313D"/>
                <w:sz w:val="17"/>
              </w:rPr>
              <w:t>Defect classification, severity scoring and QA action mapping.</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Platform readiness</w:t>
            </w:r>
          </w:p>
          <w:p>
            <w:pPr>
              <w:spacing w:after="0"/>
            </w:pPr>
            <w:r>
              <w:rPr>
                <w:color w:val="26313D"/>
                <w:sz w:val="17"/>
              </w:rPr>
              <w:t>Saved artifacts, backend-ready JSON, frontend evidence and Pytest validation.</w:t>
            </w:r>
          </w:p>
        </w:tc>
      </w:tr>
    </w:tbl>
    <w:p>
      <w:pPr>
        <w:spacing w:after="20"/>
      </w:pPr>
    </w:p>
    <w:p>
      <w:r>
        <w:br w:type="page"/>
      </w:r>
    </w:p>
    <w:p>
      <w:pPr>
        <w:pStyle w:val="Heading1"/>
        <w:keepNext/>
        <w:keepLines/>
        <w:spacing w:before="0" w:after="240"/>
      </w:pPr>
      <w:r>
        <w:rPr>
          <w:rFonts w:ascii="Aptos Display" w:hAnsi="Aptos Display"/>
          <w:b/>
          <w:color w:val="1F4E79"/>
          <w:sz w:val="48"/>
        </w:rPr>
        <w:t>Table of Contents</w:t>
      </w:r>
    </w:p>
    <w:tbl>
      <w:tblPr>
        <w:tblW w:type="dxa" w:w="10108"/>
        <w:jc w:val="center"/>
        <w:tblLayout w:type="fixed"/>
        <w:tblLook w:firstColumn="1" w:firstRow="1" w:lastColumn="0" w:lastRow="0" w:noHBand="0" w:noVBand="1" w:val="04A0"/>
        <w:tblBorders>
          <w:top w:val="nil"/>
          <w:left w:val="nil"/>
          <w:bottom w:val="nil"/>
          <w:right w:val="nil"/>
          <w:insideH w:val="nil"/>
          <w:insideV w:val="nil"/>
        </w:tblBorders>
      </w:tblPr>
      <w:tblGrid>
        <w:gridCol w:w="10325"/>
      </w:tblGrid>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 Executive Summary</w:t>
            </w:r>
            <w:r>
              <w:rPr>
                <w:rFonts w:ascii="Aptos" w:hAnsi="Aptos"/>
                <w:b/>
                <w:color w:val="233246"/>
                <w:sz w:val="22"/>
              </w:rPr>
              <w:tab/>
              <w:t>4</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2. Project Context, Objectives and Scope</w:t>
            </w:r>
            <w:r>
              <w:rPr>
                <w:rFonts w:ascii="Aptos" w:hAnsi="Aptos"/>
                <w:b/>
                <w:color w:val="233246"/>
                <w:sz w:val="22"/>
              </w:rPr>
              <w:tab/>
              <w:t>4</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3. Current Implementation Status</w:t>
            </w:r>
            <w:r>
              <w:rPr>
                <w:rFonts w:ascii="Aptos" w:hAnsi="Aptos"/>
                <w:b/>
                <w:color w:val="233246"/>
                <w:sz w:val="22"/>
              </w:rPr>
              <w:tab/>
              <w:t>5</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4. Development and Runtime Workflows</w:t>
            </w:r>
            <w:r>
              <w:rPr>
                <w:rFonts w:ascii="Aptos" w:hAnsi="Aptos"/>
                <w:b/>
                <w:color w:val="233246"/>
                <w:sz w:val="22"/>
              </w:rPr>
              <w:tab/>
              <w:t>6</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5. Technology Stack and Method Selection</w:t>
            </w:r>
            <w:r>
              <w:rPr>
                <w:rFonts w:ascii="Aptos" w:hAnsi="Aptos"/>
                <w:b/>
                <w:color w:val="233246"/>
                <w:sz w:val="22"/>
              </w:rPr>
              <w:tab/>
              <w:t>7</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6. Architecture and Component Responsibilities</w:t>
            </w:r>
            <w:r>
              <w:rPr>
                <w:rFonts w:ascii="Aptos" w:hAnsi="Aptos"/>
                <w:b/>
                <w:color w:val="233246"/>
                <w:sz w:val="22"/>
              </w:rPr>
              <w:tab/>
              <w:t>8</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7. Repository, Notebooks and Model Artifacts</w:t>
            </w:r>
            <w:r>
              <w:rPr>
                <w:rFonts w:ascii="Aptos" w:hAnsi="Aptos"/>
                <w:b/>
                <w:color w:val="233246"/>
                <w:sz w:val="22"/>
              </w:rPr>
              <w:tab/>
              <w:t>9</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8. Dataset, Splits and Validation</w:t>
            </w:r>
            <w:r>
              <w:rPr>
                <w:rFonts w:ascii="Aptos" w:hAnsi="Aptos"/>
                <w:b/>
                <w:color w:val="233246"/>
                <w:sz w:val="22"/>
              </w:rPr>
              <w:tab/>
              <w:t>11</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9. Image Understanding and Preprocessing</w:t>
            </w:r>
            <w:r>
              <w:rPr>
                <w:rFonts w:ascii="Aptos" w:hAnsi="Aptos"/>
                <w:b/>
                <w:color w:val="233246"/>
                <w:sz w:val="22"/>
              </w:rPr>
              <w:tab/>
              <w:t>12</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10. OpenCV Baseline Detector</w:t>
            </w:r>
            <w:r>
              <w:rPr>
                <w:rFonts w:ascii="Aptos" w:hAnsi="Aptos"/>
                <w:b/>
                <w:color w:val="233246"/>
                <w:sz w:val="22"/>
              </w:rPr>
              <w:tab/>
              <w:t>14</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11. PaDiM Anomaly Detection and Localization</w:t>
            </w:r>
            <w:r>
              <w:rPr>
                <w:rFonts w:ascii="Aptos" w:hAnsi="Aptos"/>
                <w:b/>
                <w:color w:val="233246"/>
                <w:sz w:val="22"/>
              </w:rPr>
              <w:tab/>
              <w:t>16</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12. Defect-Type Classification</w:t>
            </w:r>
            <w:r>
              <w:rPr>
                <w:rFonts w:ascii="Aptos" w:hAnsi="Aptos"/>
                <w:b/>
                <w:color w:val="233246"/>
                <w:sz w:val="22"/>
              </w:rPr>
              <w:tab/>
              <w:t>17</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13. Explainability, Severity and QA Decision</w:t>
            </w:r>
            <w:r>
              <w:rPr>
                <w:rFonts w:ascii="Aptos" w:hAnsi="Aptos"/>
                <w:b/>
                <w:color w:val="233246"/>
                <w:sz w:val="22"/>
              </w:rPr>
              <w:tab/>
              <w:t>18</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14. Input/Output Contract and Invalid-Input Handling</w:t>
            </w:r>
            <w:r>
              <w:rPr>
                <w:rFonts w:ascii="Aptos" w:hAnsi="Aptos"/>
                <w:b/>
                <w:color w:val="233246"/>
                <w:sz w:val="22"/>
              </w:rPr>
              <w:tab/>
              <w:t>21</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15. AI/ML Output Contract and Integration Boundary</w:t>
            </w:r>
            <w:r>
              <w:rPr>
                <w:rFonts w:ascii="Aptos" w:hAnsi="Aptos"/>
                <w:b/>
                <w:color w:val="233246"/>
                <w:sz w:val="22"/>
              </w:rPr>
              <w:tab/>
              <w:t>22</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16. Model Evaluation and Production Readiness</w:t>
            </w:r>
            <w:r>
              <w:rPr>
                <w:rFonts w:ascii="Aptos" w:hAnsi="Aptos"/>
                <w:b/>
                <w:color w:val="233246"/>
                <w:sz w:val="22"/>
              </w:rPr>
              <w:tab/>
              <w:t>24</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17. Automated Testing and Reliability</w:t>
            </w:r>
            <w:r>
              <w:rPr>
                <w:rFonts w:ascii="Aptos" w:hAnsi="Aptos"/>
                <w:b/>
                <w:color w:val="233246"/>
                <w:sz w:val="22"/>
              </w:rPr>
              <w:tab/>
              <w:t>25</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18. Challenges and Limitations</w:t>
            </w:r>
            <w:r>
              <w:rPr>
                <w:rFonts w:ascii="Aptos" w:hAnsi="Aptos"/>
                <w:b/>
                <w:color w:val="233246"/>
                <w:sz w:val="22"/>
              </w:rPr>
              <w:tab/>
              <w:t>26</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19. Future Scope and Production Roadmap</w:t>
            </w:r>
            <w:r>
              <w:rPr>
                <w:rFonts w:ascii="Aptos" w:hAnsi="Aptos"/>
                <w:b/>
                <w:color w:val="233246"/>
                <w:sz w:val="22"/>
              </w:rPr>
              <w:tab/>
              <w:t>27</w:t>
            </w:r>
          </w:p>
        </w:tc>
      </w:tr>
      <w:tr>
        <w:trPr>
          <w:trHeight w:val="612" w:hRule="atLeast"/>
        </w:trPr>
        <w:tc>
          <w:tcPr>
            <w:tcW w:type="dxa" w:w="10109"/>
            <w:vAlign w:val="center"/>
            <w:tcMar>
              <w:top w:w="0" w:type="dxa"/>
              <w:start w:w="10" w:type="dxa"/>
              <w:bottom w:w="0" w:type="dxa"/>
              <w:end w:w="10" w:type="dxa"/>
            </w:tcMar>
          </w:tcPr>
          <w:p>
            <w:pPr>
              <w:keepLines/>
              <w:tabs>
                <w:tab w:pos="9403" w:val="right" w:leader="dot"/>
              </w:tabs>
              <w:spacing w:before="0" w:after="0" w:line="240" w:lineRule="auto"/>
              <w:jc w:val="left"/>
            </w:pPr>
            <w:r>
              <w:rPr>
                <w:rFonts w:ascii="Aptos" w:hAnsi="Aptos"/>
                <w:color w:val="233246"/>
                <w:sz w:val="22"/>
              </w:rPr>
              <w:t>20. Conclusion and Final Outcome</w:t>
            </w:r>
            <w:r>
              <w:rPr>
                <w:rFonts w:ascii="Aptos" w:hAnsi="Aptos"/>
                <w:b/>
                <w:color w:val="233246"/>
                <w:sz w:val="22"/>
              </w:rPr>
              <w:tab/>
              <w:t>28</w:t>
            </w:r>
          </w:p>
        </w:tc>
      </w:tr>
    </w:tbl>
    <w:p>
      <w:pPr>
        <w:spacing w:after="20"/>
      </w:pPr>
    </w:p>
    <w:p>
      <w:r>
        <w:br w:type="page"/>
      </w:r>
    </w:p>
    <w:p>
      <w:pPr>
        <w:pStyle w:val="Heading1"/>
        <w:keepNext/>
        <w:keepLines/>
        <w:spacing w:before="0" w:after="240"/>
      </w:pPr>
      <w:r>
        <w:rPr>
          <w:rFonts w:ascii="Aptos Display" w:hAnsi="Aptos Display"/>
          <w:b/>
          <w:color w:val="163E64"/>
          <w:sz w:val="40"/>
        </w:rPr>
        <w:t>List of Figures and Evidence Index</w:t>
      </w:r>
    </w:p>
    <w:tbl>
      <w:tblPr>
        <w:tblW w:type="dxa" w:w="10080"/>
        <w:tblLayout w:type="fixed"/>
        <w:tblLook w:firstColumn="1" w:firstRow="1" w:lastColumn="0" w:lastRow="0" w:noHBand="0" w:noVBand="1" w:val="04A0"/>
        <w:jc w:val="center"/>
        <w:tblCellSpacing w:w="0" w:type="dxa"/>
        <w:tblBorders>
          <w:top w:val="nil"/>
          <w:left w:val="nil"/>
          <w:bottom w:val="nil"/>
          <w:right w:val="nil"/>
          <w:insideH w:val="nil"/>
          <w:insideV w:val="nil"/>
        </w:tblBorders>
      </w:tblPr>
      <w:tblGrid>
        <w:gridCol w:w="8640"/>
        <w:gridCol w:w="1080"/>
        <w:gridCol w:w="360"/>
      </w:tblGrid>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 Development workflow from dataset understanding to saved artifacts and tested integration.</w:t>
            </w:r>
            <w:r>
              <w:rPr>
                <w:rFonts w:ascii="Aptos" w:hAnsi="Aptos"/>
                <w:b/>
                <w:color w:val="233246"/>
                <w:sz w:val="19"/>
              </w:rPr>
              <w:tab/>
              <w:t>6</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2. Correct runtime inspection flow with detector selection and conditional defect classification.</w:t>
            </w:r>
            <w:r>
              <w:rPr>
                <w:rFonts w:ascii="Aptos" w:hAnsi="Aptos"/>
                <w:b/>
                <w:color w:val="233246"/>
                <w:sz w:val="19"/>
              </w:rPr>
              <w:tab/>
              <w:t>7</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3. AI/ML architecture showing module boundaries, conditional classification and structured output.</w:t>
            </w:r>
            <w:r>
              <w:rPr>
                <w:rFonts w:ascii="Aptos" w:hAnsi="Aptos"/>
                <w:b/>
                <w:color w:val="233246"/>
                <w:sz w:val="19"/>
              </w:rPr>
              <w:tab/>
              <w:t>8</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4. AI/ML repository map with reusable modules, artifacts, notebooks and implementation evidence.</w:t>
            </w:r>
            <w:r>
              <w:rPr>
                <w:rFonts w:ascii="Aptos" w:hAnsi="Aptos"/>
                <w:b/>
                <w:color w:val="233246"/>
                <w:sz w:val="19"/>
              </w:rPr>
              <w:tab/>
              <w:t>10</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5. Saved AI/ML artifacts used by baseline, PaDiM, classification and explainability paths.</w:t>
            </w:r>
            <w:r>
              <w:rPr>
                <w:rFonts w:ascii="Aptos" w:hAnsi="Aptos"/>
                <w:b/>
                <w:color w:val="233246"/>
                <w:sz w:val="19"/>
              </w:rPr>
              <w:tab/>
              <w:t>11</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6. MVTec Bottle image distribution used for normal training and evaluation.</w:t>
            </w:r>
            <w:r>
              <w:rPr>
                <w:rFonts w:ascii="Aptos" w:hAnsi="Aptos"/>
                <w:b/>
                <w:color w:val="233246"/>
                <w:sz w:val="19"/>
              </w:rPr>
              <w:tab/>
              <w:t>12</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7. Real MVTec Bottle examples for good, broken_large, broken_small and contamination.</w:t>
            </w:r>
            <w:r>
              <w:rPr>
                <w:rFonts w:ascii="Aptos" w:hAnsi="Aptos"/>
                <w:b/>
                <w:color w:val="233246"/>
                <w:sz w:val="19"/>
              </w:rPr>
              <w:tab/>
              <w:t>12</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8. Loaded image metadata, RGB/grayscale/binary representations and pixel-intensity distribution.</w:t>
            </w:r>
            <w:r>
              <w:rPr>
                <w:rFonts w:ascii="Aptos" w:hAnsi="Aptos"/>
                <w:b/>
                <w:color w:val="233246"/>
                <w:sz w:val="19"/>
              </w:rPr>
              <w:tab/>
              <w:t>13</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9. Real MVTec bottle preprocessing stages and explainable defect cues.</w:t>
            </w:r>
            <w:r>
              <w:rPr>
                <w:rFonts w:ascii="Aptos" w:hAnsi="Aptos"/>
                <w:b/>
                <w:color w:val="233246"/>
                <w:sz w:val="19"/>
              </w:rPr>
              <w:tab/>
              <w:t>14</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10. OpenCV baseline comparison for a normal and a contamination sample.</w:t>
            </w:r>
            <w:r>
              <w:rPr>
                <w:rFonts w:ascii="Aptos" w:hAnsi="Aptos"/>
                <w:b/>
                <w:color w:val="233246"/>
                <w:sz w:val="19"/>
              </w:rPr>
              <w:tab/>
              <w:t>15</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11. PaDiM checkpoint inference showing input image, anomaly map and predicted mask.</w:t>
            </w:r>
            <w:r>
              <w:rPr>
                <w:rFonts w:ascii="Aptos" w:hAnsi="Aptos"/>
                <w:b/>
                <w:color w:val="233246"/>
                <w:sz w:val="19"/>
              </w:rPr>
              <w:tab/>
              <w:t>16</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12. Representative correct and incorrect defect-classifier predictions.</w:t>
            </w:r>
            <w:r>
              <w:rPr>
                <w:rFonts w:ascii="Aptos" w:hAnsi="Aptos"/>
                <w:b/>
                <w:color w:val="233246"/>
                <w:sz w:val="19"/>
              </w:rPr>
              <w:tab/>
              <w:t>17</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13. Confusion matrix for the verified 83-sample evaluation.</w:t>
            </w:r>
            <w:r>
              <w:rPr>
                <w:rFonts w:ascii="Aptos" w:hAnsi="Aptos"/>
                <w:b/>
                <w:color w:val="233246"/>
                <w:sz w:val="19"/>
              </w:rPr>
              <w:tab/>
              <w:t>18</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14. Ground-truth and predicted localization comparison for a representative contamination sample.</w:t>
            </w:r>
            <w:r>
              <w:rPr>
                <w:rFonts w:ascii="Aptos" w:hAnsi="Aptos"/>
                <w:b/>
                <w:color w:val="233246"/>
                <w:sz w:val="19"/>
              </w:rPr>
              <w:tab/>
              <w:t>19</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15. AI/ML decision gate with conditional classifier and disagreement handling.</w:t>
            </w:r>
            <w:r>
              <w:rPr>
                <w:rFonts w:ascii="Aptos" w:hAnsi="Aptos"/>
                <w:b/>
                <w:color w:val="233246"/>
                <w:sz w:val="19"/>
              </w:rPr>
              <w:tab/>
              <w:t>20</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16. Severity score ranges, QA actions and the verified 83.24 worked example.</w:t>
            </w:r>
            <w:r>
              <w:rPr>
                <w:rFonts w:ascii="Aptos" w:hAnsi="Aptos"/>
                <w:b/>
                <w:color w:val="233246"/>
                <w:sz w:val="19"/>
              </w:rPr>
              <w:tab/>
              <w:t>20</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17. Final AI/ML inference evidence combining structured fields and visual localization.</w:t>
            </w:r>
            <w:r>
              <w:rPr>
                <w:rFonts w:ascii="Aptos" w:hAnsi="Aptos"/>
                <w:b/>
                <w:color w:val="233246"/>
                <w:sz w:val="19"/>
              </w:rPr>
              <w:tab/>
              <w:t>23</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18. Platform display evidence consuming AI/ML fields and heatmap output.</w:t>
            </w:r>
            <w:r>
              <w:rPr>
                <w:rFonts w:ascii="Aptos" w:hAnsi="Aptos"/>
                <w:b/>
                <w:color w:val="233246"/>
                <w:sz w:val="19"/>
              </w:rPr>
              <w:tab/>
              <w:t>24</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19. Model evaluation grouped by task and metric type.</w:t>
            </w:r>
            <w:r>
              <w:rPr>
                <w:rFonts w:ascii="Aptos" w:hAnsi="Aptos"/>
                <w:b/>
                <w:color w:val="233246"/>
                <w:sz w:val="19"/>
              </w:rPr>
              <w:tab/>
              <w:t>24</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20. Recorded validation run showing 19 tests passed in 31.93 seconds.</w:t>
            </w:r>
            <w:r>
              <w:rPr>
                <w:rFonts w:ascii="Aptos" w:hAnsi="Aptos"/>
                <w:b/>
                <w:color w:val="233246"/>
                <w:sz w:val="19"/>
              </w:rPr>
              <w:tab/>
              <w:t>26</w:t>
            </w:r>
          </w:p>
        </w:tc>
      </w:tr>
      <w:tr>
        <w:trPr>
          <w:cantSplit/>
        </w:trPr>
        <w:tc>
          <w:tcPr>
            <w:tcW w:type="dxa" w:w="10080"/>
            <w:gridSpan w:val="3"/>
            <w:tcMar>
              <w:top w:w="2" w:type="dxa"/>
              <w:left w:w="0" w:type="dxa"/>
              <w:bottom w:w="2" w:type="dxa"/>
              <w:right w:w="0" w:type="dxa"/>
              <w:start w:w="10" w:type="dxa"/>
              <w:end w:w="10" w:type="dxa"/>
            </w:tcMar>
            <w:vAlign w:val="center"/>
          </w:tcPr>
          <w:p>
            <w:pPr>
              <w:keepLines/>
              <w:spacing w:before="0" w:after="36" w:line="242" w:lineRule="auto"/>
              <w:ind w:left="0" w:right="0" w:firstLine="0"/>
              <w:jc w:val="left"/>
              <w:tabs>
                <w:tab w:val="right" w:leader="dot" w:pos="9950"/>
              </w:tabs>
            </w:pPr>
            <w:r>
              <w:rPr>
                <w:rFonts w:ascii="Aptos" w:hAnsi="Aptos"/>
                <w:color w:val="233246"/>
                <w:sz w:val="19"/>
              </w:rPr>
              <w:t>Figure 21. AI/ML roadmap from validated implementation to governed production use.</w:t>
            </w:r>
            <w:r>
              <w:rPr>
                <w:rFonts w:ascii="Aptos" w:hAnsi="Aptos"/>
                <w:b/>
                <w:color w:val="233246"/>
                <w:sz w:val="19"/>
              </w:rPr>
              <w:tab/>
              <w:t>27</w:t>
            </w:r>
          </w:p>
        </w:tc>
      </w:tr>
    </w:tbl>
    <w:p>
      <w:r>
        <w:br w:type="page"/>
      </w:r>
    </w:p>
    <w:p>
      <w:pPr>
        <w:pStyle w:val="Heading1"/>
        <w:keepNext/>
        <w:keepLines/>
        <w:pageBreakBefore w:val="0"/>
        <w:spacing w:before="140" w:after="60"/>
      </w:pPr>
      <w:r>
        <w:t>1. Executive Summary</w:t>
      </w:r>
    </w:p>
    <w:p>
      <w:pPr>
        <w:spacing w:after="46" w:line="259" w:lineRule="auto"/>
      </w:pPr>
      <w:r>
        <w:rPr>
          <w:b w:val="0"/>
        </w:rPr>
        <w:t>VisionInspect AI is a manufacturing visual-inspection platform that converts bottle images into traceable quality evidence. The assigned AI/ML module validates images, prepares model-specific inputs, detects visual abnormality, localizes suspected defect regions, classifies defect type when an anomaly is present, calculates severity and returns a structured inspection result for platform consumption.</w:t>
      </w:r>
    </w:p>
    <w:p>
      <w:pPr>
        <w:spacing w:after="46" w:line="259" w:lineRule="auto"/>
      </w:pPr>
      <w:r>
        <w:rPr>
          <w:b w:val="0"/>
        </w:rPr>
        <w:t>The implementation combines an interpretable OpenCV reference-difference baseline with a trained PaDiM anomaly detector. The OpenCV path is configured as the deployed demonstration/fallback detector, while PaDiM is the stronger trained candidate for image-level detection and pixel-level localization. When the active detector marks an image as defective, a frozen ResNet18 feature extractor with StandardScaler and Logistic Regression estimates the defect category and confidence.</w:t>
      </w:r>
    </w:p>
    <w:tbl>
      <w:tblPr>
        <w:tblW w:type="auto" w:w="0"/>
        <w:jc w:val="center"/>
        <w:tblLook w:firstColumn="1" w:firstRow="1" w:lastColumn="0" w:lastRow="0" w:noHBand="0" w:noVBand="1" w:val="04A0"/>
      </w:tblPr>
      <w:tblGrid>
        <w:gridCol w:w="10325"/>
      </w:tblGrid>
      <w:tr>
        <w:trPr>
          <w:cantSplit/>
          <w:tblHeader w:val="true"/>
        </w:trPr>
        <w:tc>
          <w:tcPr>
            <w:tcW w:type="dxa" w:w="10325"/>
            <w:shd w:fill="EAF3F9"/>
            <w:tcBorders>
              <w:top w:val="single" w:sz="8" w:color="245A8D" w:space="0"/>
              <w:left w:val="single" w:sz="8" w:color="245A8D" w:space="0"/>
              <w:bottom w:val="single" w:sz="8" w:color="245A8D" w:space="0"/>
              <w:right w:val="single" w:sz="8" w:color="245A8D" w:space="0"/>
            </w:tcBorders>
            <w:tcMar>
              <w:top w:w="45" w:type="dxa"/>
              <w:start w:w="65" w:type="dxa"/>
              <w:bottom w:w="45" w:type="dxa"/>
              <w:end w:w="65" w:type="dxa"/>
            </w:tcMar>
          </w:tcPr>
          <w:p>
            <w:pPr>
              <w:spacing w:after="20"/>
            </w:pPr>
            <w:r>
              <w:rPr>
                <w:b/>
                <w:color w:val="1F5A89"/>
                <w:sz w:val="20"/>
              </w:rPr>
              <w:t>Executive implementation outcome</w:t>
            </w:r>
            <w:r>
              <w:br/>
            </w:r>
            <w:r>
              <w:rPr>
                <w:color w:val="243444"/>
                <w:sz w:val="18"/>
              </w:rPr>
              <w:t>The AI/ML module extends beyond notebook experiments: reusable Python modules, saved model artifacts, explainability outputs, structured result fields, quantitative evaluation and recorded software-validation evidence are included.</w:t>
            </w:r>
          </w:p>
        </w:tc>
      </w:tr>
    </w:tbl>
    <w:p>
      <w:pPr>
        <w:spacing w:after="20"/>
      </w:pPr>
    </w:p>
    <w:tbl>
      <w:tblPr>
        <w:tblW w:type="auto" w:w="0"/>
        <w:jc w:val="center"/>
        <w:tblLayout w:type="fixed"/>
        <w:tblLook w:firstColumn="1" w:firstRow="1" w:lastColumn="0" w:lastRow="0" w:noHBand="0" w:noVBand="1" w:val="04A0"/>
      </w:tblPr>
      <w:tblGrid>
        <w:gridCol w:w="1944"/>
        <w:gridCol w:w="4320"/>
        <w:gridCol w:w="367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Capability</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Implemented result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Evidence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Input handling</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Readable image is validated before AI/ML inference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Image metadata and validation screenshots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Detection and localization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Baseline and PaDiM produce abnormality evidence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Difference map, anomaly map, mask and heatmap</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Defect classification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Classifier returns category and confidence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Confusion matrix, class metrics and sample predictions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QA decision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Rule-based severity maps evidence to action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Severity table and decision-gate flow</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Integration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JSON-compatible fields and heatmap are exposed at the integration boundary</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JSON output and result/heatmap pages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Reliability</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Model metrics and recorded software tests are kept as separate assurance layers</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Metrics and Pytest output</w:t>
            </w:r>
          </w:p>
        </w:tc>
      </w:tr>
    </w:tbl>
    <w:p>
      <w:pPr>
        <w:spacing w:after="20"/>
      </w:pPr>
    </w:p>
    <w:p>
      <w:pPr>
        <w:pStyle w:val="Heading2"/>
        <w:keepNext/>
        <w:keepLines/>
        <w:pageBreakBefore w:val="0"/>
        <w:spacing w:before="80" w:after="40"/>
      </w:pPr>
      <w:r>
        <w:t>Key results at a glance</w:t>
      </w:r>
    </w:p>
    <w:tbl>
      <w:tblPr>
        <w:tblW w:type="auto" w:w="0"/>
        <w:jc w:val="center"/>
        <w:tblLayout w:type="fixed"/>
        <w:tblLook w:firstColumn="1" w:firstRow="1" w:lastColumn="0" w:lastRow="0" w:noHBand="0" w:noVBand="1" w:val="04A0"/>
      </w:tblPr>
      <w:tblGrid>
        <w:gridCol w:w="2016"/>
        <w:gridCol w:w="3240"/>
        <w:gridCol w:w="4680"/>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Component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Reported result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Interpretation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OpenCV baseline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Accuracy 51.81%; recall 36.51%; ROC-AUC 92.06%</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Useful fallback/demo, but selected threshold misses defects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PaDiM</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Image AUROC 99.84%; Image F1 98.39%</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Strong image-level anomaly detection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PaDiM localization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Pixel AUROC 98.21%; Pixel F1 71.36%</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Strong anomaly ranking; moderate exact overlap</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Defect classifier</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Verified 83-sample accuracy 92.77%; error 7.23%</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Strong category prediction; separate 93.18% record is retained only as historical until provenance is supplied</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Software validation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Submission evidence: 19 tests passed in 31.93 seconds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Validated tested software behaviour and output consistency</w:t>
            </w:r>
          </w:p>
        </w:tc>
      </w:tr>
    </w:tbl>
    <w:p>
      <w:pPr>
        <w:spacing w:after="20"/>
      </w:pPr>
    </w:p>
    <w:p>
      <w:pPr>
        <w:pStyle w:val="Heading1"/>
        <w:keepNext/>
        <w:keepLines/>
        <w:pageBreakBefore w:val="0"/>
        <w:spacing w:before="140" w:after="60"/>
      </w:pPr>
      <w:r>
        <w:t>2. Project Context, Objectives and Scope</w:t>
      </w:r>
    </w:p>
    <w:p>
      <w:pPr>
        <w:pStyle w:val="Heading2"/>
        <w:keepNext/>
        <w:keepLines/>
        <w:pageBreakBefore w:val="0"/>
        <w:spacing w:before="80" w:after="40"/>
      </w:pPr>
      <w:r>
        <w:t>2.1 Manufacturing inspection problem</w:t>
      </w:r>
    </w:p>
    <w:p>
      <w:pPr>
        <w:spacing w:after="46" w:line="259" w:lineRule="auto"/>
      </w:pPr>
      <w:r>
        <w:rPr>
          <w:sz w:val="18"/>
        </w:rPr>
        <w:t>Manual visual inspection is repetitive, time-consuming and sensitive to operator attention, fatigue and experience. Product appearance can also vary with lighting, background, camera angle and orientation. These factors make consistent defect detection difficult to scale and make inspection decisions harder to audit later.</w:t>
      </w:r>
    </w:p>
    <w:p>
      <w:pPr>
        <w:pStyle w:val="Heading2"/>
        <w:keepNext/>
        <w:keepLines/>
        <w:pageBreakBefore w:val="0"/>
        <w:spacing w:before="80" w:after="40"/>
      </w:pPr>
      <w:r>
        <w:t>2.2 Role of the AI/ML module</w:t>
      </w:r>
    </w:p>
    <w:p>
      <w:pPr>
        <w:spacing w:after="46" w:line="259" w:lineRule="auto"/>
      </w:pPr>
      <w:r>
        <w:rPr>
          <w:b w:val="0"/>
        </w:rPr>
        <w:t>The AI/ML module converts a raw product image into measurable evidence. Detection answers whether an abnormality is present; localization identifies where it is; classification identifies the likely defect category only after an anomaly is detected; severity estimates operational seriousness; and QA logic maps the result to Pass, Review or Fail. Backend and frontend components are treated only as consumers of the AI/ML output.</w:t>
      </w:r>
    </w:p>
    <w:p>
      <w:pPr>
        <w:pStyle w:val="Heading2"/>
        <w:keepNext/>
        <w:keepLines/>
        <w:pageBreakBefore w:val="0"/>
        <w:spacing w:before="80" w:after="40"/>
      </w:pPr>
      <w:r>
        <w:t>2.3 Objectives</w:t>
      </w:r>
    </w:p>
    <w:tbl>
      <w:tblPr>
        <w:tblW w:type="auto" w:w="0"/>
        <w:jc w:val="center"/>
        <w:tblLayout w:type="fixed"/>
        <w:tblLook w:firstColumn="1" w:firstRow="1" w:lastColumn="0" w:lastRow="0" w:noHBand="0" w:noVBand="1" w:val="04A0"/>
      </w:tblPr>
      <w:tblGrid>
        <w:gridCol w:w="4925"/>
        <w:gridCol w:w="4925"/>
      </w:tblGrid>
      <w:tr>
        <w:trPr>
          <w:cantSplit/>
          <w:tblHeader w:val="true"/>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Reliable image handling</w:t>
            </w:r>
          </w:p>
          <w:p>
            <w:pPr>
              <w:spacing w:after="0"/>
            </w:pPr>
            <w:r>
              <w:rPr>
                <w:color w:val="26313D"/>
                <w:sz w:val="17"/>
              </w:rPr>
              <w:t>Reject unreadable or unsupported inputs before model inference.</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D97928"/>
                <w:sz w:val="19"/>
              </w:rPr>
              <w:t>Anomaly evidence</w:t>
            </w:r>
          </w:p>
          <w:p>
            <w:pPr>
              <w:spacing w:after="0"/>
            </w:pPr>
            <w:r>
              <w:rPr>
                <w:color w:val="26313D"/>
                <w:sz w:val="17"/>
              </w:rPr>
              <w:t>Produce a good/defective signal, anomaly score and localization map.</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Defect identification</w:t>
            </w:r>
          </w:p>
          <w:p>
            <w:pPr>
              <w:spacing w:after="0"/>
            </w:pPr>
            <w:r>
              <w:rPr>
                <w:color w:val="26313D"/>
                <w:sz w:val="17"/>
              </w:rPr>
              <w:t>Return class label and probability/confidence.</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Actionable decision</w:t>
            </w:r>
          </w:p>
          <w:p>
            <w:pPr>
              <w:spacing w:after="0"/>
            </w:pPr>
            <w:r>
              <w:rPr>
                <w:color w:val="26313D"/>
                <w:sz w:val="17"/>
              </w:rPr>
              <w:t>Convert technical evidence into severity and QA action.</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Reusable integration</w:t>
            </w:r>
          </w:p>
          <w:p>
            <w:pPr>
              <w:spacing w:after="0"/>
            </w:pPr>
            <w:r>
              <w:rPr>
                <w:color w:val="26313D"/>
                <w:sz w:val="17"/>
              </w:rPr>
              <w:t>Expose predictable fields to backend and frontend modules.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B6872C"/>
                <w:sz w:val="19"/>
              </w:rPr>
              <w:t>Measured reliability</w:t>
            </w:r>
          </w:p>
          <w:p>
            <w:pPr>
              <w:spacing w:after="0"/>
            </w:pPr>
            <w:r>
              <w:rPr>
                <w:color w:val="26313D"/>
                <w:sz w:val="17"/>
              </w:rPr>
              <w:t>Separate model evaluation from software testing and deployment validation.</w:t>
            </w:r>
          </w:p>
        </w:tc>
      </w:tr>
    </w:tbl>
    <w:p>
      <w:pPr>
        <w:spacing w:after="20"/>
      </w:pPr>
    </w:p>
    <w:p>
      <w:pPr>
        <w:pStyle w:val="Heading2"/>
        <w:keepNext/>
        <w:keepLines/>
        <w:pageBreakBefore w:val="0"/>
        <w:spacing w:before="80" w:after="40"/>
      </w:pPr>
      <w:r>
        <w:t>2.4 Scope boundary</w:t>
      </w:r>
    </w:p>
    <w:tbl>
      <w:tblPr>
        <w:tblW w:type="auto" w:w="0"/>
        <w:jc w:val="center"/>
        <w:tblLayout w:type="fixed"/>
        <w:tblLook w:firstColumn="1" w:firstRow="1" w:lastColumn="0" w:lastRow="0" w:noHBand="0" w:noVBand="1" w:val="04A0"/>
      </w:tblPr>
      <w:tblGrid>
        <w:gridCol w:w="4968"/>
        <w:gridCol w:w="4968"/>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Included in this report</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Outside the current validated scope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MVTec Bottle dataset, validation, preprocessing, baseline, PaDiM, classifier, localization, heatmaps, severity, artifacts, AI/ML output contract and module tests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Factory camera hardware, authentication, database internals, frontend implementation and full platform acceptance testing</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Integration evidence limited to showing that the platform can consume the AI/ML result</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Claim of production certification before threshold calibration and real-environment validation</w:t>
            </w:r>
          </w:p>
        </w:tc>
      </w:tr>
    </w:tbl>
    <w:p>
      <w:pPr>
        <w:spacing w:after="20"/>
      </w:pPr>
    </w:p>
    <w:p>
      <w:pPr>
        <w:pStyle w:val="Heading1"/>
        <w:keepNext/>
        <w:keepLines/>
        <w:pageBreakBefore w:val="0"/>
        <w:spacing w:before="140" w:after="60"/>
      </w:pPr>
      <w:r>
        <w:t>3. Current Implementation Status</w:t>
      </w:r>
    </w:p>
    <w:p>
      <w:pPr>
        <w:spacing w:after="46" w:line="259" w:lineRule="auto"/>
      </w:pPr>
      <w:r>
        <w:rPr>
          <w:sz w:val="18"/>
        </w:rPr>
        <w:t>The report distinguishes what is currently deployed, what is trained and evaluated, and what still requires production activation. This prevents strong offline metrics from being incorrectly interpreted as the performance of the currently deployed Render path.</w:t>
      </w:r>
    </w:p>
    <w:tbl>
      <w:tblPr>
        <w:tblW w:type="auto" w:w="0"/>
        <w:jc w:val="center"/>
        <w:tblLayout w:type="fixed"/>
        <w:tblLook w:firstColumn="1" w:firstRow="1" w:lastColumn="0" w:lastRow="0" w:noHBand="0" w:noVBand="1" w:val="04A0"/>
      </w:tblPr>
      <w:tblGrid>
        <w:gridCol w:w="1800"/>
        <w:gridCol w:w="2232"/>
        <w:gridCol w:w="3240"/>
        <w:gridCol w:w="2664"/>
      </w:tblGrid>
      <w:tr>
        <w:trPr>
          <w:tblHeader w:val="true"/>
          <w:tblHeader w:val="true"/>
          <w:cantSplit/>
        </w:trPr>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5"/>
              </w:rPr>
              <w:t>Component</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5"/>
              </w:rPr>
              <w:t>Current status</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5"/>
              </w:rPr>
              <w:t>Runtime purpose</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5"/>
              </w:rPr>
              <w:t>Readiness note</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OpenCV baseline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Configured as the deployed Render demonstration/fallback path</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Lightweight good/defective fallback/demo</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Evaluation metrics are tied to the 99th-percentile threshold, not automatically to the runtime threshold</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PaDiM checkpoint</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Trained and evaluated; checkpoint available; deployment disabled in the supplied Render configuration</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Image-level anomaly detection and pixel localization</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Preferred production-oriented candidate; deployment activation pending</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Defect classifier</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Trained artifact available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Predicts category and confidence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Verified 83-sample result is 92.77%; artifact provenance should remain versioned</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Severity engine</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Implemented rule-based logic</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Maps evidence to Low/Medium/High/Critical and QA action</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Requires policy validation with domain stakeholders</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Backend/frontend integration</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Demonstrated at the AI/ML output boundary</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Consumes image input and returns structured fields plus heatmap evidence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Needs live model version alignment in deployed environment</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Automated tests</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Recorded submission evidence: 19 tests passed</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Validates selected software behaviours</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5"/>
              </w:rPr>
              <w:t>Does not replace predictive or factory validation</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4EA"/>
            <w:tcBorders>
              <w:top w:val="single" w:sz="8" w:color="D97928" w:space="0"/>
              <w:left w:val="single" w:sz="8" w:color="D97928" w:space="0"/>
              <w:bottom w:val="single" w:sz="8" w:color="D97928" w:space="0"/>
              <w:right w:val="single" w:sz="8" w:color="D97928" w:space="0"/>
            </w:tcBorders>
            <w:tcMar>
              <w:top w:w="45" w:type="dxa"/>
              <w:start w:w="65" w:type="dxa"/>
              <w:bottom w:w="45" w:type="dxa"/>
              <w:end w:w="65" w:type="dxa"/>
            </w:tcMar>
          </w:tcPr>
          <w:p>
            <w:pPr>
              <w:spacing w:after="20"/>
            </w:pPr>
            <w:r>
              <w:rPr>
                <w:b/>
                <w:color w:val="D97928"/>
                <w:sz w:val="20"/>
              </w:rPr>
              <w:t>Production interpretation</w:t>
            </w:r>
          </w:p>
          <w:p>
            <w:pPr>
              <w:spacing w:after="0"/>
            </w:pPr>
            <w:r>
              <w:rPr>
                <w:color w:val="26313D"/>
                <w:sz w:val="18"/>
              </w:rPr>
              <w:t>The currently deployed baseline should be presented as an explainable demonstration/fallback. The trained PaDiM results represent the stronger model candidate, not the present Render detector until its checkpoint and inference path are activated in deployment.</w:t>
            </w:r>
          </w:p>
        </w:tc>
      </w:tr>
    </w:tbl>
    <w:p>
      <w:pPr>
        <w:spacing w:after="20"/>
      </w:pPr>
    </w:p>
    <w:p>
      <w:pPr>
        <w:pStyle w:val="Heading2"/>
        <w:keepNext/>
        <w:keepLines/>
        <w:pageBreakBefore w:val="0"/>
        <w:spacing w:before="80" w:after="40"/>
      </w:pPr>
      <w:r>
        <w:t>Achieved versus pending</w:t>
      </w:r>
    </w:p>
    <w:tbl>
      <w:tblPr>
        <w:tblW w:type="auto" w:w="0"/>
        <w:jc w:val="center"/>
        <w:tblLayout w:type="fixed"/>
        <w:tblLook w:firstColumn="1" w:firstRow="1" w:lastColumn="0" w:lastRow="0" w:noHBand="0" w:noVBand="1" w:val="04A0"/>
      </w:tblPr>
      <w:tblGrid>
        <w:gridCol w:w="4925"/>
        <w:gridCol w:w="4925"/>
      </w:tblGrid>
      <w:tr>
        <w:trPr>
          <w:cantSplit/>
          <w:cantSplit/>
          <w:tblHeader w:val="true"/>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Achieved</w:t>
            </w:r>
          </w:p>
          <w:p>
            <w:pPr>
              <w:spacing w:after="0"/>
            </w:pPr>
            <w:r>
              <w:rPr>
                <w:color w:val="26313D"/>
                <w:sz w:val="17"/>
              </w:rPr>
              <w:t>Complete data-to-output implementation, model artifacts, evaluation evidence, frontend display and automated tests.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Pending</w:t>
            </w:r>
          </w:p>
          <w:p>
            <w:pPr>
              <w:spacing w:after="0"/>
            </w:pPr>
            <w:r>
              <w:rPr>
                <w:color w:val="26313D"/>
                <w:sz w:val="17"/>
              </w:rPr>
              <w:t>PaDiM activation on Render, threshold calibration, real-camera validation, false-negative monitoring and operational governance.</w:t>
            </w:r>
          </w:p>
        </w:tc>
      </w:tr>
    </w:tbl>
    <w:p>
      <w:pPr>
        <w:spacing w:after="20"/>
      </w:pPr>
    </w:p>
    <w:p>
      <w:pPr>
        <w:pStyle w:val="Heading1"/>
        <w:keepNext/>
        <w:keepLines/>
        <w:pageBreakBefore w:val="0"/>
        <w:spacing w:before="140" w:after="60"/>
      </w:pPr>
      <w:r>
        <w:t>4. Development and Runtime Workflows</w:t>
      </w:r>
    </w:p>
    <w:p>
      <w:pPr>
        <w:pStyle w:val="Heading2"/>
        <w:keepNext/>
        <w:keepLines/>
        <w:pageBreakBefore w:val="0"/>
        <w:spacing w:before="80" w:after="40"/>
      </w:pPr>
      <w:r>
        <w:t>4.1 Development lifecycle</w:t>
      </w:r>
    </w:p>
    <w:p>
      <w:pPr>
        <w:spacing w:after="46" w:line="259" w:lineRule="auto"/>
      </w:pPr>
      <w:r>
        <w:rPr>
          <w:sz w:val="18"/>
        </w:rPr>
        <w:t>The development lifecycle explains how the module was created and validated. It begins with dataset understanding and image-processing experiments, then progresses through baseline development, PaDiM training, classifier evaluation, artifact packaging and integration testing.</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263639" cy="2662046"/>
                  <wp:docPr id="2" name="Picture 2" descr="Image: image2.png"/>
                  <wp:cNvGraphicFramePr>
                    <a:graphicFrameLocks noChangeAspect="1"/>
                  </wp:cNvGraphicFramePr>
                  <a:graphic>
                    <a:graphicData uri="http://schemas.openxmlformats.org/drawingml/2006/picture">
                      <pic:pic>
                        <pic:nvPicPr>
                          <pic:cNvPr id="0" name="development_workflow.png"/>
                          <pic:cNvPicPr/>
                        </pic:nvPicPr>
                        <pic:blipFill>
                          <a:blip r:embed="rId12"/>
                          <a:stretch>
                            <a:fillRect/>
                          </a:stretch>
                        </pic:blipFill>
                        <pic:spPr>
                          <a:xfrm>
                            <a:off x="0" y="0"/>
                            <a:ext cx="6263639" cy="2662046"/>
                          </a:xfrm>
                          <a:prstGeom prst="rect"/>
                        </pic:spPr>
                      </pic:pic>
                    </a:graphicData>
                  </a:graphic>
                </wp:inline>
              </w:drawing>
            </w:r>
          </w:p>
          <w:p>
            <w:pPr>
              <w:pStyle w:val="CaptionText"/>
              <w:spacing w:after="40" w:before="40" w:line="240" w:lineRule="auto"/>
              <w:jc w:val="center"/>
            </w:pPr>
            <w:r>
              <w:rPr>
                <w:b w:val="0"/>
                <w:i/>
                <w:color w:val="5F6973"/>
                <w:sz w:val="16"/>
              </w:rPr>
              <w:t>Figure 1. Development workflow from dataset understanding to saved artifacts and tested integration.</w:t>
            </w:r>
          </w:p>
          <w:p>
            <w:pPr>
              <w:spacing w:after="40" w:before="40" w:line="240" w:lineRule="auto"/>
            </w:pPr>
            <w:r>
              <w:rPr>
                <w:b/>
                <w:color w:val="1F5A89"/>
                <w:sz w:val="16"/>
              </w:rPr>
              <w:t xml:space="preserve">What this proves: </w:t>
            </w:r>
            <w:r>
              <w:rPr>
                <w:color w:val="243444"/>
                <w:sz w:val="16"/>
              </w:rPr>
              <w:t>The project follows a progressive engineering lifecycle rather than moving directly from dataset to deployment.</w:t>
            </w:r>
          </w:p>
          <w:p>
            <w:pPr>
              <w:spacing w:after="40" w:before="40" w:line="240" w:lineRule="auto"/>
            </w:pPr>
            <w:r>
              <w:rPr>
                <w:b/>
                <w:color w:val="2E8B70"/>
                <w:sz w:val="16"/>
              </w:rPr>
              <w:t xml:space="preserve">Observation: </w:t>
            </w:r>
            <w:r>
              <w:rPr>
                <w:color w:val="243444"/>
                <w:sz w:val="16"/>
              </w:rPr>
              <w:t>Notebooks preserve exploration and evaluation evidence; reusable modules and artifacts support inference.</w:t>
            </w:r>
          </w:p>
        </w:tc>
      </w:tr>
    </w:tbl>
    <w:p>
      <w:pPr>
        <w:spacing w:after="20"/>
      </w:pPr>
    </w:p>
    <w:p>
      <w:pPr>
        <w:pStyle w:val="Heading2"/>
        <w:keepNext/>
        <w:keepLines/>
        <w:pageBreakBefore w:val="0"/>
        <w:spacing w:before="80" w:after="40"/>
      </w:pPr>
      <w:r>
        <w:t>4.2 Runtime inspection lifecycle</w:t>
      </w:r>
    </w:p>
    <w:p>
      <w:pPr>
        <w:spacing w:after="46" w:line="259" w:lineRule="auto"/>
      </w:pPr>
      <w:r>
        <w:rPr>
          <w:b w:val="0"/>
        </w:rPr>
        <w:t>At runtime, the uploaded image is decoded, validated and converted into the representation required by the active detector. The configured detector is either the OpenCV baseline or PaDiM. If no anomaly is detected, the module returns a Good result without running defect classification. If an anomaly is detected, localization evidence is retained and the ResNet18-based classifier estimates defect type and confidence before severity and QA decision logic are applied.</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before="0"/>
              <w:jc w:val="center"/>
            </w:pPr>
            <w:r>
              <w:drawing>
                <wp:inline xmlns:a="http://schemas.openxmlformats.org/drawingml/2006/main" xmlns:pic="http://schemas.openxmlformats.org/drawingml/2006/picture">
                  <wp:extent cx="6144768" cy="4286061"/>
                  <wp:docPr id="32" name="Picture 32" descr="Image: image31.png"/>
                  <wp:cNvGraphicFramePr>
                    <a:graphicFrameLocks noChangeAspect="1"/>
                  </wp:cNvGraphicFramePr>
                  <a:graphic>
                    <a:graphicData uri="http://schemas.openxmlformats.org/drawingml/2006/picture">
                      <pic:pic>
                        <pic:nvPicPr>
                          <pic:cNvPr id="0" name="runtime_clean.png"/>
                          <pic:cNvPicPr/>
                        </pic:nvPicPr>
                        <pic:blipFill>
                          <a:blip r:embed="rId41"/>
                          <a:stretch>
                            <a:fillRect/>
                          </a:stretch>
                        </pic:blipFill>
                        <pic:spPr>
                          <a:xfrm>
                            <a:off x="0" y="0"/>
                            <a:ext cx="6144768" cy="4286061"/>
                          </a:xfrm>
                          <a:prstGeom prst="rect"/>
                        </pic:spPr>
                      </pic:pic>
                    </a:graphicData>
                  </a:graphic>
                </wp:inline>
              </w:drawing>
            </w:r>
          </w:p>
          <w:p>
            <w:pPr>
              <w:pStyle w:val="CaptionText"/>
              <w:spacing w:after="40" w:before="40" w:line="240" w:lineRule="auto"/>
              <w:jc w:val="center"/>
            </w:pPr>
            <w:r>
              <w:rPr>
                <w:b w:val="0"/>
                <w:i/>
                <w:color w:val="5F6973"/>
                <w:sz w:val="16"/>
              </w:rPr>
              <w:t>Figure 2. Correct runtime inspection flow with detector selection and conditional defect classification.</w:t>
            </w:r>
          </w:p>
          <w:p>
            <w:pPr>
              <w:spacing w:after="40" w:before="40" w:line="240" w:lineRule="auto"/>
            </w:pPr>
            <w:r>
              <w:rPr>
                <w:b/>
                <w:color w:val="1F5A89"/>
                <w:sz w:val="16"/>
              </w:rPr>
              <w:t xml:space="preserve">What this proves: </w:t>
            </w:r>
            <w:r>
              <w:rPr>
                <w:color w:val="243444"/>
                <w:sz w:val="16"/>
              </w:rPr>
              <w:t>The anomaly detector runs first; classification is invoked only for images marked defective.</w:t>
            </w:r>
          </w:p>
          <w:p>
            <w:pPr>
              <w:spacing w:after="40" w:before="40" w:line="240" w:lineRule="auto"/>
            </w:pPr>
            <w:r>
              <w:rPr>
                <w:b/>
                <w:color w:val="2E8B70"/>
                <w:sz w:val="16"/>
              </w:rPr>
              <w:t xml:space="preserve">Observation: </w:t>
            </w:r>
            <w:r>
              <w:rPr>
                <w:color w:val="243444"/>
                <w:sz w:val="16"/>
              </w:rPr>
              <w:t>A Good result bypasses defect classification, while a detected anomaly proceeds through classification, severity and structured output.</w:t>
            </w:r>
          </w:p>
          <w:p>
            <w:pPr>
              <w:spacing w:after="40" w:before="40" w:line="240" w:lineRule="auto"/>
            </w:pPr>
            <w:r>
              <w:rPr>
                <w:b/>
                <w:color w:val="C84C4C"/>
                <w:sz w:val="16"/>
              </w:rPr>
              <w:t xml:space="preserve">Limitation: </w:t>
            </w:r>
            <w:r>
              <w:rPr>
                <w:color w:val="243444"/>
                <w:sz w:val="16"/>
              </w:rPr>
              <w:t>The active anomaly engine depends on configuration: the supplied Render configuration disables PaDiM and uses the baseline fallback path.</w:t>
            </w:r>
          </w:p>
        </w:tc>
      </w:tr>
    </w:tbl>
    <w:p>
      <w:pPr>
        <w:spacing w:after="20"/>
      </w:pPr>
    </w:p>
    <w:p>
      <w:pPr>
        <w:pStyle w:val="Heading1"/>
        <w:keepNext/>
        <w:keepLines/>
        <w:pageBreakBefore w:val="0"/>
        <w:spacing w:before="140" w:after="60"/>
      </w:pPr>
      <w:r>
        <w:t>5. Technology Stack and Method Selection</w:t>
      </w:r>
    </w:p>
    <w:p>
      <w:pPr>
        <w:spacing w:after="46" w:line="259" w:lineRule="auto"/>
      </w:pPr>
      <w:r>
        <w:rPr>
          <w:sz w:val="18"/>
        </w:rPr>
        <w:t>Technology choices were matched to the role of each stage rather than using one model for every task. Image-processing tools support validation and explainable baselines; anomaly detection learns normal appearance; the classifier predicts defect category; and testing tools validate software behaviour.</w:t>
      </w:r>
    </w:p>
    <w:tbl>
      <w:tblPr>
        <w:tblW w:type="auto" w:w="0"/>
        <w:jc w:val="center"/>
        <w:tblLayout w:type="fixed"/>
        <w:tblLook w:firstColumn="1" w:firstRow="1" w:lastColumn="0" w:lastRow="0" w:noHBand="0" w:noVBand="1" w:val="04A0"/>
      </w:tblPr>
      <w:tblGrid>
        <w:gridCol w:w="4925"/>
        <w:gridCol w:w="4925"/>
      </w:tblGrid>
      <w:tr>
        <w:trPr>
          <w:cantSplit/>
          <w:tblHeader w:val="true"/>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Python + NumPy</w:t>
            </w:r>
          </w:p>
          <w:p>
            <w:pPr>
              <w:spacing w:after="0"/>
            </w:pPr>
            <w:r>
              <w:rPr>
                <w:color w:val="26313D"/>
                <w:sz w:val="17"/>
              </w:rPr>
              <w:t>Core language and numerical image-array operations.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OpenCV</w:t>
            </w:r>
          </w:p>
          <w:p>
            <w:pPr>
              <w:spacing w:after="0"/>
            </w:pPr>
            <w:r>
              <w:rPr>
                <w:color w:val="26313D"/>
                <w:sz w:val="17"/>
              </w:rPr>
              <w:t>Image reading, BGR/RGB conversion, baseline difference maps, thresholds and edge cues.</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Pandas + Matplotlib</w:t>
            </w:r>
          </w:p>
          <w:p>
            <w:pPr>
              <w:spacing w:after="0"/>
            </w:pPr>
            <w:r>
              <w:rPr>
                <w:color w:val="26313D"/>
                <w:sz w:val="17"/>
              </w:rPr>
              <w:t>Dataset summaries, metrics tables and reproducible visual evidence.</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PyTorch + ResNet18</w:t>
            </w:r>
          </w:p>
          <w:p>
            <w:pPr>
              <w:spacing w:after="0"/>
            </w:pPr>
            <w:r>
              <w:rPr>
                <w:color w:val="26313D"/>
                <w:sz w:val="17"/>
              </w:rPr>
              <w:t>Deep visual feature extraction for classification and anomaly-model support.</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D97928"/>
                <w:sz w:val="19"/>
              </w:rPr>
              <w:t>Anomalib / PaDiM</w:t>
            </w:r>
          </w:p>
          <w:p>
            <w:pPr>
              <w:spacing w:after="0"/>
            </w:pPr>
            <w:r>
              <w:rPr>
                <w:color w:val="26313D"/>
                <w:sz w:val="17"/>
              </w:rPr>
              <w:t>Normal-pattern anomaly detection with image and pixel-level outputs.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scikit-learn</w:t>
            </w:r>
          </w:p>
          <w:p>
            <w:pPr>
              <w:spacing w:after="0"/>
            </w:pPr>
            <w:r>
              <w:rPr>
                <w:color w:val="26313D"/>
                <w:sz w:val="17"/>
              </w:rPr>
              <w:t>StandardScaler, Logistic Regression and classification metrics.</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FastAPI-compatible output</w:t>
            </w:r>
          </w:p>
          <w:p>
            <w:pPr>
              <w:spacing w:after="0"/>
            </w:pPr>
            <w:r>
              <w:rPr>
                <w:color w:val="26313D"/>
                <w:sz w:val="17"/>
              </w:rPr>
              <w:t>Structured dictionary/JSON fields for platform integration.</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B6872C"/>
                <w:sz w:val="19"/>
              </w:rPr>
              <w:t>Pytest</w:t>
            </w:r>
          </w:p>
          <w:p>
            <w:pPr>
              <w:spacing w:after="0"/>
            </w:pPr>
            <w:r>
              <w:rPr>
                <w:color w:val="26313D"/>
                <w:sz w:val="17"/>
              </w:rPr>
              <w:t>Automated checks for dataset, preprocessing, prediction, artifact and severity behaviour.</w:t>
            </w:r>
          </w:p>
        </w:tc>
      </w:tr>
    </w:tbl>
    <w:p>
      <w:pPr>
        <w:spacing w:after="20"/>
      </w:pPr>
    </w:p>
    <w:p>
      <w:pPr>
        <w:pStyle w:val="Heading2"/>
        <w:keepNext/>
        <w:keepLines/>
        <w:pageBreakBefore w:val="0"/>
        <w:spacing w:before="80" w:after="40"/>
      </w:pPr>
      <w:r>
        <w:t>Why each method was selected</w:t>
      </w:r>
    </w:p>
    <w:tbl>
      <w:tblPr>
        <w:tblW w:type="dxa" w:w="10296"/>
        <w:tblLayout w:type="fixed"/>
        <w:tblLook w:firstColumn="1" w:firstRow="1" w:lastColumn="0" w:lastRow="0" w:noHBand="0" w:noVBand="1" w:val="04A0"/>
        <w:jc w:val="center"/>
        <w:tblInd w:w="0" w:type="dxa"/>
      </w:tblPr>
      <w:tblGrid>
        <w:gridCol w:w="2232"/>
        <w:gridCol w:w="3168"/>
        <w:gridCol w:w="4536"/>
      </w:tblGrid>
      <w:tr>
        <w:trPr>
          <w:tblHeader w:val="true"/>
          <w:tblHeader w:val="true"/>
          <w:cantSplit/>
        </w:trPr>
        <w:tc>
          <w:tcPr>
            <w:tcW w:type="dxa" w:w="2304"/>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8"/>
              </w:rPr>
              <w:t>Method</w:t>
            </w:r>
          </w:p>
        </w:tc>
        <w:tc>
          <w:tcPr>
            <w:tcW w:type="dxa" w:w="3240"/>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8"/>
              </w:rPr>
              <w:t>Question answered</w:t>
            </w:r>
          </w:p>
        </w:tc>
        <w:tc>
          <w:tcPr>
            <w:tcW w:type="dxa" w:w="4752"/>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8"/>
              </w:rPr>
              <w:t>Selection reason</w:t>
            </w:r>
          </w:p>
        </w:tc>
      </w:tr>
      <w:tr>
        <w:trPr>
          <w:cantSplit/>
          <w:cantSplit/>
        </w:trPr>
        <w:tc>
          <w:tcPr>
            <w:tcW w:type="dxa" w:w="230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OpenCV baseline</w:t>
            </w:r>
          </w:p>
        </w:tc>
        <w:tc>
          <w:tcPr>
            <w:tcW w:type="dxa" w:w="324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Is the test image visibly different from a normal reference?</w:t>
            </w:r>
          </w:p>
        </w:tc>
        <w:tc>
          <w:tcPr>
            <w:tcW w:type="dxa" w:w="475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Fast, interpretable and suitable for demonstration/fallback use</w:t>
            </w:r>
          </w:p>
        </w:tc>
      </w:tr>
      <w:tr>
        <w:trPr>
          <w:cantSplit/>
          <w:cantSplit/>
        </w:trPr>
        <w:tc>
          <w:tcPr>
            <w:tcW w:type="dxa" w:w="230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PaDiM</w:t>
            </w:r>
          </w:p>
        </w:tc>
        <w:tc>
          <w:tcPr>
            <w:tcW w:type="dxa" w:w="324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Does the image contain a deviation from learned normal appearance, and where?</w:t>
            </w:r>
          </w:p>
        </w:tc>
        <w:tc>
          <w:tcPr>
            <w:tcW w:type="dxa" w:w="475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Normal-only training fits industrial anomaly detection and provides localization</w:t>
            </w:r>
          </w:p>
        </w:tc>
      </w:tr>
      <w:tr>
        <w:trPr>
          <w:cantSplit/>
          <w:cantSplit/>
        </w:trPr>
        <w:tc>
          <w:tcPr>
            <w:tcW w:type="dxa" w:w="230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ResNet18 + Logistic Regression</w:t>
            </w:r>
          </w:p>
        </w:tc>
        <w:tc>
          <w:tcPr>
            <w:tcW w:type="dxa" w:w="324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What defect class is visually most likely?</w:t>
            </w:r>
          </w:p>
        </w:tc>
        <w:tc>
          <w:tcPr>
            <w:tcW w:type="dxa" w:w="475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Strong pretrained features with lightweight probabilistic classification</w:t>
            </w:r>
          </w:p>
        </w:tc>
      </w:tr>
      <w:tr>
        <w:trPr>
          <w:cantSplit/>
          <w:cantSplit/>
        </w:trPr>
        <w:tc>
          <w:tcPr>
            <w:tcW w:type="dxa" w:w="230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Heatmap and mask</w:t>
            </w:r>
          </w:p>
        </w:tc>
        <w:tc>
          <w:tcPr>
            <w:tcW w:type="dxa" w:w="324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Where is the abnormal evidence?</w:t>
            </w:r>
          </w:p>
        </w:tc>
        <w:tc>
          <w:tcPr>
            <w:tcW w:type="dxa" w:w="475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7"/>
              </w:rPr>
              <w:t>Makes the decision visually inspectable</w:t>
            </w:r>
          </w:p>
        </w:tc>
      </w:tr>
      <w:tr>
        <w:trPr>
          <w:cantSplit/>
          <w:cantSplit/>
        </w:trPr>
        <w:tc>
          <w:tcPr>
            <w:tcW w:type="dxa" w:w="230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7"/>
              </w:rPr>
              <w:t>Rule-based severity</w:t>
            </w:r>
          </w:p>
        </w:tc>
        <w:tc>
          <w:tcPr>
            <w:tcW w:type="dxa" w:w="324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7"/>
              </w:rPr>
              <w:t>What QA action should follow?</w:t>
            </w:r>
          </w:p>
        </w:tc>
        <w:tc>
          <w:tcPr>
            <w:tcW w:type="dxa" w:w="475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7"/>
              </w:rPr>
              <w:t>Combines model evidence with transparent policy weights</w:t>
            </w:r>
          </w:p>
        </w:tc>
      </w:tr>
    </w:tbl>
    <w:p>
      <w:pPr>
        <w:spacing w:after="20"/>
      </w:pPr>
    </w:p>
    <w:p>
      <w:pPr>
        <w:pStyle w:val="Heading1"/>
        <w:keepNext/>
        <w:keepLines/>
        <w:pageBreakBefore w:val="0"/>
        <w:spacing w:before="140" w:after="60"/>
      </w:pPr>
      <w:r>
        <w:t>6. Architecture and Component Responsibilities</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before="0"/>
              <w:jc w:val="center"/>
            </w:pPr>
            <w:r>
              <w:drawing>
                <wp:inline xmlns:a="http://schemas.openxmlformats.org/drawingml/2006/main" xmlns:pic="http://schemas.openxmlformats.org/drawingml/2006/picture">
                  <wp:extent cx="6144768" cy="4286061"/>
                  <wp:docPr id="37" name="Picture 37" descr="Image: image36.png"/>
                  <wp:cNvGraphicFramePr>
                    <a:graphicFrameLocks noChangeAspect="1"/>
                  </wp:cNvGraphicFramePr>
                  <a:graphic>
                    <a:graphicData uri="http://schemas.openxmlformats.org/drawingml/2006/picture">
                      <pic:pic>
                        <pic:nvPicPr>
                          <pic:cNvPr id="0" name="arch_1010.png"/>
                          <pic:cNvPicPr/>
                        </pic:nvPicPr>
                        <pic:blipFill>
                          <a:blip r:embed="rId46"/>
                          <a:stretch>
                            <a:fillRect/>
                          </a:stretch>
                        </pic:blipFill>
                        <pic:spPr>
                          <a:xfrm>
                            <a:off x="0" y="0"/>
                            <a:ext cx="6144768" cy="4286061"/>
                          </a:xfrm>
                          <a:prstGeom prst="rect"/>
                        </pic:spPr>
                      </pic:pic>
                    </a:graphicData>
                  </a:graphic>
                </wp:inline>
              </w:drawing>
            </w:r>
          </w:p>
          <w:p>
            <w:pPr>
              <w:pStyle w:val="CaptionText"/>
              <w:spacing w:after="40" w:before="40" w:line="240" w:lineRule="auto"/>
              <w:jc w:val="center"/>
            </w:pPr>
            <w:r>
              <w:rPr>
                <w:b w:val="0"/>
                <w:i/>
                <w:color w:val="5F6973"/>
                <w:sz w:val="16"/>
              </w:rPr>
              <w:t>Figure 3. AI/ML architecture showing module boundaries, conditional classification and structured output.</w:t>
            </w:r>
          </w:p>
          <w:p>
            <w:pPr>
              <w:spacing w:after="40" w:before="40" w:line="240" w:lineRule="auto"/>
            </w:pPr>
            <w:r>
              <w:rPr>
                <w:b/>
                <w:color w:val="1F5A89"/>
                <w:sz w:val="16"/>
              </w:rPr>
              <w:t xml:space="preserve">What this proves: </w:t>
            </w:r>
            <w:r>
              <w:rPr>
                <w:color w:val="243444"/>
                <w:sz w:val="16"/>
              </w:rPr>
              <w:t>The diagram separates AI/ML ownership from backend/frontend consumption and mirrors the implemented decision sequence.</w:t>
            </w:r>
          </w:p>
          <w:p>
            <w:pPr>
              <w:spacing w:after="40" w:before="40" w:line="240" w:lineRule="auto"/>
            </w:pPr>
            <w:r>
              <w:rPr>
                <w:b/>
                <w:color w:val="2E8B70"/>
                <w:sz w:val="16"/>
              </w:rPr>
              <w:t xml:space="preserve">Observation: </w:t>
            </w:r>
            <w:r>
              <w:rPr>
                <w:color w:val="243444"/>
                <w:sz w:val="16"/>
              </w:rPr>
              <w:t>Detector/localizer evidence feeds the classifier only for detected anomalies; severity merges area, location, type and confidence.</w:t>
            </w:r>
          </w:p>
        </w:tc>
      </w:tr>
    </w:tbl>
    <w:p>
      <w:pPr>
        <w:spacing w:after="20"/>
      </w:pPr>
    </w:p>
    <w:p>
      <w:pPr>
        <w:pStyle w:val="Heading2"/>
        <w:keepNext/>
        <w:keepLines/>
        <w:pageBreakBefore w:val="0"/>
        <w:spacing w:before="80" w:after="40"/>
      </w:pPr>
      <w:r>
        <w:t>6.1 What each component does</w:t>
      </w:r>
    </w:p>
    <w:tbl>
      <w:tblPr>
        <w:tblW w:type="dxa" w:w="10224"/>
        <w:jc w:val="center"/>
        <w:tblLayout w:type="fixed"/>
        <w:tblLook w:firstColumn="1" w:firstRow="1" w:lastColumn="0" w:lastRow="0" w:noHBand="0" w:noVBand="1" w:val="04A0"/>
        <w:tblInd w:w="0" w:type="dxa"/>
      </w:tblPr>
      <w:tblGrid>
        <w:gridCol w:w="1800"/>
        <w:gridCol w:w="1728"/>
        <w:gridCol w:w="3960"/>
        <w:gridCol w:w="2448"/>
      </w:tblGrid>
      <w:tr>
        <w:trPr>
          <w:tblHeader w:val="true"/>
          <w:tblHeader w:val="true"/>
          <w:cantSplit/>
        </w:trPr>
        <w:tc>
          <w:tcPr>
            <w:tcW w:type="dxa" w:w="2088"/>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Component</w:t>
            </w:r>
          </w:p>
        </w:tc>
        <w:tc>
          <w:tcPr>
            <w:tcW w:type="dxa" w:w="1944"/>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Input</w:t>
            </w:r>
          </w:p>
        </w:tc>
        <w:tc>
          <w:tcPr>
            <w:tcW w:type="dxa" w:w="3816"/>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Core responsibility</w:t>
            </w:r>
          </w:p>
        </w:tc>
        <w:tc>
          <w:tcPr>
            <w:tcW w:type="dxa" w:w="2376"/>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Output</w:t>
            </w:r>
          </w:p>
        </w:tc>
      </w:tr>
      <w:tr>
        <w:trPr>
          <w:cantSplit/>
          <w:cantSplit/>
        </w:trPr>
        <w:tc>
          <w:tcPr>
            <w:tcW w:type="dxa" w:w="208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`image_basics.py`</w:t>
            </w:r>
          </w:p>
        </w:tc>
        <w:tc>
          <w:tcPr>
            <w:tcW w:type="dxa" w:w="1944"/>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Image path or array</w:t>
            </w:r>
          </w:p>
        </w:tc>
        <w:tc>
          <w:tcPr>
            <w:tcW w:type="dxa" w:w="381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Inspect shape, channels, dtype, pixels and representations</w:t>
            </w:r>
          </w:p>
        </w:tc>
        <w:tc>
          <w:tcPr>
            <w:tcW w:type="dxa" w:w="237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Image metadata and visual understanding evidence</w:t>
            </w:r>
          </w:p>
        </w:tc>
      </w:tr>
      <w:tr>
        <w:trPr>
          <w:cantSplit/>
          <w:cantSplit/>
        </w:trPr>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`dataset_loader.py`</w:t>
            </w:r>
          </w:p>
        </w:tc>
        <w:tc>
          <w:tcPr>
            <w:tcW w:type="dxa" w:w="194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Dataset root</w:t>
            </w:r>
          </w:p>
        </w:tc>
        <w:tc>
          <w:tcPr>
            <w:tcW w:type="dxa" w:w="381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Load split, class, image and ground-truth paths</w:t>
            </w:r>
          </w:p>
        </w:tc>
        <w:tc>
          <w:tcPr>
            <w:tcW w:type="dxa" w:w="237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Validated sample records</w:t>
            </w:r>
          </w:p>
        </w:tc>
      </w:tr>
      <w:tr>
        <w:trPr>
          <w:cantSplit/>
          <w:cantSplit/>
        </w:trPr>
        <w:tc>
          <w:tcPr>
            <w:tcW w:type="dxa" w:w="208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`preprocessing.py`</w:t>
            </w:r>
          </w:p>
        </w:tc>
        <w:tc>
          <w:tcPr>
            <w:tcW w:type="dxa" w:w="1944"/>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Validated image</w:t>
            </w:r>
          </w:p>
        </w:tc>
        <w:tc>
          <w:tcPr>
            <w:tcW w:type="dxa" w:w="381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Apply shared and baseline-oriented preprocessing</w:t>
            </w:r>
          </w:p>
        </w:tc>
        <w:tc>
          <w:tcPr>
            <w:tcW w:type="dxa" w:w="237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Model-ready image and visual cues</w:t>
            </w:r>
          </w:p>
        </w:tc>
      </w:tr>
      <w:tr>
        <w:trPr>
          <w:cantSplit/>
          <w:cantSplit/>
        </w:trPr>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`baseline_detector.py`</w:t>
            </w:r>
          </w:p>
        </w:tc>
        <w:tc>
          <w:tcPr>
            <w:tcW w:type="dxa" w:w="194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Preprocessed image + normal reference</w:t>
            </w:r>
          </w:p>
        </w:tc>
        <w:tc>
          <w:tcPr>
            <w:tcW w:type="dxa" w:w="381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Calculate reference difference and threshold-based decision</w:t>
            </w:r>
          </w:p>
        </w:tc>
        <w:tc>
          <w:tcPr>
            <w:tcW w:type="dxa" w:w="237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Prediction, raw score, map and heatmap</w:t>
            </w:r>
          </w:p>
        </w:tc>
      </w:tr>
      <w:tr>
        <w:trPr>
          <w:cantSplit/>
          <w:cantSplit/>
        </w:trPr>
        <w:tc>
          <w:tcPr>
            <w:tcW w:type="dxa" w:w="208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`anomalib_trainer.py`</w:t>
            </w:r>
          </w:p>
        </w:tc>
        <w:tc>
          <w:tcPr>
            <w:tcW w:type="dxa" w:w="1944"/>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Normal training images / checkpoint</w:t>
            </w:r>
          </w:p>
        </w:tc>
        <w:tc>
          <w:tcPr>
            <w:tcW w:type="dxa" w:w="381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Train or load PaDiM and run anomaly inference</w:t>
            </w:r>
          </w:p>
        </w:tc>
        <w:tc>
          <w:tcPr>
            <w:tcW w:type="dxa" w:w="237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Anomaly score, map and predicted mask</w:t>
            </w:r>
          </w:p>
        </w:tc>
      </w:tr>
      <w:tr>
        <w:trPr>
          <w:cantSplit/>
          <w:cantSplit/>
        </w:trPr>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`defect_classifier.py`</w:t>
            </w:r>
          </w:p>
        </w:tc>
        <w:tc>
          <w:tcPr>
            <w:tcW w:type="dxa" w:w="194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Image/features</w:t>
            </w:r>
          </w:p>
        </w:tc>
        <w:tc>
          <w:tcPr>
            <w:tcW w:type="dxa" w:w="381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Extract ResNet18 features, scale and classify</w:t>
            </w:r>
          </w:p>
        </w:tc>
        <w:tc>
          <w:tcPr>
            <w:tcW w:type="dxa" w:w="237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Defect type and probabilities</w:t>
            </w:r>
          </w:p>
        </w:tc>
      </w:tr>
      <w:tr>
        <w:trPr>
          <w:cantSplit/>
          <w:cantSplit/>
        </w:trPr>
        <w:tc>
          <w:tcPr>
            <w:tcW w:type="dxa" w:w="208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`heatmap.py`</w:t>
            </w:r>
          </w:p>
        </w:tc>
        <w:tc>
          <w:tcPr>
            <w:tcW w:type="dxa" w:w="1944"/>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Anomaly map + image</w:t>
            </w:r>
          </w:p>
        </w:tc>
        <w:tc>
          <w:tcPr>
            <w:tcW w:type="dxa" w:w="381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Normalize/colorize anomaly maps, create overlays and calculate localization overlap</w:t>
            </w:r>
          </w:p>
        </w:tc>
        <w:tc>
          <w:tcPr>
            <w:tcW w:type="dxa" w:w="237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Heatmap path / image</w:t>
            </w:r>
          </w:p>
        </w:tc>
      </w:tr>
      <w:tr>
        <w:trPr>
          <w:cantSplit/>
          <w:cantSplit/>
        </w:trPr>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`severity.py`</w:t>
            </w:r>
          </w:p>
        </w:tc>
        <w:tc>
          <w:tcPr>
            <w:tcW w:type="dxa" w:w="194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Area, location, type and confidence scores</w:t>
            </w:r>
          </w:p>
        </w:tc>
        <w:tc>
          <w:tcPr>
            <w:tcW w:type="dxa" w:w="381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Apply weighted rule-based policy</w:t>
            </w:r>
          </w:p>
        </w:tc>
        <w:tc>
          <w:tcPr>
            <w:tcW w:type="dxa" w:w="237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Severity score, level and action</w:t>
            </w:r>
          </w:p>
        </w:tc>
      </w:tr>
      <w:tr>
        <w:trPr>
          <w:cantSplit/>
          <w:cantSplit/>
        </w:trPr>
        <w:tc>
          <w:tcPr>
            <w:tcW w:type="dxa" w:w="208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`predict.py`</w:t>
            </w:r>
          </w:p>
        </w:tc>
        <w:tc>
          <w:tcPr>
            <w:tcW w:type="dxa" w:w="1944"/>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Validated uploaded image</w:t>
            </w:r>
          </w:p>
        </w:tc>
        <w:tc>
          <w:tcPr>
            <w:tcW w:type="dxa" w:w="381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Build configuration and call the backend-compatible inference orchestrator</w:t>
            </w:r>
          </w:p>
        </w:tc>
        <w:tc>
          <w:tcPr>
            <w:tcW w:type="dxa" w:w="2376"/>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Backend-ready dictionary/JSON</w:t>
            </w:r>
          </w:p>
        </w:tc>
      </w:tr>
      <w:tr>
        <w:trPr>
          <w:cantSplit/>
          <w:cantSplit/>
        </w:trPr>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`metrics.py`</w:t>
            </w:r>
          </w:p>
        </w:tc>
        <w:tc>
          <w:tcPr>
            <w:tcW w:type="dxa" w:w="194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Labels and predictions</w:t>
            </w:r>
          </w:p>
        </w:tc>
        <w:tc>
          <w:tcPr>
            <w:tcW w:type="dxa" w:w="381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Calculate AUROC, F1, accuracy and confusion outputs</w:t>
            </w:r>
          </w:p>
        </w:tc>
        <w:tc>
          <w:tcPr>
            <w:tcW w:type="dxa" w:w="2376"/>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Evaluation records and plots</w:t>
            </w:r>
          </w:p>
        </w:tc>
      </w:tr>
    </w:tbl>
    <w:p>
      <w:pPr>
        <w:spacing w:after="20"/>
      </w:pPr>
    </w:p>
    <w:p>
      <w:pPr>
        <w:pStyle w:val="Heading1"/>
        <w:keepNext/>
        <w:keepLines/>
        <w:pageBreakBefore w:val="0"/>
        <w:spacing w:before="140" w:after="60"/>
      </w:pPr>
      <w:r>
        <w:t>7. Repository, Notebooks and Model Artifacts</w:t>
      </w:r>
    </w:p>
    <w:p>
      <w:pPr>
        <w:spacing w:after="46" w:line="259" w:lineRule="auto"/>
      </w:pPr>
      <w:r>
        <w:rPr>
          <w:sz w:val="18"/>
        </w:rPr>
        <w:t>The project separates experimentation from reusable runtime logic. Notebooks document the learning and evaluation journey, while `ml/`, `models/` and `tests/` support integration and repeatability.</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before="0"/>
              <w:jc w:val="center"/>
            </w:pPr>
            <w:r>
              <w:drawing>
                <wp:inline xmlns:a="http://schemas.openxmlformats.org/drawingml/2006/main" xmlns:pic="http://schemas.openxmlformats.org/drawingml/2006/picture">
                  <wp:extent cx="5925312" cy="4443984"/>
                  <wp:docPr id="34" name="Picture 34" descr="Image: image33.png"/>
                  <wp:cNvGraphicFramePr>
                    <a:graphicFrameLocks noChangeAspect="1"/>
                  </wp:cNvGraphicFramePr>
                  <a:graphic>
                    <a:graphicData uri="http://schemas.openxmlformats.org/drawingml/2006/picture">
                      <pic:pic>
                        <pic:nvPicPr>
                          <pic:cNvPr id="0" name="repository_clean.png"/>
                          <pic:cNvPicPr/>
                        </pic:nvPicPr>
                        <pic:blipFill>
                          <a:blip r:embed="rId43"/>
                          <a:stretch>
                            <a:fillRect/>
                          </a:stretch>
                        </pic:blipFill>
                        <pic:spPr>
                          <a:xfrm>
                            <a:off x="0" y="0"/>
                            <a:ext cx="5925312" cy="4443984"/>
                          </a:xfrm>
                          <a:prstGeom prst="rect"/>
                        </pic:spPr>
                      </pic:pic>
                    </a:graphicData>
                  </a:graphic>
                </wp:inline>
              </w:drawing>
            </w:r>
          </w:p>
          <w:p>
            <w:pPr>
              <w:pStyle w:val="CaptionText"/>
              <w:spacing w:after="40" w:before="40" w:line="240" w:lineRule="auto"/>
              <w:jc w:val="center"/>
            </w:pPr>
            <w:r>
              <w:rPr>
                <w:b w:val="0"/>
                <w:i/>
                <w:color w:val="5F6973"/>
                <w:sz w:val="16"/>
              </w:rPr>
              <w:t>Figure 4. AI/ML repository map with reusable modules, artifacts, notebooks and implementation evidence.</w:t>
            </w:r>
          </w:p>
          <w:p>
            <w:pPr>
              <w:spacing w:after="40" w:before="40" w:line="240" w:lineRule="auto"/>
            </w:pPr>
            <w:r>
              <w:rPr>
                <w:b/>
                <w:color w:val="1F5A89"/>
                <w:sz w:val="16"/>
              </w:rPr>
              <w:t xml:space="preserve">What this proves: </w:t>
            </w:r>
            <w:r>
              <w:rPr>
                <w:color w:val="243444"/>
                <w:sz w:val="16"/>
              </w:rPr>
              <w:t>The module is organized beyond notebook-only experimentation.</w:t>
            </w:r>
          </w:p>
          <w:p>
            <w:pPr>
              <w:spacing w:after="40" w:before="40" w:line="240" w:lineRule="auto"/>
            </w:pPr>
            <w:r>
              <w:rPr>
                <w:b/>
                <w:color w:val="2E8B70"/>
                <w:sz w:val="16"/>
              </w:rPr>
              <w:t xml:space="preserve">Observation: </w:t>
            </w:r>
            <w:r>
              <w:rPr>
                <w:color w:val="243444"/>
                <w:sz w:val="16"/>
              </w:rPr>
              <w:t>The clean tree clarifies responsibility while the workspace image preserves authentic implementation evidence.</w:t>
            </w:r>
          </w:p>
        </w:tc>
      </w:tr>
    </w:tbl>
    <w:p>
      <w:pPr>
        <w:spacing w:after="20"/>
      </w:pPr>
    </w:p>
    <w:p>
      <w:pPr>
        <w:pStyle w:val="Heading2"/>
        <w:keepNext/>
        <w:keepLines/>
        <w:pageBreakBefore w:val="0"/>
        <w:spacing w:before="80" w:after="40"/>
      </w:pPr>
      <w:r>
        <w:t>7.1 Notebook journey</w:t>
      </w:r>
    </w:p>
    <w:tbl>
      <w:tblPr>
        <w:tblW w:type="auto" w:w="0"/>
        <w:jc w:val="center"/>
        <w:tblLayout w:type="fixed"/>
        <w:tblLook w:firstColumn="1" w:firstRow="1" w:lastColumn="0" w:lastRow="0" w:noHBand="0" w:noVBand="1" w:val="04A0"/>
      </w:tblPr>
      <w:tblGrid>
        <w:gridCol w:w="2160"/>
        <w:gridCol w:w="1152"/>
        <w:gridCol w:w="655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Notebook group</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Files</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Purpose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Image foundations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01–03</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Digital image basics, OpenCV/NumPy handling and preprocessing evidence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Data understanding</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04–05</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MVTec folders, classes, masks, counts and loader validation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Detection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06–07</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OpenCV baseline development and PaDiM training/inference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Decision intelligence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08–09</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Defect-type classification and severity/QA policy</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Final evidence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10</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Metric comparison, final inference output and testing proof</w:t>
            </w:r>
          </w:p>
        </w:tc>
      </w:tr>
    </w:tbl>
    <w:p>
      <w:pPr>
        <w:spacing w:after="20"/>
      </w:pPr>
    </w:p>
    <w:p>
      <w:pPr>
        <w:pStyle w:val="Heading2"/>
        <w:keepNext/>
        <w:keepLines/>
        <w:pageBreakBefore w:val="0"/>
        <w:spacing w:before="80" w:after="40"/>
      </w:pPr>
      <w:r>
        <w:t>7.2 Runtime artifacts</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before="0"/>
              <w:jc w:val="center"/>
            </w:pPr>
            <w:r>
              <w:drawing>
                <wp:inline xmlns:a="http://schemas.openxmlformats.org/drawingml/2006/main" xmlns:pic="http://schemas.openxmlformats.org/drawingml/2006/picture">
                  <wp:extent cx="6080760" cy="4199420"/>
                  <wp:docPr id="35" name="Picture 35" descr="Image: image34.png"/>
                  <wp:cNvGraphicFramePr>
                    <a:graphicFrameLocks noChangeAspect="1"/>
                  </wp:cNvGraphicFramePr>
                  <a:graphic>
                    <a:graphicData uri="http://schemas.openxmlformats.org/drawingml/2006/picture">
                      <pic:pic>
                        <pic:nvPicPr>
                          <pic:cNvPr id="0" name="artifacts_clean.png"/>
                          <pic:cNvPicPr/>
                        </pic:nvPicPr>
                        <pic:blipFill>
                          <a:blip r:embed="rId44"/>
                          <a:stretch>
                            <a:fillRect/>
                          </a:stretch>
                        </pic:blipFill>
                        <pic:spPr>
                          <a:xfrm>
                            <a:off x="0" y="0"/>
                            <a:ext cx="6080760" cy="4199420"/>
                          </a:xfrm>
                          <a:prstGeom prst="rect"/>
                        </pic:spPr>
                      </pic:pic>
                    </a:graphicData>
                  </a:graphic>
                </wp:inline>
              </w:drawing>
            </w:r>
          </w:p>
          <w:p>
            <w:pPr>
              <w:pStyle w:val="CaptionText"/>
              <w:spacing w:after="40" w:before="40" w:line="240" w:lineRule="auto"/>
              <w:jc w:val="center"/>
            </w:pPr>
            <w:r>
              <w:rPr>
                <w:b w:val="0"/>
                <w:i/>
                <w:color w:val="5F6973"/>
                <w:sz w:val="16"/>
              </w:rPr>
              <w:t>Figure 5. Saved AI/ML artifacts used by baseline, PaDiM, classification and explainability paths.</w:t>
            </w:r>
          </w:p>
          <w:p>
            <w:pPr>
              <w:spacing w:after="40" w:before="40" w:line="240" w:lineRule="auto"/>
            </w:pPr>
            <w:r>
              <w:rPr>
                <w:b/>
                <w:color w:val="1F5A89"/>
                <w:sz w:val="16"/>
              </w:rPr>
              <w:t xml:space="preserve">What this proves: </w:t>
            </w:r>
            <w:r>
              <w:rPr>
                <w:color w:val="243444"/>
                <w:sz w:val="16"/>
              </w:rPr>
              <w:t>Inference can load saved assets without retraining for every request.</w:t>
            </w:r>
          </w:p>
          <w:p>
            <w:pPr>
              <w:spacing w:after="40" w:before="40" w:line="240" w:lineRule="auto"/>
            </w:pPr>
            <w:r>
              <w:rPr>
                <w:b/>
                <w:color w:val="2E8B70"/>
                <w:sz w:val="16"/>
              </w:rPr>
              <w:t xml:space="preserve">Observation: </w:t>
            </w:r>
            <w:r>
              <w:rPr>
                <w:color w:val="243444"/>
                <w:sz w:val="16"/>
              </w:rPr>
              <w:t>Artifact metadata should use portable relative paths and record version, threshold and evaluation provenance.</w:t>
            </w:r>
          </w:p>
        </w:tc>
      </w:tr>
    </w:tbl>
    <w:p>
      <w:pPr>
        <w:spacing w:after="20"/>
      </w:pPr>
    </w:p>
    <w:tbl>
      <w:tblPr>
        <w:tblW w:type="auto" w:w="0"/>
        <w:jc w:val="center"/>
        <w:tblLayout w:type="fixed"/>
        <w:tblLook w:firstColumn="1" w:firstRow="1" w:lastColumn="0" w:lastRow="0" w:noHBand="0" w:noVBand="1" w:val="04A0"/>
        <w:tblInd w:w="0" w:type="dxa"/>
      </w:tblPr>
      <w:tblGrid>
        <w:gridCol w:w="2736"/>
        <w:gridCol w:w="2304"/>
        <w:gridCol w:w="475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Artifact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Used by</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Purpose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`defect_classifier.pkl`</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Classifier / prediction path</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Stores the trained scaler + Logistic Regression classifier pipeline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`model_metadata.json`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Prediction and evaluation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Records model name/version, configuration and metric provenance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`normal_reference.png`</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OpenCV baseline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Mean reference built from 209 normal training images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`padim_mvtec_bottle_v1.ckpt`</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PaDiM inference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Stores trained PaDiM normal-pattern parameters</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Heatmap outputs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Backend/frontend</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Provides explainable localization evidence</w:t>
            </w:r>
          </w:p>
        </w:tc>
      </w:tr>
    </w:tbl>
    <w:p>
      <w:pPr>
        <w:spacing w:after="20"/>
      </w:pPr>
    </w:p>
    <w:p>
      <w:pPr>
        <w:pStyle w:val="Heading1"/>
        <w:keepNext/>
        <w:keepLines/>
        <w:pageBreakBefore w:val="0"/>
        <w:spacing w:before="140" w:after="60"/>
      </w:pPr>
      <w:r>
        <w:t>8. Dataset, Splits and Validation</w:t>
      </w:r>
    </w:p>
    <w:p>
      <w:pPr>
        <w:spacing w:after="46" w:line="259" w:lineRule="auto"/>
      </w:pPr>
      <w:r>
        <w:rPr>
          <w:sz w:val="18"/>
        </w:rPr>
        <w:t>The project uses the MVTec Anomaly Detection Bottle category. Normal images are available for learning normal appearance, while test folders contain normal and defective cases. Ground-truth masks support pixel-level localization evaluation for defective samples.</w:t>
      </w:r>
    </w:p>
    <w:tbl>
      <w:tblPr>
        <w:tblW w:type="auto" w:w="0"/>
        <w:jc w:val="center"/>
        <w:tblLayout w:type="fixed"/>
        <w:tblLook w:firstColumn="1" w:firstRow="1" w:lastColumn="0" w:lastRow="0" w:noHBand="0" w:noVBand="1" w:val="04A0"/>
        <w:tblInd w:w="0" w:type="dxa"/>
      </w:tblPr>
      <w:tblGrid>
        <w:gridCol w:w="2952"/>
        <w:gridCol w:w="1080"/>
        <w:gridCol w:w="583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Dataset partition</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Count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Use in the project</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`train/good`</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209</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Learn normal appearance and construct reference/model features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`test/good`</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20</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Measure false alarms on normal products</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`test/broken_large`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20</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Evaluate large structural breakage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`test/broken_small`</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22</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Evaluate smaller structural breakage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`test/contamination`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21</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Evaluate contamination/foreign-material anomaly</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4830603" cy="2240280"/>
                  <wp:docPr id="7" name="Picture 7" descr="Image: image7.png"/>
                  <wp:cNvGraphicFramePr>
                    <a:graphicFrameLocks noChangeAspect="1"/>
                  </wp:cNvGraphicFramePr>
                  <a:graphic>
                    <a:graphicData uri="http://schemas.openxmlformats.org/drawingml/2006/picture">
                      <pic:pic>
                        <pic:nvPicPr>
                          <pic:cNvPr id="0" name="dataset_counts_clean.png"/>
                          <pic:cNvPicPr/>
                        </pic:nvPicPr>
                        <pic:blipFill>
                          <a:blip r:embed="rId17"/>
                          <a:stretch>
                            <a:fillRect/>
                          </a:stretch>
                        </pic:blipFill>
                        <pic:spPr>
                          <a:xfrm>
                            <a:off x="0" y="0"/>
                            <a:ext cx="4830603" cy="2240280"/>
                          </a:xfrm>
                          <a:prstGeom prst="rect"/>
                        </pic:spPr>
                      </pic:pic>
                    </a:graphicData>
                  </a:graphic>
                </wp:inline>
              </w:drawing>
            </w:r>
          </w:p>
          <w:p>
            <w:pPr>
              <w:pStyle w:val="CaptionText"/>
              <w:spacing w:after="40" w:before="40" w:line="240" w:lineRule="auto"/>
              <w:jc w:val="center"/>
            </w:pPr>
            <w:r>
              <w:rPr>
                <w:b w:val="0"/>
                <w:i/>
                <w:color w:val="5F6973"/>
                <w:sz w:val="16"/>
              </w:rPr>
              <w:t>Figure 6. MVTec Bottle image distribution used for normal training and evaluation.</w:t>
            </w:r>
          </w:p>
          <w:p>
            <w:pPr>
              <w:spacing w:after="40" w:before="40" w:line="240" w:lineRule="auto"/>
            </w:pPr>
            <w:r>
              <w:rPr>
                <w:b/>
                <w:color w:val="1F5A89"/>
                <w:sz w:val="16"/>
              </w:rPr>
              <w:t xml:space="preserve">What this proves: </w:t>
            </w:r>
            <w:r>
              <w:rPr>
                <w:color w:val="243444"/>
                <w:sz w:val="16"/>
              </w:rPr>
              <w:t>The report records the actual class counts rather than only folder names.</w:t>
            </w:r>
          </w:p>
          <w:p>
            <w:pPr>
              <w:spacing w:after="40" w:before="40" w:line="240" w:lineRule="auto"/>
            </w:pPr>
            <w:r>
              <w:rPr>
                <w:b/>
                <w:color w:val="2E8B70"/>
                <w:sz w:val="16"/>
              </w:rPr>
              <w:t xml:space="preserve">Observation: </w:t>
            </w:r>
            <w:r>
              <w:rPr>
                <w:color w:val="243444"/>
                <w:sz w:val="16"/>
              </w:rPr>
              <w:t>PaDiM learns from 209 normal images; the 83 test images are comparatively small and class-imbalanced.</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263640" cy="1579686"/>
                  <wp:docPr id="8" name="Picture 8" descr="Image: image8.png"/>
                  <wp:cNvGraphicFramePr>
                    <a:graphicFrameLocks noChangeAspect="1"/>
                  </wp:cNvGraphicFramePr>
                  <a:graphic>
                    <a:graphicData uri="http://schemas.openxmlformats.org/drawingml/2006/picture">
                      <pic:pic>
                        <pic:nvPicPr>
                          <pic:cNvPr id="0" name="dataset_samples.png"/>
                          <pic:cNvPicPr/>
                        </pic:nvPicPr>
                        <pic:blipFill>
                          <a:blip r:embed="rId18"/>
                          <a:stretch>
                            <a:fillRect/>
                          </a:stretch>
                        </pic:blipFill>
                        <pic:spPr>
                          <a:xfrm>
                            <a:off x="0" y="0"/>
                            <a:ext cx="6263640" cy="1579686"/>
                          </a:xfrm>
                          <a:prstGeom prst="rect"/>
                        </pic:spPr>
                      </pic:pic>
                    </a:graphicData>
                  </a:graphic>
                </wp:inline>
              </w:drawing>
            </w:r>
          </w:p>
          <w:p>
            <w:pPr>
              <w:pStyle w:val="CaptionText"/>
              <w:spacing w:after="40" w:before="40" w:line="240" w:lineRule="auto"/>
              <w:jc w:val="center"/>
            </w:pPr>
            <w:r>
              <w:rPr>
                <w:b w:val="0"/>
                <w:i/>
                <w:color w:val="5F6973"/>
                <w:sz w:val="16"/>
              </w:rPr>
              <w:t>Figure 7. Real MVTec Bottle examples for good, broken_large, broken_small and contamination.</w:t>
            </w:r>
          </w:p>
          <w:p>
            <w:pPr>
              <w:spacing w:after="40" w:before="40" w:line="240" w:lineRule="auto"/>
            </w:pPr>
            <w:r>
              <w:rPr>
                <w:b/>
                <w:color w:val="1F5A89"/>
                <w:sz w:val="16"/>
              </w:rPr>
              <w:t xml:space="preserve">What this proves: </w:t>
            </w:r>
            <w:r>
              <w:rPr>
                <w:color w:val="243444"/>
                <w:sz w:val="16"/>
              </w:rPr>
              <w:t>All four classifier output classes are represented using real dataset images.</w:t>
            </w:r>
          </w:p>
          <w:p>
            <w:pPr>
              <w:spacing w:after="40" w:before="40" w:line="240" w:lineRule="auto"/>
            </w:pPr>
            <w:r>
              <w:rPr>
                <w:b/>
                <w:color w:val="2E8B70"/>
                <w:sz w:val="16"/>
              </w:rPr>
              <w:t xml:space="preserve">Observation: </w:t>
            </w:r>
            <w:r>
              <w:rPr>
                <w:color w:val="243444"/>
                <w:sz w:val="16"/>
              </w:rPr>
              <w:t>The breakage categories share fracture-like visual cues, which explains part of the observed confusion.</w:t>
            </w:r>
          </w:p>
        </w:tc>
      </w:tr>
    </w:tbl>
    <w:p>
      <w:pPr>
        <w:spacing w:after="20"/>
      </w:pPr>
    </w:p>
    <w:p>
      <w:pPr>
        <w:pStyle w:val="Heading2"/>
        <w:keepNext/>
        <w:keepLines/>
        <w:pageBreakBefore w:val="0"/>
        <w:spacing w:before="80" w:after="40"/>
      </w:pPr>
      <w:r>
        <w:t>8.1 Dataset and sample validation</w:t>
      </w:r>
    </w:p>
    <w:tbl>
      <w:tblPr>
        <w:tblW w:type="auto" w:w="0"/>
        <w:jc w:val="center"/>
        <w:tblLayout w:type="fixed"/>
        <w:tblLook w:firstColumn="1" w:firstRow="1" w:lastColumn="0" w:lastRow="0" w:noHBand="0" w:noVBand="1" w:val="04A0"/>
      </w:tblPr>
      <w:tblGrid>
        <w:gridCol w:w="3024"/>
        <w:gridCol w:w="6840"/>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Validation check</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Expected behaviour</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Required folders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Confirm train, test and ground-truth structure exists</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Image readability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Reject missing or unreadable image files</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Class labels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Map folder names to consistent output labels</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Ground-truth path</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Associate defective image with mask where available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Dimensions and channels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Record height, width, channels and dtype before preprocessing</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Split integrity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tcPr>
          <w:p>
            <w:pPr>
              <w:spacing w:after="0"/>
            </w:pPr>
            <w:r>
              <w:rPr>
                <w:color w:val="26313D"/>
                <w:sz w:val="16"/>
              </w:rPr>
              <w:t>Keep normal training data separate from evaluation samples</w:t>
            </w:r>
          </w:p>
        </w:tc>
      </w:tr>
    </w:tbl>
    <w:p>
      <w:pPr>
        <w:spacing w:after="20"/>
      </w:pPr>
    </w:p>
    <w:p>
      <w:pPr>
        <w:pStyle w:val="Heading1"/>
        <w:keepNext/>
        <w:keepLines/>
        <w:pageBreakBefore w:val="0"/>
        <w:spacing w:before="140" w:after="60"/>
      </w:pPr>
      <w:r>
        <w:t>9. Image Understanding and Preprocessing</w:t>
      </w:r>
    </w:p>
    <w:p>
      <w:pPr>
        <w:pStyle w:val="Heading2"/>
        <w:keepNext/>
        <w:keepLines/>
        <w:pageBreakBefore w:val="0"/>
        <w:spacing w:before="80" w:after="40"/>
      </w:pPr>
      <w:r>
        <w:t>9.1 Image as numerical input</w:t>
      </w:r>
    </w:p>
    <w:p>
      <w:pPr>
        <w:spacing w:after="46" w:line="259" w:lineRule="auto"/>
      </w:pPr>
      <w:r>
        <w:rPr>
          <w:sz w:val="18"/>
        </w:rPr>
        <w:t>A bottle image is represented as a numeric array rather than a human-readable picture. Before inference, the module checks whether the file can be decoded and records its dimensions, channel count and data type. Pixel values are then transformed into the representation expected by each model path.</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jc w:val="center"/>
            </w:pPr>
            <w:r>
              <w:drawing>
                <wp:inline xmlns:a="http://schemas.openxmlformats.org/drawingml/2006/main" xmlns:pic="http://schemas.openxmlformats.org/drawingml/2006/picture">
                  <wp:extent cx="6062472" cy="2973846"/>
                  <wp:docPr id="38" name="Picture 38" descr="Image: image37.png"/>
                  <wp:cNvGraphicFramePr>
                    <a:graphicFrameLocks noChangeAspect="1"/>
                  </wp:cNvGraphicFramePr>
                  <a:graphic>
                    <a:graphicData uri="http://schemas.openxmlformats.org/drawingml/2006/picture">
                      <pic:pic>
                        <pic:nvPicPr>
                          <pic:cNvPr id="0" name="metadata_clean.png"/>
                          <pic:cNvPicPr/>
                        </pic:nvPicPr>
                        <pic:blipFill>
                          <a:blip r:embed="rId47"/>
                          <a:stretch>
                            <a:fillRect/>
                          </a:stretch>
                        </pic:blipFill>
                        <pic:spPr>
                          <a:xfrm>
                            <a:off x="0" y="0"/>
                            <a:ext cx="6062472" cy="2973846"/>
                          </a:xfrm>
                          <a:prstGeom prst="rect"/>
                        </pic:spPr>
                      </pic:pic>
                    </a:graphicData>
                  </a:graphic>
                </wp:inline>
              </w:drawing>
            </w:r>
          </w:p>
          <w:p>
            <w:pPr>
              <w:pStyle w:val="CaptionText"/>
              <w:spacing w:after="40" w:before="40" w:line="240" w:lineRule="auto"/>
              <w:jc w:val="center"/>
            </w:pPr>
            <w:r>
              <w:rPr>
                <w:b w:val="0"/>
                <w:i/>
                <w:color w:val="5F6973"/>
                <w:sz w:val="16"/>
              </w:rPr>
              <w:t>Figure 8. Loaded image metadata, RGB/grayscale/binary representations and pixel-intensity distribution.</w:t>
            </w:r>
          </w:p>
          <w:p>
            <w:pPr>
              <w:spacing w:after="40" w:before="40" w:line="240" w:lineRule="auto"/>
            </w:pPr>
            <w:r>
              <w:rPr>
                <w:b/>
                <w:color w:val="1F5A89"/>
                <w:sz w:val="16"/>
              </w:rPr>
              <w:t xml:space="preserve">What this proves: </w:t>
            </w:r>
            <w:r>
              <w:rPr>
                <w:color w:val="243444"/>
                <w:sz w:val="16"/>
              </w:rPr>
              <w:t>The image is inspected as a numerical array before model-specific transformation.</w:t>
            </w:r>
          </w:p>
          <w:p>
            <w:pPr>
              <w:spacing w:after="40" w:before="40" w:line="240" w:lineRule="auto"/>
            </w:pPr>
            <w:r>
              <w:rPr>
                <w:b/>
                <w:color w:val="2E8B70"/>
                <w:sz w:val="16"/>
              </w:rPr>
              <w:t xml:space="preserve">Observation: </w:t>
            </w:r>
            <w:r>
              <w:rPr>
                <w:color w:val="243444"/>
                <w:sz w:val="16"/>
              </w:rPr>
              <w:t>The verified sample is a three-channel uint8 image; runtime paths standardize spatial input to 256 x 256.</w:t>
            </w:r>
          </w:p>
        </w:tc>
      </w:tr>
    </w:tbl>
    <w:p>
      <w:pPr>
        <w:spacing w:after="20"/>
      </w:pPr>
    </w:p>
    <w:p>
      <w:pPr>
        <w:pStyle w:val="Heading2"/>
        <w:keepNext/>
        <w:keepLines/>
        <w:pageBreakBefore w:val="0"/>
        <w:spacing w:before="80" w:after="40"/>
      </w:pPr>
      <w:r>
        <w:t>9.2 Common preprocessing versus path-specific preprocessing</w:t>
      </w:r>
    </w:p>
    <w:tbl>
      <w:tblPr>
        <w:tblW w:type="auto" w:w="0"/>
        <w:jc w:val="center"/>
        <w:tblLayout w:type="fixed"/>
        <w:tblLook w:firstColumn="1" w:firstRow="1" w:lastColumn="0" w:lastRow="0" w:noHBand="0" w:noVBand="1" w:val="04A0"/>
        <w:tblInd w:w="0" w:type="dxa"/>
      </w:tblPr>
      <w:tblGrid>
        <w:gridCol w:w="2376"/>
        <w:gridCol w:w="3888"/>
        <w:gridCol w:w="367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Stage</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What changes</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Shared / path usage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reading</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Decodes file into an image array</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Required by all paths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Validation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Checks readability, shape, channel count and dtype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Required by all paths</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BGR → RGB conversion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Corrects OpenCV channel order for display/model consistency</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Shared when OpenCV reading is used</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Resize to 256 × 256</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Standardizes spatial input to 256 x 256</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Shared confirmed input size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Tensor conversion / normalization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Converts RGB values to the numeric scale expected by pretrained deep features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PaDiM and ResNet18 classifier transforms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Grayscale conversion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Reduces RGB to intensity representation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Baseline and visual analysis</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Denoising</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Gaussian blur with a 5 x 5 kernel suppresses small pixel variation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Confirmed baseline-oriented processing</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Contrast enhancement</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CLAHE with clip limit 2.0 and 8 x 8 tile grid enhances local contrast</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Confirmed baseline-oriented processing</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Brightness / shadow correction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Explored to reduce illumination imbalance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Notebook/exploratory robustness evidence; not a direct PaDiM input</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Thresholding</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Converts image or anomaly response into binary cues/mask</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Exploratory cue; runtime mask follows the active detector threshold</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Edge detection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Canny thresholds 100 and 200 highlight structural discontinuities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Explainable cue; not a PaDiM input</w:t>
            </w:r>
          </w:p>
        </w:tc>
      </w:tr>
    </w:tbl>
    <w:p>
      <w:pPr>
        <w:spacing w:after="20"/>
      </w:pPr>
    </w:p>
    <w:p>
      <w:pPr>
        <w:pStyle w:val="Heading2"/>
        <w:keepNext/>
        <w:keepLines/>
        <w:pageBreakBefore w:val="0"/>
        <w:spacing w:before="140" w:after="60"/>
      </w:pPr>
      <w:r>
        <w:rPr>
          <w:b w:val="0"/>
        </w:rPr>
        <w:t>9.3 Detailed Preprocessing Evidence</w:t>
      </w:r>
    </w:p>
    <w:p>
      <w:pPr>
        <w:pStyle w:val="Heading3"/>
        <w:keepNext/>
        <w:keepLines/>
        <w:pageBreakBefore w:val="0"/>
        <w:spacing w:before="80" w:after="40"/>
      </w:pPr>
      <w:r>
        <w:rPr>
          <w:b w:val="0"/>
        </w:rPr>
        <w:t>9.3.1 Step-by-step transformation</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019937" cy="4069080"/>
                  <wp:docPr id="10" name="Picture 10" descr="Image: image10.png"/>
                  <wp:cNvGraphicFramePr>
                    <a:graphicFrameLocks noChangeAspect="1"/>
                  </wp:cNvGraphicFramePr>
                  <a:graphic>
                    <a:graphicData uri="http://schemas.openxmlformats.org/drawingml/2006/picture">
                      <pic:pic>
                        <pic:nvPicPr>
                          <pic:cNvPr id="0" name="preprocess_clean.png"/>
                          <pic:cNvPicPr/>
                        </pic:nvPicPr>
                        <pic:blipFill>
                          <a:blip r:embed="rId20"/>
                          <a:stretch>
                            <a:fillRect/>
                          </a:stretch>
                        </pic:blipFill>
                        <pic:spPr>
                          <a:xfrm>
                            <a:off x="0" y="0"/>
                            <a:ext cx="6019937" cy="4069080"/>
                          </a:xfrm>
                          <a:prstGeom prst="rect"/>
                        </pic:spPr>
                      </pic:pic>
                    </a:graphicData>
                  </a:graphic>
                </wp:inline>
              </w:drawing>
            </w:r>
          </w:p>
          <w:p>
            <w:pPr>
              <w:pStyle w:val="CaptionText"/>
              <w:spacing w:after="40" w:before="40" w:line="240" w:lineRule="auto"/>
              <w:jc w:val="center"/>
            </w:pPr>
            <w:r>
              <w:rPr>
                <w:b w:val="0"/>
                <w:i/>
                <w:color w:val="5F6973"/>
                <w:sz w:val="16"/>
              </w:rPr>
              <w:t>Figure 9. Real MVTec bottle preprocessing stages and explainable defect cues.</w:t>
            </w:r>
          </w:p>
          <w:p>
            <w:pPr>
              <w:spacing w:after="40" w:before="40" w:line="240" w:lineRule="auto"/>
            </w:pPr>
            <w:r>
              <w:rPr>
                <w:b/>
                <w:color w:val="1F5A89"/>
                <w:sz w:val="16"/>
              </w:rPr>
              <w:t xml:space="preserve">What this proves: </w:t>
            </w:r>
            <w:r>
              <w:rPr>
                <w:color w:val="243444"/>
                <w:sz w:val="16"/>
              </w:rPr>
              <w:t>The preprocessing description is grounded in a real dataset sample and confirmed parameters.</w:t>
            </w:r>
          </w:p>
          <w:p>
            <w:pPr>
              <w:spacing w:after="40" w:before="40" w:line="240" w:lineRule="auto"/>
            </w:pPr>
            <w:r>
              <w:rPr>
                <w:b/>
                <w:color w:val="2E8B70"/>
                <w:sz w:val="16"/>
              </w:rPr>
              <w:t xml:space="preserve">Observation: </w:t>
            </w:r>
            <w:r>
              <w:rPr>
                <w:color w:val="243444"/>
                <w:sz w:val="16"/>
              </w:rPr>
              <w:t>Resize, grayscale, Gaussian blur and CLAHE support the baseline; threshold and edge views are explainability cues.</w:t>
            </w:r>
          </w:p>
          <w:p>
            <w:pPr>
              <w:spacing w:after="40" w:before="40" w:line="240" w:lineRule="auto"/>
            </w:pPr>
            <w:r>
              <w:rPr>
                <w:b/>
                <w:color w:val="C84C4C"/>
                <w:sz w:val="16"/>
              </w:rPr>
              <w:t xml:space="preserve">Limitation: </w:t>
            </w:r>
            <w:r>
              <w:rPr>
                <w:color w:val="243444"/>
                <w:sz w:val="16"/>
              </w:rPr>
              <w:t>PaDiM and the classifier consume their model-specific resized RGB transforms rather than binary edge images.</w:t>
            </w:r>
          </w:p>
        </w:tc>
      </w:tr>
    </w:tbl>
    <w:p>
      <w:pPr>
        <w:spacing w:after="20"/>
      </w:pPr>
    </w:p>
    <w:p>
      <w:pPr>
        <w:pStyle w:val="Heading2"/>
        <w:keepNext/>
        <w:keepLines/>
        <w:pageBreakBefore w:val="0"/>
        <w:spacing w:before="80" w:after="40"/>
      </w:pPr>
      <w:r>
        <w:t>9.4 Before-versus-after interpretation</w:t>
      </w:r>
    </w:p>
    <w:tbl>
      <w:tblPr>
        <w:tblW w:type="auto" w:w="0"/>
        <w:jc w:val="center"/>
        <w:tblLayout w:type="fixed"/>
        <w:tblLook w:firstColumn="1" w:firstRow="1" w:lastColumn="0" w:lastRow="0" w:noHBand="0" w:noVBand="1" w:val="04A0"/>
      </w:tblPr>
      <w:tblGrid>
        <w:gridCol w:w="4925"/>
        <w:gridCol w:w="4925"/>
      </w:tblGrid>
      <w:tr>
        <w:trPr>
          <w:cantSplit/>
          <w:tblHeader w:val="true"/>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Original / RGB</w:t>
            </w:r>
          </w:p>
          <w:p>
            <w:pPr>
              <w:spacing w:after="0"/>
            </w:pPr>
            <w:r>
              <w:rPr>
                <w:color w:val="26313D"/>
                <w:sz w:val="17"/>
              </w:rPr>
              <w:t>Preserves full colour and surface appearance for deep feature extraction.</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Grayscale</w:t>
            </w:r>
          </w:p>
          <w:p>
            <w:pPr>
              <w:spacing w:after="0"/>
            </w:pPr>
            <w:r>
              <w:rPr>
                <w:color w:val="26313D"/>
                <w:sz w:val="17"/>
              </w:rPr>
              <w:t>Condenses colour information into intensity for simpler comparison.</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Denoised</w:t>
            </w:r>
          </w:p>
          <w:p>
            <w:pPr>
              <w:spacing w:after="0"/>
            </w:pPr>
            <w:r>
              <w:rPr>
                <w:color w:val="26313D"/>
                <w:sz w:val="17"/>
              </w:rPr>
              <w:t>Reduces small random variations that could create false difference responses.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D97928"/>
                <w:sz w:val="19"/>
              </w:rPr>
              <w:t>Enhanced</w:t>
            </w:r>
          </w:p>
          <w:p>
            <w:pPr>
              <w:spacing w:after="0"/>
            </w:pPr>
            <w:r>
              <w:rPr>
                <w:color w:val="26313D"/>
                <w:sz w:val="17"/>
              </w:rPr>
              <w:t>Improves visibility of subtle contamination or fracture boundaries.</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Thresholded</w:t>
            </w:r>
          </w:p>
          <w:p>
            <w:pPr>
              <w:spacing w:after="0"/>
            </w:pPr>
            <w:r>
              <w:rPr>
                <w:color w:val="26313D"/>
                <w:sz w:val="17"/>
              </w:rPr>
              <w:t>Produces coarse foreground/defect cues for explainable baseline logic.</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B6872C"/>
                <w:sz w:val="19"/>
              </w:rPr>
              <w:t>Edges</w:t>
            </w:r>
          </w:p>
          <w:p>
            <w:pPr>
              <w:spacing w:after="0"/>
            </w:pPr>
            <w:r>
              <w:rPr>
                <w:color w:val="26313D"/>
                <w:sz w:val="17"/>
              </w:rPr>
              <w:t>Highlights structural discontinuities but can also respond to normal bottle rings.</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5F9FC"/>
            <w:tcBorders>
              <w:top w:val="single" w:sz="8" w:color="245A8D" w:space="0"/>
              <w:left w:val="single" w:sz="8" w:color="245A8D" w:space="0"/>
              <w:bottom w:val="single" w:sz="8" w:color="245A8D" w:space="0"/>
              <w:right w:val="single" w:sz="8" w:color="245A8D" w:space="0"/>
            </w:tcBorders>
            <w:tcMar>
              <w:top w:w="45" w:type="dxa"/>
              <w:start w:w="65" w:type="dxa"/>
              <w:bottom w:w="45" w:type="dxa"/>
              <w:end w:w="65" w:type="dxa"/>
            </w:tcMar>
          </w:tcPr>
          <w:p>
            <w:pPr>
              <w:spacing w:after="20"/>
            </w:pPr>
            <w:r>
              <w:rPr>
                <w:b/>
                <w:color w:val="1F5A89"/>
                <w:sz w:val="18"/>
              </w:rPr>
              <w:t>Confirmed preprocessing parameters</w:t>
            </w:r>
            <w:r>
              <w:br/>
            </w:r>
            <w:r>
              <w:rPr>
                <w:color w:val="243444"/>
                <w:sz w:val="17"/>
              </w:rPr>
              <w:t>Input size: 256 x 256; Gaussian blur: 5 x 5; CLAHE: clip limit 2.0, tile grid 8 x 8; Canny thresholds: 100 and 200. Deep-model normalization follows the active PaDiM/ResNet18 transform configuration.</w:t>
            </w:r>
          </w:p>
        </w:tc>
      </w:tr>
    </w:tbl>
    <w:p>
      <w:pPr>
        <w:spacing w:after="20"/>
      </w:pPr>
    </w:p>
    <w:p>
      <w:pPr>
        <w:pStyle w:val="Heading1"/>
        <w:keepNext/>
        <w:keepLines/>
        <w:pageBreakBefore w:val="0"/>
        <w:spacing w:before="140" w:after="60"/>
      </w:pPr>
      <w:r>
        <w:t>10. OpenCV Baseline Detector</w:t>
      </w:r>
    </w:p>
    <w:p>
      <w:pPr>
        <w:spacing w:after="46" w:line="259" w:lineRule="auto"/>
      </w:pPr>
      <w:r>
        <w:rPr>
          <w:b w:val="0"/>
        </w:rPr>
        <w:t>The OpenCV baseline compares each preprocessed image with a mean normal reference constructed from all 209 train/good images. It applies the confirmed grayscale, Gaussian-blur and CLAHE pipeline, calculates an absolute-difference map and converts the resulting score into a Good/Defective decision using a configured threshold. The method is fast and explainable but sensitive to alignment, illumination and normal ring variation.</w:t>
      </w:r>
    </w:p>
    <w:p>
      <w:pPr>
        <w:pStyle w:val="Heading2"/>
        <w:keepNext/>
        <w:keepLines/>
        <w:pageBreakBefore w:val="0"/>
        <w:spacing w:before="80" w:after="40"/>
      </w:pPr>
      <w:r>
        <w:t>10.1 Input–process–output</w:t>
      </w:r>
    </w:p>
    <w:tbl>
      <w:tblPr>
        <w:tblW w:type="auto" w:w="0"/>
        <w:jc w:val="center"/>
        <w:tblLayout w:type="fixed"/>
        <w:tblLook w:firstColumn="1" w:firstRow="1" w:lastColumn="0" w:lastRow="0" w:noHBand="0" w:noVBand="1" w:val="04A0"/>
      </w:tblPr>
      <w:tblGrid>
        <w:gridCol w:w="2880"/>
        <w:gridCol w:w="3672"/>
        <w:gridCol w:w="3384"/>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Input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Processing</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tcPr>
          <w:p>
            <w:pPr>
              <w:spacing w:after="0"/>
            </w:pPr>
            <w:r>
              <w:rPr>
                <w:b/>
                <w:color w:val="FFFFFF"/>
                <w:sz w:val="16"/>
              </w:rPr>
              <w:t>Output</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Validated bottle image + mean `normal_reference.png` from 209 good images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Resize 256 x 256, grayscale, Gaussian blur 5 x 5, CLAHE 2.0/8 x 8, absolute difference and threshold decision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pPr>
            <w:r>
              <w:rPr>
                <w:b w:val="0"/>
                <w:sz w:val="17"/>
              </w:rPr>
              <w:t>Good/Defective, raw difference score, binary mask, affected-image ratio, anomaly map and heatmap</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4951559" cy="3977639"/>
                  <wp:docPr id="11" name="Picture 11" descr="Image: image11.png"/>
                  <wp:cNvGraphicFramePr>
                    <a:graphicFrameLocks noChangeAspect="1"/>
                  </wp:cNvGraphicFramePr>
                  <a:graphic>
                    <a:graphicData uri="http://schemas.openxmlformats.org/drawingml/2006/picture">
                      <pic:pic>
                        <pic:nvPicPr>
                          <pic:cNvPr id="0" name="baseline.png"/>
                          <pic:cNvPicPr/>
                        </pic:nvPicPr>
                        <pic:blipFill>
                          <a:blip r:embed="rId21"/>
                          <a:stretch>
                            <a:fillRect/>
                          </a:stretch>
                        </pic:blipFill>
                        <pic:spPr>
                          <a:xfrm>
                            <a:off x="0" y="0"/>
                            <a:ext cx="4951559" cy="3977639"/>
                          </a:xfrm>
                          <a:prstGeom prst="rect"/>
                        </pic:spPr>
                      </pic:pic>
                    </a:graphicData>
                  </a:graphic>
                </wp:inline>
              </w:drawing>
            </w:r>
          </w:p>
          <w:p>
            <w:pPr>
              <w:pStyle w:val="CaptionText"/>
              <w:spacing w:after="40" w:before="40" w:line="240" w:lineRule="auto"/>
              <w:jc w:val="center"/>
            </w:pPr>
            <w:r>
              <w:rPr>
                <w:b w:val="0"/>
                <w:i/>
                <w:color w:val="5F6973"/>
                <w:sz w:val="16"/>
              </w:rPr>
              <w:t>Figure 10. OpenCV baseline comparison for a normal and a contamination sample.</w:t>
            </w:r>
          </w:p>
          <w:p>
            <w:pPr>
              <w:spacing w:after="40" w:before="40" w:line="240" w:lineRule="auto"/>
            </w:pPr>
            <w:r>
              <w:rPr>
                <w:b/>
                <w:color w:val="1F5A89"/>
                <w:sz w:val="16"/>
              </w:rPr>
              <w:t xml:space="preserve">What this proves: </w:t>
            </w:r>
            <w:r>
              <w:rPr>
                <w:color w:val="243444"/>
                <w:sz w:val="16"/>
              </w:rPr>
              <w:t>The baseline produces interpretable difference maps and overlays for both low- and high-score examples.</w:t>
            </w:r>
          </w:p>
          <w:p>
            <w:pPr>
              <w:spacing w:after="40" w:before="40" w:line="240" w:lineRule="auto"/>
            </w:pPr>
            <w:r>
              <w:rPr>
                <w:b/>
                <w:color w:val="2E8B70"/>
                <w:sz w:val="16"/>
              </w:rPr>
              <w:t xml:space="preserve">Observation: </w:t>
            </w:r>
            <w:r>
              <w:rPr>
                <w:color w:val="243444"/>
                <w:sz w:val="16"/>
              </w:rPr>
              <w:t>The contamination sample has a substantially larger central response than the normal sample.</w:t>
            </w:r>
          </w:p>
          <w:p>
            <w:pPr>
              <w:spacing w:after="40" w:before="40" w:line="240" w:lineRule="auto"/>
            </w:pPr>
            <w:r>
              <w:rPr>
                <w:b/>
                <w:color w:val="C84C4C"/>
                <w:sz w:val="16"/>
              </w:rPr>
              <w:t xml:space="preserve">Limitation: </w:t>
            </w:r>
            <w:r>
              <w:rPr>
                <w:color w:val="243444"/>
                <w:sz w:val="16"/>
              </w:rPr>
              <w:t>Normal bottle rings can also produce high responses, so threshold selection and image alignment remain critical.</w:t>
            </w:r>
          </w:p>
        </w:tc>
      </w:tr>
    </w:tbl>
    <w:p>
      <w:pPr>
        <w:spacing w:after="20"/>
      </w:pPr>
    </w:p>
    <w:p>
      <w:pPr>
        <w:pStyle w:val="Heading2"/>
        <w:keepNext/>
        <w:keepLines/>
        <w:pageBreakBefore w:val="0"/>
        <w:spacing w:before="80" w:after="40"/>
      </w:pPr>
      <w:r>
        <w:t>10.2 Threshold and score interpretation</w:t>
      </w:r>
    </w:p>
    <w:p>
      <w:pPr>
        <w:spacing w:after="46" w:line="259" w:lineRule="auto"/>
      </w:pPr>
      <w:r>
        <w:rPr>
          <w:b w:val="0"/>
        </w:rPr>
        <w:t>The baseline anomaly score is a raw image-difference value. The reported accuracy 51.81% and defect recall 36.51% were calculated at the notebook 99th-percentile threshold of 78.4423. The supplied runtime configuration uses approximately 61.99, so the report does not treat the 99th-percentile metrics as direct measurements of the deployed operating point. ROC-AUC 92.06% describes ranking across thresholds.</w:t>
      </w:r>
    </w:p>
    <w:tbl>
      <w:tblPr>
        <w:tblW w:type="auto" w:w="0"/>
        <w:jc w:val="center"/>
        <w:tblLayout w:type="fixed"/>
        <w:tblLook w:firstColumn="1" w:firstRow="1" w:lastColumn="0" w:lastRow="0" w:noHBand="0" w:noVBand="1" w:val="04A0"/>
        <w:tblInd w:w="0" w:type="dxa"/>
      </w:tblPr>
      <w:tblGrid>
        <w:gridCol w:w="3024"/>
        <w:gridCol w:w="1800"/>
        <w:gridCol w:w="511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Metric</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Result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Interpretation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Detection accuracy</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51.81%</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Approximately half of evaluation cases are classified correctly at the selected operating point</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Detection error rate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48.19%</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1 - accuracy at the selected 78.4423 evaluation threshold</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recall</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36.51%</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Many defective images can be missed</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ROC-AUC</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92.06%</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Ranking ability is reasonable, but threshold calibration and input sensitivity remain poor</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CEEEE"/>
            <w:tcBorders>
              <w:top w:val="single" w:sz="8" w:color="C94C4C" w:space="0"/>
              <w:left w:val="single" w:sz="8" w:color="C94C4C" w:space="0"/>
              <w:bottom w:val="single" w:sz="8" w:color="C94C4C" w:space="0"/>
              <w:right w:val="single" w:sz="8" w:color="C94C4C" w:space="0"/>
            </w:tcBorders>
            <w:tcMar>
              <w:top w:w="45" w:type="dxa"/>
              <w:start w:w="65" w:type="dxa"/>
              <w:bottom w:w="45" w:type="dxa"/>
              <w:end w:w="65" w:type="dxa"/>
            </w:tcMar>
          </w:tcPr>
          <w:p>
            <w:pPr>
              <w:spacing w:after="20"/>
            </w:pPr>
            <w:r>
              <w:rPr>
                <w:b/>
                <w:color w:val="C84C4C"/>
                <w:sz w:val="18"/>
              </w:rPr>
              <w:t>Deployment position</w:t>
            </w:r>
            <w:r>
              <w:br/>
            </w:r>
            <w:r>
              <w:rPr>
                <w:color w:val="243444"/>
                <w:sz w:val="17"/>
              </w:rPr>
              <w:t>The supplied Render configuration uses the OpenCV baseline as a demonstration/fallback path. Its low recall at the reported 99th-percentile evaluation point means it must not be represented as a production-certified detector. Runtime threshold 61.99 requires its own final metric report.</w:t>
            </w:r>
          </w:p>
        </w:tc>
      </w:tr>
    </w:tbl>
    <w:p>
      <w:pPr>
        <w:spacing w:after="20"/>
      </w:pPr>
    </w:p>
    <w:p>
      <w:pPr>
        <w:pStyle w:val="Heading1"/>
        <w:keepNext/>
        <w:keepLines/>
        <w:pageBreakBefore w:val="0"/>
        <w:spacing w:before="140" w:after="60"/>
      </w:pPr>
      <w:r>
        <w:t>11. PaDiM Anomaly Detection and Localization</w:t>
      </w:r>
    </w:p>
    <w:p>
      <w:pPr>
        <w:spacing w:after="46" w:line="259" w:lineRule="auto"/>
      </w:pPr>
      <w:r>
        <w:rPr>
          <w:b w:val="0"/>
        </w:rPr>
        <w:t>PaDiM models the distribution of pretrained visual features at spatial locations using normal bottle images. The confirmed configuration uses a ResNet18 backbone, feature layers layer1, layer2 and layer3, 100 selected features and 256 x 256 input. During inference, the checkpoint produces an image-level anomaly score and a pixel-level anomaly map that is thresholded into a predicted mask and visualized as a heatmap.</w:t>
      </w:r>
    </w:p>
    <w:p>
      <w:pPr>
        <w:pStyle w:val="Heading2"/>
        <w:keepNext/>
        <w:keepLines/>
        <w:pageBreakBefore w:val="0"/>
        <w:spacing w:before="80" w:after="40"/>
      </w:pPr>
      <w:r>
        <w:t>11.1 Training and inference logic</w:t>
      </w:r>
    </w:p>
    <w:tbl>
      <w:tblPr>
        <w:tblW w:type="auto" w:w="0"/>
        <w:jc w:val="center"/>
        <w:tblLayout w:type="fixed"/>
        <w:tblLook w:firstColumn="1" w:firstRow="1" w:lastColumn="0" w:lastRow="0" w:noHBand="0" w:noVBand="1" w:val="04A0"/>
        <w:tblInd w:w="0" w:type="dxa"/>
      </w:tblPr>
      <w:tblGrid>
        <w:gridCol w:w="1512"/>
        <w:gridCol w:w="2232"/>
        <w:gridCol w:w="3960"/>
        <w:gridCol w:w="2232"/>
      </w:tblGrid>
      <w:tr>
        <w:trPr>
          <w:tblHeader w:val="true"/>
          <w:tblHeader w:val="true"/>
          <w:cantSplit/>
        </w:trPr>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Phase</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Input</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Operation</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Output</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Training</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Normal bottle images</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Resize to 256 x 256, extract ResNet18 layer1/layer2/layer3 features, retain 100 selected features and model normal distributions</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PaDiM checkpoint and normal-pattern statistics</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Inference</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Validated test image + checkpoint</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Apply the same transform, compare spatial features with the learned normal distributions and threshold image/pixel outputs</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score, anomaly map, predicted mask and heatmap</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Evaluation</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labels + ground-truth masks</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Compare image decisions and pixel localization</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AUROC/F1 and Pixel AUROC/F1</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263640" cy="3180501"/>
                  <wp:docPr id="12" name="Picture 12" descr="Image: image12.png"/>
                  <wp:cNvGraphicFramePr>
                    <a:graphicFrameLocks noChangeAspect="1"/>
                  </wp:cNvGraphicFramePr>
                  <a:graphic>
                    <a:graphicData uri="http://schemas.openxmlformats.org/drawingml/2006/picture">
                      <pic:pic>
                        <pic:nvPicPr>
                          <pic:cNvPr id="0" name="final_inference.png"/>
                          <pic:cNvPicPr/>
                        </pic:nvPicPr>
                        <pic:blipFill>
                          <a:blip r:embed="rId22"/>
                          <a:stretch>
                            <a:fillRect/>
                          </a:stretch>
                        </pic:blipFill>
                        <pic:spPr>
                          <a:xfrm>
                            <a:off x="0" y="0"/>
                            <a:ext cx="6263640" cy="3180501"/>
                          </a:xfrm>
                          <a:prstGeom prst="rect"/>
                        </pic:spPr>
                      </pic:pic>
                    </a:graphicData>
                  </a:graphic>
                </wp:inline>
              </w:drawing>
            </w:r>
          </w:p>
          <w:p>
            <w:pPr>
              <w:pStyle w:val="CaptionText"/>
              <w:spacing w:after="40" w:before="40" w:line="240" w:lineRule="auto"/>
              <w:jc w:val="center"/>
            </w:pPr>
            <w:r>
              <w:rPr>
                <w:b w:val="0"/>
                <w:i/>
                <w:color w:val="5F6973"/>
                <w:sz w:val="16"/>
              </w:rPr>
              <w:t>Figure 11. PaDiM checkpoint inference showing input image, anomaly map and predicted mask.</w:t>
            </w:r>
          </w:p>
          <w:p>
            <w:pPr>
              <w:spacing w:after="40" w:before="40" w:line="240" w:lineRule="auto"/>
            </w:pPr>
            <w:r>
              <w:rPr>
                <w:b/>
                <w:color w:val="1F5A89"/>
                <w:sz w:val="16"/>
              </w:rPr>
              <w:t xml:space="preserve">What this proves: </w:t>
            </w:r>
            <w:r>
              <w:rPr>
                <w:color w:val="243444"/>
                <w:sz w:val="16"/>
              </w:rPr>
              <w:t>The trained anomaly path provides both image-level evidence and spatial localization.</w:t>
            </w:r>
          </w:p>
          <w:p>
            <w:pPr>
              <w:spacing w:after="40" w:before="40" w:line="240" w:lineRule="auto"/>
            </w:pPr>
            <w:r>
              <w:rPr>
                <w:b/>
                <w:color w:val="2E8B70"/>
                <w:sz w:val="16"/>
              </w:rPr>
              <w:t xml:space="preserve">Observation: </w:t>
            </w:r>
            <w:r>
              <w:rPr>
                <w:color w:val="243444"/>
                <w:sz w:val="16"/>
              </w:rPr>
              <w:t>The strongest anomaly response and predicted mask align with the visible contamination region.</w:t>
            </w:r>
          </w:p>
          <w:p>
            <w:pPr>
              <w:spacing w:after="40" w:before="40" w:line="240" w:lineRule="auto"/>
            </w:pPr>
            <w:r>
              <w:rPr>
                <w:b/>
                <w:color w:val="C84C4C"/>
                <w:sz w:val="16"/>
              </w:rPr>
              <w:t xml:space="preserve">Limitation: </w:t>
            </w:r>
            <w:r>
              <w:rPr>
                <w:color w:val="243444"/>
                <w:sz w:val="16"/>
              </w:rPr>
              <w:t>The checkpoint is trained and evaluated but is disabled in the supplied Render configuration; activation and runtime threshold validation remain pending.</w:t>
            </w:r>
          </w:p>
        </w:tc>
      </w:tr>
    </w:tbl>
    <w:p>
      <w:pPr>
        <w:spacing w:after="20"/>
      </w:pPr>
    </w:p>
    <w:tbl>
      <w:tblPr>
        <w:tblW w:type="auto" w:w="0"/>
        <w:jc w:val="center"/>
        <w:tblLayout w:type="fixed"/>
        <w:tblLook w:firstColumn="1" w:firstRow="1" w:lastColumn="0" w:lastRow="0" w:noHBand="0" w:noVBand="1" w:val="04A0"/>
        <w:tblInd w:w="0" w:type="dxa"/>
      </w:tblPr>
      <w:tblGrid>
        <w:gridCol w:w="2880"/>
        <w:gridCol w:w="1872"/>
        <w:gridCol w:w="5184"/>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Metric</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Result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Interpretation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AUROC</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99.84%</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Excellent separation of normal and defective images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F1</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98.39%</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Excellent image-level precision/recall balance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Pixel AUROC</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98.21%</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Strong ranking of abnormal versus normal pixels</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Pixel localization F1</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71.36%</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Useful but moderate exact overlap with defect boundaries</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ECF7F3"/>
            <w:tcBorders>
              <w:top w:val="single" w:sz="8" w:color="2F8F78" w:space="0"/>
              <w:left w:val="single" w:sz="8" w:color="2F8F78" w:space="0"/>
              <w:bottom w:val="single" w:sz="8" w:color="2F8F78" w:space="0"/>
              <w:right w:val="single" w:sz="8" w:color="2F8F78" w:space="0"/>
            </w:tcBorders>
            <w:tcMar>
              <w:top w:w="45" w:type="dxa"/>
              <w:start w:w="65" w:type="dxa"/>
              <w:bottom w:w="45" w:type="dxa"/>
              <w:end w:w="65" w:type="dxa"/>
            </w:tcMar>
          </w:tcPr>
          <w:p>
            <w:pPr>
              <w:spacing w:after="20"/>
            </w:pPr>
            <w:r>
              <w:rPr>
                <w:b/>
                <w:color w:val="2E8B70"/>
                <w:sz w:val="18"/>
              </w:rPr>
              <w:t>Model selection conclusion</w:t>
            </w:r>
            <w:r>
              <w:br/>
            </w:r>
            <w:r>
              <w:rPr>
                <w:color w:val="243444"/>
                <w:sz w:val="17"/>
              </w:rPr>
              <w:t>PaDiM is the stronger anomaly-detection candidate. Image AUROC 99.84% and Image F1 98.39% support screening on the evaluated MVTec setup, while Pixel F1 71.36% requires honest interpretation: localization is useful but not exact segmentation.</w:t>
            </w:r>
          </w:p>
        </w:tc>
      </w:tr>
    </w:tbl>
    <w:p>
      <w:pPr>
        <w:spacing w:after="20"/>
      </w:pPr>
    </w:p>
    <w:p>
      <w:pPr>
        <w:pStyle w:val="Heading1"/>
        <w:keepNext/>
        <w:keepLines/>
        <w:pageBreakBefore w:val="0"/>
        <w:spacing w:before="140" w:after="60"/>
      </w:pPr>
      <w:r>
        <w:t>12. Defect-Type Classification</w:t>
      </w:r>
    </w:p>
    <w:p>
      <w:pPr>
        <w:spacing w:after="46" w:line="259" w:lineRule="auto"/>
      </w:pPr>
      <w:r>
        <w:rPr>
          <w:b w:val="0"/>
        </w:rPr>
        <w:t>The defect classifier is invoked only when the anomaly detector marks an image as defective. A frozen pretrained ResNet18 converts the image into a visual embedding; StandardScaler standardizes the embedding; and balanced Logistic Regression (max_iter=3000, random_state=42) estimates good, broken_large, broken_small or contamination probabilities. If the classifier predicts good for an already detected anomaly, the runtime changes the category to unknown_defect.</w:t>
      </w:r>
    </w:p>
    <w:p>
      <w:pPr>
        <w:pStyle w:val="Heading2"/>
        <w:keepNext/>
        <w:keepLines/>
        <w:pageBreakBefore w:val="0"/>
        <w:spacing w:before="80" w:after="40"/>
      </w:pPr>
      <w:r>
        <w:t>12.1 Architecture</w:t>
      </w:r>
    </w:p>
    <w:tbl>
      <w:tblPr>
        <w:tblW w:type="dxa" w:w="10224"/>
        <w:jc w:val="center"/>
        <w:tblLayout w:type="fixed"/>
        <w:tblLook w:firstColumn="1" w:firstRow="1" w:lastColumn="0" w:lastRow="0" w:noHBand="0" w:noVBand="1" w:val="04A0"/>
        <w:tblInd w:w="0" w:type="dxa"/>
      </w:tblPr>
      <w:tblGrid>
        <w:gridCol w:w="936"/>
        <w:gridCol w:w="2880"/>
        <w:gridCol w:w="6048"/>
      </w:tblGrid>
      <w:tr>
        <w:trPr>
          <w:tblHeader w:val="true"/>
          <w:tblHeader w:val="true"/>
          <w:cantSplit/>
        </w:trPr>
        <w:tc>
          <w:tcPr>
            <w:tcW w:type="dxa" w:w="79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Step</w:t>
            </w:r>
          </w:p>
        </w:tc>
        <w:tc>
          <w:tcPr>
            <w:tcW w:type="dxa" w:w="2808"/>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Component</w:t>
            </w:r>
          </w:p>
        </w:tc>
        <w:tc>
          <w:tcPr>
            <w:tcW w:type="dxa" w:w="6623"/>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6"/>
              </w:rPr>
              <w:t>Role</w:t>
            </w:r>
          </w:p>
        </w:tc>
      </w:tr>
      <w:tr>
        <w:trPr>
          <w:cantSplit/>
          <w:cantSplit/>
        </w:trPr>
        <w:tc>
          <w:tcPr>
            <w:tcW w:type="dxa" w:w="79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1</w:t>
            </w:r>
          </w:p>
        </w:tc>
        <w:tc>
          <w:tcPr>
            <w:tcW w:type="dxa" w:w="280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ResNet18 feature extractor</w:t>
            </w:r>
          </w:p>
        </w:tc>
        <w:tc>
          <w:tcPr>
            <w:tcW w:type="dxa" w:w="6623"/>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Frozen pretrained network converts image content into visual embeddings</w:t>
            </w:r>
          </w:p>
        </w:tc>
      </w:tr>
      <w:tr>
        <w:trPr>
          <w:cantSplit/>
          <w:cantSplit/>
        </w:trPr>
        <w:tc>
          <w:tcPr>
            <w:tcW w:type="dxa" w:w="79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2</w:t>
            </w:r>
          </w:p>
        </w:tc>
        <w:tc>
          <w:tcPr>
            <w:tcW w:type="dxa" w:w="280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StandardScaler</w:t>
            </w:r>
          </w:p>
        </w:tc>
        <w:tc>
          <w:tcPr>
            <w:tcW w:type="dxa" w:w="6623"/>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Fitted only on training embeddings and reused during inference</w:t>
            </w:r>
          </w:p>
        </w:tc>
      </w:tr>
      <w:tr>
        <w:trPr>
          <w:cantSplit/>
          <w:cantSplit/>
        </w:trPr>
        <w:tc>
          <w:tcPr>
            <w:tcW w:type="dxa" w:w="79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3</w:t>
            </w:r>
          </w:p>
        </w:tc>
        <w:tc>
          <w:tcPr>
            <w:tcW w:type="dxa" w:w="2808"/>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Logistic Regression</w:t>
            </w:r>
          </w:p>
        </w:tc>
        <w:tc>
          <w:tcPr>
            <w:tcW w:type="dxa" w:w="6623"/>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Balanced multiclass classifier; max_iter=3000; random_state=42</w:t>
            </w:r>
          </w:p>
        </w:tc>
      </w:tr>
      <w:tr>
        <w:trPr>
          <w:cantSplit/>
          <w:cantSplit/>
        </w:trPr>
        <w:tc>
          <w:tcPr>
            <w:tcW w:type="dxa" w:w="79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4</w:t>
            </w:r>
          </w:p>
        </w:tc>
        <w:tc>
          <w:tcPr>
            <w:tcW w:type="dxa" w:w="280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Probability output</w:t>
            </w:r>
          </w:p>
        </w:tc>
        <w:tc>
          <w:tcPr>
            <w:tcW w:type="dxa" w:w="6623"/>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Returns per-class probabilities; highest value is a model confidence estimate</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4719099" cy="2468880"/>
                  <wp:docPr id="13" name="Picture 13" descr="Image: image13.png"/>
                  <wp:cNvGraphicFramePr>
                    <a:graphicFrameLocks noChangeAspect="1"/>
                  </wp:cNvGraphicFramePr>
                  <a:graphic>
                    <a:graphicData uri="http://schemas.openxmlformats.org/drawingml/2006/picture">
                      <pic:pic>
                        <pic:nvPicPr>
                          <pic:cNvPr id="0" name="classifier_examples.png"/>
                          <pic:cNvPicPr/>
                        </pic:nvPicPr>
                        <pic:blipFill>
                          <a:blip r:embed="rId23"/>
                          <a:stretch>
                            <a:fillRect/>
                          </a:stretch>
                        </pic:blipFill>
                        <pic:spPr>
                          <a:xfrm>
                            <a:off x="0" y="0"/>
                            <a:ext cx="4719099" cy="2468880"/>
                          </a:xfrm>
                          <a:prstGeom prst="rect"/>
                        </pic:spPr>
                      </pic:pic>
                    </a:graphicData>
                  </a:graphic>
                </wp:inline>
              </w:drawing>
            </w:r>
          </w:p>
          <w:p>
            <w:pPr>
              <w:pStyle w:val="CaptionText"/>
              <w:spacing w:after="40" w:before="40" w:line="240" w:lineRule="auto"/>
              <w:jc w:val="center"/>
            </w:pPr>
            <w:r>
              <w:rPr>
                <w:b w:val="0"/>
                <w:i/>
                <w:color w:val="5F6973"/>
                <w:sz w:val="16"/>
              </w:rPr>
              <w:t>Figure 12. Representative correct and incorrect defect-classifier predictions.</w:t>
            </w:r>
          </w:p>
          <w:p>
            <w:pPr>
              <w:spacing w:after="40" w:before="40" w:line="240" w:lineRule="auto"/>
            </w:pPr>
            <w:r>
              <w:rPr>
                <w:b/>
                <w:color w:val="1F5A89"/>
                <w:sz w:val="16"/>
              </w:rPr>
              <w:t xml:space="preserve">What this proves: </w:t>
            </w:r>
            <w:r>
              <w:rPr>
                <w:color w:val="243444"/>
                <w:sz w:val="16"/>
              </w:rPr>
              <w:t>The classifier returns category-level predictions for real bottle samples.</w:t>
            </w:r>
          </w:p>
          <w:p>
            <w:pPr>
              <w:spacing w:after="40" w:before="40" w:line="240" w:lineRule="auto"/>
            </w:pPr>
            <w:r>
              <w:rPr>
                <w:b/>
                <w:color w:val="2E8B70"/>
                <w:sz w:val="16"/>
              </w:rPr>
              <w:t xml:space="preserve">Observation: </w:t>
            </w:r>
            <w:r>
              <w:rPr>
                <w:color w:val="243444"/>
                <w:sz w:val="16"/>
              </w:rPr>
              <w:t>Most correct examples are clear, while breakage classes and subtle contamination can be visually confusable.</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4027350" cy="3337560"/>
                  <wp:docPr id="14" name="Picture 14" descr="Image: image14.png"/>
                  <wp:cNvGraphicFramePr>
                    <a:graphicFrameLocks noChangeAspect="1"/>
                  </wp:cNvGraphicFramePr>
                  <a:graphic>
                    <a:graphicData uri="http://schemas.openxmlformats.org/drawingml/2006/picture">
                      <pic:pic>
                        <pic:nvPicPr>
                          <pic:cNvPr id="0" name="classifier_cm_clean.png"/>
                          <pic:cNvPicPr/>
                        </pic:nvPicPr>
                        <pic:blipFill>
                          <a:blip r:embed="rId24"/>
                          <a:stretch>
                            <a:fillRect/>
                          </a:stretch>
                        </pic:blipFill>
                        <pic:spPr>
                          <a:xfrm>
                            <a:off x="0" y="0"/>
                            <a:ext cx="4027350" cy="3337560"/>
                          </a:xfrm>
                          <a:prstGeom prst="rect"/>
                        </pic:spPr>
                      </pic:pic>
                    </a:graphicData>
                  </a:graphic>
                </wp:inline>
              </w:drawing>
            </w:r>
          </w:p>
          <w:p>
            <w:pPr>
              <w:pStyle w:val="CaptionText"/>
              <w:spacing w:after="40" w:before="40" w:line="240" w:lineRule="auto"/>
              <w:jc w:val="center"/>
            </w:pPr>
            <w:r>
              <w:rPr>
                <w:b w:val="0"/>
                <w:i/>
                <w:color w:val="5F6973"/>
                <w:sz w:val="16"/>
              </w:rPr>
              <w:t>Figure 13. Confusion matrix for the verified 83-sample evaluation.</w:t>
            </w:r>
          </w:p>
          <w:p>
            <w:pPr>
              <w:spacing w:after="40" w:before="40" w:line="240" w:lineRule="auto"/>
            </w:pPr>
            <w:r>
              <w:rPr>
                <w:b/>
                <w:color w:val="1F5A89"/>
                <w:sz w:val="16"/>
              </w:rPr>
              <w:t xml:space="preserve">What this proves: </w:t>
            </w:r>
            <w:r>
              <w:rPr>
                <w:color w:val="243444"/>
                <w:sz w:val="16"/>
              </w:rPr>
              <w:t>The evaluation records class-by-class correct and incorrect predictions.</w:t>
            </w:r>
          </w:p>
          <w:p>
            <w:pPr>
              <w:spacing w:after="40" w:before="40" w:line="240" w:lineRule="auto"/>
            </w:pPr>
            <w:r>
              <w:rPr>
                <w:b/>
                <w:color w:val="2E8B70"/>
                <w:sz w:val="16"/>
              </w:rPr>
              <w:t xml:space="preserve">Observation: </w:t>
            </w:r>
            <w:r>
              <w:rPr>
                <w:color w:val="243444"/>
                <w:sz w:val="16"/>
              </w:rPr>
              <w:t>The matrix contains 77 correct predictions out of 83, giving 92.77% accuracy; the main confusion is between the two breakage classes.</w:t>
            </w:r>
          </w:p>
          <w:p>
            <w:pPr>
              <w:spacing w:after="40" w:before="40" w:line="240" w:lineRule="auto"/>
            </w:pPr>
            <w:r>
              <w:rPr>
                <w:b/>
                <w:color w:val="C84C4C"/>
                <w:sz w:val="16"/>
              </w:rPr>
              <w:t xml:space="preserve">Limitation: </w:t>
            </w:r>
            <w:r>
              <w:rPr>
                <w:color w:val="243444"/>
                <w:sz w:val="16"/>
              </w:rPr>
              <w:t>A separate 93.18% historical record is not used as the headline metric because its 88-sample split and artifact provenance are not present in the supplied evidence package.</w:t>
            </w:r>
          </w:p>
        </w:tc>
      </w:tr>
    </w:tbl>
    <w:p>
      <w:pPr>
        <w:spacing w:after="20"/>
      </w:pPr>
    </w:p>
    <w:p>
      <w:pPr>
        <w:pStyle w:val="Heading2"/>
        <w:keepNext/>
        <w:keepLines/>
        <w:pageBreakBefore w:val="0"/>
        <w:spacing w:before="80" w:after="40"/>
      </w:pPr>
      <w:r>
        <w:t>12.2 Metric provenance and mismatch resolution</w:t>
      </w:r>
    </w:p>
    <w:tbl>
      <w:tblPr>
        <w:tblW w:type="auto" w:w="0"/>
        <w:jc w:val="center"/>
        <w:tblLayout w:type="fixed"/>
        <w:tblLook w:firstColumn="1" w:firstRow="1" w:lastColumn="0" w:lastRow="0" w:noHBand="0" w:noVBand="1" w:val="04A0"/>
        <w:tblInd w:w="0" w:type="dxa"/>
      </w:tblPr>
      <w:tblGrid>
        <w:gridCol w:w="3816"/>
        <w:gridCol w:w="1440"/>
        <w:gridCol w:w="1296"/>
        <w:gridCol w:w="3312"/>
      </w:tblGrid>
      <w:tr>
        <w:trPr>
          <w:tblHeader w:val="true"/>
          <w:tblHeader w:val="true"/>
          <w:cantSplit/>
        </w:trPr>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Metric source</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Accuracy</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Error</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Report treatment</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Verified confusion-matrix evaluation (83 samples)</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92.77%</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7.23%</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Headline classifier result; directly supported by the displayed matrix</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Separate historical record (reported as 88 samples)</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93.18%</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6.82%</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Retained only as a historical record until split, predictions and artifact provenance are supplied</w:t>
            </w:r>
          </w:p>
        </w:tc>
      </w:tr>
    </w:tbl>
    <w:p>
      <w:pPr>
        <w:spacing w:after="20"/>
      </w:pPr>
    </w:p>
    <w:p>
      <w:pPr>
        <w:pStyle w:val="Heading1"/>
        <w:keepNext/>
        <w:keepLines/>
        <w:pageBreakBefore w:val="0"/>
        <w:spacing w:before="140" w:after="60"/>
      </w:pPr>
      <w:r>
        <w:t>13. Explainability, Severity and QA Decision</w:t>
      </w:r>
    </w:p>
    <w:p>
      <w:pPr>
        <w:pStyle w:val="Heading2"/>
        <w:keepNext/>
        <w:keepLines/>
        <w:pageBreakBefore w:val="0"/>
        <w:spacing w:before="80" w:after="40"/>
      </w:pPr>
      <w:r>
        <w:t>13.1 Explainability outputs</w:t>
      </w:r>
    </w:p>
    <w:tbl>
      <w:tblPr>
        <w:tblW w:type="auto" w:w="0"/>
        <w:jc w:val="center"/>
        <w:tblLayout w:type="fixed"/>
        <w:tblLook w:firstColumn="1" w:firstRow="1" w:lastColumn="0" w:lastRow="0" w:noHBand="0" w:noVBand="1" w:val="04A0"/>
        <w:tblInd w:w="0" w:type="dxa"/>
      </w:tblPr>
      <w:tblGrid>
        <w:gridCol w:w="2448"/>
        <w:gridCol w:w="2376"/>
        <w:gridCol w:w="511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Output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Generated by</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What it explains</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Anomaly score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Baseline or PaDiM</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How strongly the image differs from normal appearance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Anomaly map</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PaDiM / detector</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Pixel-wise abnormality response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Heatmap overlay</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Heatmap module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Where suspicious evidence lies on the original image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Predicted mask</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Localization threshold</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Which pixels are treated as defective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Defect-area ratio</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Mask / localization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Fraction of pixels in the resized image marked anomalous by the predicted mask</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Ground-truth comparison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Evaluation only</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How predicted localization overlaps annotated defect region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Classifier confidence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classifier</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Model probability estimate supporting the selected category; not a calibrated reliability guarantee</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3000540" cy="3246120"/>
                  <wp:docPr id="15" name="Picture 15" descr="Image: image15.png"/>
                  <wp:cNvGraphicFramePr>
                    <a:graphicFrameLocks noChangeAspect="1"/>
                  </wp:cNvGraphicFramePr>
                  <a:graphic>
                    <a:graphicData uri="http://schemas.openxmlformats.org/drawingml/2006/picture">
                      <pic:pic>
                        <pic:nvPicPr>
                          <pic:cNvPr id="0" name="gt_masks.png"/>
                          <pic:cNvPicPr/>
                        </pic:nvPicPr>
                        <pic:blipFill>
                          <a:blip r:embed="rId25"/>
                          <a:stretch>
                            <a:fillRect/>
                          </a:stretch>
                        </pic:blipFill>
                        <pic:spPr>
                          <a:xfrm>
                            <a:off x="0" y="0"/>
                            <a:ext cx="3000540" cy="3246120"/>
                          </a:xfrm>
                          <a:prstGeom prst="rect"/>
                        </pic:spPr>
                      </pic:pic>
                    </a:graphicData>
                  </a:graphic>
                </wp:inline>
              </w:drawing>
            </w:r>
          </w:p>
          <w:p>
            <w:pPr>
              <w:pStyle w:val="CaptionText"/>
              <w:spacing w:after="40" w:before="40" w:line="240" w:lineRule="auto"/>
              <w:jc w:val="center"/>
            </w:pPr>
            <w:r>
              <w:rPr>
                <w:b w:val="0"/>
                <w:i/>
                <w:color w:val="5F6973"/>
                <w:sz w:val="16"/>
              </w:rPr>
              <w:t>Figure 14. Ground-truth and predicted localization comparison for a representative contamination sample.</w:t>
            </w:r>
          </w:p>
          <w:p>
            <w:pPr>
              <w:spacing w:after="40" w:before="40" w:line="240" w:lineRule="auto"/>
            </w:pPr>
            <w:r>
              <w:rPr>
                <w:b/>
                <w:color w:val="1F5A89"/>
                <w:sz w:val="16"/>
              </w:rPr>
              <w:t xml:space="preserve">What this proves: </w:t>
            </w:r>
            <w:r>
              <w:rPr>
                <w:color w:val="243444"/>
                <w:sz w:val="16"/>
              </w:rPr>
              <w:t>Pixel-level evaluation compares the predicted mask with annotated defect regions rather than only image labels.</w:t>
            </w:r>
          </w:p>
          <w:p>
            <w:pPr>
              <w:spacing w:after="40" w:before="40" w:line="240" w:lineRule="auto"/>
            </w:pPr>
            <w:r>
              <w:rPr>
                <w:b/>
                <w:color w:val="2E8B70"/>
                <w:sz w:val="16"/>
              </w:rPr>
              <w:t xml:space="preserve">Observation: </w:t>
            </w:r>
            <w:r>
              <w:rPr>
                <w:color w:val="243444"/>
                <w:sz w:val="16"/>
              </w:rPr>
              <w:t>The example shows 7.25% ground-truth area, 9.70% predicted area, IoU 0.7328, Dice 0.8458 and 98.89% ground-truth coverage.</w:t>
            </w:r>
          </w:p>
        </w:tc>
      </w:tr>
    </w:tbl>
    <w:p>
      <w:pPr>
        <w:spacing w:after="20"/>
      </w:pPr>
    </w:p>
    <w:p>
      <w:pPr>
        <w:pStyle w:val="Heading2"/>
        <w:keepNext/>
        <w:keepLines/>
        <w:pageBreakBefore w:val="0"/>
        <w:spacing w:before="80" w:after="40"/>
      </w:pPr>
      <w:r>
        <w:t>13.2 Severity is a rule-based decision layer</w:t>
      </w:r>
    </w:p>
    <w:p>
      <w:pPr>
        <w:spacing w:after="46" w:line="259" w:lineRule="auto"/>
      </w:pPr>
      <w:r>
        <w:rPr>
          <w:b w:val="0"/>
        </w:rPr>
        <w:t>Severity scoring is a rule-based decision layer. It converts localization and classification evidence into four component scores: defect size 30%, defect location 25%, defect type 25% and confidence 20%. Size is mapped from affected-image ratio; location uses the critical centre-region heuristic; type uses a version-controlled risk table; and confidence is converted to a 0-100 score.</w:t>
      </w:r>
    </w:p>
    <w:tbl>
      <w:tblPr>
        <w:tblW w:type="auto" w:w="0"/>
        <w:jc w:val="center"/>
        <w:tblLayout w:type="fixed"/>
        <w:tblLook w:firstColumn="1" w:firstRow="1" w:lastColumn="0" w:lastRow="0" w:noHBand="0" w:noVBand="1" w:val="04A0"/>
        <w:tblInd w:w="0" w:type="dxa"/>
      </w:tblPr>
      <w:tblGrid>
        <w:gridCol w:w="3168"/>
        <w:gridCol w:w="1440"/>
        <w:gridCol w:w="5256"/>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Component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Weight</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Source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size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30%</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Area ratio bands: 0, 20, 45, 70 or 90</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location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25%</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Critical=True -&gt; 90; centre heuristic -&gt; 65; otherwise 35</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type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25%</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Example risk scores: contamination 55, broken_small 75, broken_large 95</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Confidence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20%</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Classifier/detection confidence converted to 0-100 and clipped</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before="0"/>
              <w:jc w:val="center"/>
            </w:pPr>
            <w:r>
              <w:drawing>
                <wp:inline xmlns:a="http://schemas.openxmlformats.org/drawingml/2006/main" xmlns:pic="http://schemas.openxmlformats.org/drawingml/2006/picture">
                  <wp:extent cx="6080760" cy="3317542"/>
                  <wp:docPr id="36" name="Picture 36" descr="Image: image27.png"/>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6080760" cy="3317542"/>
                          </a:xfrm>
                          <a:prstGeom prst="rect"/>
                        </pic:spPr>
                      </pic:pic>
                    </a:graphicData>
                  </a:graphic>
                </wp:inline>
              </w:drawing>
            </w:r>
          </w:p>
          <w:p>
            <w:pPr>
              <w:pStyle w:val="CaptionText"/>
              <w:spacing w:after="40" w:before="40" w:line="240" w:lineRule="auto"/>
              <w:jc w:val="center"/>
            </w:pPr>
            <w:r>
              <w:rPr>
                <w:b w:val="0"/>
                <w:i/>
                <w:color w:val="5F6973"/>
                <w:sz w:val="16"/>
              </w:rPr>
              <w:t>Figure 15. AI/ML decision gate with conditional classifier and disagreement handling.</w:t>
            </w:r>
          </w:p>
          <w:p>
            <w:pPr>
              <w:spacing w:after="40" w:before="40" w:line="240" w:lineRule="auto"/>
            </w:pPr>
            <w:r>
              <w:rPr>
                <w:b/>
                <w:color w:val="1F5A89"/>
                <w:sz w:val="16"/>
              </w:rPr>
              <w:t xml:space="preserve">What this proves: </w:t>
            </w:r>
            <w:r>
              <w:rPr>
                <w:color w:val="243444"/>
                <w:sz w:val="16"/>
              </w:rPr>
              <w:t>The detector controls whether defect classification is required before severity calculation.</w:t>
            </w:r>
          </w:p>
          <w:p>
            <w:pPr>
              <w:spacing w:after="40" w:before="40" w:line="240" w:lineRule="auto"/>
            </w:pPr>
            <w:r>
              <w:rPr>
                <w:b/>
                <w:color w:val="2E8B70"/>
                <w:sz w:val="16"/>
              </w:rPr>
              <w:t xml:space="preserve">Observation: </w:t>
            </w:r>
            <w:r>
              <w:rPr>
                <w:color w:val="243444"/>
                <w:sz w:val="16"/>
              </w:rPr>
              <w:t>Good cases bypass the classifier; a detected anomaly classified as good is relabelled unknown_defect before decision support.</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4933104" cy="2240280"/>
                  <wp:docPr id="17" name="Picture 17" descr="Image: image17.png"/>
                  <wp:cNvGraphicFramePr>
                    <a:graphicFrameLocks noChangeAspect="1"/>
                  </wp:cNvGraphicFramePr>
                  <a:graphic>
                    <a:graphicData uri="http://schemas.openxmlformats.org/drawingml/2006/picture">
                      <pic:pic>
                        <pic:nvPicPr>
                          <pic:cNvPr id="0" name="severity_mapping_clean.png"/>
                          <pic:cNvPicPr/>
                        </pic:nvPicPr>
                        <pic:blipFill>
                          <a:blip r:embed="rId27"/>
                          <a:stretch>
                            <a:fillRect/>
                          </a:stretch>
                        </pic:blipFill>
                        <pic:spPr>
                          <a:xfrm>
                            <a:off x="0" y="0"/>
                            <a:ext cx="4933104" cy="2240280"/>
                          </a:xfrm>
                          <a:prstGeom prst="rect"/>
                        </pic:spPr>
                      </pic:pic>
                    </a:graphicData>
                  </a:graphic>
                </wp:inline>
              </w:drawing>
            </w:r>
          </w:p>
          <w:p>
            <w:pPr>
              <w:pStyle w:val="CaptionText"/>
              <w:spacing w:after="40" w:before="40" w:line="240" w:lineRule="auto"/>
              <w:jc w:val="center"/>
            </w:pPr>
            <w:r>
              <w:rPr>
                <w:b w:val="0"/>
                <w:i/>
                <w:color w:val="5F6973"/>
                <w:sz w:val="16"/>
              </w:rPr>
              <w:t>Figure 16. Severity score ranges, QA actions and the verified 83.24 worked example.</w:t>
            </w:r>
          </w:p>
          <w:p>
            <w:pPr>
              <w:spacing w:after="40" w:before="40" w:line="240" w:lineRule="auto"/>
            </w:pPr>
            <w:r>
              <w:rPr>
                <w:b/>
                <w:color w:val="1F5A89"/>
                <w:sz w:val="16"/>
              </w:rPr>
              <w:t xml:space="preserve">What this proves: </w:t>
            </w:r>
            <w:r>
              <w:rPr>
                <w:color w:val="243444"/>
                <w:sz w:val="16"/>
              </w:rPr>
              <w:t>The final score is converted into an operational action using transparent thresholds.</w:t>
            </w:r>
          </w:p>
          <w:p>
            <w:pPr>
              <w:spacing w:after="40" w:before="40" w:line="240" w:lineRule="auto"/>
            </w:pPr>
            <w:r>
              <w:rPr>
                <w:b/>
                <w:color w:val="2E8B70"/>
                <w:sz w:val="16"/>
              </w:rPr>
              <w:t xml:space="preserve">Observation: </w:t>
            </w:r>
            <w:r>
              <w:rPr>
                <w:color w:val="243444"/>
                <w:sz w:val="16"/>
              </w:rPr>
              <w:t>The example calculation is 0.30(90) + 0.25(90) + 0.25(55) + 0.20(99.96) = 83.24, resulting in Critical / Fail.</w:t>
            </w:r>
          </w:p>
        </w:tc>
      </w:tr>
    </w:tbl>
    <w:p>
      <w:pPr>
        <w:spacing w:after="20"/>
      </w:pPr>
    </w:p>
    <w:p>
      <w:pPr>
        <w:pStyle w:val="Heading2"/>
        <w:keepNext/>
        <w:keepLines/>
        <w:pageBreakBefore w:val="0"/>
        <w:spacing w:before="80" w:after="40"/>
      </w:pPr>
      <w:r>
        <w:t>13.3 Real inference example</w:t>
      </w:r>
    </w:p>
    <w:tbl>
      <w:tblPr>
        <w:tblW w:type="dxa" w:w="10296"/>
        <w:tblLayout w:type="fixed"/>
        <w:tblLook w:firstColumn="1" w:firstRow="1" w:lastColumn="0" w:lastRow="0" w:noHBand="0" w:noVBand="1" w:val="04A0"/>
        <w:jc w:val="center"/>
        <w:tblInd w:w="0" w:type="dxa"/>
      </w:tblPr>
      <w:tblGrid>
        <w:gridCol w:w="3600"/>
        <w:gridCol w:w="6264"/>
      </w:tblGrid>
      <w:tr>
        <w:trPr>
          <w:tblHeader w:val="true"/>
          <w:tblHeader w:val="true"/>
          <w:cantSplit/>
        </w:trPr>
        <w:tc>
          <w:tcPr>
            <w:tcW w:type="dxa" w:w="3671"/>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20"/>
              </w:rPr>
              <w:t>Field</w:t>
            </w:r>
          </w:p>
        </w:tc>
        <w:tc>
          <w:tcPr>
            <w:tcW w:type="dxa" w:w="6623"/>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20"/>
              </w:rPr>
              <w:t>Reported value</w:t>
            </w:r>
          </w:p>
        </w:tc>
      </w:tr>
      <w:tr>
        <w:trPr>
          <w:cantSplit/>
          <w:cantSplit/>
        </w:trPr>
        <w:tc>
          <w:tcPr>
            <w:tcW w:type="dxa" w:w="3671"/>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Prediction</w:t>
            </w:r>
          </w:p>
        </w:tc>
        <w:tc>
          <w:tcPr>
            <w:tcW w:type="dxa" w:w="6623"/>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Defective</w:t>
            </w:r>
          </w:p>
        </w:tc>
      </w:tr>
      <w:tr>
        <w:trPr>
          <w:cantSplit/>
          <w:cantSplit/>
        </w:trPr>
        <w:tc>
          <w:tcPr>
            <w:tcW w:type="dxa" w:w="367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Defect type</w:t>
            </w:r>
          </w:p>
        </w:tc>
        <w:tc>
          <w:tcPr>
            <w:tcW w:type="dxa" w:w="6623"/>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contamination</w:t>
            </w:r>
          </w:p>
        </w:tc>
      </w:tr>
      <w:tr>
        <w:trPr>
          <w:cantSplit/>
          <w:cantSplit/>
        </w:trPr>
        <w:tc>
          <w:tcPr>
            <w:tcW w:type="dxa" w:w="3671"/>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Confidence</w:t>
            </w:r>
          </w:p>
        </w:tc>
        <w:tc>
          <w:tcPr>
            <w:tcW w:type="dxa" w:w="6623"/>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99.96%</w:t>
            </w:r>
          </w:p>
        </w:tc>
      </w:tr>
      <w:tr>
        <w:trPr>
          <w:cantSplit/>
          <w:cantSplit/>
        </w:trPr>
        <w:tc>
          <w:tcPr>
            <w:tcW w:type="dxa" w:w="367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Anomaly score</w:t>
            </w:r>
          </w:p>
        </w:tc>
        <w:tc>
          <w:tcPr>
            <w:tcW w:type="dxa" w:w="6623"/>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0.679</w:t>
            </w:r>
          </w:p>
        </w:tc>
      </w:tr>
      <w:tr>
        <w:trPr>
          <w:cantSplit/>
          <w:cantSplit/>
        </w:trPr>
        <w:tc>
          <w:tcPr>
            <w:tcW w:type="dxa" w:w="3671"/>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Defect-area ratio</w:t>
            </w:r>
          </w:p>
        </w:tc>
        <w:tc>
          <w:tcPr>
            <w:tcW w:type="dxa" w:w="6623"/>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9.7%</w:t>
            </w:r>
          </w:p>
        </w:tc>
      </w:tr>
      <w:tr>
        <w:trPr>
          <w:cantSplit/>
          <w:cantSplit/>
        </w:trPr>
        <w:tc>
          <w:tcPr>
            <w:tcW w:type="dxa" w:w="367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Severity score</w:t>
            </w:r>
          </w:p>
        </w:tc>
        <w:tc>
          <w:tcPr>
            <w:tcW w:type="dxa" w:w="6623"/>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83.24</w:t>
            </w:r>
          </w:p>
        </w:tc>
      </w:tr>
      <w:tr>
        <w:trPr>
          <w:cantSplit/>
          <w:cantSplit/>
        </w:trPr>
        <w:tc>
          <w:tcPr>
            <w:tcW w:type="dxa" w:w="3671"/>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Severity level</w:t>
            </w:r>
          </w:p>
        </w:tc>
        <w:tc>
          <w:tcPr>
            <w:tcW w:type="dxa" w:w="6623"/>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Critical</w:t>
            </w:r>
          </w:p>
        </w:tc>
      </w:tr>
      <w:tr>
        <w:trPr>
          <w:cantSplit/>
          <w:cantSplit/>
        </w:trPr>
        <w:tc>
          <w:tcPr>
            <w:tcW w:type="dxa" w:w="367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QA decision</w:t>
            </w:r>
          </w:p>
        </w:tc>
        <w:tc>
          <w:tcPr>
            <w:tcW w:type="dxa" w:w="6623"/>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9"/>
              </w:rPr>
              <w:t>Fail</w:t>
            </w:r>
          </w:p>
        </w:tc>
      </w:tr>
      <w:tr>
        <w:trPr>
          <w:cantSplit/>
        </w:trPr>
        <w:tc>
          <w:tcPr>
            <w:tcW w:type="dxa" w:w="3671"/>
            <w:vAlign w:val="center"/>
            <w:tcMar>
              <w:top w:w="45" w:type="dxa"/>
              <w:start w:w="65" w:type="dxa"/>
              <w:bottom w:w="45" w:type="dxa"/>
              <w:end w:w="65" w:type="dxa"/>
            </w:tcMar>
            <w:shd w:fill="F5F8FB"/>
          </w:tcPr>
          <w:p>
            <w:pPr>
              <w:keepNext/>
              <w:spacing w:after="0" w:before="0" w:line="240" w:lineRule="auto"/>
            </w:pPr>
            <w:r>
              <w:rPr>
                <w:b w:val="0"/>
                <w:sz w:val="19"/>
              </w:rPr>
              <w:t>Size component</w:t>
            </w:r>
          </w:p>
        </w:tc>
        <w:tc>
          <w:tcPr>
            <w:tcW w:type="dxa" w:w="6623"/>
            <w:vAlign w:val="center"/>
            <w:tcMar>
              <w:top w:w="45" w:type="dxa"/>
              <w:start w:w="65" w:type="dxa"/>
              <w:bottom w:w="45" w:type="dxa"/>
              <w:end w:w="65" w:type="dxa"/>
            </w:tcMar>
            <w:shd w:fill="F5F8FB"/>
          </w:tcPr>
          <w:p>
            <w:pPr>
              <w:keepNext/>
              <w:spacing w:after="0" w:before="0" w:line="240" w:lineRule="auto"/>
            </w:pPr>
            <w:r>
              <w:rPr>
                <w:b w:val="0"/>
                <w:sz w:val="19"/>
              </w:rPr>
              <w:t>90 x 30% = 27.00</w:t>
            </w:r>
          </w:p>
        </w:tc>
      </w:tr>
      <w:tr>
        <w:trPr>
          <w:cantSplit/>
        </w:trPr>
        <w:tc>
          <w:tcPr>
            <w:tcW w:type="dxa" w:w="3671"/>
            <w:vAlign w:val="center"/>
            <w:tcMar>
              <w:top w:w="45" w:type="dxa"/>
              <w:start w:w="65" w:type="dxa"/>
              <w:bottom w:w="45" w:type="dxa"/>
              <w:end w:w="65" w:type="dxa"/>
            </w:tcMar>
          </w:tcPr>
          <w:p>
            <w:pPr>
              <w:keepNext/>
              <w:spacing w:after="0" w:before="0" w:line="240" w:lineRule="auto"/>
            </w:pPr>
            <w:r>
              <w:rPr>
                <w:b w:val="0"/>
                <w:sz w:val="19"/>
              </w:rPr>
              <w:t>Location component</w:t>
            </w:r>
          </w:p>
        </w:tc>
        <w:tc>
          <w:tcPr>
            <w:tcW w:type="dxa" w:w="6623"/>
            <w:vAlign w:val="center"/>
            <w:tcMar>
              <w:top w:w="45" w:type="dxa"/>
              <w:start w:w="65" w:type="dxa"/>
              <w:bottom w:w="45" w:type="dxa"/>
              <w:end w:w="65" w:type="dxa"/>
            </w:tcMar>
          </w:tcPr>
          <w:p>
            <w:pPr>
              <w:keepNext/>
              <w:spacing w:after="0" w:before="0" w:line="240" w:lineRule="auto"/>
            </w:pPr>
            <w:r>
              <w:rPr>
                <w:b w:val="0"/>
                <w:sz w:val="19"/>
              </w:rPr>
              <w:t>90 x 25% = 22.50</w:t>
            </w:r>
          </w:p>
        </w:tc>
      </w:tr>
      <w:tr>
        <w:trPr>
          <w:cantSplit/>
        </w:trPr>
        <w:tc>
          <w:tcPr>
            <w:tcW w:type="dxa" w:w="3671"/>
            <w:vAlign w:val="center"/>
            <w:tcMar>
              <w:top w:w="45" w:type="dxa"/>
              <w:start w:w="65" w:type="dxa"/>
              <w:bottom w:w="45" w:type="dxa"/>
              <w:end w:w="65" w:type="dxa"/>
            </w:tcMar>
            <w:shd w:fill="F5F8FB"/>
          </w:tcPr>
          <w:p>
            <w:pPr>
              <w:keepNext/>
              <w:spacing w:after="0" w:before="0" w:line="240" w:lineRule="auto"/>
            </w:pPr>
            <w:r>
              <w:rPr>
                <w:b w:val="0"/>
                <w:sz w:val="19"/>
              </w:rPr>
              <w:t>Defect-type component</w:t>
            </w:r>
          </w:p>
        </w:tc>
        <w:tc>
          <w:tcPr>
            <w:tcW w:type="dxa" w:w="6623"/>
            <w:vAlign w:val="center"/>
            <w:tcMar>
              <w:top w:w="45" w:type="dxa"/>
              <w:start w:w="65" w:type="dxa"/>
              <w:bottom w:w="45" w:type="dxa"/>
              <w:end w:w="65" w:type="dxa"/>
            </w:tcMar>
            <w:shd w:fill="F5F8FB"/>
          </w:tcPr>
          <w:p>
            <w:pPr>
              <w:keepNext/>
              <w:spacing w:after="0" w:before="0" w:line="240" w:lineRule="auto"/>
            </w:pPr>
            <w:r>
              <w:rPr>
                <w:b w:val="0"/>
                <w:sz w:val="19"/>
              </w:rPr>
              <w:t>55 x 25% = 13.75</w:t>
            </w:r>
          </w:p>
        </w:tc>
      </w:tr>
      <w:tr>
        <w:trPr>
          <w:cantSplit/>
        </w:trPr>
        <w:tc>
          <w:tcPr>
            <w:tcW w:type="dxa" w:w="3671"/>
            <w:vAlign w:val="center"/>
            <w:tcMar>
              <w:top w:w="45" w:type="dxa"/>
              <w:start w:w="65" w:type="dxa"/>
              <w:bottom w:w="45" w:type="dxa"/>
              <w:end w:w="65" w:type="dxa"/>
            </w:tcMar>
          </w:tcPr>
          <w:p>
            <w:pPr>
              <w:keepNext/>
              <w:spacing w:after="0" w:before="0" w:line="240" w:lineRule="auto"/>
            </w:pPr>
            <w:r>
              <w:rPr>
                <w:b/>
                <w:sz w:val="19"/>
              </w:rPr>
              <w:t>Confidence component</w:t>
            </w:r>
          </w:p>
        </w:tc>
        <w:tc>
          <w:tcPr>
            <w:tcW w:type="dxa" w:w="6623"/>
            <w:vAlign w:val="center"/>
            <w:tcMar>
              <w:top w:w="45" w:type="dxa"/>
              <w:start w:w="65" w:type="dxa"/>
              <w:bottom w:w="45" w:type="dxa"/>
              <w:end w:w="65" w:type="dxa"/>
            </w:tcMar>
          </w:tcPr>
          <w:p>
            <w:pPr>
              <w:keepNext/>
              <w:spacing w:after="0" w:before="0" w:line="240" w:lineRule="auto"/>
            </w:pPr>
            <w:r>
              <w:rPr>
                <w:b/>
                <w:sz w:val="19"/>
              </w:rPr>
              <w:t>99.96 x 20% = 19.99</w:t>
            </w:r>
          </w:p>
        </w:tc>
      </w:tr>
      <w:tr>
        <w:trPr>
          <w:cantSplit/>
        </w:trPr>
        <w:tc>
          <w:tcPr>
            <w:tcW w:type="dxa" w:w="3671"/>
            <w:vAlign w:val="center"/>
            <w:tcMar>
              <w:top w:w="45" w:type="dxa"/>
              <w:start w:w="65" w:type="dxa"/>
              <w:bottom w:w="45" w:type="dxa"/>
              <w:end w:w="65" w:type="dxa"/>
            </w:tcMar>
            <w:shd w:fill="EAF2F8"/>
          </w:tcPr>
          <w:p>
            <w:pPr>
              <w:spacing w:before="0" w:after="0" w:line="240" w:lineRule="auto"/>
            </w:pPr>
            <w:r>
              <w:rPr>
                <w:b/>
                <w:sz w:val="19"/>
              </w:rPr>
              <w:t>Total</w:t>
            </w:r>
          </w:p>
        </w:tc>
        <w:tc>
          <w:tcPr>
            <w:tcW w:type="dxa" w:w="6623"/>
            <w:vAlign w:val="center"/>
            <w:tcMar>
              <w:top w:w="45" w:type="dxa"/>
              <w:start w:w="65" w:type="dxa"/>
              <w:bottom w:w="45" w:type="dxa"/>
              <w:end w:w="65" w:type="dxa"/>
            </w:tcMar>
            <w:shd w:fill="EAF2F8"/>
          </w:tcPr>
          <w:p>
            <w:pPr>
              <w:spacing w:before="0" w:after="0" w:line="240" w:lineRule="auto"/>
            </w:pPr>
            <w:r>
              <w:rPr>
                <w:b/>
                <w:sz w:val="19"/>
              </w:rPr>
              <w:t>83.24</w:t>
            </w:r>
          </w:p>
        </w:tc>
      </w:tr>
    </w:tbl>
    <w:p>
      <w:pPr>
        <w:spacing w:after="20"/>
      </w:pPr>
    </w:p>
    <w:p>
      <w:pPr>
        <w:pStyle w:val="Heading1"/>
        <w:keepNext/>
        <w:keepLines/>
        <w:pageBreakBefore w:val="0"/>
        <w:spacing w:before="140" w:after="60"/>
      </w:pPr>
      <w:r>
        <w:t>14. Input/Output Contract and Invalid-Input Handling</w:t>
      </w:r>
    </w:p>
    <w:p>
      <w:pPr>
        <w:pStyle w:val="Heading2"/>
        <w:keepNext/>
        <w:keepLines/>
        <w:pageBreakBefore w:val="0"/>
        <w:spacing w:before="80" w:after="40"/>
      </w:pPr>
      <w:r>
        <w:t>14.1 Input contract</w:t>
      </w:r>
    </w:p>
    <w:tbl>
      <w:tblPr>
        <w:tblW w:type="auto" w:w="0"/>
        <w:jc w:val="center"/>
        <w:tblLayout w:type="fixed"/>
        <w:tblLook w:firstColumn="1" w:firstRow="1" w:lastColumn="0" w:lastRow="0" w:noHBand="0" w:noVBand="1" w:val="04A0"/>
        <w:tblInd w:w="0" w:type="dxa"/>
      </w:tblPr>
      <w:tblGrid>
        <w:gridCol w:w="3024"/>
        <w:gridCol w:w="6840"/>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Contract item</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Expected behaviour</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Input</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One uploaded product image or valid image path/stream payload supplied to the AI/ML boundary</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Readability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must be decodable by the active image-reading library</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Channels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Colour inputs are expected; supported grayscale/RGBA inputs may be converted only when validated</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Spatial size</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Runtime processing standardizes input to 256 × 256</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Data type</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Image array is validated before conversion to model-specific numeric representation</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Traceability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Source filename, active engine, model version, threshold and fallback status should be carried into the result</w:t>
            </w:r>
          </w:p>
        </w:tc>
      </w:tr>
    </w:tbl>
    <w:p>
      <w:pPr>
        <w:spacing w:after="20"/>
      </w:pPr>
    </w:p>
    <w:p>
      <w:pPr>
        <w:pStyle w:val="Heading2"/>
        <w:keepNext/>
        <w:keepLines/>
        <w:pageBreakBefore w:val="0"/>
        <w:spacing w:before="80" w:after="40"/>
      </w:pPr>
      <w:r>
        <w:t>14.2 Invalid-input behaviour</w:t>
      </w:r>
    </w:p>
    <w:tbl>
      <w:tblPr>
        <w:tblW w:type="auto" w:w="0"/>
        <w:jc w:val="center"/>
        <w:tblLayout w:type="fixed"/>
        <w:tblLook w:firstColumn="1" w:firstRow="1" w:lastColumn="0" w:lastRow="0" w:noHBand="0" w:noVBand="1" w:val="04A0"/>
        <w:tblInd w:w="0" w:type="dxa"/>
      </w:tblPr>
      <w:tblGrid>
        <w:gridCol w:w="3384"/>
        <w:gridCol w:w="6480"/>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Invalid case</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Required handling</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Text/document/non-image file</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Reject before model inference; platform validation returns a 400-level error</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Corrupted or unreadable image</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Stop processing and return an invalid-image failure response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Empty payload or missing path</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Stop processing and return a missing/empty-input error</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Unsupported channel format</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Convert only when safe; otherwise reject</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Unexpected dimensions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Resize only after successful decoding and validation</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Model artifact unavailable</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Return controlled inference-unavailable error or use the explicitly configured baseline fallback with a recorded reason</w:t>
            </w:r>
          </w:p>
        </w:tc>
      </w:tr>
    </w:tbl>
    <w:p>
      <w:pPr>
        <w:spacing w:after="20"/>
      </w:pPr>
    </w:p>
    <w:p>
      <w:pPr>
        <w:pStyle w:val="Heading2"/>
        <w:keepNext/>
        <w:keepLines/>
        <w:pageBreakBefore w:val="0"/>
        <w:spacing w:before="80" w:after="40"/>
      </w:pPr>
      <w:r>
        <w:t>14.3 Output contract</w:t>
      </w:r>
    </w:p>
    <w:tbl>
      <w:tblPr>
        <w:tblW w:type="dxa" w:w="10296"/>
        <w:tblLayout w:type="fixed"/>
        <w:tblLook w:firstColumn="1" w:firstRow="1" w:lastColumn="0" w:lastRow="0" w:noHBand="0" w:noVBand="1" w:val="04A0"/>
        <w:jc w:val="center"/>
        <w:tblInd w:w="0" w:type="dxa"/>
      </w:tblPr>
      <w:tblGrid>
        <w:gridCol w:w="2232"/>
        <w:gridCol w:w="2232"/>
        <w:gridCol w:w="5400"/>
        <w:gridCol w:w="1152"/>
      </w:tblGrid>
      <w:tr>
        <w:trPr>
          <w:tblHeader w:val="true"/>
          <w:tblHeader w:val="true"/>
          <w:cantSplit/>
        </w:trPr>
        <w:tc>
          <w:tcPr>
            <w:tcW w:type="dxa" w:w="1900"/>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before="0" w:after="0" w:line="240" w:lineRule="auto"/>
              <w:jc w:val="left"/>
            </w:pPr>
            <w:r>
              <w:rPr>
                <w:b/>
                <w:color w:val="FFFFFF"/>
                <w:sz w:val="17"/>
              </w:rPr>
              <w:t>Field</w:t>
            </w:r>
          </w:p>
        </w:tc>
        <w:tc>
          <w:tcPr>
            <w:tcW w:type="dxa" w:w="2088"/>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jc w:val="left"/>
            </w:pPr>
            <w:r>
              <w:rPr>
                <w:b/>
                <w:color w:val="FFFFFF"/>
                <w:sz w:val="17"/>
              </w:rPr>
              <w:t>Source</w:t>
            </w:r>
          </w:p>
        </w:tc>
        <w:tc>
          <w:tcPr>
            <w:tcW w:type="dxa" w:w="5155"/>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jc w:val="left"/>
            </w:pPr>
            <w:r>
              <w:rPr>
                <w:b/>
                <w:color w:val="FFFFFF"/>
                <w:sz w:val="17"/>
              </w:rPr>
              <w:t>Meaning / consumer</w:t>
            </w:r>
          </w:p>
        </w:tc>
        <w:tc>
          <w:tcPr>
            <w:tcW w:type="dxa" w:w="1152"/>
            <w:vAlign w:val="center"/>
            <w:tcMar>
              <w:top w:w="45" w:type="dxa"/>
              <w:start w:w="65" w:type="dxa"/>
              <w:bottom w:w="45" w:type="dxa"/>
              <w:end w:w="65" w:type="dxa"/>
            </w:tcMar>
            <w:shd w:fill="245A83"/>
          </w:tcPr>
          <w:p>
            <w:pPr>
              <w:keepNext/>
              <w:spacing w:before="0" w:after="0" w:line="240" w:lineRule="auto"/>
              <w:jc w:val="center"/>
            </w:pPr>
            <w:r>
              <w:rPr>
                <w:b/>
                <w:color w:val="FFFFFF"/>
                <w:sz w:val="17"/>
              </w:rPr>
              <w:t>Required</w:t>
            </w:r>
          </w:p>
        </w:tc>
      </w:tr>
      <w:tr>
        <w:trPr>
          <w:cantSplit/>
          <w:cantSplit/>
        </w:trPr>
        <w:tc>
          <w:tcPr>
            <w:tcW w:type="dxa" w:w="190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prediction</w:t>
            </w:r>
          </w:p>
        </w:tc>
        <w:tc>
          <w:tcPr>
            <w:tcW w:type="dxa" w:w="2088"/>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Anomaly detector</w:t>
            </w:r>
          </w:p>
        </w:tc>
        <w:tc>
          <w:tcPr>
            <w:tcW w:type="dxa" w:w="5155"/>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Good/Defective decision for backend and result card</w:t>
            </w:r>
          </w:p>
        </w:tc>
        <w:tc>
          <w:tcPr>
            <w:tcW w:type="dxa" w:w="1152"/>
            <w:vAlign w:val="center"/>
            <w:tcMar>
              <w:top w:w="45" w:type="dxa"/>
              <w:start w:w="65" w:type="dxa"/>
              <w:bottom w:w="45" w:type="dxa"/>
              <w:end w:w="65" w:type="dxa"/>
            </w:tcMar>
            <w:shd w:fill="F5F8FB"/>
          </w:tcPr>
          <w:p>
            <w:pPr>
              <w:keepNext/>
              <w:spacing w:before="0" w:after="0" w:line="240" w:lineRule="auto"/>
              <w:jc w:val="center"/>
            </w:pPr>
            <w:r>
              <w:rPr>
                <w:sz w:val="16"/>
              </w:rPr>
              <w:t>Yes</w:t>
            </w:r>
          </w:p>
        </w:tc>
      </w:tr>
      <w:tr>
        <w:trPr>
          <w:cantSplit/>
          <w:cantSplit/>
        </w:trPr>
        <w:tc>
          <w:tcPr>
            <w:tcW w:type="dxa" w:w="190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anomaly_score</w:t>
            </w:r>
          </w:p>
        </w:tc>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Baseline or PaDiM</w:t>
            </w:r>
          </w:p>
        </w:tc>
        <w:tc>
          <w:tcPr>
            <w:tcW w:type="dxa" w:w="5155"/>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Method-specific abnormality value</w:t>
            </w:r>
          </w:p>
        </w:tc>
        <w:tc>
          <w:tcPr>
            <w:tcW w:type="dxa" w:w="1152"/>
            <w:vAlign w:val="center"/>
            <w:tcMar>
              <w:top w:w="45" w:type="dxa"/>
              <w:start w:w="65" w:type="dxa"/>
              <w:bottom w:w="45" w:type="dxa"/>
              <w:end w:w="65" w:type="dxa"/>
            </w:tcMar>
          </w:tcPr>
          <w:p>
            <w:pPr>
              <w:keepNext/>
              <w:spacing w:before="0" w:after="0" w:line="240" w:lineRule="auto"/>
              <w:jc w:val="center"/>
            </w:pPr>
            <w:r>
              <w:rPr>
                <w:sz w:val="16"/>
              </w:rPr>
              <w:t>Yes</w:t>
            </w:r>
          </w:p>
        </w:tc>
      </w:tr>
      <w:tr>
        <w:trPr>
          <w:cantSplit/>
          <w:cantSplit/>
        </w:trPr>
        <w:tc>
          <w:tcPr>
            <w:tcW w:type="dxa" w:w="190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heatmap_path</w:t>
            </w:r>
          </w:p>
        </w:tc>
        <w:tc>
          <w:tcPr>
            <w:tcW w:type="dxa" w:w="2088"/>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Heatmap/localization</w:t>
            </w:r>
          </w:p>
        </w:tc>
        <w:tc>
          <w:tcPr>
            <w:tcW w:type="dxa" w:w="5155"/>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Visual evidence for frontend display</w:t>
            </w:r>
          </w:p>
        </w:tc>
        <w:tc>
          <w:tcPr>
            <w:tcW w:type="dxa" w:w="1152"/>
            <w:vAlign w:val="center"/>
            <w:tcMar>
              <w:top w:w="45" w:type="dxa"/>
              <w:start w:w="65" w:type="dxa"/>
              <w:bottom w:w="45" w:type="dxa"/>
              <w:end w:w="65" w:type="dxa"/>
            </w:tcMar>
            <w:shd w:fill="F5F8FB"/>
          </w:tcPr>
          <w:p>
            <w:pPr>
              <w:keepNext/>
              <w:spacing w:before="0" w:after="0" w:line="240" w:lineRule="auto"/>
              <w:jc w:val="center"/>
            </w:pPr>
            <w:r>
              <w:rPr>
                <w:sz w:val="16"/>
              </w:rPr>
              <w:t>Conditional</w:t>
            </w:r>
          </w:p>
        </w:tc>
      </w:tr>
      <w:tr>
        <w:trPr>
          <w:cantSplit/>
          <w:cantSplit/>
        </w:trPr>
        <w:tc>
          <w:tcPr>
            <w:tcW w:type="dxa" w:w="190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defect_area_ratio</w:t>
            </w:r>
          </w:p>
        </w:tc>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Predicted mask</w:t>
            </w:r>
          </w:p>
        </w:tc>
        <w:tc>
          <w:tcPr>
            <w:tcW w:type="dxa" w:w="5155"/>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Predicted anomalous pixels divided by total resized-image pixels</w:t>
            </w:r>
          </w:p>
        </w:tc>
        <w:tc>
          <w:tcPr>
            <w:tcW w:type="dxa" w:w="1152"/>
            <w:vAlign w:val="center"/>
            <w:tcMar>
              <w:top w:w="45" w:type="dxa"/>
              <w:start w:w="65" w:type="dxa"/>
              <w:bottom w:w="45" w:type="dxa"/>
              <w:end w:w="65" w:type="dxa"/>
            </w:tcMar>
          </w:tcPr>
          <w:p>
            <w:pPr>
              <w:keepNext/>
              <w:spacing w:before="0" w:after="0" w:line="240" w:lineRule="auto"/>
              <w:jc w:val="center"/>
            </w:pPr>
            <w:r>
              <w:rPr>
                <w:sz w:val="16"/>
              </w:rPr>
              <w:t>Yes</w:t>
            </w:r>
          </w:p>
        </w:tc>
      </w:tr>
      <w:tr>
        <w:trPr>
          <w:cantSplit/>
          <w:cantSplit/>
        </w:trPr>
        <w:tc>
          <w:tcPr>
            <w:tcW w:type="dxa" w:w="190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defect_type</w:t>
            </w:r>
          </w:p>
        </w:tc>
        <w:tc>
          <w:tcPr>
            <w:tcW w:type="dxa" w:w="2088"/>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Classifier</w:t>
            </w:r>
          </w:p>
        </w:tc>
        <w:tc>
          <w:tcPr>
            <w:tcW w:type="dxa" w:w="5155"/>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Selected category for reporting and analytics</w:t>
            </w:r>
          </w:p>
        </w:tc>
        <w:tc>
          <w:tcPr>
            <w:tcW w:type="dxa" w:w="1152"/>
            <w:vAlign w:val="center"/>
            <w:tcMar>
              <w:top w:w="45" w:type="dxa"/>
              <w:start w:w="65" w:type="dxa"/>
              <w:bottom w:w="45" w:type="dxa"/>
              <w:end w:w="65" w:type="dxa"/>
            </w:tcMar>
            <w:shd w:fill="F5F8FB"/>
          </w:tcPr>
          <w:p>
            <w:pPr>
              <w:keepNext/>
              <w:spacing w:before="0" w:after="0" w:line="240" w:lineRule="auto"/>
              <w:jc w:val="center"/>
            </w:pPr>
            <w:r>
              <w:rPr>
                <w:sz w:val="16"/>
              </w:rPr>
              <w:t>Conditional</w:t>
            </w:r>
          </w:p>
        </w:tc>
      </w:tr>
      <w:tr>
        <w:trPr>
          <w:cantSplit/>
          <w:cantSplit/>
        </w:trPr>
        <w:tc>
          <w:tcPr>
            <w:tcW w:type="dxa" w:w="190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confidence</w:t>
            </w:r>
          </w:p>
        </w:tc>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Classifier probability</w:t>
            </w:r>
          </w:p>
        </w:tc>
        <w:tc>
          <w:tcPr>
            <w:tcW w:type="dxa" w:w="5155"/>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Model confidence estimate used by UI and severity rules</w:t>
            </w:r>
          </w:p>
        </w:tc>
        <w:tc>
          <w:tcPr>
            <w:tcW w:type="dxa" w:w="1152"/>
            <w:vAlign w:val="center"/>
            <w:tcMar>
              <w:top w:w="45" w:type="dxa"/>
              <w:start w:w="65" w:type="dxa"/>
              <w:bottom w:w="45" w:type="dxa"/>
              <w:end w:w="65" w:type="dxa"/>
            </w:tcMar>
          </w:tcPr>
          <w:p>
            <w:pPr>
              <w:keepNext/>
              <w:spacing w:before="0" w:after="0" w:line="240" w:lineRule="auto"/>
              <w:jc w:val="center"/>
            </w:pPr>
            <w:r>
              <w:rPr>
                <w:sz w:val="16"/>
              </w:rPr>
              <w:t>Conditional</w:t>
            </w:r>
          </w:p>
        </w:tc>
      </w:tr>
      <w:tr>
        <w:trPr>
          <w:cantSplit/>
          <w:cantSplit/>
        </w:trPr>
        <w:tc>
          <w:tcPr>
            <w:tcW w:type="dxa" w:w="190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severity_score</w:t>
            </w:r>
          </w:p>
        </w:tc>
        <w:tc>
          <w:tcPr>
            <w:tcW w:type="dxa" w:w="2088"/>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Rule engine</w:t>
            </w:r>
          </w:p>
        </w:tc>
        <w:tc>
          <w:tcPr>
            <w:tcW w:type="dxa" w:w="5155"/>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0–100 QA risk score</w:t>
            </w:r>
          </w:p>
        </w:tc>
        <w:tc>
          <w:tcPr>
            <w:tcW w:type="dxa" w:w="1152"/>
            <w:vAlign w:val="center"/>
            <w:tcMar>
              <w:top w:w="45" w:type="dxa"/>
              <w:start w:w="65" w:type="dxa"/>
              <w:bottom w:w="45" w:type="dxa"/>
              <w:end w:w="65" w:type="dxa"/>
            </w:tcMar>
            <w:shd w:fill="F5F8FB"/>
          </w:tcPr>
          <w:p>
            <w:pPr>
              <w:keepNext/>
              <w:spacing w:before="0" w:after="0" w:line="240" w:lineRule="auto"/>
              <w:jc w:val="center"/>
            </w:pPr>
            <w:r>
              <w:rPr>
                <w:sz w:val="16"/>
              </w:rPr>
              <w:t>Yes</w:t>
            </w:r>
          </w:p>
        </w:tc>
      </w:tr>
      <w:tr>
        <w:trPr>
          <w:cantSplit/>
          <w:cantSplit/>
        </w:trPr>
        <w:tc>
          <w:tcPr>
            <w:tcW w:type="dxa" w:w="190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severity_level</w:t>
            </w:r>
          </w:p>
        </w:tc>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Rule mapping</w:t>
            </w:r>
          </w:p>
        </w:tc>
        <w:tc>
          <w:tcPr>
            <w:tcW w:type="dxa" w:w="5155"/>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Low, Medium, High or Critical</w:t>
            </w:r>
          </w:p>
        </w:tc>
        <w:tc>
          <w:tcPr>
            <w:tcW w:type="dxa" w:w="1152"/>
            <w:vAlign w:val="center"/>
            <w:tcMar>
              <w:top w:w="45" w:type="dxa"/>
              <w:start w:w="65" w:type="dxa"/>
              <w:bottom w:w="45" w:type="dxa"/>
              <w:end w:w="65" w:type="dxa"/>
            </w:tcMar>
          </w:tcPr>
          <w:p>
            <w:pPr>
              <w:keepNext/>
              <w:spacing w:before="0" w:after="0" w:line="240" w:lineRule="auto"/>
              <w:jc w:val="center"/>
            </w:pPr>
            <w:r>
              <w:rPr>
                <w:sz w:val="16"/>
              </w:rPr>
              <w:t>Yes</w:t>
            </w:r>
          </w:p>
        </w:tc>
      </w:tr>
      <w:tr>
        <w:trPr>
          <w:cantSplit/>
          <w:cantSplit/>
        </w:trPr>
        <w:tc>
          <w:tcPr>
            <w:tcW w:type="dxa" w:w="1900"/>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pass_fail</w:t>
            </w:r>
          </w:p>
        </w:tc>
        <w:tc>
          <w:tcPr>
            <w:tcW w:type="dxa" w:w="2088"/>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QA policy</w:t>
            </w:r>
          </w:p>
        </w:tc>
        <w:tc>
          <w:tcPr>
            <w:tcW w:type="dxa" w:w="5155"/>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Pass, Review or Fail action</w:t>
            </w:r>
          </w:p>
        </w:tc>
        <w:tc>
          <w:tcPr>
            <w:tcW w:type="dxa" w:w="1152"/>
            <w:vAlign w:val="center"/>
            <w:tcMar>
              <w:top w:w="45" w:type="dxa"/>
              <w:start w:w="65" w:type="dxa"/>
              <w:bottom w:w="45" w:type="dxa"/>
              <w:end w:w="65" w:type="dxa"/>
            </w:tcMar>
            <w:shd w:fill="F5F8FB"/>
          </w:tcPr>
          <w:p>
            <w:pPr>
              <w:keepNext/>
              <w:spacing w:before="0" w:after="0" w:line="240" w:lineRule="auto"/>
              <w:jc w:val="center"/>
            </w:pPr>
            <w:r>
              <w:rPr>
                <w:sz w:val="16"/>
              </w:rPr>
              <w:t>Yes</w:t>
            </w:r>
          </w:p>
        </w:tc>
      </w:tr>
      <w:tr>
        <w:trPr>
          <w:cantSplit/>
          <w:cantSplit/>
        </w:trPr>
        <w:tc>
          <w:tcPr>
            <w:tcW w:type="dxa" w:w="1900"/>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before="0" w:after="0" w:line="240" w:lineRule="auto"/>
            </w:pPr>
            <w:r>
              <w:rPr>
                <w:sz w:val="16"/>
              </w:rPr>
              <w:t>model_used</w:t>
            </w:r>
          </w:p>
        </w:tc>
        <w:tc>
          <w:tcPr>
            <w:tcW w:type="dxa" w:w="2088"/>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Runtime metadata</w:t>
            </w:r>
          </w:p>
        </w:tc>
        <w:tc>
          <w:tcPr>
            <w:tcW w:type="dxa" w:w="5155"/>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Model/version and active anomaly-engine traceability</w:t>
            </w:r>
          </w:p>
        </w:tc>
        <w:tc>
          <w:tcPr>
            <w:tcW w:type="dxa" w:w="1152"/>
            <w:vAlign w:val="center"/>
            <w:tcMar>
              <w:top w:w="45" w:type="dxa"/>
              <w:start w:w="65" w:type="dxa"/>
              <w:bottom w:w="45" w:type="dxa"/>
              <w:end w:w="65" w:type="dxa"/>
            </w:tcMar>
          </w:tcPr>
          <w:p>
            <w:pPr>
              <w:keepNext/>
              <w:spacing w:before="0" w:after="0" w:line="240" w:lineRule="auto"/>
              <w:jc w:val="center"/>
            </w:pPr>
            <w:r>
              <w:rPr>
                <w:sz w:val="16"/>
              </w:rPr>
              <w:t>Yes</w:t>
            </w:r>
          </w:p>
        </w:tc>
      </w:tr>
      <w:tr>
        <w:trPr>
          <w:cantSplit/>
        </w:trPr>
        <w:tc>
          <w:tcPr>
            <w:tcW w:type="dxa" w:w="1900"/>
            <w:vAlign w:val="center"/>
            <w:tcMar>
              <w:top w:w="45" w:type="dxa"/>
              <w:start w:w="65" w:type="dxa"/>
              <w:bottom w:w="45" w:type="dxa"/>
              <w:end w:w="65" w:type="dxa"/>
            </w:tcMar>
            <w:shd w:fill="F5F8FB"/>
          </w:tcPr>
          <w:p>
            <w:pPr>
              <w:keepNext/>
              <w:spacing w:before="0" w:after="0" w:line="240" w:lineRule="auto"/>
            </w:pPr>
            <w:r>
              <w:rPr>
                <w:sz w:val="16"/>
              </w:rPr>
              <w:t>active_inference_engine</w:t>
            </w:r>
          </w:p>
        </w:tc>
        <w:tc>
          <w:tcPr>
            <w:tcW w:type="dxa" w:w="2088"/>
            <w:vAlign w:val="center"/>
            <w:tcMar>
              <w:top w:w="45" w:type="dxa"/>
              <w:start w:w="65" w:type="dxa"/>
              <w:bottom w:w="45" w:type="dxa"/>
              <w:end w:w="65" w:type="dxa"/>
            </w:tcMar>
            <w:shd w:fill="F5F8FB"/>
          </w:tcPr>
          <w:p>
            <w:pPr>
              <w:keepNext/>
              <w:spacing w:after="0" w:before="0" w:line="240" w:lineRule="auto"/>
            </w:pPr>
            <w:r>
              <w:rPr>
                <w:b w:val="0"/>
                <w:sz w:val="16"/>
              </w:rPr>
              <w:t>Runtime metadata</w:t>
            </w:r>
          </w:p>
        </w:tc>
        <w:tc>
          <w:tcPr>
            <w:tcW w:type="dxa" w:w="5155"/>
            <w:vAlign w:val="center"/>
            <w:tcMar>
              <w:top w:w="45" w:type="dxa"/>
              <w:start w:w="65" w:type="dxa"/>
              <w:bottom w:w="45" w:type="dxa"/>
              <w:end w:w="65" w:type="dxa"/>
            </w:tcMar>
            <w:shd w:fill="F5F8FB"/>
          </w:tcPr>
          <w:p>
            <w:pPr>
              <w:keepNext/>
              <w:spacing w:after="0" w:before="0" w:line="240" w:lineRule="auto"/>
            </w:pPr>
            <w:r>
              <w:rPr>
                <w:b w:val="0"/>
                <w:sz w:val="16"/>
              </w:rPr>
              <w:t>Records baseline or PaDiM</w:t>
            </w:r>
          </w:p>
        </w:tc>
        <w:tc>
          <w:tcPr>
            <w:tcW w:type="dxa" w:w="1152"/>
            <w:vAlign w:val="center"/>
            <w:tcMar>
              <w:top w:w="45" w:type="dxa"/>
              <w:start w:w="65" w:type="dxa"/>
              <w:bottom w:w="45" w:type="dxa"/>
              <w:end w:w="65" w:type="dxa"/>
            </w:tcMar>
            <w:shd w:fill="F5F8FB"/>
          </w:tcPr>
          <w:p>
            <w:pPr>
              <w:keepNext/>
              <w:spacing w:before="0" w:after="0" w:line="240" w:lineRule="auto"/>
              <w:jc w:val="center"/>
            </w:pPr>
            <w:r>
              <w:rPr>
                <w:sz w:val="16"/>
              </w:rPr>
              <w:t>Yes</w:t>
            </w:r>
          </w:p>
        </w:tc>
      </w:tr>
      <w:tr>
        <w:trPr>
          <w:cantSplit/>
        </w:trPr>
        <w:tc>
          <w:tcPr>
            <w:tcW w:type="dxa" w:w="1900"/>
            <w:vAlign w:val="center"/>
            <w:tcMar>
              <w:top w:w="45" w:type="dxa"/>
              <w:start w:w="65" w:type="dxa"/>
              <w:bottom w:w="45" w:type="dxa"/>
              <w:end w:w="65" w:type="dxa"/>
            </w:tcMar>
          </w:tcPr>
          <w:p>
            <w:pPr>
              <w:keepNext/>
              <w:spacing w:before="0" w:after="0" w:line="240" w:lineRule="auto"/>
            </w:pPr>
            <w:r>
              <w:rPr>
                <w:sz w:val="16"/>
              </w:rPr>
              <w:t>fallback_used / fallback_reason</w:t>
            </w:r>
          </w:p>
        </w:tc>
        <w:tc>
          <w:tcPr>
            <w:tcW w:type="dxa" w:w="2088"/>
            <w:vAlign w:val="center"/>
            <w:tcMar>
              <w:top w:w="45" w:type="dxa"/>
              <w:start w:w="65" w:type="dxa"/>
              <w:bottom w:w="45" w:type="dxa"/>
              <w:end w:w="65" w:type="dxa"/>
            </w:tcMar>
          </w:tcPr>
          <w:p>
            <w:pPr>
              <w:keepNext/>
              <w:spacing w:after="0" w:before="0" w:line="240" w:lineRule="auto"/>
            </w:pPr>
            <w:r>
              <w:rPr>
                <w:b w:val="0"/>
                <w:sz w:val="16"/>
              </w:rPr>
              <w:t>Runtime orchestration</w:t>
            </w:r>
          </w:p>
        </w:tc>
        <w:tc>
          <w:tcPr>
            <w:tcW w:type="dxa" w:w="5155"/>
            <w:vAlign w:val="center"/>
            <w:tcMar>
              <w:top w:w="45" w:type="dxa"/>
              <w:start w:w="65" w:type="dxa"/>
              <w:bottom w:w="45" w:type="dxa"/>
              <w:end w:w="65" w:type="dxa"/>
            </w:tcMar>
          </w:tcPr>
          <w:p>
            <w:pPr>
              <w:keepNext/>
              <w:spacing w:after="0" w:before="0" w:line="240" w:lineRule="auto"/>
            </w:pPr>
            <w:r>
              <w:rPr>
                <w:b w:val="0"/>
                <w:sz w:val="16"/>
              </w:rPr>
              <w:t>Makes automatic PaDiM-to-baseline fallback auditable</w:t>
            </w:r>
          </w:p>
        </w:tc>
        <w:tc>
          <w:tcPr>
            <w:tcW w:type="dxa" w:w="1152"/>
            <w:vAlign w:val="center"/>
            <w:tcMar>
              <w:top w:w="45" w:type="dxa"/>
              <w:start w:w="65" w:type="dxa"/>
              <w:bottom w:w="45" w:type="dxa"/>
              <w:end w:w="65" w:type="dxa"/>
            </w:tcMar>
          </w:tcPr>
          <w:p>
            <w:pPr>
              <w:keepNext/>
              <w:spacing w:before="0" w:after="0" w:line="240" w:lineRule="auto"/>
              <w:jc w:val="center"/>
            </w:pPr>
            <w:r>
              <w:rPr>
                <w:sz w:val="16"/>
              </w:rPr>
              <w:t>Conditional</w:t>
            </w:r>
          </w:p>
        </w:tc>
      </w:tr>
      <w:tr>
        <w:trPr>
          <w:cantSplit/>
        </w:trPr>
        <w:tc>
          <w:tcPr>
            <w:tcW w:type="dxa" w:w="1900"/>
            <w:vAlign w:val="center"/>
            <w:tcMar>
              <w:top w:w="45" w:type="dxa"/>
              <w:start w:w="65" w:type="dxa"/>
              <w:bottom w:w="45" w:type="dxa"/>
              <w:end w:w="65" w:type="dxa"/>
            </w:tcMar>
            <w:shd w:fill="F5F8FB"/>
          </w:tcPr>
          <w:p>
            <w:pPr>
              <w:spacing w:before="0" w:after="0" w:line="240" w:lineRule="auto"/>
            </w:pPr>
            <w:r>
              <w:rPr>
                <w:sz w:val="16"/>
              </w:rPr>
              <w:t>severity_components</w:t>
            </w:r>
          </w:p>
        </w:tc>
        <w:tc>
          <w:tcPr>
            <w:tcW w:type="dxa" w:w="2088"/>
            <w:vAlign w:val="center"/>
            <w:tcMar>
              <w:top w:w="45" w:type="dxa"/>
              <w:start w:w="65" w:type="dxa"/>
              <w:bottom w:w="45" w:type="dxa"/>
              <w:end w:w="65" w:type="dxa"/>
            </w:tcMar>
            <w:shd w:fill="F5F8FB"/>
          </w:tcPr>
          <w:p>
            <w:pPr>
              <w:spacing w:after="0" w:before="0" w:line="240" w:lineRule="auto"/>
            </w:pPr>
            <w:r>
              <w:rPr>
                <w:b w:val="0"/>
                <w:sz w:val="16"/>
              </w:rPr>
              <w:t>Severity engine</w:t>
            </w:r>
          </w:p>
        </w:tc>
        <w:tc>
          <w:tcPr>
            <w:tcW w:type="dxa" w:w="5155"/>
            <w:vAlign w:val="center"/>
            <w:tcMar>
              <w:top w:w="45" w:type="dxa"/>
              <w:start w:w="65" w:type="dxa"/>
              <w:bottom w:w="45" w:type="dxa"/>
              <w:end w:w="65" w:type="dxa"/>
            </w:tcMar>
            <w:shd w:fill="F5F8FB"/>
          </w:tcPr>
          <w:p>
            <w:pPr>
              <w:spacing w:after="0" w:before="0" w:line="240" w:lineRule="auto"/>
            </w:pPr>
            <w:r>
              <w:rPr>
                <w:b w:val="0"/>
                <w:sz w:val="16"/>
              </w:rPr>
              <w:t>Exposes size, location, type and confidence contributions</w:t>
            </w:r>
          </w:p>
        </w:tc>
        <w:tc>
          <w:tcPr>
            <w:tcW w:type="dxa" w:w="1152"/>
            <w:vAlign w:val="center"/>
            <w:tcMar>
              <w:top w:w="45" w:type="dxa"/>
              <w:start w:w="65" w:type="dxa"/>
              <w:bottom w:w="45" w:type="dxa"/>
              <w:end w:w="65" w:type="dxa"/>
            </w:tcMar>
            <w:shd w:fill="F5F8FB"/>
          </w:tcPr>
          <w:p>
            <w:pPr>
              <w:spacing w:before="0" w:after="0" w:line="240" w:lineRule="auto"/>
              <w:jc w:val="center"/>
            </w:pPr>
            <w:r>
              <w:rPr>
                <w:sz w:val="16"/>
              </w:rPr>
              <w:t>Yes</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4EA"/>
            <w:tcBorders>
              <w:top w:val="single" w:sz="8" w:color="D97928" w:space="0"/>
              <w:left w:val="single" w:sz="8" w:color="D97928" w:space="0"/>
              <w:bottom w:val="single" w:sz="8" w:color="D97928" w:space="0"/>
              <w:right w:val="single" w:sz="8" w:color="D97928" w:space="0"/>
            </w:tcBorders>
            <w:tcMar>
              <w:top w:w="45" w:type="dxa"/>
              <w:start w:w="65" w:type="dxa"/>
              <w:bottom w:w="45" w:type="dxa"/>
              <w:end w:w="65" w:type="dxa"/>
            </w:tcMar>
          </w:tcPr>
          <w:p>
            <w:pPr>
              <w:spacing w:after="20"/>
            </w:pPr>
            <w:r>
              <w:rPr>
                <w:b/>
                <w:color w:val="D97928"/>
                <w:sz w:val="20"/>
              </w:rPr>
              <w:t>Score-scale warning</w:t>
            </w:r>
          </w:p>
          <w:p>
            <w:pPr>
              <w:spacing w:after="0"/>
            </w:pPr>
            <w:r>
              <w:rPr>
                <w:color w:val="26313D"/>
                <w:sz w:val="18"/>
              </w:rPr>
              <w:t>Baseline raw difference score, PaDiM anomaly score, classifier confidence and severity score are different quantities. The frontend and report must label each field clearly and must not compare the numeric values as if they share one scale.</w:t>
            </w:r>
          </w:p>
        </w:tc>
      </w:tr>
    </w:tbl>
    <w:p>
      <w:pPr>
        <w:spacing w:after="20"/>
      </w:pPr>
    </w:p>
    <w:p>
      <w:pPr>
        <w:pStyle w:val="Heading1"/>
        <w:keepNext/>
        <w:keepLines/>
        <w:pageBreakBefore w:val="0"/>
        <w:spacing w:before="140" w:after="60"/>
      </w:pPr>
      <w:r>
        <w:rPr>
          <w:b w:val="0"/>
        </w:rPr>
        <w:t>15. AI/ML Output Contract and Integration Boundary</w:t>
      </w:r>
    </w:p>
    <w:p>
      <w:pPr>
        <w:spacing w:after="46" w:line="259" w:lineRule="auto"/>
      </w:pPr>
      <w:r>
        <w:rPr>
          <w:b w:val="0"/>
        </w:rPr>
        <w:t>The final AI/ML orchestration stage assembles the active detector/localizer, conditional classifier and severity engine into one JSON-compatible result. The backend is responsible only for supplying a validated path/payload and consuming or storing the returned fields; the frontend is a display consumer. This section documents the integration boundary rather than claiming ownership of backend or frontend implementation.</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80"/>
              <w:jc w:val="center"/>
            </w:pPr>
            <w:r>
              <w:drawing>
                <wp:inline xmlns:a="http://schemas.openxmlformats.org/drawingml/2006/main" xmlns:pic="http://schemas.openxmlformats.org/drawingml/2006/picture">
                  <wp:extent cx="6208776" cy="3377832"/>
                  <wp:docPr id="39" name="Picture 39" descr="Image: image38.png"/>
                  <wp:cNvGraphicFramePr>
                    <a:graphicFrameLocks noChangeAspect="1"/>
                  </wp:cNvGraphicFramePr>
                  <a:graphic>
                    <a:graphicData uri="http://schemas.openxmlformats.org/drawingml/2006/picture">
                      <pic:pic>
                        <pic:nvPicPr>
                          <pic:cNvPr id="0" name="final_inference_clean.png"/>
                          <pic:cNvPicPr/>
                        </pic:nvPicPr>
                        <pic:blipFill>
                          <a:blip r:embed="rId48"/>
                          <a:stretch>
                            <a:fillRect/>
                          </a:stretch>
                        </pic:blipFill>
                        <pic:spPr>
                          <a:xfrm>
                            <a:off x="0" y="0"/>
                            <a:ext cx="6208776" cy="3377832"/>
                          </a:xfrm>
                          <a:prstGeom prst="rect"/>
                        </pic:spPr>
                      </pic:pic>
                    </a:graphicData>
                  </a:graphic>
                </wp:inline>
              </w:drawing>
            </w:r>
          </w:p>
          <w:p>
            <w:pPr>
              <w:pStyle w:val="CaptionText"/>
              <w:spacing w:after="40" w:before="40" w:line="240" w:lineRule="auto"/>
              <w:jc w:val="center"/>
            </w:pPr>
            <w:r>
              <w:rPr>
                <w:b w:val="0"/>
                <w:i/>
                <w:color w:val="5F6973"/>
                <w:sz w:val="16"/>
              </w:rPr>
              <w:t>Figure 17. Final AI/ML inference evidence combining structured fields and visual localization.</w:t>
            </w:r>
          </w:p>
          <w:p>
            <w:pPr>
              <w:spacing w:after="40" w:before="40" w:line="240" w:lineRule="auto"/>
            </w:pPr>
            <w:r>
              <w:rPr>
                <w:b/>
                <w:color w:val="1F5A89"/>
                <w:sz w:val="16"/>
              </w:rPr>
              <w:t xml:space="preserve">What this proves: </w:t>
            </w:r>
            <w:r>
              <w:rPr>
                <w:color w:val="243444"/>
                <w:sz w:val="16"/>
              </w:rPr>
              <w:t>The module returns detector, classifier, localization and severity evidence together.</w:t>
            </w:r>
          </w:p>
          <w:p>
            <w:pPr>
              <w:spacing w:after="40" w:before="40" w:line="240" w:lineRule="auto"/>
            </w:pPr>
            <w:r>
              <w:rPr>
                <w:b/>
                <w:color w:val="2E8B70"/>
                <w:sz w:val="16"/>
              </w:rPr>
              <w:t xml:space="preserve">Observation: </w:t>
            </w:r>
            <w:r>
              <w:rPr>
                <w:color w:val="243444"/>
                <w:sz w:val="16"/>
              </w:rPr>
              <w:t>The example reports contamination, confidence 0.9996, anomaly score 0.679, affected-image ratio 0.097, severity 83.24 and Fail.</w:t>
            </w:r>
          </w:p>
          <w:p>
            <w:pPr>
              <w:spacing w:after="40" w:before="40" w:line="240" w:lineRule="auto"/>
            </w:pPr>
            <w:r>
              <w:rPr>
                <w:b/>
                <w:color w:val="C84C4C"/>
                <w:sz w:val="16"/>
              </w:rPr>
              <w:t xml:space="preserve">Limitation: </w:t>
            </w:r>
            <w:r>
              <w:rPr>
                <w:color w:val="243444"/>
                <w:sz w:val="16"/>
              </w:rPr>
              <w:t>The image is notebook/checkpoint evidence; live deployment must report its actual active engine and fallback state.</w:t>
            </w:r>
          </w:p>
        </w:tc>
      </w:tr>
    </w:tbl>
    <w:p>
      <w:pPr>
        <w:spacing w:after="20"/>
      </w:pPr>
    </w:p>
    <w:p>
      <w:pPr>
        <w:pStyle w:val="Heading2"/>
        <w:keepNext/>
        <w:keepLines/>
        <w:pageBreakBefore w:val="0"/>
        <w:spacing w:before="80" w:after="40"/>
      </w:pPr>
      <w:r>
        <w:t>15.1 Field-to-platform mapping</w:t>
      </w:r>
    </w:p>
    <w:tbl>
      <w:tblPr>
        <w:tblW w:type="auto" w:w="0"/>
        <w:jc w:val="center"/>
        <w:tblLayout w:type="fixed"/>
        <w:tblLook w:firstColumn="1" w:firstRow="1" w:lastColumn="0" w:lastRow="0" w:noHBand="0" w:noVBand="1" w:val="04A0"/>
        <w:tblInd w:w="0" w:type="dxa"/>
      </w:tblPr>
      <w:tblGrid>
        <w:gridCol w:w="2520"/>
        <w:gridCol w:w="3672"/>
        <w:gridCol w:w="3672"/>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AI/ML field</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Integration-boundary use</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Example display use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Prediction / decision</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Consume inspection status; trigger workflow</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Pass/Review/Fail card</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type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Consume category for analytics/reports</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Defect-type label</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Confidence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Consume model evidence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Confidence percentage</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Anomaly score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Consume method-specific score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Explainability detail</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Defect-area ratio</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Consume localization summary</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Affected-area detail</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Severity score / level</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Drive QA routing and reporting</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Severity badge and recommended action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Heatmap path/image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Consume/serve visual artifact</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heatmap panel</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Model used</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Audit model version</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Optional traceability detail</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263640" cy="2334966"/>
                  <wp:docPr id="19" name="Picture 19" descr="Image: image18.png"/>
                  <wp:cNvGraphicFramePr>
                    <a:graphicFrameLocks noChangeAspect="1"/>
                  </wp:cNvGraphicFramePr>
                  <a:graphic>
                    <a:graphicData uri="http://schemas.openxmlformats.org/drawingml/2006/picture">
                      <pic:pic>
                        <pic:nvPicPr>
                          <pic:cNvPr id="0" name="frontend.png"/>
                          <pic:cNvPicPr/>
                        </pic:nvPicPr>
                        <pic:blipFill>
                          <a:blip r:embed="rId28"/>
                          <a:stretch>
                            <a:fillRect/>
                          </a:stretch>
                        </pic:blipFill>
                        <pic:spPr>
                          <a:xfrm>
                            <a:off x="0" y="0"/>
                            <a:ext cx="6263640" cy="2334966"/>
                          </a:xfrm>
                          <a:prstGeom prst="rect"/>
                        </pic:spPr>
                      </pic:pic>
                    </a:graphicData>
                  </a:graphic>
                </wp:inline>
              </w:drawing>
            </w:r>
          </w:p>
          <w:p>
            <w:pPr>
              <w:pStyle w:val="CaptionText"/>
              <w:spacing w:after="40" w:before="40" w:line="240" w:lineRule="auto"/>
              <w:jc w:val="center"/>
            </w:pPr>
            <w:r>
              <w:rPr>
                <w:b w:val="0"/>
                <w:i/>
                <w:color w:val="5F6973"/>
                <w:sz w:val="16"/>
              </w:rPr>
              <w:t>Figure 18. Platform display evidence consuming AI/ML fields and heatmap output.</w:t>
            </w:r>
          </w:p>
          <w:p>
            <w:pPr>
              <w:spacing w:after="40" w:before="40" w:line="240" w:lineRule="auto"/>
            </w:pPr>
            <w:r>
              <w:rPr>
                <w:b/>
                <w:color w:val="1F5A89"/>
                <w:sz w:val="16"/>
              </w:rPr>
              <w:t xml:space="preserve">What this proves: </w:t>
            </w:r>
            <w:r>
              <w:rPr>
                <w:color w:val="243444"/>
                <w:sz w:val="16"/>
              </w:rPr>
              <w:t>The integration demonstration confirms that numerical fields and localization evidence can be consumed outside the AI/ML module.</w:t>
            </w:r>
          </w:p>
          <w:p>
            <w:pPr>
              <w:spacing w:after="40" w:before="40" w:line="240" w:lineRule="auto"/>
            </w:pPr>
            <w:r>
              <w:rPr>
                <w:b/>
                <w:color w:val="2E8B70"/>
                <w:sz w:val="16"/>
              </w:rPr>
              <w:t xml:space="preserve">Observation: </w:t>
            </w:r>
            <w:r>
              <w:rPr>
                <w:color w:val="243444"/>
                <w:sz w:val="16"/>
              </w:rPr>
              <w:t>The figure is supporting integration evidence, not a claim of frontend implementation ownership.</w:t>
            </w:r>
          </w:p>
        </w:tc>
      </w:tr>
    </w:tbl>
    <w:p>
      <w:pPr>
        <w:spacing w:after="20"/>
      </w:pPr>
    </w:p>
    <w:p>
      <w:pPr>
        <w:pStyle w:val="Heading1"/>
        <w:keepNext/>
        <w:keepLines/>
        <w:pageBreakBefore w:val="0"/>
        <w:spacing w:before="140" w:after="60"/>
      </w:pPr>
      <w:r>
        <w:t>16. Model Evaluation and Production Readiness</w:t>
      </w:r>
    </w:p>
    <w:p>
      <w:pPr>
        <w:pStyle w:val="Heading2"/>
        <w:keepNext/>
        <w:keepLines/>
        <w:pageBreakBefore w:val="0"/>
        <w:spacing w:before="80" w:after="40"/>
      </w:pPr>
      <w:r>
        <w:t>16.1 Consolidated metric view</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5295328" cy="2423160"/>
                  <wp:docPr id="20" name="Picture 20" descr="Image: image19.png"/>
                  <wp:cNvGraphicFramePr>
                    <a:graphicFrameLocks noChangeAspect="1"/>
                  </wp:cNvGraphicFramePr>
                  <a:graphic>
                    <a:graphicData uri="http://schemas.openxmlformats.org/drawingml/2006/picture">
                      <pic:pic>
                        <pic:nvPicPr>
                          <pic:cNvPr id="0" name="detection_metrics_clean.png"/>
                          <pic:cNvPicPr/>
                        </pic:nvPicPr>
                        <pic:blipFill>
                          <a:blip r:embed="rId29"/>
                          <a:stretch>
                            <a:fillRect/>
                          </a:stretch>
                        </pic:blipFill>
                        <pic:spPr>
                          <a:xfrm>
                            <a:off x="0" y="0"/>
                            <a:ext cx="5295328" cy="2423160"/>
                          </a:xfrm>
                          <a:prstGeom prst="rect"/>
                        </pic:spPr>
                      </pic:pic>
                    </a:graphicData>
                  </a:graphic>
                </wp:inline>
              </w:drawing>
            </w:r>
          </w:p>
          <w:p>
            <w:pPr>
              <w:pStyle w:val="CaptionText"/>
              <w:spacing w:after="40" w:before="40" w:line="240" w:lineRule="auto"/>
              <w:jc w:val="center"/>
            </w:pPr>
            <w:r>
              <w:rPr>
                <w:b w:val="0"/>
                <w:i/>
                <w:color w:val="5F6973"/>
                <w:sz w:val="16"/>
              </w:rPr>
              <w:t>Figure 19. Model evaluation grouped by task and metric type.</w:t>
            </w:r>
          </w:p>
          <w:p>
            <w:pPr>
              <w:spacing w:after="40" w:before="40" w:line="240" w:lineRule="auto"/>
            </w:pPr>
            <w:r>
              <w:rPr>
                <w:b/>
                <w:color w:val="1F5A89"/>
                <w:sz w:val="16"/>
              </w:rPr>
              <w:t xml:space="preserve">What this proves: </w:t>
            </w:r>
            <w:r>
              <w:rPr>
                <w:color w:val="243444"/>
                <w:sz w:val="16"/>
              </w:rPr>
              <w:t>Metrics are grouped by operating-point detection, image-level anomaly detection and pixel localization.</w:t>
            </w:r>
          </w:p>
          <w:p>
            <w:pPr>
              <w:spacing w:after="40" w:before="40" w:line="240" w:lineRule="auto"/>
            </w:pPr>
            <w:r>
              <w:rPr>
                <w:b/>
                <w:color w:val="2E8B70"/>
                <w:sz w:val="16"/>
              </w:rPr>
              <w:t xml:space="preserve">Observation: </w:t>
            </w:r>
            <w:r>
              <w:rPr>
                <w:color w:val="243444"/>
                <w:sz w:val="16"/>
              </w:rPr>
              <w:t>PaDiM is substantially stronger at image-level detection; baseline recall is the main demonstrated detection risk.</w:t>
            </w:r>
          </w:p>
          <w:p>
            <w:pPr>
              <w:spacing w:after="40" w:before="40" w:line="240" w:lineRule="auto"/>
            </w:pPr>
            <w:r>
              <w:rPr>
                <w:b/>
                <w:color w:val="C84C4C"/>
                <w:sz w:val="16"/>
              </w:rPr>
              <w:t xml:space="preserve">Limitation: </w:t>
            </w:r>
            <w:r>
              <w:rPr>
                <w:color w:val="243444"/>
                <w:sz w:val="16"/>
              </w:rPr>
              <w:t>Accuracy, AUROC, F1 and pixel overlap answer different questions and must not be interpreted as one interchangeable scale.</w:t>
            </w:r>
          </w:p>
        </w:tc>
      </w:tr>
    </w:tbl>
    <w:p>
      <w:pPr>
        <w:spacing w:after="20"/>
      </w:pPr>
    </w:p>
    <w:tbl>
      <w:tblPr>
        <w:tblW w:type="auto" w:w="0"/>
        <w:jc w:val="center"/>
        <w:tblLayout w:type="fixed"/>
        <w:tblLook w:firstColumn="1" w:firstRow="1" w:lastColumn="0" w:lastRow="0" w:noHBand="0" w:noVBand="1" w:val="04A0"/>
        <w:tblInd w:w="0" w:type="dxa"/>
      </w:tblPr>
      <w:tblGrid>
        <w:gridCol w:w="2088"/>
        <w:gridCol w:w="2232"/>
        <w:gridCol w:w="1512"/>
        <w:gridCol w:w="4104"/>
      </w:tblGrid>
      <w:tr>
        <w:trPr>
          <w:tblHeader w:val="true"/>
          <w:tblHeader w:val="true"/>
          <w:cantSplit/>
        </w:trPr>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System component</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Metric</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Result</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Decision relevance</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OpenCV baseline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Detection accuracy</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51.81%</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Insufficient for professional production screening</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OpenCV baseline</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Detection error rate</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48.19%</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High error risk at current operating point</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OpenCV baseline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Defect recall</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36.51%</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False negatives are a critical concern</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OpenCV baseline</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ROC-AUC</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92.06%</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Ranking is useful; threshold/input robustness remain weak</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PaDiM</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Image AUROC</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99.84%</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Strong anomaly separation</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PaDiM</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Image F1</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98.39%</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Strong image-level operating performance</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PaDiM</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Pixel AUROC</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98.21%</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Strong anomaly-pixel ranking</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PaDiM</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Pixel F1</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71.36%</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Exact boundary overlap remains an improvement area</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Classifier</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Verified classifier accuracy</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92.77%</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77/83 correct in the directly supported confusion-matrix evaluation</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Classifier</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Verified classifier error</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7.23%</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Historical 93.18% record excluded from headline comparison pending provenance</w:t>
            </w:r>
          </w:p>
        </w:tc>
      </w:tr>
    </w:tbl>
    <w:p>
      <w:pPr>
        <w:spacing w:after="20"/>
      </w:pPr>
    </w:p>
    <w:p>
      <w:pPr>
        <w:pStyle w:val="Heading2"/>
        <w:keepNext/>
        <w:keepLines/>
        <w:pageBreakBefore w:val="0"/>
        <w:spacing w:before="80" w:after="40"/>
      </w:pPr>
      <w:r>
        <w:t>16.2 Production-readiness interpretation</w:t>
      </w:r>
    </w:p>
    <w:tbl>
      <w:tblPr>
        <w:tblW w:type="auto" w:w="0"/>
        <w:jc w:val="center"/>
        <w:tblLayout w:type="fixed"/>
        <w:tblLook w:firstColumn="1" w:firstRow="1" w:lastColumn="0" w:lastRow="0" w:noHBand="0" w:noVBand="1" w:val="04A0"/>
      </w:tblPr>
      <w:tblGrid>
        <w:gridCol w:w="4925"/>
        <w:gridCol w:w="4925"/>
      </w:tblGrid>
      <w:tr>
        <w:trPr>
          <w:cantSplit/>
          <w:tblHeader w:val="true"/>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Detection risk</w:t>
            </w:r>
          </w:p>
          <w:p>
            <w:pPr>
              <w:spacing w:after="0"/>
            </w:pPr>
            <w:r>
              <w:rPr>
                <w:color w:val="26313D"/>
                <w:sz w:val="17"/>
              </w:rPr>
              <w:t>The deployed baseline can miss defects; false-negative monitoring and PaDiM activation are priorities.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D97928"/>
                <w:sz w:val="19"/>
              </w:rPr>
              <w:t>Localization quality</w:t>
            </w:r>
          </w:p>
          <w:p>
            <w:pPr>
              <w:spacing w:after="0"/>
            </w:pPr>
            <w:r>
              <w:rPr>
                <w:color w:val="26313D"/>
                <w:sz w:val="17"/>
              </w:rPr>
              <w:t>PaDiM localizes meaningful regions, but pixel F1 shows boundaries are not exact.</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F8F78"/>
                <w:sz w:val="19"/>
              </w:rPr>
              <w:t>Classification quality</w:t>
            </w:r>
          </w:p>
          <w:p>
            <w:pPr>
              <w:spacing w:after="0"/>
            </w:pPr>
            <w:r>
              <w:rPr>
                <w:color w:val="26313D"/>
                <w:sz w:val="17"/>
              </w:rPr>
              <w:t>Category prediction is strong, but breakage classes remain visually confusable.</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B6872C"/>
                <w:sz w:val="19"/>
              </w:rPr>
              <w:t>Policy validation</w:t>
            </w:r>
          </w:p>
          <w:p>
            <w:pPr>
              <w:spacing w:after="0"/>
            </w:pPr>
            <w:r>
              <w:rPr>
                <w:color w:val="26313D"/>
                <w:sz w:val="17"/>
              </w:rPr>
              <w:t>Severity thresholds and critical zones require manufacturing-domain approval.</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Environment robustness</w:t>
            </w:r>
          </w:p>
          <w:p>
            <w:pPr>
              <w:spacing w:after="0"/>
            </w:pPr>
            <w:r>
              <w:rPr>
                <w:color w:val="26313D"/>
                <w:sz w:val="17"/>
              </w:rPr>
              <w:t>Lighting, background, orientation and camera position require real-world validation.</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Compute and latency</w:t>
            </w:r>
          </w:p>
          <w:p>
            <w:pPr>
              <w:spacing w:after="0"/>
            </w:pPr>
            <w:r>
              <w:rPr>
                <w:color w:val="26313D"/>
                <w:sz w:val="17"/>
              </w:rPr>
              <w:t>PaDiM deployment must be tested against available CPU/GPU and response-time targets.</w:t>
            </w:r>
          </w:p>
        </w:tc>
      </w:tr>
    </w:tbl>
    <w:p>
      <w:pPr>
        <w:spacing w:after="20"/>
      </w:pPr>
    </w:p>
    <w:p>
      <w:pPr>
        <w:pStyle w:val="Heading2"/>
        <w:keepNext/>
        <w:keepLines/>
        <w:pageBreakBefore w:val="0"/>
        <w:spacing w:before="80" w:after="40"/>
      </w:pPr>
      <w:r>
        <w:t>16.3 Model comparison summary</w:t>
      </w:r>
    </w:p>
    <w:tbl>
      <w:tblPr>
        <w:tblW w:type="auto" w:w="0"/>
        <w:jc w:val="center"/>
        <w:tblLayout w:type="fixed"/>
        <w:tblLook w:firstColumn="1" w:firstRow="1" w:lastColumn="0" w:lastRow="0" w:noHBand="0" w:noVBand="1" w:val="04A0"/>
        <w:tblInd w:w="0" w:type="dxa"/>
      </w:tblPr>
      <w:tblGrid>
        <w:gridCol w:w="2088"/>
        <w:gridCol w:w="2664"/>
        <w:gridCol w:w="2880"/>
        <w:gridCol w:w="2232"/>
      </w:tblGrid>
      <w:tr>
        <w:trPr>
          <w:tblHeader w:val="true"/>
          <w:tblHeader w:val="true"/>
          <w:cantSplit/>
        </w:trPr>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Method</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Primary strength</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Primary limitation</w:t>
            </w:r>
          </w:p>
        </w:tc>
        <w:tc>
          <w:tcPr>
            <w:tcW w:type="dxa" w:w="2581"/>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6"/>
              </w:rPr>
              <w:t>Recommended role</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OpenCV baseline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Fast and interpretable</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Low recall; sensitive to imaging conditions</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Demo/fallback and sanity check</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PaDiM</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Excellent image anomaly detection and useful localization</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Deployment and exact mask calibration pending</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Preferred anomaly-detector candidate</w:t>
            </w:r>
          </w:p>
        </w:tc>
      </w:tr>
      <w:tr>
        <w:trPr>
          <w:cantSplit/>
          <w:cantSplit/>
        </w:trPr>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 classifier</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Strong category probabilities</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6"/>
              </w:rPr>
              <w:t>Small labelled set; similar breakage classes; confidence not formally calibrated</w:t>
            </w:r>
          </w:p>
        </w:tc>
        <w:tc>
          <w:tcPr>
            <w:tcW w:type="dxa" w:w="2581"/>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Defect-type evidence path</w:t>
            </w:r>
          </w:p>
        </w:tc>
      </w:tr>
      <w:tr>
        <w:trPr>
          <w:cantSplit/>
          <w:cantSplit/>
        </w:trPr>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Severity engine</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Transparent QA mapping</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Rules require domain calibration</w:t>
            </w:r>
          </w:p>
        </w:tc>
        <w:tc>
          <w:tcPr>
            <w:tcW w:type="dxa" w:w="2581"/>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6"/>
              </w:rPr>
              <w:t>Decision support layer</w:t>
            </w:r>
          </w:p>
        </w:tc>
      </w:tr>
    </w:tbl>
    <w:p>
      <w:pPr>
        <w:spacing w:after="20"/>
      </w:pPr>
    </w:p>
    <w:p>
      <w:pPr>
        <w:pStyle w:val="Heading1"/>
        <w:keepNext/>
        <w:keepLines/>
        <w:pageBreakBefore w:val="0"/>
        <w:spacing w:before="140" w:after="60"/>
      </w:pPr>
      <w:r>
        <w:t>17. Automated Testing and Reliability</w:t>
      </w:r>
    </w:p>
    <w:p>
      <w:pPr>
        <w:spacing w:after="46" w:line="259" w:lineRule="auto"/>
      </w:pPr>
      <w:r>
        <w:rPr>
          <w:b w:val="0"/>
        </w:rPr>
        <w:t>Automated tests validate selected software behaviours and are kept separate from predictive model evaluation. The recorded submission screenshot reports 19 tests passed in 31.93 seconds. AI/ML-relevant tests cover dataset loading, preprocessing, baseline logic, classifier artifacts, heatmaps, validation utilities, prediction output and severity; API/authentication tests are treated only as integration evidence.</w:t>
      </w:r>
    </w:p>
    <w:tbl>
      <w:tblPr>
        <w:tblW w:type="auto" w:w="0"/>
        <w:jc w:val="center"/>
        <w:tblLayout w:type="fixed"/>
        <w:tblLook w:firstColumn="1" w:firstRow="1" w:lastColumn="0" w:lastRow="0" w:noHBand="0" w:noVBand="1" w:val="04A0"/>
        <w:tblInd w:w="0" w:type="dxa"/>
      </w:tblPr>
      <w:tblGrid>
        <w:gridCol w:w="3384"/>
        <w:gridCol w:w="6480"/>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Test area</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Assurance category / purpose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`test_api.py`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Platform integration evidence; not counted as predictive model evaluation</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`test_auth.py`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Platform integration evidence; not counted as predictive model evaluation</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`test_baseline_detector.py`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Baseline scoring and decision functions (AI/ML software behaviour)</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`test_camera_samples.py`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Platform integration evidence; not counted as predictive model evaluation</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`test_classifier_artifact.py`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Classifier artifact presence and loading (AI/ML software behaviour)</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`test_dataset_loader.py`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Dataset records and paths (AI/ML software behaviour)</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`test_kfold_validation.py`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Validation utility behaviour (AI/ML software behaviour)</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`test_prediction.py`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Final prediction response fields (AI/ML software behaviour)</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`test_preprocessing.py`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Image transformation functions (AI/ML software behaviour)</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`test_severity.py`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Severity score and decision mapping (AI/ML software behaviour)</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263640" cy="2592287"/>
                  <wp:docPr id="21" name="Picture 21" descr="Image: image20.png"/>
                  <wp:cNvGraphicFramePr>
                    <a:graphicFrameLocks noChangeAspect="1"/>
                  </wp:cNvGraphicFramePr>
                  <a:graphic>
                    <a:graphicData uri="http://schemas.openxmlformats.org/drawingml/2006/picture">
                      <pic:pic>
                        <pic:nvPicPr>
                          <pic:cNvPr id="0" name="pytest_clean.png"/>
                          <pic:cNvPicPr/>
                        </pic:nvPicPr>
                        <pic:blipFill>
                          <a:blip r:embed="rId30"/>
                          <a:stretch>
                            <a:fillRect/>
                          </a:stretch>
                        </pic:blipFill>
                        <pic:spPr>
                          <a:xfrm>
                            <a:off x="0" y="0"/>
                            <a:ext cx="6263640" cy="2592287"/>
                          </a:xfrm>
                          <a:prstGeom prst="rect"/>
                        </pic:spPr>
                      </pic:pic>
                    </a:graphicData>
                  </a:graphic>
                </wp:inline>
              </w:drawing>
            </w:r>
          </w:p>
          <w:p>
            <w:pPr>
              <w:pStyle w:val="CaptionText"/>
              <w:spacing w:after="40" w:before="40" w:line="240" w:lineRule="auto"/>
              <w:jc w:val="center"/>
            </w:pPr>
            <w:r>
              <w:rPr>
                <w:b w:val="0"/>
                <w:i/>
                <w:color w:val="5F6973"/>
                <w:sz w:val="16"/>
              </w:rPr>
              <w:t>Figure 20. Recorded validation run showing 19 tests passed in 31.93 seconds.</w:t>
            </w:r>
          </w:p>
          <w:p>
            <w:pPr>
              <w:spacing w:after="40" w:before="40" w:line="240" w:lineRule="auto"/>
            </w:pPr>
            <w:r>
              <w:rPr>
                <w:b/>
                <w:color w:val="1F5A89"/>
                <w:sz w:val="16"/>
              </w:rPr>
              <w:t xml:space="preserve">What this proves: </w:t>
            </w:r>
            <w:r>
              <w:rPr>
                <w:color w:val="243444"/>
                <w:sz w:val="16"/>
              </w:rPr>
              <w:t>The selected software paths completed successfully in the recorded submission environment.</w:t>
            </w:r>
          </w:p>
          <w:p>
            <w:pPr>
              <w:spacing w:after="40" w:before="40" w:line="240" w:lineRule="auto"/>
            </w:pPr>
            <w:r>
              <w:rPr>
                <w:b/>
                <w:color w:val="2E8B70"/>
                <w:sz w:val="16"/>
              </w:rPr>
              <w:t xml:space="preserve">Observation: </w:t>
            </w:r>
            <w:r>
              <w:rPr>
                <w:color w:val="243444"/>
                <w:sz w:val="16"/>
              </w:rPr>
              <w:t>The run includes AI/ML module tests and integration-related checks; the report distinguishes them from model metrics.</w:t>
            </w:r>
          </w:p>
          <w:p>
            <w:pPr>
              <w:spacing w:after="40" w:before="40" w:line="240" w:lineRule="auto"/>
            </w:pPr>
            <w:r>
              <w:rPr>
                <w:b/>
                <w:color w:val="C84C4C"/>
                <w:sz w:val="16"/>
              </w:rPr>
              <w:t xml:space="preserve">Limitation: </w:t>
            </w:r>
            <w:r>
              <w:rPr>
                <w:color w:val="243444"/>
                <w:sz w:val="16"/>
              </w:rPr>
              <w:t>Passing tests does not prove predictive accuracy, threshold quality, latency or real-factory robustness.</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EAF3F9"/>
            <w:tcBorders>
              <w:top w:val="single" w:sz="8" w:color="245A8D" w:space="0"/>
              <w:left w:val="single" w:sz="8" w:color="245A8D" w:space="0"/>
              <w:bottom w:val="single" w:sz="8" w:color="245A8D" w:space="0"/>
              <w:right w:val="single" w:sz="8" w:color="245A8D" w:space="0"/>
            </w:tcBorders>
            <w:tcMar>
              <w:top w:w="45" w:type="dxa"/>
              <w:start w:w="65" w:type="dxa"/>
              <w:bottom w:w="45" w:type="dxa"/>
              <w:end w:w="65" w:type="dxa"/>
            </w:tcMar>
          </w:tcPr>
          <w:p>
            <w:pPr>
              <w:spacing w:after="20"/>
            </w:pPr>
            <w:r>
              <w:rPr>
                <w:b/>
                <w:color w:val="245A8D"/>
                <w:sz w:val="20"/>
              </w:rPr>
              <w:t>Reliability distinction</w:t>
            </w:r>
          </w:p>
          <w:p>
            <w:pPr>
              <w:spacing w:after="0"/>
            </w:pPr>
            <w:r>
              <w:rPr>
                <w:color w:val="26313D"/>
                <w:sz w:val="18"/>
              </w:rPr>
              <w:t>Software testing, model evaluation and production validation are three different assurance layers. The report keeps them separate to avoid overstating readiness.</w:t>
            </w:r>
          </w:p>
        </w:tc>
      </w:tr>
    </w:tbl>
    <w:p>
      <w:pPr>
        <w:spacing w:after="20"/>
      </w:pPr>
    </w:p>
    <w:p>
      <w:pPr>
        <w:pStyle w:val="Heading1"/>
        <w:keepNext/>
        <w:keepLines/>
        <w:pageBreakBefore w:val="0"/>
        <w:spacing w:before="140" w:after="60"/>
      </w:pPr>
      <w:r>
        <w:t>18. Challenges and Limitations</w:t>
      </w:r>
    </w:p>
    <w:p>
      <w:pPr>
        <w:pStyle w:val="Heading2"/>
        <w:keepNext/>
        <w:keepLines/>
        <w:pageBreakBefore w:val="0"/>
        <w:spacing w:before="80" w:after="40"/>
      </w:pPr>
      <w:r>
        <w:t>18.1 Implementation challenges</w:t>
      </w:r>
    </w:p>
    <w:tbl>
      <w:tblPr>
        <w:tblW w:type="auto" w:w="0"/>
        <w:jc w:val="center"/>
        <w:tblLayout w:type="fixed"/>
        <w:tblLook w:firstColumn="1" w:firstRow="1" w:lastColumn="0" w:lastRow="0" w:noHBand="0" w:noVBand="1" w:val="04A0"/>
      </w:tblPr>
      <w:tblGrid>
        <w:gridCol w:w="4925"/>
        <w:gridCol w:w="4925"/>
      </w:tblGrid>
      <w:tr>
        <w:trPr>
          <w:cantSplit/>
          <w:tblHeader w:val="true"/>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Dataset semantics</w:t>
            </w:r>
          </w:p>
          <w:p>
            <w:pPr>
              <w:spacing w:after="0"/>
            </w:pPr>
            <w:r>
              <w:rPr>
                <w:color w:val="26313D"/>
                <w:sz w:val="17"/>
              </w:rPr>
              <w:t>Understanding normal-only training, defect folders and mask alignment.</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245A8D"/>
                <w:sz w:val="19"/>
              </w:rPr>
              <w:t>Real evidence</w:t>
            </w:r>
          </w:p>
          <w:p>
            <w:pPr>
              <w:spacing w:after="0"/>
            </w:pPr>
            <w:r>
              <w:rPr>
                <w:color w:val="26313D"/>
                <w:sz w:val="17"/>
              </w:rPr>
              <w:t>Replacing demonstration images with actual MVTec bottle samples.</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D97928"/>
                <w:sz w:val="19"/>
              </w:rPr>
              <w:t>Localization clarity</w:t>
            </w:r>
          </w:p>
          <w:p>
            <w:pPr>
              <w:spacing w:after="0"/>
            </w:pPr>
            <w:r>
              <w:rPr>
                <w:color w:val="26313D"/>
                <w:sz w:val="17"/>
              </w:rPr>
              <w:t>Generating overlays that are visually meaningful and comparable with masks.</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Model integration</w:t>
            </w:r>
          </w:p>
          <w:p>
            <w:pPr>
              <w:spacing w:after="0"/>
            </w:pPr>
            <w:r>
              <w:rPr>
                <w:color w:val="26313D"/>
                <w:sz w:val="17"/>
              </w:rPr>
              <w:t>Connecting notebook-developed logic to reusable modules and response fields.</w:t>
            </w:r>
          </w:p>
        </w:tc>
      </w:tr>
      <w:tr>
        <w:trPr>
          <w:cantSplit/>
          <w:cantSplit/>
        </w:trPr>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B6872C"/>
                <w:sz w:val="19"/>
              </w:rPr>
              <w:t>Artifact management</w:t>
            </w:r>
          </w:p>
          <w:p>
            <w:pPr>
              <w:spacing w:after="0"/>
            </w:pPr>
            <w:r>
              <w:rPr>
                <w:color w:val="26313D"/>
                <w:sz w:val="17"/>
              </w:rPr>
              <w:t>Keeping classifier, checkpoint, metadata and reference files consistent.</w:t>
            </w:r>
          </w:p>
        </w:tc>
        <w:tc>
          <w:tcPr>
            <w:tcW w:type="dxa" w:w="5162"/>
            <w:shd w:fill="F8FBFD"/>
            <w:tcBorders>
              <w:top w:val="single" w:sz="5" w:color="CADAE4" w:space="0"/>
              <w:left w:val="single" w:sz="5" w:color="CADAE4" w:space="0"/>
              <w:bottom w:val="single" w:sz="5" w:color="CADAE4" w:space="0"/>
              <w:right w:val="single" w:sz="5" w:color="CADAE4" w:space="0"/>
            </w:tcBorders>
            <w:tcMar>
              <w:top w:w="45" w:type="dxa"/>
              <w:start w:w="65" w:type="dxa"/>
              <w:bottom w:w="45" w:type="dxa"/>
              <w:end w:w="65" w:type="dxa"/>
            </w:tcMar>
          </w:tcPr>
          <w:p>
            <w:pPr>
              <w:spacing w:after="40"/>
            </w:pPr>
            <w:r>
              <w:rPr>
                <w:b/>
                <w:color w:val="C94C4C"/>
                <w:sz w:val="19"/>
              </w:rPr>
              <w:t>Metric consistency</w:t>
            </w:r>
          </w:p>
          <w:p>
            <w:pPr>
              <w:spacing w:after="0"/>
            </w:pPr>
            <w:r>
              <w:rPr>
                <w:color w:val="26313D"/>
                <w:sz w:val="17"/>
              </w:rPr>
              <w:t>Separating model runs, score scales and deployment status.</w:t>
            </w:r>
          </w:p>
        </w:tc>
      </w:tr>
    </w:tbl>
    <w:p>
      <w:pPr>
        <w:spacing w:after="20"/>
      </w:pPr>
    </w:p>
    <w:p>
      <w:pPr>
        <w:pStyle w:val="Heading2"/>
        <w:keepNext/>
        <w:keepLines/>
        <w:pageBreakBefore w:val="0"/>
        <w:spacing w:before="80" w:after="40"/>
      </w:pPr>
      <w:r>
        <w:t>18.2 Current limitations</w:t>
      </w:r>
    </w:p>
    <w:tbl>
      <w:tblPr>
        <w:tblW w:type="dxa" w:w="10296"/>
        <w:tblLayout w:type="fixed"/>
        <w:tblLook w:firstColumn="1" w:firstRow="1" w:lastColumn="0" w:lastRow="0" w:noHBand="0" w:noVBand="1" w:val="04A0"/>
        <w:jc w:val="center"/>
        <w:tblInd w:w="0" w:type="dxa"/>
      </w:tblPr>
      <w:tblGrid>
        <w:gridCol w:w="3312"/>
        <w:gridCol w:w="6552"/>
      </w:tblGrid>
      <w:tr>
        <w:trPr>
          <w:tblHeader w:val="true"/>
          <w:tblHeader w:val="true"/>
          <w:cantSplit/>
        </w:trPr>
        <w:tc>
          <w:tcPr>
            <w:tcW w:type="dxa" w:w="3384"/>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7"/>
              </w:rPr>
              <w:t>Limitation</w:t>
            </w:r>
          </w:p>
        </w:tc>
        <w:tc>
          <w:tcPr>
            <w:tcW w:type="dxa" w:w="6912"/>
            <w:shd w:fill="245A83"/>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keepNext/>
              <w:spacing w:after="0" w:before="0" w:line="240" w:lineRule="auto"/>
            </w:pPr>
            <w:r>
              <w:rPr>
                <w:b/>
                <w:color w:val="FFFFFF"/>
                <w:sz w:val="17"/>
              </w:rPr>
              <w:t>Effect on interpretation or deployment</w:t>
            </w:r>
          </w:p>
        </w:tc>
      </w:tr>
      <w:tr>
        <w:trPr>
          <w:cantSplit/>
          <w:cantSplit/>
        </w:trPr>
        <w:tc>
          <w:tcPr>
            <w:tcW w:type="dxa" w:w="338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Bottle category only</w:t>
            </w:r>
          </w:p>
        </w:tc>
        <w:tc>
          <w:tcPr>
            <w:tcW w:type="dxa" w:w="691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Generalization to other products is not established</w:t>
            </w:r>
          </w:p>
        </w:tc>
      </w:tr>
      <w:tr>
        <w:trPr>
          <w:cantSplit/>
          <w:cantSplit/>
        </w:trPr>
        <w:tc>
          <w:tcPr>
            <w:tcW w:type="dxa" w:w="338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Baseline active on Render</w:t>
            </w:r>
          </w:p>
        </w:tc>
        <w:tc>
          <w:tcPr>
            <w:tcW w:type="dxa" w:w="691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Current live detector performance is weaker than trained PaDiM</w:t>
            </w:r>
          </w:p>
        </w:tc>
      </w:tr>
      <w:tr>
        <w:trPr>
          <w:cantSplit/>
          <w:cantSplit/>
        </w:trPr>
        <w:tc>
          <w:tcPr>
            <w:tcW w:type="dxa" w:w="338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Small defective class counts</w:t>
            </w:r>
          </w:p>
        </w:tc>
        <w:tc>
          <w:tcPr>
            <w:tcW w:type="dxa" w:w="691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The verified 83-sample classifier result can vary with split and class balance</w:t>
            </w:r>
          </w:p>
        </w:tc>
      </w:tr>
      <w:tr>
        <w:trPr>
          <w:cantSplit/>
          <w:cantSplit/>
        </w:trPr>
        <w:tc>
          <w:tcPr>
            <w:tcW w:type="dxa" w:w="338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Lighting/background sensitivity</w:t>
            </w:r>
          </w:p>
        </w:tc>
        <w:tc>
          <w:tcPr>
            <w:tcW w:type="dxa" w:w="691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Baseline difference maps can respond to non-defect variation</w:t>
            </w:r>
          </w:p>
        </w:tc>
      </w:tr>
      <w:tr>
        <w:trPr>
          <w:cantSplit/>
          <w:cantSplit/>
        </w:trPr>
        <w:tc>
          <w:tcPr>
            <w:tcW w:type="dxa" w:w="338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Camera angle/orientation sensitivity</w:t>
            </w:r>
          </w:p>
        </w:tc>
        <w:tc>
          <w:tcPr>
            <w:tcW w:type="dxa" w:w="691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Reference alignment and appearance can change</w:t>
            </w:r>
          </w:p>
        </w:tc>
      </w:tr>
      <w:tr>
        <w:trPr>
          <w:cantSplit/>
          <w:cantSplit/>
        </w:trPr>
        <w:tc>
          <w:tcPr>
            <w:tcW w:type="dxa" w:w="338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Pixel F1 71.36%</w:t>
            </w:r>
          </w:p>
        </w:tc>
        <w:tc>
          <w:tcPr>
            <w:tcW w:type="dxa" w:w="691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Exact defect boundary segmentation remains imperfect</w:t>
            </w:r>
          </w:p>
        </w:tc>
      </w:tr>
      <w:tr>
        <w:trPr>
          <w:cantSplit/>
          <w:cantSplit/>
        </w:trPr>
        <w:tc>
          <w:tcPr>
            <w:tcW w:type="dxa" w:w="338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Compute dependency</w:t>
            </w:r>
          </w:p>
        </w:tc>
        <w:tc>
          <w:tcPr>
            <w:tcW w:type="dxa" w:w="691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PaDiM latency and memory must be validated on deployment hardware</w:t>
            </w:r>
          </w:p>
        </w:tc>
      </w:tr>
      <w:tr>
        <w:trPr>
          <w:cantSplit/>
          <w:cantSplit/>
        </w:trPr>
        <w:tc>
          <w:tcPr>
            <w:tcW w:type="dxa" w:w="3384"/>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Rule-based severity</w:t>
            </w:r>
          </w:p>
        </w:tc>
        <w:tc>
          <w:tcPr>
            <w:tcW w:type="dxa" w:w="691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b w:val="0"/>
                <w:sz w:val="16"/>
              </w:rPr>
              <w:t>Weights, score bands and critical-zone heuristic require QA/domain approval</w:t>
            </w:r>
          </w:p>
        </w:tc>
      </w:tr>
      <w:tr>
        <w:trPr>
          <w:cantSplit/>
          <w:cantSplit/>
        </w:trPr>
        <w:tc>
          <w:tcPr>
            <w:tcW w:type="dxa" w:w="3384"/>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No full factory acceptance test</w:t>
            </w:r>
          </w:p>
        </w:tc>
        <w:tc>
          <w:tcPr>
            <w:tcW w:type="dxa" w:w="6912"/>
            <w:shd w:fill="F5F8FB"/>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keepNext/>
              <w:spacing w:after="0" w:before="0" w:line="240" w:lineRule="auto"/>
            </w:pPr>
            <w:r>
              <w:rPr>
                <w:color w:val="26313D"/>
                <w:sz w:val="16"/>
              </w:rPr>
              <w:t>Offline metrics cannot be treated as production certification</w:t>
            </w:r>
          </w:p>
        </w:tc>
      </w:tr>
      <w:tr>
        <w:trPr>
          <w:cantSplit/>
        </w:trPr>
        <w:tc>
          <w:tcPr>
            <w:tcW w:type="dxa" w:w="3384"/>
            <w:vAlign w:val="center"/>
            <w:tcMar>
              <w:top w:w="45" w:type="dxa"/>
              <w:start w:w="65" w:type="dxa"/>
              <w:bottom w:w="45" w:type="dxa"/>
              <w:end w:w="65" w:type="dxa"/>
            </w:tcMar>
          </w:tcPr>
          <w:p>
            <w:pPr>
              <w:keepNext/>
              <w:spacing w:after="0" w:before="0" w:line="240" w:lineRule="auto"/>
            </w:pPr>
            <w:r>
              <w:rPr>
                <w:b w:val="0"/>
                <w:sz w:val="16"/>
              </w:rPr>
              <w:t>Affected-image denominator</w:t>
            </w:r>
          </w:p>
        </w:tc>
        <w:tc>
          <w:tcPr>
            <w:tcW w:type="dxa" w:w="6912"/>
            <w:vAlign w:val="center"/>
            <w:tcMar>
              <w:top w:w="45" w:type="dxa"/>
              <w:start w:w="65" w:type="dxa"/>
              <w:bottom w:w="45" w:type="dxa"/>
              <w:end w:w="65" w:type="dxa"/>
            </w:tcMar>
          </w:tcPr>
          <w:p>
            <w:pPr>
              <w:keepNext/>
              <w:spacing w:after="0" w:before="0" w:line="240" w:lineRule="auto"/>
            </w:pPr>
            <w:r>
              <w:rPr>
                <w:b w:val="0"/>
                <w:sz w:val="16"/>
              </w:rPr>
              <w:t>Defect-area ratio currently uses the entire resized mask/image, not a bottle-only ROI</w:t>
            </w:r>
          </w:p>
        </w:tc>
      </w:tr>
      <w:tr>
        <w:trPr>
          <w:cantSplit/>
        </w:trPr>
        <w:tc>
          <w:tcPr>
            <w:tcW w:type="dxa" w:w="3384"/>
            <w:vAlign w:val="center"/>
            <w:tcMar>
              <w:top w:w="45" w:type="dxa"/>
              <w:start w:w="65" w:type="dxa"/>
              <w:bottom w:w="45" w:type="dxa"/>
              <w:end w:w="65" w:type="dxa"/>
            </w:tcMar>
            <w:shd w:fill="F5F8FB"/>
          </w:tcPr>
          <w:p>
            <w:pPr>
              <w:spacing w:after="0" w:before="0" w:line="240" w:lineRule="auto"/>
            </w:pPr>
            <w:r>
              <w:rPr>
                <w:b w:val="0"/>
                <w:sz w:val="16"/>
              </w:rPr>
              <w:t>Classifier provenance</w:t>
            </w:r>
          </w:p>
        </w:tc>
        <w:tc>
          <w:tcPr>
            <w:tcW w:type="dxa" w:w="6912"/>
            <w:vAlign w:val="center"/>
            <w:tcMar>
              <w:top w:w="45" w:type="dxa"/>
              <w:start w:w="65" w:type="dxa"/>
              <w:bottom w:w="45" w:type="dxa"/>
              <w:end w:w="65" w:type="dxa"/>
            </w:tcMar>
            <w:shd w:fill="F5F8FB"/>
          </w:tcPr>
          <w:p>
            <w:pPr>
              <w:spacing w:after="0" w:before="0" w:line="240" w:lineRule="auto"/>
            </w:pPr>
            <w:r>
              <w:rPr>
                <w:b w:val="0"/>
                <w:sz w:val="16"/>
              </w:rPr>
              <w:t>The historical 93.18% record cannot be promoted without its split and artifact evidence</w:t>
            </w:r>
          </w:p>
        </w:tc>
      </w:tr>
    </w:tbl>
    <w:p>
      <w:pPr>
        <w:spacing w:after="20"/>
      </w:pPr>
    </w:p>
    <w:p>
      <w:pPr>
        <w:pStyle w:val="Heading2"/>
        <w:keepNext/>
        <w:keepLines/>
        <w:pageBreakBefore w:val="0"/>
        <w:spacing w:before="80" w:after="40"/>
      </w:pPr>
      <w:r>
        <w:t>18.3 False-negative risk</w:t>
      </w:r>
    </w:p>
    <w:tbl>
      <w:tblPr>
        <w:tblW w:type="auto" w:w="0"/>
        <w:jc w:val="center"/>
        <w:tblLook w:firstColumn="1" w:firstRow="1" w:lastColumn="0" w:lastRow="0" w:noHBand="0" w:noVBand="1" w:val="04A0"/>
      </w:tblPr>
      <w:tblGrid>
        <w:gridCol w:w="10325"/>
      </w:tblGrid>
      <w:tr>
        <w:trPr>
          <w:cantSplit/>
          <w:tblHeader w:val="true"/>
        </w:trPr>
        <w:tc>
          <w:tcPr>
            <w:tcW w:type="dxa" w:w="10325"/>
            <w:shd w:fill="FCEEEE"/>
            <w:tcBorders>
              <w:top w:val="single" w:sz="8" w:color="C94C4C" w:space="0"/>
              <w:left w:val="single" w:sz="8" w:color="C94C4C" w:space="0"/>
              <w:bottom w:val="single" w:sz="8" w:color="C94C4C" w:space="0"/>
              <w:right w:val="single" w:sz="8" w:color="C94C4C" w:space="0"/>
            </w:tcBorders>
            <w:tcMar>
              <w:top w:w="45" w:type="dxa"/>
              <w:start w:w="65" w:type="dxa"/>
              <w:bottom w:w="45" w:type="dxa"/>
              <w:end w:w="65" w:type="dxa"/>
            </w:tcMar>
          </w:tcPr>
          <w:p>
            <w:pPr>
              <w:spacing w:after="20"/>
            </w:pPr>
            <w:r>
              <w:rPr>
                <w:b/>
                <w:color w:val="C94C4C"/>
                <w:sz w:val="20"/>
              </w:rPr>
              <w:t>Quality risk</w:t>
            </w:r>
          </w:p>
          <w:p>
            <w:pPr>
              <w:spacing w:after="0"/>
            </w:pPr>
            <w:r>
              <w:rPr>
                <w:color w:val="26313D"/>
                <w:sz w:val="18"/>
              </w:rPr>
              <w:t>The baseline defect recall of 36.51% means defective items can be missed. For manufacturing use, false-negative rate and recall must be tracked at the chosen threshold, and the deployed detector should be upgraded and validated before operational reliance.</w:t>
            </w:r>
          </w:p>
        </w:tc>
      </w:tr>
    </w:tbl>
    <w:p>
      <w:pPr>
        <w:spacing w:after="20"/>
      </w:pPr>
    </w:p>
    <w:p>
      <w:pPr>
        <w:pStyle w:val="Heading1"/>
        <w:keepNext/>
        <w:keepLines/>
        <w:pageBreakBefore w:val="0"/>
        <w:spacing w:before="140" w:after="60"/>
      </w:pPr>
      <w:r>
        <w:t>19. Future Scope and Production Roadmap</w:t>
      </w:r>
    </w:p>
    <w:tbl>
      <w:tblPr>
        <w:tblW w:type="auto" w:w="0"/>
        <w:jc w:val="center"/>
        <w:tblLook w:firstColumn="1" w:firstRow="1" w:lastColumn="0" w:lastRow="0" w:noHBand="0" w:noVBand="1" w:val="04A0"/>
      </w:tblPr>
      <w:tblGrid>
        <w:gridCol w:w="10325"/>
      </w:tblGrid>
      <w:tr>
        <w:trPr>
          <w:cantSplit/>
          <w:tblHeader w:val="true"/>
        </w:trPr>
        <w:tc>
          <w:tcPr>
            <w:tcW w:type="dxa" w:w="10325"/>
            <w:shd w:fill="FFFFFF"/>
            <w:tcBorders>
              <w:top w:val="single" w:sz="7" w:color="C5D7E2" w:space="0"/>
              <w:left w:val="single" w:sz="7" w:color="C5D7E2" w:space="0"/>
              <w:bottom w:val="single" w:sz="7" w:color="C5D7E2" w:space="0"/>
              <w:right w:val="single" w:sz="7" w:color="C5D7E2" w:space="0"/>
            </w:tcBorders>
            <w:tcMar>
              <w:top w:w="45" w:type="dxa"/>
              <w:start w:w="65" w:type="dxa"/>
              <w:bottom w:w="45" w:type="dxa"/>
              <w:end w:w="65" w:type="dxa"/>
            </w:tcMar>
          </w:tcPr>
          <w:p>
            <w:pPr>
              <w:spacing w:after="20"/>
              <w:jc w:val="center"/>
            </w:pPr>
            <w:r>
              <w:drawing>
                <wp:inline xmlns:a="http://schemas.openxmlformats.org/drawingml/2006/main" xmlns:pic="http://schemas.openxmlformats.org/drawingml/2006/picture">
                  <wp:extent cx="6263640" cy="2254910"/>
                  <wp:docPr id="22" name="Picture 22" descr="Image: image21.png"/>
                  <wp:cNvGraphicFramePr>
                    <a:graphicFrameLocks noChangeAspect="1"/>
                  </wp:cNvGraphicFramePr>
                  <a:graphic>
                    <a:graphicData uri="http://schemas.openxmlformats.org/drawingml/2006/picture">
                      <pic:pic>
                        <pic:nvPicPr>
                          <pic:cNvPr id="0" name="roadmap.png"/>
                          <pic:cNvPicPr/>
                        </pic:nvPicPr>
                        <pic:blipFill>
                          <a:blip r:embed="rId31"/>
                          <a:stretch>
                            <a:fillRect/>
                          </a:stretch>
                        </pic:blipFill>
                        <pic:spPr>
                          <a:xfrm>
                            <a:off x="0" y="0"/>
                            <a:ext cx="6263640" cy="2254910"/>
                          </a:xfrm>
                          <a:prstGeom prst="rect"/>
                        </pic:spPr>
                      </pic:pic>
                    </a:graphicData>
                  </a:graphic>
                </wp:inline>
              </w:drawing>
            </w:r>
          </w:p>
          <w:p>
            <w:pPr>
              <w:pStyle w:val="CaptionText"/>
              <w:spacing w:after="40" w:before="40" w:line="240" w:lineRule="auto"/>
              <w:jc w:val="center"/>
            </w:pPr>
            <w:r>
              <w:rPr>
                <w:b w:val="0"/>
                <w:i/>
                <w:color w:val="5F6973"/>
                <w:sz w:val="16"/>
              </w:rPr>
              <w:t>Figure 21. AI/ML roadmap from validated implementation to governed production use.</w:t>
            </w:r>
          </w:p>
          <w:p>
            <w:pPr>
              <w:spacing w:after="40" w:before="40" w:line="240" w:lineRule="auto"/>
            </w:pPr>
            <w:r>
              <w:rPr>
                <w:b/>
                <w:color w:val="1F5A89"/>
                <w:sz w:val="16"/>
              </w:rPr>
              <w:t xml:space="preserve">What this proves: </w:t>
            </w:r>
            <w:r>
              <w:rPr>
                <w:color w:val="243444"/>
                <w:sz w:val="16"/>
              </w:rPr>
              <w:t>Future work is prioritized around model risk, threshold traceability, real-image validation and monitoring.</w:t>
            </w:r>
          </w:p>
        </w:tc>
      </w:tr>
    </w:tbl>
    <w:p>
      <w:pPr>
        <w:spacing w:after="20"/>
      </w:pPr>
    </w:p>
    <w:tbl>
      <w:tblPr>
        <w:tblW w:type="auto" w:w="0"/>
        <w:jc w:val="center"/>
        <w:tblLayout w:type="fixed"/>
        <w:tblLook w:firstColumn="1" w:firstRow="1" w:lastColumn="0" w:lastRow="0" w:noHBand="0" w:noVBand="1" w:val="04A0"/>
        <w:tblInd w:w="0" w:type="dxa"/>
      </w:tblPr>
      <w:tblGrid>
        <w:gridCol w:w="1008"/>
        <w:gridCol w:w="4392"/>
        <w:gridCol w:w="4464"/>
      </w:tblGrid>
      <w:tr>
        <w:trPr>
          <w:tblHeader w:val="true"/>
          <w:tblHeader w:val="true"/>
          <w:cantSplit/>
        </w:trPr>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Priority</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Upgrade</w:t>
            </w:r>
          </w:p>
        </w:tc>
        <w:tc>
          <w:tcPr>
            <w:tcW w:type="dxa" w:w="344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Expected outcome</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1</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Activate and version PaDiM in the live anomaly path</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Replace weak baseline detection with stronger trained anomaly model</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2</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Version model artifacts, dataset split and thresholds in metadata</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Resolve metric ambiguity and improve traceability</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3</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Calibrate image and pixel thresholds using a separated validation procedure</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Improve recall/F1 at the selected operating point</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4</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Collect factory-specific images across lighting, angle and background</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Measure domain shift and real false-negative risk</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5</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Benchmark CPU/GPU latency, memory and throughput</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Confirm deployment feasibility</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6</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Improve classifier validation and preserve split integrity</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Reduce `broken_large` / `broken_small` confusion</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7</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Add product-ROI area calculation and tune mask post-processing</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Improve pixel F1 and severity reliability</w:t>
            </w:r>
          </w:p>
        </w:tc>
      </w:tr>
      <w:tr>
        <w:trPr>
          <w:cantSplit/>
          <w:cantSplit/>
        </w:trPr>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8</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Add monitoring, drift detection and retraining governance</w:t>
            </w:r>
          </w:p>
        </w:tc>
        <w:tc>
          <w:tcPr>
            <w:tcW w:type="dxa" w:w="344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Support long-term operational reliability</w:t>
            </w:r>
          </w:p>
        </w:tc>
      </w:tr>
      <w:tr>
        <w:trPr>
          <w:cantSplit/>
          <w:cantSplit/>
        </w:trPr>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9</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Extend to additional product categories</w:t>
            </w:r>
          </w:p>
        </w:tc>
        <w:tc>
          <w:tcPr>
            <w:tcW w:type="dxa" w:w="344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Broaden platform use beyond bottle inspection</w:t>
            </w:r>
          </w:p>
        </w:tc>
      </w:tr>
    </w:tbl>
    <w:p>
      <w:pPr>
        <w:spacing w:after="20"/>
      </w:pPr>
    </w:p>
    <w:p>
      <w:pPr>
        <w:pStyle w:val="Heading2"/>
        <w:keepNext/>
        <w:keepLines/>
        <w:pageBreakBefore w:val="0"/>
        <w:spacing w:before="80" w:after="40"/>
      </w:pPr>
      <w:r>
        <w:t>Production acceptance criteria to define</w:t>
      </w:r>
    </w:p>
    <w:tbl>
      <w:tblPr>
        <w:tblW w:type="auto" w:w="0"/>
        <w:jc w:val="center"/>
        <w:tblLook w:firstColumn="1" w:firstRow="1" w:lastColumn="0" w:lastRow="0" w:noHBand="0" w:noVBand="1" w:val="04A0"/>
      </w:tblPr>
      <w:tblGrid>
        <w:gridCol w:w="5162"/>
        <w:gridCol w:w="5162"/>
      </w:tblGrid>
      <w:tr>
        <w:trPr>
          <w:tblHeader w:val="true"/>
          <w:cantSplit/>
        </w:trPr>
        <w:tc>
          <w:tcPr>
            <w:tcW w:type="dxa" w:w="5162"/>
            <w:shd w:fill="FFFFFF"/>
            <w:tcBorders>
              <w:top w:val="single" w:sz="3" w:color="D7E3EA" w:space="0"/>
              <w:left w:val="single" w:sz="3" w:color="D7E3EA" w:space="0"/>
              <w:bottom w:val="single" w:sz="3" w:color="D7E3EA" w:space="0"/>
              <w:right w:val="single" w:sz="3" w:color="D7E3EA" w:space="0"/>
            </w:tcBorders>
            <w:tcMar>
              <w:top w:w="45" w:type="dxa"/>
              <w:start w:w="65" w:type="dxa"/>
              <w:bottom w:w="45" w:type="dxa"/>
              <w:end w:w="65" w:type="dxa"/>
            </w:tcMar>
          </w:tcPr>
          <w:p>
            <w:pPr>
              <w:spacing w:after="0"/>
            </w:pPr>
            <w:r>
              <w:rPr>
                <w:color w:val="26313D"/>
                <w:sz w:val="17"/>
              </w:rPr>
              <w:t>• Minimum defect recall and maximum false-negative rate by defect class.</w:t>
            </w:r>
          </w:p>
        </w:tc>
        <w:tc>
          <w:tcPr>
            <w:tcW w:type="dxa" w:w="5162"/>
            <w:shd w:fill="FFFFFF"/>
            <w:tcBorders>
              <w:top w:val="single" w:sz="3" w:color="D7E3EA" w:space="0"/>
              <w:left w:val="single" w:sz="3" w:color="D7E3EA" w:space="0"/>
              <w:bottom w:val="single" w:sz="3" w:color="D7E3EA" w:space="0"/>
              <w:right w:val="single" w:sz="3" w:color="D7E3EA" w:space="0"/>
            </w:tcBorders>
            <w:tcMar>
              <w:top w:w="45" w:type="dxa"/>
              <w:start w:w="65" w:type="dxa"/>
              <w:bottom w:w="45" w:type="dxa"/>
              <w:end w:w="65" w:type="dxa"/>
            </w:tcMar>
          </w:tcPr>
          <w:p>
            <w:pPr>
              <w:spacing w:after="0"/>
            </w:pPr>
            <w:r>
              <w:rPr>
                <w:color w:val="26313D"/>
                <w:sz w:val="17"/>
              </w:rPr>
              <w:t>• Approved anomaly and mask thresholds for each camera configuration.</w:t>
            </w:r>
          </w:p>
        </w:tc>
      </w:tr>
      <w:tr>
        <w:trPr>
          <w:cantSplit/>
        </w:trPr>
        <w:tc>
          <w:tcPr>
            <w:tcW w:type="dxa" w:w="5162"/>
            <w:shd w:fill="FFFFFF"/>
            <w:tcBorders>
              <w:top w:val="single" w:sz="3" w:color="D7E3EA" w:space="0"/>
              <w:left w:val="single" w:sz="3" w:color="D7E3EA" w:space="0"/>
              <w:bottom w:val="single" w:sz="3" w:color="D7E3EA" w:space="0"/>
              <w:right w:val="single" w:sz="3" w:color="D7E3EA" w:space="0"/>
            </w:tcBorders>
            <w:tcMar>
              <w:top w:w="45" w:type="dxa"/>
              <w:start w:w="65" w:type="dxa"/>
              <w:bottom w:w="45" w:type="dxa"/>
              <w:end w:w="65" w:type="dxa"/>
            </w:tcMar>
          </w:tcPr>
          <w:p>
            <w:pPr>
              <w:spacing w:after="0"/>
            </w:pPr>
            <w:r>
              <w:rPr>
                <w:color w:val="26313D"/>
                <w:sz w:val="17"/>
              </w:rPr>
              <w:t>• Maximum inference latency and hardware resource limits.</w:t>
            </w:r>
          </w:p>
        </w:tc>
        <w:tc>
          <w:tcPr>
            <w:tcW w:type="dxa" w:w="5162"/>
            <w:shd w:fill="FFFFFF"/>
            <w:tcBorders>
              <w:top w:val="single" w:sz="3" w:color="D7E3EA" w:space="0"/>
              <w:left w:val="single" w:sz="3" w:color="D7E3EA" w:space="0"/>
              <w:bottom w:val="single" w:sz="3" w:color="D7E3EA" w:space="0"/>
              <w:right w:val="single" w:sz="3" w:color="D7E3EA" w:space="0"/>
            </w:tcBorders>
            <w:tcMar>
              <w:top w:w="45" w:type="dxa"/>
              <w:start w:w="65" w:type="dxa"/>
              <w:bottom w:w="45" w:type="dxa"/>
              <w:end w:w="65" w:type="dxa"/>
            </w:tcMar>
          </w:tcPr>
          <w:p>
            <w:pPr>
              <w:spacing w:after="0"/>
            </w:pPr>
            <w:r>
              <w:rPr>
                <w:color w:val="26313D"/>
                <w:sz w:val="17"/>
              </w:rPr>
              <w:t>• Expected heatmap/localization quality for QA review.</w:t>
            </w:r>
          </w:p>
        </w:tc>
      </w:tr>
      <w:tr>
        <w:trPr>
          <w:cantSplit/>
        </w:trPr>
        <w:tc>
          <w:tcPr>
            <w:tcW w:type="dxa" w:w="5162"/>
            <w:shd w:fill="FFFFFF"/>
            <w:tcBorders>
              <w:top w:val="single" w:sz="3" w:color="D7E3EA" w:space="0"/>
              <w:left w:val="single" w:sz="3" w:color="D7E3EA" w:space="0"/>
              <w:bottom w:val="single" w:sz="3" w:color="D7E3EA" w:space="0"/>
              <w:right w:val="single" w:sz="3" w:color="D7E3EA" w:space="0"/>
            </w:tcBorders>
            <w:tcMar>
              <w:top w:w="45" w:type="dxa"/>
              <w:start w:w="65" w:type="dxa"/>
              <w:bottom w:w="45" w:type="dxa"/>
              <w:end w:w="65" w:type="dxa"/>
            </w:tcMar>
          </w:tcPr>
          <w:p>
            <w:pPr>
              <w:spacing w:after="0"/>
            </w:pPr>
            <w:r>
              <w:rPr>
                <w:color w:val="26313D"/>
                <w:sz w:val="17"/>
              </w:rPr>
              <w:t>• Severity and Pass/Review/Fail policy approved by manufacturing stakeholders.</w:t>
            </w:r>
          </w:p>
        </w:tc>
        <w:tc>
          <w:tcPr>
            <w:tcW w:type="dxa" w:w="5162"/>
            <w:shd w:fill="FFFFFF"/>
            <w:tcBorders>
              <w:top w:val="single" w:sz="3" w:color="D7E3EA" w:space="0"/>
              <w:left w:val="single" w:sz="3" w:color="D7E3EA" w:space="0"/>
              <w:bottom w:val="single" w:sz="3" w:color="D7E3EA" w:space="0"/>
              <w:right w:val="single" w:sz="3" w:color="D7E3EA" w:space="0"/>
            </w:tcBorders>
            <w:tcMar>
              <w:top w:w="45" w:type="dxa"/>
              <w:start w:w="65" w:type="dxa"/>
              <w:bottom w:w="45" w:type="dxa"/>
              <w:end w:w="65" w:type="dxa"/>
            </w:tcMar>
          </w:tcPr>
          <w:p>
            <w:pPr>
              <w:spacing w:after="0"/>
            </w:pPr>
            <w:r>
              <w:rPr>
                <w:color w:val="26313D"/>
                <w:sz w:val="17"/>
              </w:rPr>
              <w:t>• Model-version rollback and monitoring process.</w:t>
            </w:r>
          </w:p>
        </w:tc>
      </w:tr>
    </w:tbl>
    <w:p>
      <w:pPr>
        <w:spacing w:after="20"/>
      </w:pPr>
    </w:p>
    <w:p>
      <w:pPr>
        <w:pStyle w:val="Heading1"/>
        <w:keepNext/>
        <w:keepLines/>
        <w:pageBreakBefore w:val="0"/>
        <w:spacing w:before="140" w:after="60"/>
      </w:pPr>
      <w:r>
        <w:t>20. Conclusion and Final Outcome</w:t>
      </w:r>
    </w:p>
    <w:p>
      <w:pPr>
        <w:spacing w:after="46" w:line="259" w:lineRule="auto"/>
      </w:pPr>
      <w:r>
        <w:rPr>
          <w:b w:val="0"/>
        </w:rPr>
        <w:t>The VisionInspect AI module has been implemented as an end-to-end AI/ML inspection layer: image validation, path-specific preprocessing, configurable anomaly detection, localization, conditional defect classification, transparent severity scoring and JSON-compatible output are all represented in reusable code and evidence notebooks.</w:t>
      </w:r>
    </w:p>
    <w:p>
      <w:pPr>
        <w:spacing w:after="46" w:line="259" w:lineRule="auto"/>
      </w:pPr>
      <w:r>
        <w:rPr>
          <w:b w:val="0"/>
        </w:rPr>
        <w:t>The implementation is supported by ten progressive notebooks, reusable Python modules, a mean baseline reference, a trained PaDiM checkpoint, a trained classifier artifact, real anomaly/mask visualizations and recorded software tests. The verified results show that PaDiM is the stronger detector candidate, while the deployed baseline remains a demonstration/fallback path requiring operating-point validation.</w:t>
      </w:r>
    </w:p>
    <w:p>
      <w:pPr>
        <w:pStyle w:val="Heading2"/>
        <w:keepNext/>
        <w:keepLines/>
        <w:pageBreakBefore w:val="0"/>
        <w:spacing w:before="80" w:after="40"/>
      </w:pPr>
      <w:r>
        <w:t>20.1 What has been achieved</w:t>
      </w:r>
    </w:p>
    <w:tbl>
      <w:tblPr>
        <w:tblW w:type="auto" w:w="0"/>
        <w:jc w:val="center"/>
        <w:tblLayout w:type="fixed"/>
        <w:tblLook w:firstColumn="1" w:firstRow="1" w:lastColumn="0" w:lastRow="0" w:noHBand="0" w:noVBand="1" w:val="04A0"/>
        <w:tblInd w:w="0" w:type="dxa"/>
      </w:tblPr>
      <w:tblGrid>
        <w:gridCol w:w="2952"/>
        <w:gridCol w:w="6912"/>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Area</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Final outcome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Data and input handling</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MVTec Bottle structure, class counts, masks and invalid-input behaviour documented</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Preprocessing</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Shared and path-specific transformations explained with real-image evidence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Anomaly detection</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Baseline implemented and PaDiM trained/evaluated</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Classification</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Defect category and confidence produced through a feature-based classifier</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Explainability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Anomaly map, heatmap, predicted mask, area and ground-truth comparison supported</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Decision support</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Rule-based severity and QA action mapping implemented with a reproducible 83.24 worked example</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Integration boundary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Structured output and supporting platform-consumption evidence demonstrated</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Reliability</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Metrics are separated by task; verified classifier accuracy is 92.77%; recorded 19-test run is documented</w:t>
            </w:r>
          </w:p>
        </w:tc>
      </w:tr>
    </w:tbl>
    <w:p>
      <w:pPr>
        <w:spacing w:after="20"/>
      </w:pPr>
    </w:p>
    <w:p>
      <w:pPr>
        <w:pStyle w:val="Heading2"/>
        <w:keepNext/>
        <w:keepLines/>
        <w:pageBreakBefore w:val="0"/>
        <w:spacing w:before="80" w:after="40"/>
      </w:pPr>
      <w:r>
        <w:t>20.2 What remains before production reliance</w:t>
      </w:r>
    </w:p>
    <w:tbl>
      <w:tblPr>
        <w:tblW w:type="auto" w:w="0"/>
        <w:jc w:val="center"/>
        <w:tblLayout w:type="fixed"/>
        <w:tblLook w:firstColumn="1" w:firstRow="1" w:lastColumn="0" w:lastRow="0" w:noHBand="0" w:noVBand="1" w:val="04A0"/>
        <w:tblInd w:w="0" w:type="dxa"/>
      </w:tblPr>
      <w:tblGrid>
        <w:gridCol w:w="3528"/>
        <w:gridCol w:w="6336"/>
      </w:tblGrid>
      <w:tr>
        <w:trPr>
          <w:tblHeader w:val="true"/>
          <w:tblHeader w:val="true"/>
          <w:cantSplit/>
        </w:trPr>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Required step</w:t>
            </w:r>
          </w:p>
        </w:tc>
        <w:tc>
          <w:tcPr>
            <w:tcW w:type="dxa" w:w="5162"/>
            <w:shd w:fill="1F4E79"/>
            <w:tcBorders>
              <w:top w:val="single" w:sz="4" w:color="B8CBD7" w:space="0"/>
              <w:left w:val="single" w:sz="4" w:color="B8CBD7" w:space="0"/>
              <w:bottom w:val="single" w:sz="4" w:color="B8CBD7" w:space="0"/>
              <w:right w:val="single" w:sz="4" w:color="B8CBD7" w:space="0"/>
            </w:tcBorders>
            <w:tcMar>
              <w:top w:w="45" w:type="dxa"/>
              <w:start w:w="65" w:type="dxa"/>
              <w:bottom w:w="45" w:type="dxa"/>
              <w:end w:w="65" w:type="dxa"/>
            </w:tcMar>
            <w:vAlign w:val="center"/>
          </w:tcPr>
          <w:p>
            <w:pPr>
              <w:spacing w:after="0" w:before="0" w:line="240" w:lineRule="auto"/>
            </w:pPr>
            <w:r>
              <w:rPr>
                <w:b/>
                <w:color w:val="FFFFFF"/>
                <w:sz w:val="15"/>
              </w:rPr>
              <w:t>Reason</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Deploy and version PaDiM in the live backend</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Current Render baseline recall is inadequate</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Confirm and version classifier evaluation provenance</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b w:val="0"/>
                <w:sz w:val="15"/>
              </w:rPr>
              <w:t>Use 92.77% as the verified result; promote 93.18% only after its split and artifact are supplied</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Calibrate thresholds and severity policy</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Current operating point and rules require validation</w:t>
            </w:r>
          </w:p>
        </w:tc>
      </w:tr>
      <w:tr>
        <w:trPr>
          <w:cantSplit/>
          <w:cantSplit/>
        </w:trPr>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Run real-camera/factory testing</w:t>
            </w:r>
          </w:p>
        </w:tc>
        <w:tc>
          <w:tcPr>
            <w:tcW w:type="dxa" w:w="5162"/>
            <w:shd w:fill="FFFFFF"/>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Offline MVTec performance does not guarantee environmental robustness</w:t>
            </w:r>
          </w:p>
        </w:tc>
      </w:tr>
      <w:tr>
        <w:trPr>
          <w:cantSplit/>
          <w:cantSplit/>
        </w:trPr>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Monitor latency, drift and false negatives</w:t>
            </w:r>
          </w:p>
        </w:tc>
        <w:tc>
          <w:tcPr>
            <w:tcW w:type="dxa" w:w="5162"/>
            <w:shd w:fill="F8FBFD"/>
            <w:tcBorders>
              <w:top w:val="single" w:sz="4" w:color="CADAE4" w:space="0"/>
              <w:left w:val="single" w:sz="4" w:color="CADAE4" w:space="0"/>
              <w:bottom w:val="single" w:sz="4" w:color="CADAE4" w:space="0"/>
              <w:right w:val="single" w:sz="4" w:color="CADAE4" w:space="0"/>
            </w:tcBorders>
            <w:tcMar>
              <w:top w:w="45" w:type="dxa"/>
              <w:start w:w="65" w:type="dxa"/>
              <w:bottom w:w="45" w:type="dxa"/>
              <w:end w:w="65" w:type="dxa"/>
            </w:tcMar>
            <w:vAlign w:val="center"/>
          </w:tcPr>
          <w:p>
            <w:pPr>
              <w:spacing w:after="0" w:before="0" w:line="240" w:lineRule="auto"/>
            </w:pPr>
            <w:r>
              <w:rPr>
                <w:color w:val="26313D"/>
                <w:sz w:val="15"/>
              </w:rPr>
              <w:t>Operational performance must be continuously measured</w:t>
            </w:r>
          </w:p>
        </w:tc>
      </w:tr>
    </w:tbl>
    <w:p>
      <w:pPr>
        <w:spacing w:after="20"/>
      </w:pPr>
    </w:p>
    <w:tbl>
      <w:tblPr>
        <w:tblW w:type="auto" w:w="0"/>
        <w:jc w:val="center"/>
        <w:tblLook w:firstColumn="1" w:firstRow="1" w:lastColumn="0" w:lastRow="0" w:noHBand="0" w:noVBand="1" w:val="04A0"/>
      </w:tblPr>
      <w:tblGrid>
        <w:gridCol w:w="10325"/>
      </w:tblGrid>
      <w:tr>
        <w:trPr>
          <w:cantSplit/>
          <w:tblHeader w:val="true"/>
        </w:trPr>
        <w:tc>
          <w:tcPr>
            <w:tcW w:type="dxa" w:w="10325"/>
            <w:shd w:fill="EAF3F9"/>
            <w:tcBorders>
              <w:top w:val="single" w:sz="8" w:color="245A8D" w:space="0"/>
              <w:left w:val="single" w:sz="8" w:color="245A8D" w:space="0"/>
              <w:bottom w:val="single" w:sz="8" w:color="245A8D" w:space="0"/>
              <w:right w:val="single" w:sz="8" w:color="245A8D" w:space="0"/>
            </w:tcBorders>
            <w:tcMar>
              <w:top w:w="45" w:type="dxa"/>
              <w:start w:w="65" w:type="dxa"/>
              <w:bottom w:w="45" w:type="dxa"/>
              <w:end w:w="65" w:type="dxa"/>
            </w:tcMar>
          </w:tcPr>
          <w:p>
            <w:pPr>
              <w:spacing w:after="20"/>
            </w:pPr>
            <w:r>
              <w:rPr>
                <w:b/>
                <w:color w:val="1F5A89"/>
                <w:sz w:val="20"/>
              </w:rPr>
              <w:t>Final outcome</w:t>
            </w:r>
            <w:r>
              <w:br/>
            </w:r>
            <w:r>
              <w:rPr>
                <w:color w:val="243444"/>
                <w:sz w:val="18"/>
              </w:rPr>
              <w:t>The assigned AI/ML module is a complete, explainable and test-supported implementation foundation. It is ready for the next engineering stage - PaDiM activation, threshold reconciliation, real-camera validation and governed monitoring - but is not yet factory-certified for autonomous quality decisions.</w:t>
            </w:r>
          </w:p>
        </w:tc>
      </w:tr>
    </w:tbl>
    <w:p>
      <w:pPr>
        <w:spacing w:after="20"/>
      </w:pPr>
    </w:p>
    <w:p>
      <w:pPr>
        <w:pStyle w:val="Heading2"/>
        <w:keepNext/>
        <w:keepLines/>
        <w:pageBreakBefore/>
      </w:pPr>
      <w:r>
        <w:t>20.3 Reproducibility Summary</w:t>
      </w:r>
    </w:p>
    <w:tbl>
      <w:tblPr>
        <w:tblW w:type="dxa" w:w="10296"/>
        <w:tblLayout w:type="fixed"/>
        <w:tblLook w:firstColumn="1" w:firstRow="1" w:lastColumn="0" w:lastRow="0" w:noHBand="0" w:noVBand="1" w:val="04A0"/>
        <w:jc w:val="center"/>
        <w:tblInd w:w="0" w:type="dxa"/>
      </w:tblPr>
      <w:tblGrid>
        <w:gridCol w:w="5162"/>
        <w:gridCol w:w="5162"/>
      </w:tblGrid>
      <w:tr>
        <w:trPr>
          <w:tblHeader w:val="true"/>
          <w:cantSplit/>
        </w:trPr>
        <w:tc>
          <w:tcPr>
            <w:tcW w:type="dxa" w:w="2951"/>
            <w:vAlign w:val="center"/>
            <w:shd w:fill="245A83"/>
            <w:tcMar>
              <w:top w:w="45" w:type="dxa"/>
              <w:start w:w="65" w:type="dxa"/>
              <w:bottom w:w="45" w:type="dxa"/>
              <w:end w:w="65" w:type="dxa"/>
            </w:tcMar>
          </w:tcPr>
          <w:p>
            <w:pPr>
              <w:keepNext/>
              <w:spacing w:after="0" w:before="0" w:line="240" w:lineRule="auto"/>
            </w:pPr>
            <w:r>
              <w:rPr>
                <w:b/>
                <w:color w:val="FFFFFF"/>
                <w:sz w:val="18"/>
              </w:rPr>
              <w:t>Reproducibility item</w:t>
            </w:r>
          </w:p>
        </w:tc>
        <w:tc>
          <w:tcPr>
            <w:tcW w:type="dxa" w:w="7343"/>
            <w:vAlign w:val="center"/>
            <w:shd w:fill="245A83"/>
            <w:tcMar>
              <w:top w:w="45" w:type="dxa"/>
              <w:start w:w="65" w:type="dxa"/>
              <w:bottom w:w="45" w:type="dxa"/>
              <w:end w:w="65" w:type="dxa"/>
            </w:tcMar>
          </w:tcPr>
          <w:p>
            <w:pPr>
              <w:keepNext/>
              <w:spacing w:after="0" w:before="0" w:line="240" w:lineRule="auto"/>
            </w:pPr>
            <w:r>
              <w:rPr>
                <w:b/>
                <w:color w:val="FFFFFF"/>
                <w:sz w:val="18"/>
              </w:rPr>
              <w:t>Recorded value</w:t>
            </w:r>
          </w:p>
        </w:tc>
      </w:tr>
      <w:tr>
        <w:trPr>
          <w:cantSplit/>
        </w:trPr>
        <w:tc>
          <w:tcPr>
            <w:tcW w:type="dxa" w:w="2951"/>
            <w:vAlign w:val="center"/>
            <w:tcMar>
              <w:top w:w="45" w:type="dxa"/>
              <w:start w:w="65" w:type="dxa"/>
              <w:bottom w:w="45" w:type="dxa"/>
              <w:end w:w="65" w:type="dxa"/>
            </w:tcMar>
            <w:shd w:fill="F5F8FB"/>
          </w:tcPr>
          <w:p>
            <w:pPr>
              <w:keepNext/>
              <w:spacing w:after="0" w:before="0" w:line="240" w:lineRule="auto"/>
            </w:pPr>
            <w:r>
              <w:rPr>
                <w:b/>
                <w:sz w:val="17"/>
              </w:rPr>
              <w:t>Dataset</w:t>
            </w:r>
          </w:p>
        </w:tc>
        <w:tc>
          <w:tcPr>
            <w:tcW w:type="dxa" w:w="7343"/>
            <w:vAlign w:val="center"/>
            <w:tcMar>
              <w:top w:w="45" w:type="dxa"/>
              <w:start w:w="65" w:type="dxa"/>
              <w:bottom w:w="45" w:type="dxa"/>
              <w:end w:w="65" w:type="dxa"/>
            </w:tcMar>
            <w:shd w:fill="F5F8FB"/>
          </w:tcPr>
          <w:p>
            <w:pPr>
              <w:keepNext/>
              <w:spacing w:after="0" w:before="0" w:line="240" w:lineRule="auto"/>
            </w:pPr>
            <w:r>
              <w:rPr>
                <w:b w:val="0"/>
                <w:sz w:val="17"/>
              </w:rPr>
              <w:t>MVTec AD Bottle; train/good=209; test=20 good, 20 broken_large, 22 broken_small, 21 contamination</w:t>
            </w:r>
          </w:p>
        </w:tc>
      </w:tr>
      <w:tr>
        <w:trPr>
          <w:cantSplit/>
        </w:trPr>
        <w:tc>
          <w:tcPr>
            <w:tcW w:type="dxa" w:w="2951"/>
            <w:vAlign w:val="center"/>
            <w:tcMar>
              <w:top w:w="45" w:type="dxa"/>
              <w:start w:w="65" w:type="dxa"/>
              <w:bottom w:w="45" w:type="dxa"/>
              <w:end w:w="65" w:type="dxa"/>
            </w:tcMar>
          </w:tcPr>
          <w:p>
            <w:pPr>
              <w:keepNext/>
              <w:spacing w:after="0" w:before="0" w:line="240" w:lineRule="auto"/>
            </w:pPr>
            <w:r>
              <w:rPr>
                <w:b/>
                <w:sz w:val="17"/>
              </w:rPr>
              <w:t>Baseline</w:t>
            </w:r>
          </w:p>
        </w:tc>
        <w:tc>
          <w:tcPr>
            <w:tcW w:type="dxa" w:w="7343"/>
            <w:vAlign w:val="center"/>
            <w:tcMar>
              <w:top w:w="45" w:type="dxa"/>
              <w:start w:w="65" w:type="dxa"/>
              <w:bottom w:w="45" w:type="dxa"/>
              <w:end w:w="65" w:type="dxa"/>
            </w:tcMar>
          </w:tcPr>
          <w:p>
            <w:pPr>
              <w:keepNext/>
              <w:spacing w:after="0" w:before="0" w:line="240" w:lineRule="auto"/>
            </w:pPr>
            <w:r>
              <w:rPr>
                <w:b w:val="0"/>
                <w:sz w:val="17"/>
              </w:rPr>
              <w:t>Mean of 209 normal images; 256 x 256; Gaussian 5 x 5; CLAHE 2.0/8 x 8; evaluation threshold 78.4423</w:t>
            </w:r>
          </w:p>
        </w:tc>
      </w:tr>
      <w:tr>
        <w:trPr>
          <w:cantSplit/>
        </w:trPr>
        <w:tc>
          <w:tcPr>
            <w:tcW w:type="dxa" w:w="2951"/>
            <w:vAlign w:val="center"/>
            <w:tcMar>
              <w:top w:w="45" w:type="dxa"/>
              <w:start w:w="65" w:type="dxa"/>
              <w:bottom w:w="45" w:type="dxa"/>
              <w:end w:w="65" w:type="dxa"/>
            </w:tcMar>
            <w:shd w:fill="F5F8FB"/>
          </w:tcPr>
          <w:p>
            <w:pPr>
              <w:keepNext/>
              <w:spacing w:after="0" w:before="0" w:line="240" w:lineRule="auto"/>
            </w:pPr>
            <w:r>
              <w:rPr>
                <w:b/>
                <w:sz w:val="17"/>
              </w:rPr>
              <w:t>PaDiM</w:t>
            </w:r>
          </w:p>
        </w:tc>
        <w:tc>
          <w:tcPr>
            <w:tcW w:type="dxa" w:w="7343"/>
            <w:vAlign w:val="center"/>
            <w:tcMar>
              <w:top w:w="45" w:type="dxa"/>
              <w:start w:w="65" w:type="dxa"/>
              <w:bottom w:w="45" w:type="dxa"/>
              <w:end w:w="65" w:type="dxa"/>
            </w:tcMar>
            <w:shd w:fill="F5F8FB"/>
          </w:tcPr>
          <w:p>
            <w:pPr>
              <w:keepNext/>
              <w:spacing w:after="0" w:before="0" w:line="240" w:lineRule="auto"/>
            </w:pPr>
            <w:r>
              <w:rPr>
                <w:b w:val="0"/>
                <w:sz w:val="17"/>
              </w:rPr>
              <w:t>ResNet18; layer1/layer2/layer3; 100 selected features; padim_mvtec_bottle_v1.ckpt</w:t>
            </w:r>
          </w:p>
        </w:tc>
      </w:tr>
      <w:tr>
        <w:trPr>
          <w:cantSplit/>
        </w:trPr>
        <w:tc>
          <w:tcPr>
            <w:tcW w:type="dxa" w:w="2951"/>
            <w:vAlign w:val="center"/>
            <w:tcMar>
              <w:top w:w="45" w:type="dxa"/>
              <w:start w:w="65" w:type="dxa"/>
              <w:bottom w:w="45" w:type="dxa"/>
              <w:end w:w="65" w:type="dxa"/>
            </w:tcMar>
          </w:tcPr>
          <w:p>
            <w:pPr>
              <w:keepNext/>
              <w:spacing w:after="0" w:before="0" w:line="240" w:lineRule="auto"/>
            </w:pPr>
            <w:r>
              <w:rPr>
                <w:b/>
                <w:sz w:val="17"/>
              </w:rPr>
              <w:t>Classifier</w:t>
            </w:r>
          </w:p>
        </w:tc>
        <w:tc>
          <w:tcPr>
            <w:tcW w:type="dxa" w:w="7343"/>
            <w:vAlign w:val="center"/>
            <w:tcMar>
              <w:top w:w="45" w:type="dxa"/>
              <w:start w:w="65" w:type="dxa"/>
              <w:bottom w:w="45" w:type="dxa"/>
              <w:end w:w="65" w:type="dxa"/>
            </w:tcMar>
          </w:tcPr>
          <w:p>
            <w:pPr>
              <w:keepNext/>
              <w:spacing w:after="0" w:before="0" w:line="240" w:lineRule="auto"/>
            </w:pPr>
            <w:r>
              <w:rPr>
                <w:b w:val="0"/>
                <w:sz w:val="17"/>
              </w:rPr>
              <w:t>Frozen ResNet18 features; StandardScaler; balanced Logistic Regression; max_iter=3000; random_state=42</w:t>
            </w:r>
          </w:p>
        </w:tc>
      </w:tr>
      <w:tr>
        <w:trPr>
          <w:cantSplit/>
        </w:trPr>
        <w:tc>
          <w:tcPr>
            <w:tcW w:type="dxa" w:w="2951"/>
            <w:vAlign w:val="center"/>
            <w:tcMar>
              <w:top w:w="45" w:type="dxa"/>
              <w:start w:w="65" w:type="dxa"/>
              <w:bottom w:w="45" w:type="dxa"/>
              <w:end w:w="65" w:type="dxa"/>
            </w:tcMar>
            <w:shd w:fill="F5F8FB"/>
          </w:tcPr>
          <w:p>
            <w:pPr>
              <w:spacing w:after="0" w:before="0" w:line="240" w:lineRule="auto"/>
            </w:pPr>
            <w:r>
              <w:rPr>
                <w:b/>
                <w:sz w:val="17"/>
              </w:rPr>
              <w:t>Verified headline results</w:t>
            </w:r>
          </w:p>
        </w:tc>
        <w:tc>
          <w:tcPr>
            <w:tcW w:type="dxa" w:w="7343"/>
            <w:vAlign w:val="center"/>
            <w:tcMar>
              <w:top w:w="45" w:type="dxa"/>
              <w:start w:w="65" w:type="dxa"/>
              <w:bottom w:w="45" w:type="dxa"/>
              <w:end w:w="65" w:type="dxa"/>
            </w:tcMar>
            <w:shd w:fill="F5F8FB"/>
          </w:tcPr>
          <w:p>
            <w:pPr>
              <w:spacing w:after="0" w:before="0" w:line="240" w:lineRule="auto"/>
            </w:pPr>
            <w:r>
              <w:rPr>
                <w:b w:val="0"/>
                <w:sz w:val="17"/>
              </w:rPr>
              <w:t>PaDiM: 99.84% Image AUROC, 98.39% Image F1, 98.21% Pixel AUROC, 71.36% Pixel F1; classifier: 92.77%</w:t>
            </w:r>
          </w:p>
        </w:tc>
      </w:tr>
    </w:tbl>
    <w:p>
      <w:pPr>
        <w:pStyle w:val="Heading3"/>
        <w:keepNext/>
        <w:spacing w:before="200" w:after="100"/>
      </w:pPr>
      <w:r>
        <w:t>Reproduction checklist</w:t>
      </w:r>
    </w:p>
    <w:tbl>
      <w:tblPr>
        <w:tblW w:type="dxa" w:w="10296"/>
        <w:jc w:val="center"/>
        <w:tblLayout w:type="fixed"/>
        <w:tblLook w:firstColumn="1" w:firstRow="1" w:lastColumn="0" w:lastRow="0" w:noHBand="0" w:noVBand="1" w:val="04A0"/>
        <w:tblInd w:w="0" w:type="dxa"/>
      </w:tblPr>
      <w:tblGrid>
        <w:gridCol w:w="5162"/>
        <w:gridCol w:w="5162"/>
      </w:tblGrid>
      <w:tr>
        <w:trPr>
          <w:cantSplit/>
          <w:tblHeader w:val="true"/>
        </w:trPr>
        <w:tc>
          <w:tcPr>
            <w:tcW w:type="dxa" w:w="2520"/>
            <w:tcMar>
              <w:top w:w="50" w:type="dxa"/>
              <w:start w:w="70" w:type="dxa"/>
              <w:bottom w:w="50" w:type="dxa"/>
              <w:end w:w="70" w:type="dxa"/>
            </w:tcMar>
            <w:vAlign w:val="center"/>
            <w:shd w:fill="245A83"/>
          </w:tcPr>
          <w:p>
            <w:pPr>
              <w:spacing w:before="0" w:after="0" w:line="240" w:lineRule="auto"/>
            </w:pPr>
            <w:r>
              <w:rPr>
                <w:b/>
                <w:color w:val="FFFFFF"/>
                <w:sz w:val="18"/>
              </w:rPr>
              <w:t>Step</w:t>
            </w:r>
          </w:p>
        </w:tc>
        <w:tc>
          <w:tcPr>
            <w:tcW w:type="dxa" w:w="7776"/>
            <w:tcMar>
              <w:top w:w="50" w:type="dxa"/>
              <w:start w:w="70" w:type="dxa"/>
              <w:bottom w:w="50" w:type="dxa"/>
              <w:end w:w="70" w:type="dxa"/>
            </w:tcMar>
            <w:vAlign w:val="center"/>
            <w:shd w:fill="245A83"/>
          </w:tcPr>
          <w:p>
            <w:pPr>
              <w:spacing w:before="0" w:after="0" w:line="240" w:lineRule="auto"/>
            </w:pPr>
            <w:r>
              <w:rPr>
                <w:b/>
                <w:color w:val="FFFFFF"/>
                <w:sz w:val="18"/>
              </w:rPr>
              <w:t>Reproduction action</w:t>
            </w:r>
          </w:p>
        </w:tc>
      </w:tr>
      <w:tr>
        <w:trPr>
          <w:cantSplit/>
        </w:trPr>
        <w:tc>
          <w:tcPr>
            <w:tcW w:type="dxa" w:w="2520"/>
            <w:tcMar>
              <w:top w:w="50" w:type="dxa"/>
              <w:start w:w="70" w:type="dxa"/>
              <w:bottom w:w="50" w:type="dxa"/>
              <w:end w:w="70" w:type="dxa"/>
            </w:tcMar>
            <w:vAlign w:val="center"/>
            <w:shd w:fill="F5F8FB"/>
          </w:tcPr>
          <w:p>
            <w:pPr>
              <w:spacing w:before="0" w:after="0" w:line="240" w:lineRule="auto"/>
            </w:pPr>
            <w:r>
              <w:rPr>
                <w:sz w:val="17"/>
              </w:rPr>
              <w:t>1. Dataset validation</w:t>
            </w:r>
          </w:p>
        </w:tc>
        <w:tc>
          <w:tcPr>
            <w:tcW w:type="dxa" w:w="7776"/>
            <w:tcMar>
              <w:top w:w="50" w:type="dxa"/>
              <w:start w:w="70" w:type="dxa"/>
              <w:bottom w:w="50" w:type="dxa"/>
              <w:end w:w="70" w:type="dxa"/>
            </w:tcMar>
            <w:vAlign w:val="center"/>
            <w:shd w:fill="F5F8FB"/>
          </w:tcPr>
          <w:p>
            <w:pPr>
              <w:spacing w:before="0" w:after="0" w:line="240" w:lineRule="auto"/>
            </w:pPr>
            <w:r>
              <w:rPr>
                <w:sz w:val="17"/>
              </w:rPr>
              <w:t>Confirm the MVTec Bottle folders, class counts, mask paths and image readability before running models.</w:t>
            </w:r>
          </w:p>
        </w:tc>
      </w:tr>
      <w:tr>
        <w:trPr>
          <w:cantSplit/>
        </w:trPr>
        <w:tc>
          <w:tcPr>
            <w:tcW w:type="dxa" w:w="2520"/>
            <w:tcMar>
              <w:top w:w="50" w:type="dxa"/>
              <w:start w:w="70" w:type="dxa"/>
              <w:bottom w:w="50" w:type="dxa"/>
              <w:end w:w="70" w:type="dxa"/>
            </w:tcMar>
            <w:vAlign w:val="center"/>
          </w:tcPr>
          <w:p>
            <w:pPr>
              <w:spacing w:before="0" w:after="0" w:line="240" w:lineRule="auto"/>
            </w:pPr>
            <w:r>
              <w:rPr>
                <w:sz w:val="17"/>
              </w:rPr>
              <w:t>2. Baseline evaluation</w:t>
            </w:r>
          </w:p>
        </w:tc>
        <w:tc>
          <w:tcPr>
            <w:tcW w:type="dxa" w:w="7776"/>
            <w:tcMar>
              <w:top w:w="50" w:type="dxa"/>
              <w:start w:w="70" w:type="dxa"/>
              <w:bottom w:w="50" w:type="dxa"/>
              <w:end w:w="70" w:type="dxa"/>
            </w:tcMar>
            <w:vAlign w:val="center"/>
          </w:tcPr>
          <w:p>
            <w:pPr>
              <w:spacing w:before="0" w:after="0" w:line="240" w:lineRule="auto"/>
            </w:pPr>
            <w:r>
              <w:rPr>
                <w:sz w:val="17"/>
              </w:rPr>
              <w:t>Rebuild the mean reference from 209 normal images and evaluate at the recorded threshold of 78.4423.</w:t>
            </w:r>
          </w:p>
        </w:tc>
      </w:tr>
      <w:tr>
        <w:trPr>
          <w:cantSplit/>
        </w:trPr>
        <w:tc>
          <w:tcPr>
            <w:tcW w:type="dxa" w:w="2520"/>
            <w:tcMar>
              <w:top w:w="50" w:type="dxa"/>
              <w:start w:w="70" w:type="dxa"/>
              <w:bottom w:w="50" w:type="dxa"/>
              <w:end w:w="70" w:type="dxa"/>
            </w:tcMar>
            <w:vAlign w:val="center"/>
            <w:shd w:fill="F5F8FB"/>
          </w:tcPr>
          <w:p>
            <w:pPr>
              <w:spacing w:before="0" w:after="0" w:line="240" w:lineRule="auto"/>
            </w:pPr>
            <w:r>
              <w:rPr>
                <w:sz w:val="17"/>
              </w:rPr>
              <w:t>3. PaDiM evaluation</w:t>
            </w:r>
          </w:p>
        </w:tc>
        <w:tc>
          <w:tcPr>
            <w:tcW w:type="dxa" w:w="7776"/>
            <w:tcMar>
              <w:top w:w="50" w:type="dxa"/>
              <w:start w:w="70" w:type="dxa"/>
              <w:bottom w:w="50" w:type="dxa"/>
              <w:end w:w="70" w:type="dxa"/>
            </w:tcMar>
            <w:vAlign w:val="center"/>
            <w:shd w:fill="F5F8FB"/>
          </w:tcPr>
          <w:p>
            <w:pPr>
              <w:spacing w:before="0" w:after="0" w:line="240" w:lineRule="auto"/>
            </w:pPr>
            <w:r>
              <w:rPr>
                <w:sz w:val="17"/>
              </w:rPr>
              <w:t>Load padim_mvtec_bottle_v1.ckpt and compute image-level and pixel-level metrics using the MVTec test labels and masks.</w:t>
            </w:r>
          </w:p>
        </w:tc>
      </w:tr>
      <w:tr>
        <w:trPr>
          <w:cantSplit/>
        </w:trPr>
        <w:tc>
          <w:tcPr>
            <w:tcW w:type="dxa" w:w="2520"/>
            <w:tcMar>
              <w:top w:w="50" w:type="dxa"/>
              <w:start w:w="70" w:type="dxa"/>
              <w:bottom w:w="50" w:type="dxa"/>
              <w:end w:w="70" w:type="dxa"/>
            </w:tcMar>
            <w:vAlign w:val="center"/>
          </w:tcPr>
          <w:p>
            <w:pPr>
              <w:spacing w:before="0" w:after="0" w:line="240" w:lineRule="auto"/>
            </w:pPr>
            <w:r>
              <w:rPr>
                <w:sz w:val="17"/>
              </w:rPr>
              <w:t>4. Classifier evaluation</w:t>
            </w:r>
          </w:p>
        </w:tc>
        <w:tc>
          <w:tcPr>
            <w:tcW w:type="dxa" w:w="7776"/>
            <w:tcMar>
              <w:top w:w="50" w:type="dxa"/>
              <w:start w:w="70" w:type="dxa"/>
              <w:bottom w:w="50" w:type="dxa"/>
              <w:end w:w="70" w:type="dxa"/>
            </w:tcMar>
            <w:vAlign w:val="center"/>
          </w:tcPr>
          <w:p>
            <w:pPr>
              <w:spacing w:before="0" w:after="0" w:line="240" w:lineRule="auto"/>
            </w:pPr>
            <w:r>
              <w:rPr>
                <w:sz w:val="17"/>
              </w:rPr>
              <w:t>Use frozen ResNet18 features, StandardScaler and balanced Logistic Regression with the documented split and random_state=42.</w:t>
            </w:r>
          </w:p>
        </w:tc>
      </w:tr>
      <w:tr>
        <w:trPr>
          <w:cantSplit/>
        </w:trPr>
        <w:tc>
          <w:tcPr>
            <w:tcW w:type="dxa" w:w="2520"/>
            <w:tcMar>
              <w:top w:w="50" w:type="dxa"/>
              <w:start w:w="70" w:type="dxa"/>
              <w:bottom w:w="50" w:type="dxa"/>
              <w:end w:w="70" w:type="dxa"/>
            </w:tcMar>
            <w:vAlign w:val="center"/>
            <w:shd w:fill="F5F8FB"/>
          </w:tcPr>
          <w:p>
            <w:pPr>
              <w:spacing w:before="0" w:after="0" w:line="240" w:lineRule="auto"/>
            </w:pPr>
            <w:r>
              <w:rPr>
                <w:sz w:val="17"/>
              </w:rPr>
              <w:t>5. Software validation</w:t>
            </w:r>
          </w:p>
        </w:tc>
        <w:tc>
          <w:tcPr>
            <w:tcW w:type="dxa" w:w="7776"/>
            <w:tcMar>
              <w:top w:w="50" w:type="dxa"/>
              <w:start w:w="70" w:type="dxa"/>
              <w:bottom w:w="50" w:type="dxa"/>
              <w:end w:w="70" w:type="dxa"/>
            </w:tcMar>
            <w:vAlign w:val="center"/>
            <w:shd w:fill="F5F8FB"/>
          </w:tcPr>
          <w:p>
            <w:pPr>
              <w:spacing w:before="0" w:after="0" w:line="240" w:lineRule="auto"/>
            </w:pPr>
            <w:r>
              <w:rPr>
                <w:sz w:val="17"/>
              </w:rPr>
              <w:t>Run the final AI/ML test set and record the environment, test count, execution time and repository commit.</w:t>
            </w:r>
          </w:p>
        </w:tc>
      </w:tr>
    </w:tbl>
    <w:p>
      <w:pPr>
        <w:pStyle w:val="Heading2"/>
        <w:keepNext/>
        <w:pageBreakBefore/>
      </w:pPr>
      <w:r>
        <w:t>20.4 Key References</w:t>
      </w:r>
    </w:p>
    <w:p>
      <w:pPr>
        <w:spacing w:after="160"/>
      </w:pPr>
      <w:r>
        <w:rPr>
          <w:i/>
          <w:color w:val="607285"/>
          <w:sz w:val="19"/>
        </w:rPr>
        <w:t>The references below identify the primary dataset, model architecture and software frameworks used by the AI/ML module.</w:t>
      </w:r>
    </w:p>
    <w:p>
      <w:pPr>
        <w:spacing w:after="80" w:before="0" w:line="252" w:lineRule="auto"/>
        <w:ind w:left="403" w:hanging="403"/>
      </w:pPr>
      <w:r>
        <w:rPr>
          <w:color w:val="243444"/>
          <w:sz w:val="18"/>
        </w:rPr>
        <w:t>[1] P. Bergmann et al., "MVTec AD - A Comprehensive Real-World Dataset for Unsupervised Anomaly Detection," CVPR, 2019.</w:t>
      </w:r>
    </w:p>
    <w:p>
      <w:pPr>
        <w:spacing w:after="80" w:before="0" w:line="252" w:lineRule="auto"/>
        <w:ind w:left="403" w:hanging="403"/>
      </w:pPr>
      <w:r>
        <w:rPr>
          <w:color w:val="243444"/>
          <w:sz w:val="18"/>
        </w:rPr>
        <w:t>[2] T. Defard et al., "PaDiM: a Patch Distribution Modeling Framework for Anomaly Detection and Localization," ICPR Workshops, 2021.</w:t>
      </w:r>
    </w:p>
    <w:p>
      <w:pPr>
        <w:spacing w:after="80" w:before="0" w:line="252" w:lineRule="auto"/>
        <w:ind w:left="403" w:hanging="403"/>
      </w:pPr>
      <w:r>
        <w:rPr>
          <w:color w:val="243444"/>
          <w:sz w:val="18"/>
        </w:rPr>
        <w:t>[3] K. He et al., "Deep Residual Learning for Image Recognition," CVPR, 2016.</w:t>
      </w:r>
    </w:p>
    <w:p>
      <w:pPr>
        <w:spacing w:after="80" w:before="0" w:line="252" w:lineRule="auto"/>
        <w:ind w:left="403" w:hanging="403"/>
      </w:pPr>
      <w:r>
        <w:rPr>
          <w:color w:val="243444"/>
          <w:sz w:val="18"/>
        </w:rPr>
        <w:t>[4] OpenVINO/Anomalib project documentation for industrial anomaly detection workflows.</w:t>
      </w:r>
    </w:p>
    <w:p>
      <w:pPr>
        <w:spacing w:after="80" w:before="0" w:line="252" w:lineRule="auto"/>
        <w:ind w:left="403" w:hanging="403"/>
      </w:pPr>
      <w:r>
        <w:rPr>
          <w:color w:val="243444"/>
          <w:sz w:val="18"/>
        </w:rPr>
        <w:t>[5] OpenCV, PyTorch/torchvision and scikit-learn documentation for image processing, pretrained features and Logistic Regression.</w:t>
      </w:r>
    </w:p>
    <w:sectPr>
      <w:headerReference w:type="default" r:id="rId9"/>
      <w:footerReference w:type="default" r:id="rId10"/>
      <w:pgSz w:w="11909" w:h="16834"/>
      <w:pgMar w:top="749" w:right="792" w:bottom="792" w:left="792" w:header="720" w:footer="720" w:gutter="0"/>
      <w:cols w:space="720"/>
      <w:titlePg/>
      <w:docGrid w:linePitch="360"/>
      <w:pgBorders w:offsetFrom="page">
        <w:top w:val="single" w:sz="10" w:space="14" w:color="B9CBD7"/>
        <w:left w:val="single" w:sz="10" w:space="14" w:color="B9CBD7"/>
        <w:bottom w:val="single" w:sz="10" w:space="14" w:color="B9CBD7"/>
        <w:right w:val="single" w:sz="10" w:space="14" w:color="B9CBD7"/>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584"/>
        <w:sz w:val="16"/>
      </w:rPr>
      <w:t xml:space="preserve">Himanshu Sekhar Parhi | Infosys Springboard Programme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667584"/>
        <w:sz w:val="16"/>
      </w:rPr>
      <w:t>VisionInspect AI — AI/ML Module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6313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A5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6313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rPr>
      <w:rFonts w:ascii="Aptos" w:hAnsi="Aptos"/>
      <w:i/>
      <w:color w:val="667584"/>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VisionInspect AI - AI/ML Module Implementation Report</dc:title>
  <dc:subject>Manufacturing defect detection, explainability and quality decision support</dc:subject>
  <dc:creator/>
  <cp:keywords>VisionInspect AI, AI/ML, PaDiM, OpenCV, defect detection, classification, severity</cp:keywords>
  <dc:description>Final submission version with AI/ML-focused technical corrections and verified visual QA.</dc:description>
  <cp:lastModifiedBy/>
  <cp:revision>1</cp:revision>
  <dcterms:created xsi:type="dcterms:W3CDTF">2013-12-23T23:15:00Z</dcterms:created>
  <dcterms:modified xsi:type="dcterms:W3CDTF">2013-12-23T23:15:00Z</dcterms:modified>
  <cp:category/>
</cp:coreProperties>
</file>