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r>
        <w:rPr>
          <w:rFonts w:ascii="Calibri" w:hAnsi="Calibri"/>
          <w:b/>
          <w:color w:val="1D5FD1"/>
          <w:sz w:val="22"/>
        </w:rPr>
        <w:t>VISIONINSPECT AI</w:t>
      </w:r>
    </w:p>
    <w:p>
      <w:pPr>
        <w:spacing w:after="300"/>
        <w:jc w:val="center"/>
      </w:pPr>
      <w:r>
        <w:rPr>
          <w:rFonts w:ascii="Calibri" w:hAnsi="Calibri"/>
          <w:b/>
          <w:color w:val="0E7490"/>
          <w:sz w:val="24"/>
        </w:rPr>
        <w:t>AI/ML MODULE  |  MILESTONE 1</w:t>
      </w:r>
    </w:p>
    <w:p>
      <w:pPr>
        <w:spacing w:after="240"/>
        <w:jc w:val="center"/>
      </w:pPr>
      <w:r>
        <w:rPr>
          <w:rFonts w:ascii="Calibri" w:hAnsi="Calibri"/>
          <w:b/>
          <w:color w:val="0F2942"/>
          <w:sz w:val="58"/>
        </w:rPr>
        <w:t>Data Foundation and</w:t>
        <w:br/>
        <w:t>Portable Baseline Detection</w:t>
      </w:r>
    </w:p>
    <w:p>
      <w:pPr>
        <w:spacing w:after="840"/>
        <w:jc w:val="center"/>
      </w:pPr>
      <w:r>
        <w:rPr>
          <w:rFonts w:ascii="Calibri" w:hAnsi="Calibri"/>
          <w:color w:val="5F6B7A"/>
          <w:sz w:val="26"/>
        </w:rPr>
        <w:t>Multi-category MVTec AD validation, image preprocessing, normal-memory scoring, residual localization, and baseline evaluation</w:t>
      </w:r>
    </w:p>
    <w:p>
      <w:pPr>
        <w:spacing w:after="560"/>
        <w:pBdr>
          <w:bottom w:val="single" w:sz="18" w:color="1D5FD1"/>
        </w:pBdr>
      </w:pPr>
    </w:p>
    <w:tbl>
      <w:tblPr>
        <w:tblStyle w:val="TableGrid"/>
        <w:tblW w:type="dxa" w:w="9360"/>
        <w:tblLayout w:type="fixed"/>
        <w:tblLook w:firstColumn="1" w:firstRow="1" w:lastColumn="0" w:lastRow="0" w:noHBand="0" w:noVBand="1" w:val="04A0"/>
        <w:jc w:val="center"/>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20"/>
              </w:rPr>
              <w:t>Submission field</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20"/>
              </w:rPr>
              <w:t>Details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Project</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VisionInspect AI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Assigned module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Member 4 - AI/ML</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Prepared by</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Himanshu Sekhar Parhi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Mentor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Sai Jyoteesh</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Programme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Infosys Springboard Programme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Document version</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Milestone 1 Submission - Version 1.0</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Submission date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25 July 2026</w:t>
            </w:r>
          </w:p>
        </w:tc>
      </w:tr>
    </w:tbl>
    <w:p>
      <w:pPr>
        <w:sectPr>
          <w:pgSz w:w="12240" w:h="15840"/>
          <w:pgMar w:top="1440" w:right="1440" w:bottom="1440" w:left="1440" w:header="720" w:footer="720" w:gutter="0"/>
          <w:cols w:space="720"/>
          <w:docGrid w:linePitch="360"/>
        </w:sectPr>
      </w:pPr>
    </w:p>
    <w:p>
      <w:pPr>
        <w:pStyle w:val="Heading1"/>
      </w:pPr>
      <w:r>
        <w:t>Document Control</w:t>
      </w:r>
    </w:p>
    <w:p>
      <w:r>
        <w:rPr>
          <w:rFonts w:ascii="Calibri" w:hAnsi="Calibri"/>
          <w:color w:val="172033"/>
        </w:rPr>
        <w:t>This report is the final-submission record for Milestone 1 of the VisionInspect AI Member 4 module. It documents the data and portable anomaly-detection foundation that later milestones build upon.</w:t>
      </w:r>
    </w:p>
    <w:p>
      <w:pPr>
        <w:spacing w:before="120" w:after="160"/>
        <w:ind w:left="173" w:right="173"/>
        <w:shd w:fill="EAF7EF"/>
        <w:pBdr>
          <w:left w:val="single" w:sz="24" w:space="8" w:color="15803D"/>
        </w:pBdr>
      </w:pPr>
      <w:r>
        <w:rPr>
          <w:rFonts w:ascii="Calibri" w:hAnsi="Calibri"/>
          <w:b/>
          <w:color w:val="15803D"/>
        </w:rPr>
        <w:t xml:space="preserve">Milestone status: </w:t>
      </w:r>
      <w:r>
        <w:rPr>
          <w:rFonts w:ascii="Calibri" w:hAnsi="Calibri"/>
          <w:color w:val="172033"/>
        </w:rPr>
        <w:t>Completed and verified. All 15 categories have valid dataset records and portable runtime profiles; the focused software tests pass.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8"/>
              </w:rPr>
              <w:t>Control item</w:t>
            </w:r>
          </w:p>
        </w:tc>
        <w:tc>
          <w:tcPr>
            <w:tcW w:type="dxa" w:w="6960"/>
            <w:shd w:fill="0F2942"/>
            <w:vAlign w:val="center"/>
            <w:tcMar>
              <w:top w:w="80" w:type="dxa"/>
              <w:start w:w="120" w:type="dxa"/>
              <w:bottom w:w="80" w:type="dxa"/>
              <w:end w:w="120" w:type="dxa"/>
            </w:tcMar>
          </w:tcPr>
          <w:p>
            <w:pPr>
              <w:spacing w:after="0"/>
            </w:pPr>
            <w:r/>
            <w:r>
              <w:rPr>
                <w:rFonts w:ascii="Calibri" w:hAnsi="Calibri"/>
                <w:b/>
                <w:color w:val="FFFFFF"/>
                <w:sz w:val="18"/>
              </w:rPr>
              <w:t>Recorded value</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8"/>
              </w:rPr>
              <w:t>Milestone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8"/>
              </w:rPr>
              <w:t>1 - Data Foundation and Portable Baseline</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8"/>
              </w:rPr>
              <w:t>Primary notebooks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8"/>
              </w:rPr>
              <w:t>01_system_and_dataset_overview.ipynb; 02_portable_baseline_detector.ipynb</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8"/>
              </w:rPr>
              <w:t>Dataset</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8"/>
              </w:rPr>
              <w:t>MVTec AD, all 15 object and texture categories</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8"/>
              </w:rPr>
              <w:t>Runtime scope</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8"/>
              </w:rPr>
              <w:t>Portable CPU anomaly detection using ResNet18 ONNX and OpenCV</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8"/>
              </w:rPr>
              <w:t>Evidence state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8"/>
              </w:rPr>
              <w:t>Notebook outputs executed and stored inline</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8"/>
              </w:rPr>
              <w:t>Focused tests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8"/>
              </w:rPr>
              <w:t>9 passed, 1 skipped in 5.83 seconds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8"/>
              </w:rPr>
              <w:t>Repository branch</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8"/>
              </w:rPr>
              <w:t>Himanshu-parhi-ai/ml</w:t>
            </w:r>
          </w:p>
        </w:tc>
      </w:tr>
    </w:tbl>
    <w:p>
      <w:pPr>
        <w:pStyle w:val="Heading2"/>
      </w:pPr>
      <w:r>
        <w:t>Milestone Snapshot</w:t>
      </w:r>
    </w:p>
    <w:tbl>
      <w:tblPr>
        <w:tblStyle w:val="TableGrid"/>
        <w:tblW w:type="dxa" w:w="9360"/>
        <w:jc w:val="left"/>
        <w:tblLayout w:type="fixed"/>
        <w:tblLook w:firstColumn="1" w:firstRow="1" w:lastColumn="0" w:lastRow="0" w:noHBand="0" w:noVBand="1" w:val="04A0"/>
        <w:tblInd w:type="dxa" w:w="120"/>
      </w:tblPr>
      <w:tblGrid>
        <w:gridCol w:w="1500"/>
        <w:gridCol w:w="7860"/>
      </w:tblGrid>
      <w:tr>
        <w:trPr>
          <w:tblHeader w:val="true"/>
        </w:trPr>
        <w:tc>
          <w:tcPr>
            <w:tcW w:type="dxa" w:w="1500"/>
            <w:shd w:fill="1D5FD1"/>
            <w:vAlign w:val="center"/>
            <w:tcMar>
              <w:top w:w="80" w:type="dxa"/>
              <w:start w:w="120" w:type="dxa"/>
              <w:bottom w:w="80" w:type="dxa"/>
              <w:end w:w="120" w:type="dxa"/>
            </w:tcMar>
          </w:tcPr>
          <w:p>
            <w:pPr>
              <w:spacing w:after="0"/>
            </w:pPr>
            <w:r/>
            <w:r>
              <w:rPr>
                <w:rFonts w:ascii="Calibri" w:hAnsi="Calibri"/>
                <w:b/>
                <w:color w:val="FFFFFF"/>
                <w:sz w:val="19"/>
              </w:rPr>
              <w:t>Value</w:t>
            </w:r>
          </w:p>
        </w:tc>
        <w:tc>
          <w:tcPr>
            <w:tcW w:type="dxa" w:w="7860"/>
            <w:shd w:fill="1D5FD1"/>
            <w:vAlign w:val="center"/>
            <w:tcMar>
              <w:top w:w="80" w:type="dxa"/>
              <w:start w:w="120" w:type="dxa"/>
              <w:bottom w:w="80" w:type="dxa"/>
              <w:end w:w="120" w:type="dxa"/>
            </w:tcMar>
          </w:tcPr>
          <w:p>
            <w:pPr>
              <w:spacing w:after="0"/>
            </w:pPr>
            <w:r/>
            <w:r>
              <w:rPr>
                <w:rFonts w:ascii="Calibri" w:hAnsi="Calibri"/>
                <w:b/>
                <w:color w:val="FFFFFF"/>
                <w:sz w:val="19"/>
              </w:rPr>
              <w:t>Meaning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9"/>
              </w:rPr>
              <w:t>15</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9"/>
              </w:rPr>
              <w:t>MVTec categories verified</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9"/>
              </w:rPr>
              <w:t>5,354</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9"/>
              </w:rPr>
              <w:t>Real industrial benchmark images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9"/>
              </w:rPr>
              <w:t>3,629</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9"/>
              </w:rPr>
              <w:t>Normal training images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9"/>
              </w:rPr>
              <w:t>1,725</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9"/>
              </w:rPr>
              <w:t>Normal and defective test images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9"/>
              </w:rPr>
              <w:t>0</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9"/>
              </w:rPr>
              <w:t>Missing expected defect masks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9"/>
              </w:rPr>
              <w:t>15</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9"/>
              </w:rPr>
              <w:t>Portable normal-profile artifacts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9"/>
              </w:rPr>
              <w:t>42.62 MB</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9"/>
              </w:rPr>
              <w:t>Shared ResNet18 ONNX feature extractor</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9"/>
              </w:rPr>
              <w:t>11.08 MB</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9"/>
              </w:rPr>
              <w:t>Combined category normal-profile storage</w:t>
            </w:r>
          </w:p>
        </w:tc>
      </w:tr>
    </w:tbl>
    <w:p>
      <w:pPr>
        <w:pStyle w:val="Heading1"/>
        <w:pageBreakBefore/>
      </w:pPr>
      <w:r>
        <w:t>Table of Contents</w:t>
      </w:r>
    </w:p>
    <w:tbl>
      <w:tblPr>
        <w:tblStyle w:val="TableGrid"/>
        <w:tblW w:type="dxa" w:w="9360"/>
        <w:jc w:val="left"/>
        <w:tblLayout w:type="fixed"/>
        <w:tblLook w:firstColumn="1" w:firstRow="1" w:lastColumn="0" w:lastRow="0" w:noHBand="0" w:noVBand="1" w:val="04A0"/>
        <w:tblInd w:type="dxa" w:w="120"/>
      </w:tblPr>
      <w:tblGrid>
        <w:gridCol w:w="8300"/>
        <w:gridCol w:w="1060"/>
      </w:tblGrid>
      <w:tr>
        <w:trPr>
          <w:tblHeader w:val="true"/>
        </w:trPr>
        <w:tc>
          <w:tcPr>
            <w:tcW w:type="dxa" w:w="8300"/>
            <w:shd w:fill="0F2942"/>
            <w:vAlign w:val="center"/>
            <w:tcMar>
              <w:top w:w="80" w:type="dxa"/>
              <w:start w:w="120" w:type="dxa"/>
              <w:bottom w:w="80" w:type="dxa"/>
              <w:end w:w="120" w:type="dxa"/>
            </w:tcMar>
          </w:tcPr>
          <w:p>
            <w:pPr>
              <w:spacing w:after="0"/>
            </w:pPr>
            <w:r/>
            <w:r>
              <w:rPr>
                <w:rFonts w:ascii="Calibri" w:hAnsi="Calibri"/>
                <w:b/>
                <w:color w:val="FFFFFF"/>
                <w:sz w:val="19"/>
              </w:rPr>
              <w:t>Section</w:t>
            </w:r>
          </w:p>
        </w:tc>
        <w:tc>
          <w:tcPr>
            <w:tcW w:type="dxa" w:w="1060"/>
            <w:shd w:fill="0F2942"/>
            <w:vAlign w:val="center"/>
            <w:tcMar>
              <w:top w:w="80" w:type="dxa"/>
              <w:start w:w="120" w:type="dxa"/>
              <w:bottom w:w="80" w:type="dxa"/>
              <w:end w:w="120" w:type="dxa"/>
            </w:tcMar>
          </w:tcPr>
          <w:p>
            <w:pPr>
              <w:spacing w:after="0"/>
            </w:pPr>
            <w:r/>
            <w:r>
              <w:rPr>
                <w:rFonts w:ascii="Calibri" w:hAnsi="Calibri"/>
                <w:b/>
                <w:color w:val="FFFFFF"/>
                <w:sz w:val="19"/>
              </w:rPr>
              <w:t>Page</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1. Executive Summary</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3</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2. Milestone Scope and Acceptance Criteria</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4</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3. System Context and Architecture</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5</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4. Technology Stack and Repository Mapping</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6</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5. MVTec AD Dataset Foundation</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7</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6. Data Loading and Validation</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10</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7. Image Processing and Preprocessing</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11</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8. Portable Baseline Detector Design</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13</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9. Baseline Inference Walkthrough</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15</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10. Baseline Evaluation Results</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17</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11. Testing and Reproducibility</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20</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12. Risks, Limitations, and Mitigations</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22</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13. Milestone Completion and Handover</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23</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References</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24</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Appendix A. Code and Artifact Inventory</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25</w:t>
            </w:r>
          </w:p>
        </w:tc>
      </w:tr>
      <w:tr>
        <w:tc>
          <w:tcPr>
            <w:tcW w:type="dxa" w:w="8300"/>
            <w:vAlign w:val="center"/>
            <w:tcMar>
              <w:top w:w="80" w:type="dxa"/>
              <w:start w:w="120" w:type="dxa"/>
              <w:bottom w:w="80" w:type="dxa"/>
              <w:end w:w="120" w:type="dxa"/>
            </w:tcMar>
          </w:tcPr>
          <w:p>
            <w:pPr>
              <w:spacing w:after="0" w:line="240" w:lineRule="auto"/>
            </w:pPr>
            <w:r/>
            <w:r>
              <w:rPr>
                <w:rFonts w:ascii="Calibri" w:hAnsi="Calibri"/>
                <w:color w:val="172033"/>
                <w:sz w:val="19"/>
              </w:rPr>
              <w:t>Appendix B. Evidence Index</w:t>
            </w:r>
          </w:p>
        </w:tc>
        <w:tc>
          <w:tcPr>
            <w:tcW w:type="dxa" w:w="1060"/>
            <w:vAlign w:val="center"/>
            <w:tcMar>
              <w:top w:w="80" w:type="dxa"/>
              <w:start w:w="120" w:type="dxa"/>
              <w:bottom w:w="80" w:type="dxa"/>
              <w:end w:w="120" w:type="dxa"/>
            </w:tcMar>
          </w:tcPr>
          <w:p>
            <w:pPr>
              <w:spacing w:after="0" w:line="240" w:lineRule="auto"/>
            </w:pPr>
            <w:r/>
            <w:r>
              <w:rPr>
                <w:rFonts w:ascii="Calibri" w:hAnsi="Calibri"/>
                <w:color w:val="172033"/>
                <w:sz w:val="19"/>
              </w:rPr>
              <w:t>26</w:t>
            </w:r>
          </w:p>
        </w:tc>
      </w:tr>
    </w:tbl>
    <w:p>
      <w:pPr>
        <w:pStyle w:val="Heading2"/>
      </w:pPr>
      <w:r>
        <w:t>List of Figures</w:t>
      </w:r>
    </w:p>
    <w:tbl>
      <w:tblPr>
        <w:tblStyle w:val="TableGrid"/>
        <w:tblW w:type="dxa" w:w="9360"/>
        <w:jc w:val="left"/>
        <w:tblLayout w:type="fixed"/>
        <w:tblLook w:firstColumn="1" w:firstRow="1" w:lastColumn="0" w:lastRow="0" w:noHBand="0" w:noVBand="1" w:val="04A0"/>
        <w:tblInd w:type="dxa" w:w="120"/>
      </w:tblPr>
      <w:tblGrid>
        <w:gridCol w:w="1200"/>
        <w:gridCol w:w="8160"/>
      </w:tblGrid>
      <w:tr>
        <w:trPr>
          <w:tblHeader w:val="true"/>
        </w:trPr>
        <w:tc>
          <w:tcPr>
            <w:tcW w:type="dxa" w:w="1200"/>
            <w:shd w:fill="0E7490"/>
            <w:vAlign w:val="center"/>
            <w:tcMar>
              <w:top w:w="80" w:type="dxa"/>
              <w:start w:w="120" w:type="dxa"/>
              <w:bottom w:w="80" w:type="dxa"/>
              <w:end w:w="120" w:type="dxa"/>
            </w:tcMar>
          </w:tcPr>
          <w:p>
            <w:pPr>
              <w:spacing w:after="0"/>
            </w:pPr>
            <w:r/>
            <w:r>
              <w:rPr>
                <w:rFonts w:ascii="Calibri" w:hAnsi="Calibri"/>
                <w:b/>
                <w:color w:val="FFFFFF"/>
                <w:sz w:val="18"/>
              </w:rPr>
              <w:t>Figure</w:t>
            </w:r>
          </w:p>
        </w:tc>
        <w:tc>
          <w:tcPr>
            <w:tcW w:type="dxa" w:w="8160"/>
            <w:shd w:fill="0E7490"/>
            <w:vAlign w:val="center"/>
            <w:tcMar>
              <w:top w:w="80" w:type="dxa"/>
              <w:start w:w="120" w:type="dxa"/>
              <w:bottom w:w="80" w:type="dxa"/>
              <w:end w:w="120" w:type="dxa"/>
            </w:tcMar>
          </w:tcPr>
          <w:p>
            <w:pPr>
              <w:spacing w:after="0"/>
            </w:pPr>
            <w:r/>
            <w:r>
              <w:rPr>
                <w:rFonts w:ascii="Calibri" w:hAnsi="Calibri"/>
                <w:b/>
                <w:color w:val="FFFFFF"/>
                <w:sz w:val="18"/>
              </w:rPr>
              <w:t>Description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8"/>
              </w:rPr>
              <w:t>1</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8"/>
              </w:rPr>
              <w:t>Milestone 1 development and runtime workflow</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8"/>
              </w:rPr>
              <w:t>2</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8"/>
              </w:rPr>
              <w:t>MVTec AD category directory contract</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8"/>
              </w:rPr>
              <w:t>3</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8"/>
              </w:rPr>
              <w:t>MVTec AD image counts used by VisionInspect AI</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8"/>
              </w:rPr>
              <w:t>4</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8"/>
              </w:rPr>
              <w:t>Real defective examples from all 15 supported categories</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8"/>
              </w:rPr>
              <w:t>5</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8"/>
              </w:rPr>
              <w:t>Object-aware preprocessing evidence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8"/>
              </w:rPr>
              <w:t>6</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8"/>
              </w:rPr>
              <w:t>Portable detector architecture and dual-gate decision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8"/>
              </w:rPr>
              <w:t>7</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8"/>
              </w:rPr>
              <w:t>Normal and defective portable baseline evidence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8"/>
              </w:rPr>
              <w:t>8</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8"/>
              </w:rPr>
              <w:t>Portable baseline F1 and AUROC by category</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8"/>
              </w:rPr>
              <w:t>9</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8"/>
              </w:rPr>
              <w:t>Focused Milestone 1 automated test result</w:t>
            </w:r>
          </w:p>
        </w:tc>
      </w:tr>
    </w:tbl>
    <w:p>
      <w:pPr>
        <w:pStyle w:val="Heading1"/>
        <w:pageBreakBefore/>
      </w:pPr>
      <w:r>
        <w:t>1. Executive Summary</w:t>
      </w:r>
    </w:p>
    <w:p>
      <w:r>
        <w:rPr>
          <w:rFonts w:ascii="Calibri" w:hAnsi="Calibri"/>
          <w:color w:val="172033"/>
        </w:rPr>
        <w:t>VisionInspect AI is a manufacturing quality-inspection platform that converts product images into traceable evidence. Milestone 1 establishes the AI/ML foundation required before advanced anomaly models, defect subtype classifiers, severity scoring, and backend integration can be trusted. The milestone validates the complete MVTec AD dataset, defines a consistent data contract, prepares category-specific normal representations, and implements a portable Good/Defective detector.</w:t>
      </w:r>
    </w:p>
    <w:p>
      <w:r>
        <w:rPr>
          <w:rFonts w:ascii="Calibri" w:hAnsi="Calibri"/>
          <w:color w:val="172033"/>
        </w:rPr>
        <w:t>The portable detector is deliberately hybrid. A shared ImageNet-pretrained ResNet18 exported to ONNX produces a 512-dimensional global image embedding. The image anomaly score is the cosine distance to the nearest embedding in that category's normal memory. In parallel, OpenCV compares the preprocessed image with the category's normal mean and variability profile to localize unusual regions. A product is marked defective only when the global score exceeds its calibrated threshold and a cleaned spatial residual mask remains.</w:t>
      </w:r>
    </w:p>
    <w:p>
      <w:pPr>
        <w:spacing w:before="120" w:after="160"/>
        <w:ind w:left="173" w:right="173"/>
        <w:shd w:fill="EAF2FF"/>
        <w:pBdr>
          <w:left w:val="single" w:sz="24" w:space="8" w:color="1D5FD1"/>
        </w:pBdr>
      </w:pPr>
      <w:r>
        <w:rPr>
          <w:rFonts w:ascii="Calibri" w:hAnsi="Calibri"/>
          <w:b/>
          <w:color w:val="1D5FD1"/>
        </w:rPr>
        <w:t xml:space="preserve">Why the hybrid design matters: </w:t>
      </w:r>
      <w:r>
        <w:rPr>
          <w:rFonts w:ascii="Calibri" w:hAnsi="Calibri"/>
          <w:color w:val="172033"/>
        </w:rPr>
        <w:t>Global deep features detect appearance changes, while spatial residuals prove that the change can be localized. Requiring both signals reduces false alarms from harmless global variation.</w:t>
      </w:r>
    </w:p>
    <w:p>
      <w:r>
        <w:rPr>
          <w:rFonts w:ascii="Calibri" w:hAnsi="Calibri"/>
          <w:color w:val="172033"/>
        </w:rPr>
        <w:t>The dataset audit verified 5,354 images across all 15 MVTec categories: 3,629 normal training images and 1,725 test images. Every one of the 1,258 defective test images in the local copy has its expected pixel-level mask. The committed portable baseline reports an unweighted category mean F1 of 0.8196 and mean AUROC of 0.8631. Performance varies significantly by category; that variation is documented rather than hidden and provides the improvement agenda for Milestone 2.</w:t>
      </w:r>
    </w:p>
    <w:p>
      <w:pPr>
        <w:pStyle w:val="Heading2"/>
      </w:pPr>
      <w:r>
        <w:t>1.1 Key outcomes</w:t>
      </w:r>
    </w:p>
    <w:p>
      <w:pPr>
        <w:pStyle w:val="ListBullet"/>
        <w:spacing w:after="80" w:line="276" w:lineRule="auto"/>
        <w:ind w:left="720" w:hanging="360"/>
      </w:pPr>
      <w:r>
        <w:rPr>
          <w:rFonts w:ascii="Calibri" w:hAnsi="Calibri"/>
          <w:color w:val="172033"/>
        </w:rPr>
        <w:t>A dynamic dataset loader supports every MVTec category and defect-folder label.</w:t>
      </w:r>
    </w:p>
    <w:p>
      <w:pPr>
        <w:pStyle w:val="ListBullet"/>
        <w:spacing w:after="80" w:line="276" w:lineRule="auto"/>
        <w:ind w:left="720" w:hanging="360"/>
      </w:pPr>
      <w:r>
        <w:rPr>
          <w:rFonts w:ascii="Calibri" w:hAnsi="Calibri"/>
          <w:color w:val="172033"/>
        </w:rPr>
        <w:t>Image validation records split, label, target, dimensions, channels, path, and mask path.</w:t>
      </w:r>
    </w:p>
    <w:p>
      <w:pPr>
        <w:pStyle w:val="ListBullet"/>
        <w:spacing w:after="80" w:line="276" w:lineRule="auto"/>
        <w:ind w:left="720" w:hanging="360"/>
      </w:pPr>
      <w:r>
        <w:rPr>
          <w:rFonts w:ascii="Calibri" w:hAnsi="Calibri"/>
          <w:color w:val="172033"/>
        </w:rPr>
        <w:t>Reusable preprocessing covers resize, grayscale conversion, denoising, CLAHE contrast enhancement, foreground masking, cropping, alignment, and padded resizing.</w:t>
      </w:r>
    </w:p>
    <w:p>
      <w:pPr>
        <w:pStyle w:val="ListBullet"/>
        <w:spacing w:after="80" w:line="276" w:lineRule="auto"/>
        <w:ind w:left="720" w:hanging="360"/>
      </w:pPr>
      <w:r>
        <w:rPr>
          <w:rFonts w:ascii="Calibri" w:hAnsi="Calibri"/>
          <w:color w:val="172033"/>
        </w:rPr>
        <w:t>Each category has a compact normal profile containing mean, variability, foreground mask, and normal embedding memory.</w:t>
      </w:r>
    </w:p>
    <w:p>
      <w:pPr>
        <w:pStyle w:val="ListBullet"/>
        <w:spacing w:after="80" w:line="276" w:lineRule="auto"/>
        <w:ind w:left="720" w:hanging="360"/>
      </w:pPr>
      <w:r>
        <w:rPr>
          <w:rFonts w:ascii="Calibri" w:hAnsi="Calibri"/>
          <w:color w:val="172033"/>
        </w:rPr>
        <w:t>The shared ONNX ResNet18 feature extractor avoids requiring PyTorch for portable inference.</w:t>
      </w:r>
    </w:p>
    <w:p>
      <w:pPr>
        <w:pStyle w:val="ListBullet"/>
        <w:spacing w:after="80" w:line="276" w:lineRule="auto"/>
        <w:ind w:left="720" w:hanging="360"/>
      </w:pPr>
      <w:r>
        <w:rPr>
          <w:rFonts w:ascii="Calibri" w:hAnsi="Calibri"/>
          <w:color w:val="172033"/>
        </w:rPr>
        <w:t>A dual-gate decision combines calibrated global anomaly scoring with localized residual evidence.</w:t>
      </w:r>
    </w:p>
    <w:p>
      <w:pPr>
        <w:pStyle w:val="ListBullet"/>
        <w:spacing w:after="80" w:line="276" w:lineRule="auto"/>
        <w:ind w:left="720" w:hanging="360"/>
      </w:pPr>
      <w:r>
        <w:rPr>
          <w:rFonts w:ascii="Calibri" w:hAnsi="Calibri"/>
          <w:color w:val="172033"/>
        </w:rPr>
        <w:t>Notebook evidence and focused tests confirm the milestone can be reproduced without generating external report files.</w:t>
      </w:r>
    </w:p>
    <w:p>
      <w:pPr>
        <w:pStyle w:val="Heading1"/>
        <w:pageBreakBefore/>
      </w:pPr>
      <w:r>
        <w:t>2. Milestone Scope and Acceptance Criteria</w:t>
      </w:r>
    </w:p>
    <w:p>
      <w:pPr>
        <w:pStyle w:val="Heading2"/>
      </w:pPr>
      <w:r>
        <w:t>2.1 Objective</w:t>
      </w:r>
    </w:p>
    <w:p>
      <w:r>
        <w:rPr>
          <w:rFonts w:ascii="Calibri" w:hAnsi="Calibri"/>
          <w:color w:val="172033"/>
        </w:rPr>
        <w:t>The objective of Milestone 1 is to create a reliable and portable foundation that can ingest a product image, understand its category context, compare it with learned normal appearance, localize suspicious differences, and return a preliminary Good/Defective result with supporting evidence.</w:t>
      </w:r>
    </w:p>
    <w:p>
      <w:pPr>
        <w:pStyle w:val="Heading2"/>
      </w:pPr>
      <w:r>
        <w:t>2.2 Included work</w:t>
      </w:r>
    </w:p>
    <w:p>
      <w:pPr>
        <w:pStyle w:val="ListBullet"/>
        <w:spacing w:after="80" w:line="276" w:lineRule="auto"/>
        <w:ind w:left="720" w:hanging="360"/>
      </w:pPr>
      <w:r>
        <w:rPr>
          <w:rFonts w:ascii="Calibri" w:hAnsi="Calibri"/>
          <w:color w:val="172033"/>
        </w:rPr>
        <w:t>Digital-image representation and channel handling needed by the runtime.</w:t>
      </w:r>
    </w:p>
    <w:p>
      <w:pPr>
        <w:pStyle w:val="ListBullet"/>
        <w:spacing w:after="80" w:line="276" w:lineRule="auto"/>
        <w:ind w:left="720" w:hanging="360"/>
      </w:pPr>
      <w:r>
        <w:rPr>
          <w:rFonts w:ascii="Calibri" w:hAnsi="Calibri"/>
          <w:color w:val="172033"/>
        </w:rPr>
        <w:t>Complete 15-category MVTec AD inventory and directory validation.</w:t>
      </w:r>
    </w:p>
    <w:p>
      <w:pPr>
        <w:pStyle w:val="ListBullet"/>
        <w:spacing w:after="80" w:line="276" w:lineRule="auto"/>
        <w:ind w:left="720" w:hanging="360"/>
      </w:pPr>
      <w:r>
        <w:rPr>
          <w:rFonts w:ascii="Calibri" w:hAnsi="Calibri"/>
          <w:color w:val="172033"/>
        </w:rPr>
        <w:t>Dynamic record collection for train, test, labels, targets, dimensions, and masks.</w:t>
      </w:r>
    </w:p>
    <w:p>
      <w:pPr>
        <w:pStyle w:val="ListBullet"/>
        <w:spacing w:after="80" w:line="276" w:lineRule="auto"/>
        <w:ind w:left="720" w:hanging="360"/>
      </w:pPr>
      <w:r>
        <w:rPr>
          <w:rFonts w:ascii="Calibri" w:hAnsi="Calibri"/>
          <w:color w:val="172033"/>
        </w:rPr>
        <w:t>General and object-aware image-preprocessing functions.</w:t>
      </w:r>
    </w:p>
    <w:p>
      <w:pPr>
        <w:pStyle w:val="ListBullet"/>
        <w:spacing w:after="80" w:line="276" w:lineRule="auto"/>
        <w:ind w:left="720" w:hanging="360"/>
      </w:pPr>
      <w:r>
        <w:rPr>
          <w:rFonts w:ascii="Calibri" w:hAnsi="Calibri"/>
          <w:color w:val="172033"/>
        </w:rPr>
        <w:t>Category-specific normal mean, standard deviation, foreground mask, and embedding memory.</w:t>
      </w:r>
    </w:p>
    <w:p>
      <w:pPr>
        <w:pStyle w:val="ListBullet"/>
        <w:spacing w:after="80" w:line="276" w:lineRule="auto"/>
        <w:ind w:left="720" w:hanging="360"/>
      </w:pPr>
      <w:r>
        <w:rPr>
          <w:rFonts w:ascii="Calibri" w:hAnsi="Calibri"/>
          <w:color w:val="172033"/>
        </w:rPr>
        <w:t>Shared ResNet18 ONNX feature extraction and nearest-normal cosine scoring.</w:t>
      </w:r>
    </w:p>
    <w:p>
      <w:pPr>
        <w:pStyle w:val="ListBullet"/>
        <w:spacing w:after="80" w:line="276" w:lineRule="auto"/>
        <w:ind w:left="720" w:hanging="360"/>
      </w:pPr>
      <w:r>
        <w:rPr>
          <w:rFonts w:ascii="Calibri" w:hAnsi="Calibri"/>
          <w:color w:val="172033"/>
        </w:rPr>
        <w:t>Brightness-corrected normalized residual localization and connected-component cleanup.</w:t>
      </w:r>
    </w:p>
    <w:p>
      <w:pPr>
        <w:pStyle w:val="ListBullet"/>
        <w:spacing w:after="80" w:line="276" w:lineRule="auto"/>
        <w:ind w:left="720" w:hanging="360"/>
      </w:pPr>
      <w:r>
        <w:rPr>
          <w:rFonts w:ascii="Calibri" w:hAnsi="Calibri"/>
          <w:color w:val="172033"/>
        </w:rPr>
        <w:t>Category-specific global and residual thresholds.</w:t>
      </w:r>
    </w:p>
    <w:p>
      <w:pPr>
        <w:pStyle w:val="ListBullet"/>
        <w:spacing w:after="80" w:line="276" w:lineRule="auto"/>
        <w:ind w:left="720" w:hanging="360"/>
      </w:pPr>
      <w:r>
        <w:rPr>
          <w:rFonts w:ascii="Calibri" w:hAnsi="Calibri"/>
          <w:color w:val="172033"/>
        </w:rPr>
        <w:t>Dual-gate Good/Defective decision, detection confidence, mask, and heatmap.</w:t>
      </w:r>
    </w:p>
    <w:p>
      <w:pPr>
        <w:pStyle w:val="ListBullet"/>
        <w:spacing w:after="80" w:line="276" w:lineRule="auto"/>
        <w:ind w:left="720" w:hanging="360"/>
      </w:pPr>
      <w:r>
        <w:rPr>
          <w:rFonts w:ascii="Calibri" w:hAnsi="Calibri"/>
          <w:color w:val="172033"/>
        </w:rPr>
        <w:t>Baseline validation metrics, focused tests, reproducibility steps, and limitations.</w:t>
      </w:r>
    </w:p>
    <w:p>
      <w:pPr>
        <w:pStyle w:val="Heading2"/>
      </w:pPr>
      <w:r>
        <w:t>2.3 Explicitly deferred</w:t>
      </w:r>
    </w:p>
    <w:p>
      <w:pPr>
        <w:pStyle w:val="ListBullet"/>
        <w:spacing w:after="80" w:line="276" w:lineRule="auto"/>
        <w:ind w:left="720" w:hanging="360"/>
      </w:pPr>
      <w:r>
        <w:rPr>
          <w:rFonts w:ascii="Calibri" w:hAnsi="Calibri"/>
          <w:color w:val="172033"/>
        </w:rPr>
        <w:t>PaDiM/PatchCore training, benchmarking, promotion, and OpenVINO advanced inference are documented in Milestone 2.</w:t>
      </w:r>
    </w:p>
    <w:p>
      <w:pPr>
        <w:pStyle w:val="ListBullet"/>
        <w:spacing w:after="80" w:line="276" w:lineRule="auto"/>
        <w:ind w:left="720" w:hanging="360"/>
      </w:pPr>
      <w:r>
        <w:rPr>
          <w:rFonts w:ascii="Calibri" w:hAnsi="Calibri"/>
          <w:color w:val="172033"/>
        </w:rPr>
        <w:t>Defect subtype classification, explainability policy, severity scoring, and QA action mapping are documented in Milestone 3.</w:t>
      </w:r>
    </w:p>
    <w:p>
      <w:pPr>
        <w:pStyle w:val="ListBullet"/>
        <w:spacing w:after="80" w:line="276" w:lineRule="auto"/>
        <w:ind w:left="720" w:hanging="360"/>
      </w:pPr>
      <w:r>
        <w:rPr>
          <w:rFonts w:ascii="Calibri" w:hAnsi="Calibri"/>
          <w:color w:val="172033"/>
        </w:rPr>
        <w:t>Unified multi-category orchestration, backend-ready payloads, full artifact integrity checks, and production-readiness validation are documented in Milestone 4.</w:t>
      </w:r>
    </w:p>
    <w:p>
      <w:pPr>
        <w:pStyle w:val="Heading2"/>
      </w:pPr>
      <w:r>
        <w:t>2.4 Acceptance criteria</w:t>
      </w:r>
    </w:p>
    <w:tbl>
      <w:tblPr>
        <w:tblStyle w:val="TableGrid"/>
        <w:tblW w:type="dxa" w:w="9360"/>
        <w:jc w:val="left"/>
        <w:tblLayout w:type="fixed"/>
        <w:tblLook w:firstColumn="1" w:firstRow="1" w:lastColumn="0" w:lastRow="0" w:noHBand="0" w:noVBand="1" w:val="04A0"/>
        <w:tblInd w:type="dxa" w:w="120"/>
      </w:tblPr>
      <w:tblGrid>
        <w:gridCol w:w="2300"/>
        <w:gridCol w:w="5900"/>
        <w:gridCol w:w="11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17"/>
              </w:rPr>
              <w:t>Criterion</w:t>
            </w:r>
          </w:p>
        </w:tc>
        <w:tc>
          <w:tcPr>
            <w:tcW w:type="dxa" w:w="5900"/>
            <w:shd w:fill="0F2942"/>
            <w:vAlign w:val="center"/>
            <w:tcMar>
              <w:top w:w="80" w:type="dxa"/>
              <w:start w:w="120" w:type="dxa"/>
              <w:bottom w:w="80" w:type="dxa"/>
              <w:end w:w="120" w:type="dxa"/>
            </w:tcMar>
          </w:tcPr>
          <w:p>
            <w:pPr>
              <w:spacing w:after="0"/>
            </w:pPr>
            <w:r/>
            <w:r>
              <w:rPr>
                <w:rFonts w:ascii="Calibri" w:hAnsi="Calibri"/>
                <w:b/>
                <w:color w:val="FFFFFF"/>
                <w:sz w:val="17"/>
              </w:rPr>
              <w:t>Verification condition</w:t>
            </w:r>
          </w:p>
        </w:tc>
        <w:tc>
          <w:tcPr>
            <w:tcW w:type="dxa" w:w="116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Dataset discovery</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All 15 categories found with train and test structures</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Record integrity</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 dimensions, channels, labels, targets, and mask paths available</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Mask coverage</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No expected defect mask missing in the verified local dataset</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Portable profiles</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One runnable normal_profile.npz per category</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Feature runtime</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Shared ResNet18 ONNX artifact loads without PyTorch</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Decision evidence</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Score, threshold, residual map, mask, heatmap, and prediction returned</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Software validation</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Focused Milestone 1 test suite passes</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Met</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Documentation</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Real notebook outputs included with source mapping</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Met</w:t>
            </w:r>
          </w:p>
        </w:tc>
      </w:tr>
    </w:tbl>
    <w:p>
      <w:pPr>
        <w:pStyle w:val="Heading1"/>
        <w:pageBreakBefore/>
      </w:pPr>
      <w:r>
        <w:t>3. System Context and Architecture</w:t>
      </w:r>
    </w:p>
    <w:p>
      <w:r>
        <w:rPr>
          <w:rFonts w:ascii="Calibri" w:hAnsi="Calibri"/>
          <w:color w:val="172033"/>
        </w:rPr>
        <w:t>Milestone 1 contains an offline preparation path and a runtime inspection path. Offline preparation uses only normal training images to establish category-specific normal appearance. Runtime inspection compares a new image with that stored normal evidence. This separation keeps training work out of the web request path and makes inference repeatable.</w:t>
      </w:r>
    </w:p>
    <w:p>
      <w:pPr>
        <w:keepNext/>
        <w:jc w:val="center"/>
      </w:pPr>
      <w:r>
        <w:drawing>
          <wp:inline xmlns:a="http://schemas.openxmlformats.org/drawingml/2006/main" xmlns:pic="http://schemas.openxmlformats.org/drawingml/2006/picture">
            <wp:extent cx="6080760" cy="3496437"/>
            <wp:docPr id="1" name="Picture 1" descr="Milestone 1 development and runtime workflow"/>
            <wp:cNvGraphicFramePr>
              <a:graphicFrameLocks noChangeAspect="1"/>
            </wp:cNvGraphicFramePr>
            <a:graphic>
              <a:graphicData uri="http://schemas.openxmlformats.org/drawingml/2006/picture">
                <pic:pic>
                  <pic:nvPicPr>
                    <pic:cNvPr id="0" name="milestone1_workflow.png"/>
                    <pic:cNvPicPr/>
                  </pic:nvPicPr>
                  <pic:blipFill>
                    <a:blip r:embed="rId11"/>
                    <a:stretch>
                      <a:fillRect/>
                    </a:stretch>
                  </pic:blipFill>
                  <pic:spPr>
                    <a:xfrm>
                      <a:off x="0" y="0"/>
                      <a:ext cx="6080760" cy="3496437"/>
                    </a:xfrm>
                    <a:prstGeom prst="rect"/>
                  </pic:spPr>
                </pic:pic>
              </a:graphicData>
            </a:graphic>
          </wp:inline>
        </w:drawing>
      </w:r>
    </w:p>
    <w:p>
      <w:pPr>
        <w:pStyle w:val="Caption"/>
        <w:spacing w:before="60" w:after="140"/>
        <w:jc w:val="center"/>
      </w:pPr>
      <w:r>
        <w:rPr>
          <w:rFonts w:ascii="Calibri" w:hAnsi="Calibri"/>
          <w:b/>
          <w:color w:val="0F2942"/>
          <w:sz w:val="18"/>
        </w:rPr>
        <w:t>Figure 1. Milestone 1 development and runtime workflow</w:t>
      </w:r>
      <w:r>
        <w:rPr>
          <w:rFonts w:ascii="Calibri" w:hAnsi="Calibri"/>
          <w:i/>
          <w:color w:val="5F6B7A"/>
          <w:sz w:val="16"/>
        </w:rPr>
        <w:br/>
        <w:t>Source: Generated from the implemented module flow.</w:t>
      </w:r>
    </w:p>
    <w:p>
      <w:pPr>
        <w:pStyle w:val="Heading2"/>
      </w:pPr>
      <w:r>
        <w:t>3.1 Offline preparation</w:t>
      </w:r>
    </w:p>
    <w:p>
      <w:pPr>
        <w:pStyle w:val="ListNumber"/>
        <w:spacing w:after="80" w:line="276" w:lineRule="auto"/>
        <w:ind w:left="720" w:hanging="360"/>
      </w:pPr>
      <w:r>
        <w:rPr>
          <w:rFonts w:ascii="Calibri" w:hAnsi="Calibri"/>
          <w:color w:val="172033"/>
        </w:rPr>
        <w:t>Collect all `train/good` images for one category.</w:t>
      </w:r>
    </w:p>
    <w:p>
      <w:pPr>
        <w:pStyle w:val="ListNumber"/>
        <w:spacing w:after="80" w:line="276" w:lineRule="auto"/>
        <w:ind w:left="720" w:hanging="360"/>
      </w:pPr>
      <w:r>
        <w:rPr>
          <w:rFonts w:ascii="Calibri" w:hAnsi="Calibri"/>
          <w:color w:val="172033"/>
        </w:rPr>
        <w:t>Convert images to the stable 256 x 256 grayscale residual representation.</w:t>
      </w:r>
    </w:p>
    <w:p>
      <w:pPr>
        <w:pStyle w:val="ListNumber"/>
        <w:spacing w:after="80" w:line="276" w:lineRule="auto"/>
        <w:ind w:left="720" w:hanging="360"/>
      </w:pPr>
      <w:r>
        <w:rPr>
          <w:rFonts w:ascii="Calibri" w:hAnsi="Calibri"/>
          <w:color w:val="172033"/>
        </w:rPr>
        <w:t>Calculate pixel-wise normal mean and standard deviation.</w:t>
      </w:r>
    </w:p>
    <w:p>
      <w:pPr>
        <w:pStyle w:val="ListNumber"/>
        <w:spacing w:after="80" w:line="276" w:lineRule="auto"/>
        <w:ind w:left="720" w:hanging="360"/>
      </w:pPr>
      <w:r>
        <w:rPr>
          <w:rFonts w:ascii="Calibri" w:hAnsi="Calibri"/>
          <w:color w:val="172033"/>
        </w:rPr>
        <w:t>Create a foreground mask to suppress the bright background.</w:t>
      </w:r>
    </w:p>
    <w:p>
      <w:pPr>
        <w:pStyle w:val="ListNumber"/>
        <w:spacing w:after="80" w:line="276" w:lineRule="auto"/>
        <w:ind w:left="720" w:hanging="360"/>
      </w:pPr>
      <w:r>
        <w:rPr>
          <w:rFonts w:ascii="Calibri" w:hAnsi="Calibri"/>
          <w:color w:val="172033"/>
        </w:rPr>
        <w:t>Run the shared ResNet18 extractor and normalize the 512-dimensional embeddings.</w:t>
      </w:r>
    </w:p>
    <w:p>
      <w:pPr>
        <w:pStyle w:val="ListNumber"/>
        <w:spacing w:after="80" w:line="276" w:lineRule="auto"/>
        <w:ind w:left="720" w:hanging="360"/>
      </w:pPr>
      <w:r>
        <w:rPr>
          <w:rFonts w:ascii="Calibri" w:hAnsi="Calibri"/>
          <w:color w:val="172033"/>
        </w:rPr>
        <w:t>Save mean, standard deviation, mask, and embedding bank into `normal_profile.npz`.</w:t>
      </w:r>
    </w:p>
    <w:p>
      <w:pPr>
        <w:pStyle w:val="Heading2"/>
      </w:pPr>
      <w:r>
        <w:t>3.2 Runtime inspection</w:t>
      </w:r>
    </w:p>
    <w:p>
      <w:pPr>
        <w:pStyle w:val="ListNumber"/>
        <w:spacing w:after="80" w:line="276" w:lineRule="auto"/>
        <w:ind w:left="720" w:hanging="360"/>
      </w:pPr>
      <w:r>
        <w:rPr>
          <w:rFonts w:ascii="Calibri" w:hAnsi="Calibri"/>
          <w:color w:val="172033"/>
        </w:rPr>
        <w:t>Read and validate the uploaded image.</w:t>
      </w:r>
    </w:p>
    <w:p>
      <w:pPr>
        <w:pStyle w:val="ListNumber"/>
        <w:spacing w:after="80" w:line="276" w:lineRule="auto"/>
        <w:ind w:left="720" w:hanging="360"/>
      </w:pPr>
      <w:r>
        <w:rPr>
          <w:rFonts w:ascii="Calibri" w:hAnsi="Calibri"/>
          <w:color w:val="172033"/>
        </w:rPr>
        <w:t>Load the profile and thresholds for the selected category.</w:t>
      </w:r>
    </w:p>
    <w:p>
      <w:pPr>
        <w:pStyle w:val="ListNumber"/>
        <w:spacing w:after="80" w:line="276" w:lineRule="auto"/>
        <w:ind w:left="720" w:hanging="360"/>
      </w:pPr>
      <w:r>
        <w:rPr>
          <w:rFonts w:ascii="Calibri" w:hAnsi="Calibri"/>
          <w:color w:val="172033"/>
        </w:rPr>
        <w:t>Compute nearest-normal embedding distance as the global anomaly score.</w:t>
      </w:r>
    </w:p>
    <w:p>
      <w:pPr>
        <w:pStyle w:val="ListNumber"/>
        <w:spacing w:after="80" w:line="276" w:lineRule="auto"/>
        <w:ind w:left="720" w:hanging="360"/>
      </w:pPr>
      <w:r>
        <w:rPr>
          <w:rFonts w:ascii="Calibri" w:hAnsi="Calibri"/>
          <w:color w:val="172033"/>
        </w:rPr>
        <w:t>Compute a normalized residual map relative to normal mean and variability.</w:t>
      </w:r>
    </w:p>
    <w:p>
      <w:pPr>
        <w:pStyle w:val="ListNumber"/>
        <w:spacing w:after="80" w:line="276" w:lineRule="auto"/>
        <w:ind w:left="720" w:hanging="360"/>
      </w:pPr>
      <w:r>
        <w:rPr>
          <w:rFonts w:ascii="Calibri" w:hAnsi="Calibri"/>
          <w:color w:val="172033"/>
        </w:rPr>
        <w:t>Remove tiny residual components and create a binary mask.</w:t>
      </w:r>
    </w:p>
    <w:p>
      <w:pPr>
        <w:pStyle w:val="ListNumber"/>
        <w:spacing w:after="80" w:line="276" w:lineRule="auto"/>
        <w:ind w:left="720" w:hanging="360"/>
      </w:pPr>
      <w:r>
        <w:rPr>
          <w:rFonts w:ascii="Calibri" w:hAnsi="Calibri"/>
          <w:color w:val="172033"/>
        </w:rPr>
        <w:t>Apply the dual gate and return prediction, confidence, mask, and heatmap.</w:t>
      </w:r>
    </w:p>
    <w:p>
      <w:pPr>
        <w:pStyle w:val="Heading1"/>
        <w:pageBreakBefore/>
      </w:pPr>
      <w:r>
        <w:t>4. Technology Stack and Repository Mapping</w:t>
      </w:r>
    </w:p>
    <w:p>
      <w:pPr>
        <w:pStyle w:val="Heading2"/>
      </w:pPr>
      <w:r>
        <w:t>4.1 Technology stack</w:t>
      </w:r>
    </w:p>
    <w:tbl>
      <w:tblPr>
        <w:tblStyle w:val="TableGrid"/>
        <w:tblW w:type="dxa" w:w="9360"/>
        <w:jc w:val="left"/>
        <w:tblLayout w:type="fixed"/>
        <w:tblLook w:firstColumn="1" w:firstRow="1" w:lastColumn="0" w:lastRow="0" w:noHBand="0" w:noVBand="1" w:val="04A0"/>
        <w:tblInd w:type="dxa" w:w="120"/>
      </w:tblPr>
      <w:tblGrid>
        <w:gridCol w:w="1800"/>
        <w:gridCol w:w="3600"/>
        <w:gridCol w:w="3960"/>
      </w:tblGrid>
      <w:tr>
        <w:trPr>
          <w:tblHeader w:val="true"/>
        </w:trPr>
        <w:tc>
          <w:tcPr>
            <w:tcW w:type="dxa" w:w="1800"/>
            <w:shd w:fill="0F2942"/>
            <w:vAlign w:val="center"/>
            <w:tcMar>
              <w:top w:w="80" w:type="dxa"/>
              <w:start w:w="120" w:type="dxa"/>
              <w:bottom w:w="80" w:type="dxa"/>
              <w:end w:w="120" w:type="dxa"/>
            </w:tcMar>
          </w:tcPr>
          <w:p>
            <w:pPr>
              <w:spacing w:after="0"/>
            </w:pPr>
            <w:r/>
            <w:r>
              <w:rPr>
                <w:rFonts w:ascii="Calibri" w:hAnsi="Calibri"/>
                <w:b/>
                <w:color w:val="FFFFFF"/>
                <w:sz w:val="16"/>
              </w:rPr>
              <w:t>Technology</w:t>
            </w:r>
          </w:p>
        </w:tc>
        <w:tc>
          <w:tcPr>
            <w:tcW w:type="dxa" w:w="3600"/>
            <w:shd w:fill="0F2942"/>
            <w:vAlign w:val="center"/>
            <w:tcMar>
              <w:top w:w="80" w:type="dxa"/>
              <w:start w:w="120" w:type="dxa"/>
              <w:bottom w:w="80" w:type="dxa"/>
              <w:end w:w="120" w:type="dxa"/>
            </w:tcMar>
          </w:tcPr>
          <w:p>
            <w:pPr>
              <w:spacing w:after="0"/>
            </w:pPr>
            <w:r/>
            <w:r>
              <w:rPr>
                <w:rFonts w:ascii="Calibri" w:hAnsi="Calibri"/>
                <w:b/>
                <w:color w:val="FFFFFF"/>
                <w:sz w:val="16"/>
              </w:rPr>
              <w:t>Milestone 1 role</w:t>
            </w:r>
          </w:p>
        </w:tc>
        <w:tc>
          <w:tcPr>
            <w:tcW w:type="dxa" w:w="3960"/>
            <w:shd w:fill="0F2942"/>
            <w:vAlign w:val="center"/>
            <w:tcMar>
              <w:top w:w="80" w:type="dxa"/>
              <w:start w:w="120" w:type="dxa"/>
              <w:bottom w:w="80" w:type="dxa"/>
              <w:end w:w="120" w:type="dxa"/>
            </w:tcMar>
          </w:tcPr>
          <w:p>
            <w:pPr>
              <w:spacing w:after="0"/>
            </w:pPr>
            <w:r/>
            <w:r>
              <w:rPr>
                <w:rFonts w:ascii="Calibri" w:hAnsi="Calibri"/>
                <w:b/>
                <w:color w:val="FFFFFF"/>
                <w:sz w:val="16"/>
              </w:rPr>
              <w:t>Reason selected</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Python</w:t>
            </w:r>
          </w:p>
        </w:tc>
        <w:tc>
          <w:tcPr>
            <w:tcW w:type="dxa" w:w="3600"/>
            <w:vAlign w:val="center"/>
            <w:tcMar>
              <w:top w:w="80" w:type="dxa"/>
              <w:start w:w="120" w:type="dxa"/>
              <w:bottom w:w="80" w:type="dxa"/>
              <w:end w:w="120" w:type="dxa"/>
            </w:tcMar>
          </w:tcPr>
          <w:p>
            <w:pPr>
              <w:spacing w:after="0" w:line="240" w:lineRule="auto"/>
            </w:pPr>
            <w:r/>
            <w:r>
              <w:rPr>
                <w:rFonts w:ascii="Calibri" w:hAnsi="Calibri"/>
                <w:color w:val="172033"/>
                <w:sz w:val="16"/>
              </w:rPr>
              <w:t>Core implementation language</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6"/>
              </w:rPr>
              <w:t>Readable, testable, and well supported for computer vision</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OpenCV</w:t>
            </w:r>
          </w:p>
        </w:tc>
        <w:tc>
          <w:tcPr>
            <w:tcW w:type="dxa" w:w="3600"/>
            <w:vAlign w:val="center"/>
            <w:shd w:fill="F3F5F8"/>
            <w:tcMar>
              <w:top w:w="80" w:type="dxa"/>
              <w:start w:w="120" w:type="dxa"/>
              <w:bottom w:w="80" w:type="dxa"/>
              <w:end w:w="120" w:type="dxa"/>
            </w:tcMar>
          </w:tcPr>
          <w:p>
            <w:pPr>
              <w:spacing w:after="0" w:line="240" w:lineRule="auto"/>
            </w:pPr>
            <w:r/>
            <w:r>
              <w:rPr>
                <w:rFonts w:ascii="Calibri" w:hAnsi="Calibri"/>
                <w:color w:val="172033"/>
                <w:sz w:val="16"/>
              </w:rPr>
              <w:t>Decoding, preprocessing, residual maps, morphology, connected components, heatmaps</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6"/>
              </w:rPr>
              <w:t>Fast CPU operations and transparent image-processing behavior</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NumPy</w:t>
            </w:r>
          </w:p>
        </w:tc>
        <w:tc>
          <w:tcPr>
            <w:tcW w:type="dxa" w:w="3600"/>
            <w:vAlign w:val="center"/>
            <w:tcMar>
              <w:top w:w="80" w:type="dxa"/>
              <w:start w:w="120" w:type="dxa"/>
              <w:bottom w:w="80" w:type="dxa"/>
              <w:end w:w="120" w:type="dxa"/>
            </w:tcMar>
          </w:tcPr>
          <w:p>
            <w:pPr>
              <w:spacing w:after="0" w:line="240" w:lineRule="auto"/>
            </w:pPr>
            <w:r/>
            <w:r>
              <w:rPr>
                <w:rFonts w:ascii="Calibri" w:hAnsi="Calibri"/>
                <w:color w:val="172033"/>
                <w:sz w:val="16"/>
              </w:rPr>
              <w:t>Image/profile arrays, normalization, vector operations</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6"/>
              </w:rPr>
              <w:t>Efficient numerical representation of image evidence</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Pandas</w:t>
            </w:r>
          </w:p>
        </w:tc>
        <w:tc>
          <w:tcPr>
            <w:tcW w:type="dxa" w:w="3600"/>
            <w:vAlign w:val="center"/>
            <w:shd w:fill="F3F5F8"/>
            <w:tcMar>
              <w:top w:w="80" w:type="dxa"/>
              <w:start w:w="120" w:type="dxa"/>
              <w:bottom w:w="80" w:type="dxa"/>
              <w:end w:w="120" w:type="dxa"/>
            </w:tcMar>
          </w:tcPr>
          <w:p>
            <w:pPr>
              <w:spacing w:after="0" w:line="240" w:lineRule="auto"/>
            </w:pPr>
            <w:r/>
            <w:r>
              <w:rPr>
                <w:rFonts w:ascii="Calibri" w:hAnsi="Calibri"/>
                <w:color w:val="172033"/>
                <w:sz w:val="16"/>
              </w:rPr>
              <w:t>Dataset records and evaluation tables</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6"/>
              </w:rPr>
              <w:t>Consistent tabular inspection and validation</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Pillow</w:t>
            </w:r>
          </w:p>
        </w:tc>
        <w:tc>
          <w:tcPr>
            <w:tcW w:type="dxa" w:w="3600"/>
            <w:vAlign w:val="center"/>
            <w:tcMar>
              <w:top w:w="80" w:type="dxa"/>
              <w:start w:w="120" w:type="dxa"/>
              <w:bottom w:w="80" w:type="dxa"/>
              <w:end w:w="120" w:type="dxa"/>
            </w:tcMar>
          </w:tcPr>
          <w:p>
            <w:pPr>
              <w:spacing w:after="0" w:line="240" w:lineRule="auto"/>
            </w:pPr>
            <w:r/>
            <w:r>
              <w:rPr>
                <w:rFonts w:ascii="Calibri" w:hAnsi="Calibri"/>
                <w:color w:val="172033"/>
                <w:sz w:val="16"/>
              </w:rPr>
              <w:t>RGB image loading for feature extraction</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6"/>
              </w:rPr>
              <w:t>Portable image interface used by the feature pipeline</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ResNet18</w:t>
            </w:r>
          </w:p>
        </w:tc>
        <w:tc>
          <w:tcPr>
            <w:tcW w:type="dxa" w:w="3600"/>
            <w:vAlign w:val="center"/>
            <w:shd w:fill="F3F5F8"/>
            <w:tcMar>
              <w:top w:w="80" w:type="dxa"/>
              <w:start w:w="120" w:type="dxa"/>
              <w:bottom w:w="80" w:type="dxa"/>
              <w:end w:w="120" w:type="dxa"/>
            </w:tcMar>
          </w:tcPr>
          <w:p>
            <w:pPr>
              <w:spacing w:after="0" w:line="240" w:lineRule="auto"/>
            </w:pPr>
            <w:r/>
            <w:r>
              <w:rPr>
                <w:rFonts w:ascii="Calibri" w:hAnsi="Calibri"/>
                <w:color w:val="172033"/>
                <w:sz w:val="16"/>
              </w:rPr>
              <w:t>512-dimensional global feature representation</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6"/>
              </w:rPr>
              <w:t>Strong pretrained visual representation with moderate runtime cost</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ONNX + OpenCV DNN</w:t>
            </w:r>
          </w:p>
        </w:tc>
        <w:tc>
          <w:tcPr>
            <w:tcW w:type="dxa" w:w="3600"/>
            <w:vAlign w:val="center"/>
            <w:tcMar>
              <w:top w:w="80" w:type="dxa"/>
              <w:start w:w="120" w:type="dxa"/>
              <w:bottom w:w="80" w:type="dxa"/>
              <w:end w:w="120" w:type="dxa"/>
            </w:tcMar>
          </w:tcPr>
          <w:p>
            <w:pPr>
              <w:spacing w:after="0" w:line="240" w:lineRule="auto"/>
            </w:pPr>
            <w:r/>
            <w:r>
              <w:rPr>
                <w:rFonts w:ascii="Calibri" w:hAnsi="Calibri"/>
                <w:color w:val="172033"/>
                <w:sz w:val="16"/>
              </w:rPr>
              <w:t>Portable ResNet18 execution</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6"/>
              </w:rPr>
              <w:t>Removes PyTorch from the baseline serving path</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scikit-learn</w:t>
            </w:r>
          </w:p>
        </w:tc>
        <w:tc>
          <w:tcPr>
            <w:tcW w:type="dxa" w:w="360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Metric calculation and threshold validation support</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6"/>
              </w:rPr>
              <w:t>Established validation utilities</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Jupyter</w:t>
            </w:r>
          </w:p>
        </w:tc>
        <w:tc>
          <w:tcPr>
            <w:tcW w:type="dxa" w:w="3600"/>
            <w:vAlign w:val="center"/>
            <w:tcMar>
              <w:top w:w="80" w:type="dxa"/>
              <w:start w:w="120" w:type="dxa"/>
              <w:bottom w:w="80" w:type="dxa"/>
              <w:end w:w="120" w:type="dxa"/>
            </w:tcMar>
          </w:tcPr>
          <w:p>
            <w:pPr>
              <w:spacing w:after="0" w:line="240" w:lineRule="auto"/>
            </w:pPr>
            <w:r/>
            <w:r>
              <w:rPr>
                <w:rFonts w:ascii="Calibri" w:hAnsi="Calibri"/>
                <w:color w:val="172033"/>
                <w:sz w:val="16"/>
              </w:rPr>
              <w:t>Inline experiments, tables, figures, and evidence</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6"/>
              </w:rPr>
              <w:t>Reproducible milestone demonstration</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Pytest</w:t>
            </w:r>
          </w:p>
        </w:tc>
        <w:tc>
          <w:tcPr>
            <w:tcW w:type="dxa" w:w="3600"/>
            <w:vAlign w:val="center"/>
            <w:shd w:fill="F3F5F8"/>
            <w:tcMar>
              <w:top w:w="80" w:type="dxa"/>
              <w:start w:w="120" w:type="dxa"/>
              <w:bottom w:w="80" w:type="dxa"/>
              <w:end w:w="120" w:type="dxa"/>
            </w:tcMar>
          </w:tcPr>
          <w:p>
            <w:pPr>
              <w:spacing w:after="0" w:line="240" w:lineRule="auto"/>
            </w:pPr>
            <w:r/>
            <w:r>
              <w:rPr>
                <w:rFonts w:ascii="Calibri" w:hAnsi="Calibri"/>
                <w:color w:val="172033"/>
                <w:sz w:val="16"/>
              </w:rPr>
              <w:t>Software behavior validation</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6"/>
              </w:rPr>
              <w:t>Automated regression protection</w:t>
            </w:r>
          </w:p>
        </w:tc>
      </w:tr>
    </w:tbl>
    <w:p>
      <w:pPr>
        <w:pStyle w:val="Heading2"/>
      </w:pPr>
      <w:r>
        <w:t>4.2 Repository responsibility map</w:t>
      </w:r>
    </w:p>
    <w:tbl>
      <w:tblPr>
        <w:tblStyle w:val="TableGrid"/>
        <w:tblW w:type="dxa" w:w="9360"/>
        <w:jc w:val="left"/>
        <w:tblLayout w:type="fixed"/>
        <w:tblLook w:firstColumn="1" w:firstRow="1" w:lastColumn="0" w:lastRow="0" w:noHBand="0" w:noVBand="1" w:val="04A0"/>
        <w:tblInd w:type="dxa" w:w="120"/>
      </w:tblPr>
      <w:tblGrid>
        <w:gridCol w:w="3900"/>
        <w:gridCol w:w="5460"/>
      </w:tblGrid>
      <w:tr>
        <w:trPr>
          <w:tblHeader w:val="true"/>
        </w:trPr>
        <w:tc>
          <w:tcPr>
            <w:tcW w:type="dxa" w:w="3900"/>
            <w:shd w:fill="0E7490"/>
            <w:vAlign w:val="center"/>
            <w:tcMar>
              <w:top w:w="80" w:type="dxa"/>
              <w:start w:w="120" w:type="dxa"/>
              <w:bottom w:w="80" w:type="dxa"/>
              <w:end w:w="120" w:type="dxa"/>
            </w:tcMar>
          </w:tcPr>
          <w:p>
            <w:pPr>
              <w:spacing w:after="0"/>
            </w:pPr>
            <w:r/>
            <w:r>
              <w:rPr>
                <w:rFonts w:ascii="Calibri" w:hAnsi="Calibri"/>
                <w:b/>
                <w:color w:val="FFFFFF"/>
                <w:sz w:val="17"/>
              </w:rPr>
              <w:t>File or artifact</w:t>
            </w:r>
          </w:p>
        </w:tc>
        <w:tc>
          <w:tcPr>
            <w:tcW w:type="dxa" w:w="5460"/>
            <w:shd w:fill="0E7490"/>
            <w:vAlign w:val="center"/>
            <w:tcMar>
              <w:top w:w="80" w:type="dxa"/>
              <w:start w:w="120" w:type="dxa"/>
              <w:bottom w:w="80" w:type="dxa"/>
              <w:end w:w="120" w:type="dxa"/>
            </w:tcMar>
          </w:tcPr>
          <w:p>
            <w:pPr>
              <w:spacing w:after="0"/>
            </w:pPr>
            <w:r/>
            <w:r>
              <w:rPr>
                <w:rFonts w:ascii="Calibri" w:hAnsi="Calibri"/>
                <w:b/>
                <w:color w:val="FFFFFF"/>
                <w:sz w:val="17"/>
              </w:rPr>
              <w:t>Responsibility</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ml/config.py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Dataset, model, and category paths</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ml/dataset_loader.py</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Dynamic MVTec records and image/mask metadata</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ml/preprocessing.py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Core resize, grayscale, denoise, CLAHE, and edge operations</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ml/object_preprocessing.py</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Foreground mask, crop, alignment, padded resize, and classifier view</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ml/baseline_detector.py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Normal profiles, embedding scores, residual maps, masks, metrics, and heatmaps</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ml/classifier.py</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Shared ResNet18 ONNX feature runtime</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ml/inference.py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Baseline inference contract and two-gate decision helper</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ml/model_registry.py</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artifacts and thresholds</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models/inference/resnet18_features.onnx</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Shared portable feature extractor</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models/**/normal_profile.npz</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normal profiles and embedding memories</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notebooks/01_*</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Dataset and system evidence</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notebooks/02_*</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Portable baseline process evidence</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tests/test_dataset_loader.py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Dataset discovery validation</w:t>
            </w:r>
          </w:p>
        </w:tc>
      </w:tr>
      <w:tr>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tests/test_preprocessing.py</w:t>
            </w:r>
          </w:p>
        </w:tc>
        <w:tc>
          <w:tcPr>
            <w:tcW w:type="dxa" w:w="54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Preprocessing behavior validation</w:t>
            </w:r>
          </w:p>
        </w:tc>
      </w:tr>
      <w:tr>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tests/test_baseline_detector.py</w:t>
            </w:r>
          </w:p>
        </w:tc>
        <w:tc>
          <w:tcPr>
            <w:tcW w:type="dxa" w:w="5460"/>
            <w:vAlign w:val="center"/>
            <w:tcMar>
              <w:top w:w="80" w:type="dxa"/>
              <w:start w:w="120" w:type="dxa"/>
              <w:bottom w:w="80" w:type="dxa"/>
              <w:end w:w="120" w:type="dxa"/>
            </w:tcMar>
          </w:tcPr>
          <w:p>
            <w:pPr>
              <w:spacing w:after="0" w:line="240" w:lineRule="auto"/>
            </w:pPr>
            <w:r/>
            <w:r>
              <w:rPr>
                <w:rFonts w:ascii="Calibri" w:hAnsi="Calibri"/>
                <w:color w:val="172033"/>
                <w:sz w:val="17"/>
              </w:rPr>
              <w:t>Score, mask, profile, and decision validation</w:t>
            </w:r>
          </w:p>
        </w:tc>
      </w:tr>
    </w:tbl>
    <w:p>
      <w:pPr>
        <w:pStyle w:val="Heading1"/>
        <w:pageBreakBefore/>
      </w:pPr>
      <w:r>
        <w:t>5. MVTec AD Dataset Foundation</w:t>
      </w:r>
    </w:p>
    <w:p>
      <w:pPr>
        <w:pStyle w:val="Heading2"/>
      </w:pPr>
      <w:r>
        <w:t>5.1 Dataset role</w:t>
      </w:r>
    </w:p>
    <w:p>
      <w:r>
        <w:rPr>
          <w:rFonts w:ascii="Calibri" w:hAnsi="Calibri"/>
          <w:color w:val="172033"/>
        </w:rPr>
        <w:t>MVTec AD is an industrial anomaly-detection benchmark containing 5,354 high-resolution images from five texture and ten object categories [1]. Normal images are available for learning normal appearance. Test folders contain normal and anomalous images, while defective samples have pixel-accurate region annotations. This structure matches the central manufacturing challenge: defects are uncommon and may not be known before deployment.</w:t>
      </w:r>
    </w:p>
    <w:p>
      <w:pPr>
        <w:spacing w:before="120" w:after="160"/>
        <w:ind w:left="173" w:right="173"/>
        <w:shd w:fill="FFF7E6"/>
        <w:pBdr>
          <w:left w:val="single" w:sz="24" w:space="8" w:color="A16207"/>
        </w:pBdr>
      </w:pPr>
      <w:r>
        <w:rPr>
          <w:rFonts w:ascii="Calibri" w:hAnsi="Calibri"/>
          <w:b/>
          <w:color w:val="A16207"/>
        </w:rPr>
        <w:t xml:space="preserve">Usage boundary: </w:t>
      </w:r>
      <w:r>
        <w:rPr>
          <w:rFonts w:ascii="Calibri" w:hAnsi="Calibri"/>
          <w:color w:val="172033"/>
        </w:rPr>
        <w:t>The dataset is used as an educational and research benchmark. Its license conditions must be reviewed before commercial reuse or redistribution.</w:t>
      </w:r>
    </w:p>
    <w:p>
      <w:pPr>
        <w:keepNext/>
        <w:jc w:val="center"/>
      </w:pPr>
      <w:r>
        <w:drawing>
          <wp:inline xmlns:a="http://schemas.openxmlformats.org/drawingml/2006/main" xmlns:pic="http://schemas.openxmlformats.org/drawingml/2006/picture">
            <wp:extent cx="6035040" cy="3621024"/>
            <wp:docPr id="2" name="Picture 2" descr="MVTec AD category directory contract"/>
            <wp:cNvGraphicFramePr>
              <a:graphicFrameLocks noChangeAspect="1"/>
            </wp:cNvGraphicFramePr>
            <a:graphic>
              <a:graphicData uri="http://schemas.openxmlformats.org/drawingml/2006/picture">
                <pic:pic>
                  <pic:nvPicPr>
                    <pic:cNvPr id="0" name="mvtec_folder_contract.png"/>
                    <pic:cNvPicPr/>
                  </pic:nvPicPr>
                  <pic:blipFill>
                    <a:blip r:embed="rId12"/>
                    <a:stretch>
                      <a:fillRect/>
                    </a:stretch>
                  </pic:blipFill>
                  <pic:spPr>
                    <a:xfrm>
                      <a:off x="0" y="0"/>
                      <a:ext cx="6035040" cy="3621024"/>
                    </a:xfrm>
                    <a:prstGeom prst="rect"/>
                  </pic:spPr>
                </pic:pic>
              </a:graphicData>
            </a:graphic>
          </wp:inline>
        </w:drawing>
      </w:r>
    </w:p>
    <w:p>
      <w:pPr>
        <w:pStyle w:val="Caption"/>
        <w:spacing w:before="60" w:after="140"/>
        <w:jc w:val="center"/>
      </w:pPr>
      <w:r>
        <w:rPr>
          <w:rFonts w:ascii="Calibri" w:hAnsi="Calibri"/>
          <w:b/>
          <w:color w:val="0F2942"/>
          <w:sz w:val="18"/>
        </w:rPr>
        <w:t>Figure 2. MVTec AD category directory contract</w:t>
      </w:r>
      <w:r>
        <w:rPr>
          <w:rFonts w:ascii="Calibri" w:hAnsi="Calibri"/>
          <w:i/>
          <w:color w:val="5F6B7A"/>
          <w:sz w:val="16"/>
        </w:rPr>
        <w:br/>
        <w:t>Source: Implemented loader contract and verified dataset layout.</w:t>
      </w:r>
    </w:p>
    <w:p>
      <w:pPr>
        <w:pStyle w:val="Heading2"/>
      </w:pPr>
      <w:r>
        <w:t>5.2 Verified dataset inventory</w:t>
      </w:r>
    </w:p>
    <w:tbl>
      <w:tblPr>
        <w:tblStyle w:val="TableGrid"/>
        <w:tblW w:type="dxa" w:w="9360"/>
        <w:jc w:val="left"/>
        <w:tblLayout w:type="fixed"/>
        <w:tblLook w:firstColumn="1" w:firstRow="1" w:lastColumn="0" w:lastRow="0" w:noHBand="0" w:noVBand="1" w:val="04A0"/>
        <w:tblInd w:type="dxa" w:w="120"/>
      </w:tblPr>
      <w:tblGrid>
        <w:gridCol w:w="2050"/>
        <w:gridCol w:w="1400"/>
        <w:gridCol w:w="1400"/>
        <w:gridCol w:w="1400"/>
        <w:gridCol w:w="1550"/>
        <w:gridCol w:w="1560"/>
      </w:tblGrid>
      <w:tr>
        <w:trPr>
          <w:tblHeader w:val="true"/>
        </w:trPr>
        <w:tc>
          <w:tcPr>
            <w:tcW w:type="dxa" w:w="2050"/>
            <w:shd w:fill="0F2942"/>
            <w:vAlign w:val="center"/>
            <w:tcMar>
              <w:top w:w="80" w:type="dxa"/>
              <w:start w:w="120" w:type="dxa"/>
              <w:bottom w:w="80" w:type="dxa"/>
              <w:end w:w="120" w:type="dxa"/>
            </w:tcMar>
          </w:tcPr>
          <w:p>
            <w:pPr>
              <w:spacing w:after="0"/>
            </w:pPr>
            <w:r/>
            <w:r>
              <w:rPr>
                <w:rFonts w:ascii="Calibri" w:hAnsi="Calibri"/>
                <w:b/>
                <w:color w:val="FFFFFF"/>
                <w:sz w:val="16"/>
              </w:rPr>
              <w:t>Category</w:t>
            </w:r>
          </w:p>
        </w:tc>
        <w:tc>
          <w:tcPr>
            <w:tcW w:type="dxa" w:w="1400"/>
            <w:shd w:fill="0F2942"/>
            <w:vAlign w:val="center"/>
            <w:tcMar>
              <w:top w:w="80" w:type="dxa"/>
              <w:start w:w="120" w:type="dxa"/>
              <w:bottom w:w="80" w:type="dxa"/>
              <w:end w:w="120" w:type="dxa"/>
            </w:tcMar>
          </w:tcPr>
          <w:p>
            <w:pPr>
              <w:spacing w:after="0"/>
            </w:pPr>
            <w:r/>
            <w:r>
              <w:rPr>
                <w:rFonts w:ascii="Calibri" w:hAnsi="Calibri"/>
                <w:b/>
                <w:color w:val="FFFFFF"/>
                <w:sz w:val="16"/>
              </w:rPr>
              <w:t>Train good</w:t>
            </w:r>
          </w:p>
        </w:tc>
        <w:tc>
          <w:tcPr>
            <w:tcW w:type="dxa" w:w="1400"/>
            <w:shd w:fill="0F2942"/>
            <w:vAlign w:val="center"/>
            <w:tcMar>
              <w:top w:w="80" w:type="dxa"/>
              <w:start w:w="120" w:type="dxa"/>
              <w:bottom w:w="80" w:type="dxa"/>
              <w:end w:w="120" w:type="dxa"/>
            </w:tcMar>
          </w:tcPr>
          <w:p>
            <w:pPr>
              <w:spacing w:after="0"/>
            </w:pPr>
            <w:r/>
            <w:r>
              <w:rPr>
                <w:rFonts w:ascii="Calibri" w:hAnsi="Calibri"/>
                <w:b/>
                <w:color w:val="FFFFFF"/>
                <w:sz w:val="16"/>
              </w:rPr>
              <w:t>Test good</w:t>
            </w:r>
          </w:p>
        </w:tc>
        <w:tc>
          <w:tcPr>
            <w:tcW w:type="dxa" w:w="1400"/>
            <w:shd w:fill="0F2942"/>
            <w:vAlign w:val="center"/>
            <w:tcMar>
              <w:top w:w="80" w:type="dxa"/>
              <w:start w:w="120" w:type="dxa"/>
              <w:bottom w:w="80" w:type="dxa"/>
              <w:end w:w="120" w:type="dxa"/>
            </w:tcMar>
          </w:tcPr>
          <w:p>
            <w:pPr>
              <w:spacing w:after="0"/>
            </w:pPr>
            <w:r/>
            <w:r>
              <w:rPr>
                <w:rFonts w:ascii="Calibri" w:hAnsi="Calibri"/>
                <w:b/>
                <w:color w:val="FFFFFF"/>
                <w:sz w:val="16"/>
              </w:rPr>
              <w:t>Defective</w:t>
            </w:r>
          </w:p>
        </w:tc>
        <w:tc>
          <w:tcPr>
            <w:tcW w:type="dxa" w:w="1550"/>
            <w:shd w:fill="0F2942"/>
            <w:vAlign w:val="center"/>
            <w:tcMar>
              <w:top w:w="80" w:type="dxa"/>
              <w:start w:w="120" w:type="dxa"/>
              <w:bottom w:w="80" w:type="dxa"/>
              <w:end w:w="120" w:type="dxa"/>
            </w:tcMar>
          </w:tcPr>
          <w:p>
            <w:pPr>
              <w:spacing w:after="0"/>
            </w:pPr>
            <w:r/>
            <w:r>
              <w:rPr>
                <w:rFonts w:ascii="Calibri" w:hAnsi="Calibri"/>
                <w:b/>
                <w:color w:val="FFFFFF"/>
                <w:sz w:val="16"/>
              </w:rPr>
              <w:t>Defect types</w:t>
            </w:r>
          </w:p>
        </w:tc>
        <w:tc>
          <w:tcPr>
            <w:tcW w:type="dxa" w:w="1560"/>
            <w:shd w:fill="0F2942"/>
            <w:vAlign w:val="center"/>
            <w:tcMar>
              <w:top w:w="80" w:type="dxa"/>
              <w:start w:w="120" w:type="dxa"/>
              <w:bottom w:w="80" w:type="dxa"/>
              <w:end w:w="120" w:type="dxa"/>
            </w:tcMar>
          </w:tcPr>
          <w:p>
            <w:pPr>
              <w:spacing w:after="0"/>
            </w:pPr>
            <w:r/>
            <w:r>
              <w:rPr>
                <w:rFonts w:ascii="Calibri" w:hAnsi="Calibri"/>
                <w:b/>
                <w:color w:val="FFFFFF"/>
                <w:sz w:val="16"/>
              </w:rPr>
              <w:t>Masks</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bottle</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209</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20</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63</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3</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63</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224</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58</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92</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8</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92</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capsule</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219</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23</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109</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109</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carpet</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280</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28</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89</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89</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grid</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264</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21</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57</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57</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hazelnut</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391</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40</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70</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4</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70</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leather</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245</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32</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92</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92</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metal_nut</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220</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22</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93</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4</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93</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pill</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267</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26</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141</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7</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141</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screw</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320</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41</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119</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119</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tile</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230</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33</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84</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84</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toothbrush</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60</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12</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30</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1</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30</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transistor</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213</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60</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40</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4</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40</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6"/>
              </w:rPr>
              <w:t>wood</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247</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19</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6"/>
              </w:rPr>
              <w:t>60</w:t>
            </w:r>
          </w:p>
        </w:tc>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6"/>
              </w:rPr>
              <w:t>5</w:t>
            </w:r>
          </w:p>
        </w:tc>
        <w:tc>
          <w:tcPr>
            <w:tcW w:type="dxa" w:w="1560"/>
            <w:vAlign w:val="center"/>
            <w:shd w:fill="F3F5F8"/>
            <w:tcMar>
              <w:top w:w="80" w:type="dxa"/>
              <w:start w:w="120" w:type="dxa"/>
              <w:bottom w:w="80" w:type="dxa"/>
              <w:end w:w="120" w:type="dxa"/>
            </w:tcMar>
          </w:tcPr>
          <w:p>
            <w:pPr>
              <w:spacing w:after="0" w:line="240" w:lineRule="auto"/>
            </w:pPr>
            <w:r/>
            <w:r>
              <w:rPr>
                <w:rFonts w:ascii="Calibri" w:hAnsi="Calibri"/>
                <w:color w:val="172033"/>
                <w:sz w:val="16"/>
              </w:rPr>
              <w:t>60</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6"/>
              </w:rPr>
              <w:t>zipper</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240</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32</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6"/>
              </w:rPr>
              <w:t>119</w:t>
            </w:r>
          </w:p>
        </w:tc>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6"/>
              </w:rPr>
              <w:t>7</w:t>
            </w:r>
          </w:p>
        </w:tc>
        <w:tc>
          <w:tcPr>
            <w:tcW w:type="dxa" w:w="1560"/>
            <w:vAlign w:val="center"/>
            <w:tcMar>
              <w:top w:w="80" w:type="dxa"/>
              <w:start w:w="120" w:type="dxa"/>
              <w:bottom w:w="80" w:type="dxa"/>
              <w:end w:w="120" w:type="dxa"/>
            </w:tcMar>
          </w:tcPr>
          <w:p>
            <w:pPr>
              <w:spacing w:after="0" w:line="240" w:lineRule="auto"/>
            </w:pPr>
            <w:r/>
            <w:r>
              <w:rPr>
                <w:rFonts w:ascii="Calibri" w:hAnsi="Calibri"/>
                <w:color w:val="172033"/>
                <w:sz w:val="16"/>
              </w:rPr>
              <w:t>119</w:t>
            </w:r>
          </w:p>
        </w:tc>
      </w:tr>
      <w:tr>
        <w:tc>
          <w:tcPr>
            <w:tcW w:type="dxa" w:w="205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TOTAL</w:t>
            </w:r>
          </w:p>
        </w:tc>
        <w:tc>
          <w:tcPr>
            <w:tcW w:type="dxa" w:w="140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3,629</w:t>
            </w:r>
          </w:p>
        </w:tc>
        <w:tc>
          <w:tcPr>
            <w:tcW w:type="dxa" w:w="140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467</w:t>
            </w:r>
          </w:p>
        </w:tc>
        <w:tc>
          <w:tcPr>
            <w:tcW w:type="dxa" w:w="140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1,258</w:t>
            </w:r>
          </w:p>
        </w:tc>
        <w:tc>
          <w:tcPr>
            <w:tcW w:type="dxa" w:w="155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w:t>
            </w:r>
          </w:p>
        </w:tc>
        <w:tc>
          <w:tcPr>
            <w:tcW w:type="dxa" w:w="1560"/>
            <w:vAlign w:val="center"/>
            <w:shd w:fill="EAF2FF"/>
            <w:tcMar>
              <w:top w:w="80" w:type="dxa"/>
              <w:start w:w="120" w:type="dxa"/>
              <w:bottom w:w="80" w:type="dxa"/>
              <w:end w:w="120" w:type="dxa"/>
            </w:tcMar>
          </w:tcPr>
          <w:p>
            <w:pPr>
              <w:spacing w:after="0" w:line="240" w:lineRule="auto"/>
            </w:pPr>
            <w:r>
              <w:rPr>
                <w:rFonts w:ascii="Calibri" w:hAnsi="Calibri"/>
                <w:b/>
                <w:color w:val="0F2942"/>
                <w:sz w:val="16"/>
              </w:rPr>
            </w:r>
            <w:r>
              <w:rPr>
                <w:rFonts w:ascii="Calibri" w:hAnsi="Calibri"/>
                <w:b/>
                <w:color w:val="0F2942"/>
                <w:sz w:val="16"/>
              </w:rPr>
              <w:t>1,258</w:t>
            </w:r>
          </w:p>
        </w:tc>
      </w:tr>
    </w:tbl>
    <w:p>
      <w:pPr>
        <w:pStyle w:val="TableNote"/>
      </w:pPr>
      <w:r>
        <w:t>Table 1. Verified local dataset inventory. Defective image count and mask count both equal 1,258; missing expected masks = 0.</w:t>
      </w:r>
    </w:p>
    <w:p>
      <w:pPr>
        <w:keepNext/>
        <w:jc w:val="center"/>
      </w:pPr>
      <w:r>
        <w:drawing>
          <wp:inline xmlns:a="http://schemas.openxmlformats.org/drawingml/2006/main" xmlns:pic="http://schemas.openxmlformats.org/drawingml/2006/picture">
            <wp:extent cx="6126480" cy="2156839"/>
            <wp:docPr id="3" name="Picture 3" descr="MVTec AD image counts used by VisionInspect AI"/>
            <wp:cNvGraphicFramePr>
              <a:graphicFrameLocks noChangeAspect="1"/>
            </wp:cNvGraphicFramePr>
            <a:graphic>
              <a:graphicData uri="http://schemas.openxmlformats.org/drawingml/2006/picture">
                <pic:pic>
                  <pic:nvPicPr>
                    <pic:cNvPr id="0" name="notebook_category_counts.png"/>
                    <pic:cNvPicPr/>
                  </pic:nvPicPr>
                  <pic:blipFill>
                    <a:blip r:embed="rId13"/>
                    <a:stretch>
                      <a:fillRect/>
                    </a:stretch>
                  </pic:blipFill>
                  <pic:spPr>
                    <a:xfrm>
                      <a:off x="0" y="0"/>
                      <a:ext cx="6126480" cy="2156839"/>
                    </a:xfrm>
                    <a:prstGeom prst="rect"/>
                  </pic:spPr>
                </pic:pic>
              </a:graphicData>
            </a:graphic>
          </wp:inline>
        </w:drawing>
      </w:r>
    </w:p>
    <w:p>
      <w:pPr>
        <w:pStyle w:val="Caption"/>
        <w:spacing w:before="60" w:after="140"/>
        <w:jc w:val="center"/>
      </w:pPr>
      <w:r>
        <w:rPr>
          <w:rFonts w:ascii="Calibri" w:hAnsi="Calibri"/>
          <w:b/>
          <w:color w:val="0F2942"/>
          <w:sz w:val="18"/>
        </w:rPr>
        <w:t>Figure 3. MVTec AD image counts used by VisionInspect AI</w:t>
      </w:r>
      <w:r>
        <w:rPr>
          <w:rFonts w:ascii="Calibri" w:hAnsi="Calibri"/>
          <w:i/>
          <w:color w:val="5F6B7A"/>
          <w:sz w:val="16"/>
        </w:rPr>
        <w:br/>
        <w:t>Source: Executed Notebook 01 output.</w:t>
      </w:r>
    </w:p>
    <w:p>
      <w:pPr>
        <w:keepNext/>
        <w:jc w:val="center"/>
      </w:pPr>
      <w:r>
        <w:drawing>
          <wp:inline xmlns:a="http://schemas.openxmlformats.org/drawingml/2006/main" xmlns:pic="http://schemas.openxmlformats.org/drawingml/2006/picture">
            <wp:extent cx="6126480" cy="3761650"/>
            <wp:docPr id="4" name="Picture 4" descr="Real defective examples from all 15 supported categories"/>
            <wp:cNvGraphicFramePr>
              <a:graphicFrameLocks noChangeAspect="1"/>
            </wp:cNvGraphicFramePr>
            <a:graphic>
              <a:graphicData uri="http://schemas.openxmlformats.org/drawingml/2006/picture">
                <pic:pic>
                  <pic:nvPicPr>
                    <pic:cNvPr id="0" name="notebook_category_samples.png"/>
                    <pic:cNvPicPr/>
                  </pic:nvPicPr>
                  <pic:blipFill>
                    <a:blip r:embed="rId14"/>
                    <a:stretch>
                      <a:fillRect/>
                    </a:stretch>
                  </pic:blipFill>
                  <pic:spPr>
                    <a:xfrm>
                      <a:off x="0" y="0"/>
                      <a:ext cx="6126480" cy="3761650"/>
                    </a:xfrm>
                    <a:prstGeom prst="rect"/>
                  </pic:spPr>
                </pic:pic>
              </a:graphicData>
            </a:graphic>
          </wp:inline>
        </w:drawing>
      </w:r>
    </w:p>
    <w:p>
      <w:pPr>
        <w:pStyle w:val="Caption"/>
        <w:spacing w:before="60" w:after="140"/>
        <w:jc w:val="center"/>
      </w:pPr>
      <w:r>
        <w:rPr>
          <w:rFonts w:ascii="Calibri" w:hAnsi="Calibri"/>
          <w:b/>
          <w:color w:val="0F2942"/>
          <w:sz w:val="18"/>
        </w:rPr>
        <w:t>Figure 4. Real defective examples from all 15 supported categories</w:t>
      </w:r>
      <w:r>
        <w:rPr>
          <w:rFonts w:ascii="Calibri" w:hAnsi="Calibri"/>
          <w:i/>
          <w:color w:val="5F6B7A"/>
          <w:sz w:val="16"/>
        </w:rPr>
        <w:br/>
        <w:t>Source: Executed Notebook 01 output using the local MVTec AD dataset.</w:t>
      </w:r>
    </w:p>
    <w:p>
      <w:pPr>
        <w:pStyle w:val="Heading1"/>
        <w:pageBreakBefore/>
      </w:pPr>
      <w:r>
        <w:t>6. Data Loading and Validation</w:t>
      </w:r>
    </w:p>
    <w:p>
      <w:pPr>
        <w:pStyle w:val="Heading2"/>
      </w:pPr>
      <w:r>
        <w:t>6.1 Dataset record contract</w:t>
      </w:r>
    </w:p>
    <w:p>
      <w:r>
        <w:rPr>
          <w:rFonts w:ascii="Calibri" w:hAnsi="Calibri"/>
          <w:color w:val="172033"/>
        </w:rPr>
        <w:t>The loader does not hard-code bottle defect names. It inspects each category's `test` directories dynamically and emits a consistent record for every image. Normal records receive target 0 and defective records receive target 1. Defective mask paths are resolved using the `&lt;image_stem&gt;_mask.png` naming convention.</w:t>
      </w:r>
    </w:p>
    <w:tbl>
      <w:tblPr>
        <w:tblStyle w:val="TableGrid"/>
        <w:tblW w:type="dxa" w:w="9360"/>
        <w:jc w:val="left"/>
        <w:tblLayout w:type="fixed"/>
        <w:tblLook w:firstColumn="1" w:firstRow="1" w:lastColumn="0" w:lastRow="0" w:noHBand="0" w:noVBand="1" w:val="04A0"/>
        <w:tblInd w:type="dxa" w:w="120"/>
      </w:tblPr>
      <w:tblGrid>
        <w:gridCol w:w="1900"/>
        <w:gridCol w:w="3100"/>
        <w:gridCol w:w="4360"/>
      </w:tblGrid>
      <w:tr>
        <w:trPr>
          <w:tblHeader w:val="true"/>
        </w:trPr>
        <w:tc>
          <w:tcPr>
            <w:tcW w:type="dxa" w:w="1900"/>
            <w:shd w:fill="0E7490"/>
            <w:vAlign w:val="center"/>
            <w:tcMar>
              <w:top w:w="80" w:type="dxa"/>
              <w:start w:w="120" w:type="dxa"/>
              <w:bottom w:w="80" w:type="dxa"/>
              <w:end w:w="120" w:type="dxa"/>
            </w:tcMar>
          </w:tcPr>
          <w:p>
            <w:pPr>
              <w:spacing w:after="0"/>
            </w:pPr>
            <w:r/>
            <w:r>
              <w:rPr>
                <w:rFonts w:ascii="Calibri" w:hAnsi="Calibri"/>
                <w:b/>
                <w:color w:val="FFFFFF"/>
                <w:sz w:val="17"/>
              </w:rPr>
              <w:t>Field</w:t>
            </w:r>
          </w:p>
        </w:tc>
        <w:tc>
          <w:tcPr>
            <w:tcW w:type="dxa" w:w="3100"/>
            <w:shd w:fill="0E7490"/>
            <w:vAlign w:val="center"/>
            <w:tcMar>
              <w:top w:w="80" w:type="dxa"/>
              <w:start w:w="120" w:type="dxa"/>
              <w:bottom w:w="80" w:type="dxa"/>
              <w:end w:w="120" w:type="dxa"/>
            </w:tcMar>
          </w:tcPr>
          <w:p>
            <w:pPr>
              <w:spacing w:after="0"/>
            </w:pPr>
            <w:r/>
            <w:r>
              <w:rPr>
                <w:rFonts w:ascii="Calibri" w:hAnsi="Calibri"/>
                <w:b/>
                <w:color w:val="FFFFFF"/>
                <w:sz w:val="17"/>
              </w:rPr>
              <w:t>Value</w:t>
            </w:r>
          </w:p>
        </w:tc>
        <w:tc>
          <w:tcPr>
            <w:tcW w:type="dxa" w:w="4360"/>
            <w:shd w:fill="0E7490"/>
            <w:vAlign w:val="center"/>
            <w:tcMar>
              <w:top w:w="80" w:type="dxa"/>
              <w:start w:w="120" w:type="dxa"/>
              <w:bottom w:w="80" w:type="dxa"/>
              <w:end w:w="120" w:type="dxa"/>
            </w:tcMar>
          </w:tcPr>
          <w:p>
            <w:pPr>
              <w:spacing w:after="0"/>
            </w:pPr>
            <w:r/>
            <w:r>
              <w:rPr>
                <w:rFonts w:ascii="Calibri" w:hAnsi="Calibri"/>
                <w:b/>
                <w:color w:val="FFFFFF"/>
                <w:sz w:val="17"/>
              </w:rPr>
              <w:t>Purpose</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split</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train or test</w:t>
            </w:r>
          </w:p>
        </w:tc>
        <w:tc>
          <w:tcPr>
            <w:tcW w:type="dxa" w:w="4360"/>
            <w:vAlign w:val="center"/>
            <w:tcMar>
              <w:top w:w="80" w:type="dxa"/>
              <w:start w:w="120" w:type="dxa"/>
              <w:bottom w:w="80" w:type="dxa"/>
              <w:end w:w="120" w:type="dxa"/>
            </w:tcMar>
          </w:tcPr>
          <w:p>
            <w:pPr>
              <w:spacing w:after="0" w:line="240" w:lineRule="auto"/>
            </w:pPr>
            <w:r/>
            <w:r>
              <w:rPr>
                <w:rFonts w:ascii="Calibri" w:hAnsi="Calibri"/>
                <w:color w:val="172033"/>
                <w:sz w:val="17"/>
              </w:rPr>
              <w:t>Prevents training/evaluation leakage</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label</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good or category-specific defect name</w:t>
            </w:r>
          </w:p>
        </w:tc>
        <w:tc>
          <w:tcPr>
            <w:tcW w:type="dxa" w:w="43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Retains the original MVTec folder label</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target</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0 or 1</w:t>
            </w:r>
          </w:p>
        </w:tc>
        <w:tc>
          <w:tcPr>
            <w:tcW w:type="dxa" w:w="4360"/>
            <w:vAlign w:val="center"/>
            <w:tcMar>
              <w:top w:w="80" w:type="dxa"/>
              <w:start w:w="120" w:type="dxa"/>
              <w:bottom w:w="80" w:type="dxa"/>
              <w:end w:w="120" w:type="dxa"/>
            </w:tcMar>
          </w:tcPr>
          <w:p>
            <w:pPr>
              <w:spacing w:after="0" w:line="240" w:lineRule="auto"/>
            </w:pPr>
            <w:r/>
            <w:r>
              <w:rPr>
                <w:rFonts w:ascii="Calibri" w:hAnsi="Calibri"/>
                <w:color w:val="172033"/>
                <w:sz w:val="17"/>
              </w:rPr>
              <w:t>Binary Good/Defective evaluation</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target_name</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good or defective</w:t>
            </w:r>
          </w:p>
        </w:tc>
        <w:tc>
          <w:tcPr>
            <w:tcW w:type="dxa" w:w="43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Readable binary target</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is_defective</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Boolean</w:t>
            </w:r>
          </w:p>
        </w:tc>
        <w:tc>
          <w:tcPr>
            <w:tcW w:type="dxa" w:w="4360"/>
            <w:vAlign w:val="center"/>
            <w:tcMar>
              <w:top w:w="80" w:type="dxa"/>
              <w:start w:w="120" w:type="dxa"/>
              <w:bottom w:w="80" w:type="dxa"/>
              <w:end w:w="120" w:type="dxa"/>
            </w:tcMar>
          </w:tcPr>
          <w:p>
            <w:pPr>
              <w:spacing w:after="0" w:line="240" w:lineRule="auto"/>
            </w:pPr>
            <w:r/>
            <w:r>
              <w:rPr>
                <w:rFonts w:ascii="Calibri" w:hAnsi="Calibri"/>
                <w:color w:val="172033"/>
                <w:sz w:val="17"/>
              </w:rPr>
              <w:t>Direct runtime/evaluation filter</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image_path</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Absolute or resolved image path</w:t>
            </w:r>
          </w:p>
        </w:tc>
        <w:tc>
          <w:tcPr>
            <w:tcW w:type="dxa" w:w="436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 retrieval</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mask_path</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Mask path or null</w:t>
            </w:r>
          </w:p>
        </w:tc>
        <w:tc>
          <w:tcPr>
            <w:tcW w:type="dxa" w:w="4360"/>
            <w:vAlign w:val="center"/>
            <w:tcMar>
              <w:top w:w="80" w:type="dxa"/>
              <w:start w:w="120" w:type="dxa"/>
              <w:bottom w:w="80" w:type="dxa"/>
              <w:end w:w="120" w:type="dxa"/>
            </w:tcMar>
          </w:tcPr>
          <w:p>
            <w:pPr>
              <w:spacing w:after="0" w:line="240" w:lineRule="auto"/>
            </w:pPr>
            <w:r/>
            <w:r>
              <w:rPr>
                <w:rFonts w:ascii="Calibri" w:hAnsi="Calibri"/>
                <w:color w:val="172033"/>
                <w:sz w:val="17"/>
              </w:rPr>
              <w:t>Pixel-level localization evidence</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width, height</w:t>
            </w:r>
          </w:p>
        </w:tc>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Decoded dimensions</w:t>
            </w:r>
          </w:p>
        </w:tc>
        <w:tc>
          <w:tcPr>
            <w:tcW w:type="dxa" w:w="436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Image-quality and shape validation</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channels</w:t>
            </w:r>
          </w:p>
        </w:tc>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7"/>
              </w:rPr>
              <w:t>1 or 3</w:t>
            </w:r>
          </w:p>
        </w:tc>
        <w:tc>
          <w:tcPr>
            <w:tcW w:type="dxa" w:w="4360"/>
            <w:vAlign w:val="center"/>
            <w:tcMar>
              <w:top w:w="80" w:type="dxa"/>
              <w:start w:w="120" w:type="dxa"/>
              <w:bottom w:w="80" w:type="dxa"/>
              <w:end w:w="120" w:type="dxa"/>
            </w:tcMar>
          </w:tcPr>
          <w:p>
            <w:pPr>
              <w:spacing w:after="0" w:line="240" w:lineRule="auto"/>
            </w:pPr>
            <w:r/>
            <w:r>
              <w:rPr>
                <w:rFonts w:ascii="Calibri" w:hAnsi="Calibri"/>
                <w:color w:val="172033"/>
                <w:sz w:val="17"/>
              </w:rPr>
              <w:t>Grayscale/RGB compatibility</w:t>
            </w:r>
          </w:p>
        </w:tc>
      </w:tr>
    </w:tbl>
    <w:p>
      <w:pPr>
        <w:pStyle w:val="Heading2"/>
      </w:pPr>
      <w:r>
        <w:t>6.2 Validation checks</w:t>
      </w:r>
    </w:p>
    <w:p>
      <w:pPr>
        <w:pStyle w:val="ListBullet"/>
        <w:spacing w:after="80" w:line="276" w:lineRule="auto"/>
        <w:ind w:left="720" w:hanging="360"/>
      </w:pPr>
      <w:r>
        <w:rPr>
          <w:rFonts w:ascii="Calibri" w:hAnsi="Calibri"/>
          <w:color w:val="172033"/>
        </w:rPr>
        <w:t>The category directory must contain the expected train/test structure.</w:t>
      </w:r>
    </w:p>
    <w:p>
      <w:pPr>
        <w:pStyle w:val="ListBullet"/>
        <w:spacing w:after="80" w:line="276" w:lineRule="auto"/>
        <w:ind w:left="720" w:hanging="360"/>
      </w:pPr>
      <w:r>
        <w:rPr>
          <w:rFonts w:ascii="Calibri" w:hAnsi="Calibri"/>
          <w:color w:val="172033"/>
        </w:rPr>
        <w:t>Only supported image files are considered by the notebook evidence pipeline.</w:t>
      </w:r>
    </w:p>
    <w:p>
      <w:pPr>
        <w:pStyle w:val="ListBullet"/>
        <w:spacing w:after="80" w:line="276" w:lineRule="auto"/>
        <w:ind w:left="720" w:hanging="360"/>
      </w:pPr>
      <w:r>
        <w:rPr>
          <w:rFonts w:ascii="Calibri" w:hAnsi="Calibri"/>
          <w:color w:val="172033"/>
        </w:rPr>
        <w:t>Every image is decoded before dimensions and channels are accepted.</w:t>
      </w:r>
    </w:p>
    <w:p>
      <w:pPr>
        <w:pStyle w:val="ListBullet"/>
        <w:spacing w:after="80" w:line="276" w:lineRule="auto"/>
        <w:ind w:left="720" w:hanging="360"/>
      </w:pPr>
      <w:r>
        <w:rPr>
          <w:rFonts w:ascii="Calibri" w:hAnsi="Calibri"/>
          <w:color w:val="172033"/>
        </w:rPr>
        <w:t>A normal image must not receive a ground-truth defect mask.</w:t>
      </w:r>
    </w:p>
    <w:p>
      <w:pPr>
        <w:pStyle w:val="ListBullet"/>
        <w:spacing w:after="80" w:line="276" w:lineRule="auto"/>
        <w:ind w:left="720" w:hanging="360"/>
      </w:pPr>
      <w:r>
        <w:rPr>
          <w:rFonts w:ascii="Calibri" w:hAnsi="Calibri"/>
          <w:color w:val="172033"/>
        </w:rPr>
        <w:t>A defective image is linked to the expected category/ground_truth subtype folder.</w:t>
      </w:r>
    </w:p>
    <w:p>
      <w:pPr>
        <w:pStyle w:val="ListBullet"/>
        <w:spacing w:after="80" w:line="276" w:lineRule="auto"/>
        <w:ind w:left="720" w:hanging="360"/>
      </w:pPr>
      <w:r>
        <w:rPr>
          <w:rFonts w:ascii="Calibri" w:hAnsi="Calibri"/>
          <w:color w:val="172033"/>
        </w:rPr>
        <w:t>Dataset health summaries expose missing masks rather than silently ignoring them.</w:t>
      </w:r>
    </w:p>
    <w:p>
      <w:pPr>
        <w:pStyle w:val="ListBullet"/>
        <w:spacing w:after="80" w:line="276" w:lineRule="auto"/>
        <w:ind w:left="720" w:hanging="360"/>
      </w:pPr>
      <w:r>
        <w:rPr>
          <w:rFonts w:ascii="Calibri" w:hAnsi="Calibri"/>
          <w:color w:val="172033"/>
        </w:rPr>
        <w:t>The training set is treated as normal-only for anomaly-profile creation.</w:t>
      </w:r>
    </w:p>
    <w:p>
      <w:pPr>
        <w:pStyle w:val="Heading2"/>
      </w:pPr>
      <w:r>
        <w:t>6.3 Data quality findings</w:t>
      </w:r>
    </w:p>
    <w:tbl>
      <w:tblPr>
        <w:tblStyle w:val="TableGrid"/>
        <w:tblW w:type="dxa" w:w="9360"/>
        <w:jc w:val="left"/>
        <w:tblLayout w:type="fixed"/>
        <w:tblLook w:firstColumn="1" w:firstRow="1" w:lastColumn="0" w:lastRow="0" w:noHBand="0" w:noVBand="1" w:val="04A0"/>
        <w:tblInd w:type="dxa" w:w="120"/>
      </w:tblPr>
      <w:tblGrid>
        <w:gridCol w:w="2600"/>
        <w:gridCol w:w="2200"/>
        <w:gridCol w:w="4560"/>
      </w:tblGrid>
      <w:tr>
        <w:trPr>
          <w:tblHeader w:val="true"/>
        </w:trPr>
        <w:tc>
          <w:tcPr>
            <w:tcW w:type="dxa" w:w="2600"/>
            <w:shd w:fill="0F2942"/>
            <w:vAlign w:val="center"/>
            <w:tcMar>
              <w:top w:w="80" w:type="dxa"/>
              <w:start w:w="120" w:type="dxa"/>
              <w:bottom w:w="80" w:type="dxa"/>
              <w:end w:w="120" w:type="dxa"/>
            </w:tcMar>
          </w:tcPr>
          <w:p>
            <w:pPr>
              <w:spacing w:after="0"/>
            </w:pPr>
            <w:r/>
            <w:r>
              <w:rPr>
                <w:rFonts w:ascii="Calibri" w:hAnsi="Calibri"/>
                <w:b/>
                <w:color w:val="FFFFFF"/>
                <w:sz w:val="17"/>
              </w:rPr>
              <w:t>Check</w:t>
            </w:r>
          </w:p>
        </w:tc>
        <w:tc>
          <w:tcPr>
            <w:tcW w:type="dxa" w:w="2200"/>
            <w:shd w:fill="0F2942"/>
            <w:vAlign w:val="center"/>
            <w:tcMar>
              <w:top w:w="80" w:type="dxa"/>
              <w:start w:w="120" w:type="dxa"/>
              <w:bottom w:w="80" w:type="dxa"/>
              <w:end w:w="120" w:type="dxa"/>
            </w:tcMar>
          </w:tcPr>
          <w:p>
            <w:pPr>
              <w:spacing w:after="0"/>
            </w:pPr>
            <w:r/>
            <w:r>
              <w:rPr>
                <w:rFonts w:ascii="Calibri" w:hAnsi="Calibri"/>
                <w:b/>
                <w:color w:val="FFFFFF"/>
                <w:sz w:val="17"/>
              </w:rPr>
              <w:t>Observed value</w:t>
            </w:r>
          </w:p>
        </w:tc>
        <w:tc>
          <w:tcPr>
            <w:tcW w:type="dxa" w:w="4560"/>
            <w:shd w:fill="0F2942"/>
            <w:vAlign w:val="center"/>
            <w:tcMar>
              <w:top w:w="80" w:type="dxa"/>
              <w:start w:w="120" w:type="dxa"/>
              <w:bottom w:w="80" w:type="dxa"/>
              <w:end w:w="120" w:type="dxa"/>
            </w:tcMar>
          </w:tcPr>
          <w:p>
            <w:pPr>
              <w:spacing w:after="0"/>
            </w:pPr>
            <w:r/>
            <w:r>
              <w:rPr>
                <w:rFonts w:ascii="Calibri" w:hAnsi="Calibri"/>
                <w:b/>
                <w:color w:val="FFFFFF"/>
                <w:sz w:val="17"/>
              </w:rPr>
              <w:t>Interpretation</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Category coverage</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15 of 15</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Complete</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Total image count</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5,354</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Matches the published MVTec AD total</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Normal training images</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3,629</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Available for normal-only profile creation</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 test images</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467</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Available for specificity evaluation</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Defective test images</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1,258</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Available for recall and F1 evaluation</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Ground-truth masks</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1,258</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One expected mask for every defective image</w:t>
            </w:r>
          </w:p>
        </w:tc>
      </w:tr>
      <w:tr>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Missing masks</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0</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No integrity issue found</w:t>
            </w:r>
          </w:p>
        </w:tc>
      </w:tr>
      <w:tr>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Image channels</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 or 3</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Loader handles grayscale and color categories</w:t>
            </w:r>
          </w:p>
        </w:tc>
      </w:tr>
    </w:tbl>
    <w:p>
      <w:pPr>
        <w:pStyle w:val="Heading1"/>
        <w:pageBreakBefore/>
      </w:pPr>
      <w:r>
        <w:t>7. Image Processing and Preprocessing</w:t>
      </w:r>
    </w:p>
    <w:p>
      <w:pPr>
        <w:pStyle w:val="Heading2"/>
      </w:pPr>
      <w:r>
        <w:t>7.1 Image representation</w:t>
      </w:r>
    </w:p>
    <w:p>
      <w:r>
        <w:rPr>
          <w:rFonts w:ascii="Calibri" w:hAnsi="Calibri"/>
          <w:color w:val="172033"/>
        </w:rPr>
        <w:t>A decoded image is a numerical array. A color image normally has shape `(height, width, 3)` and stores blue, green, and red intensity channels in OpenCV order. A grayscale image has shape `(height, width)`. Pixel intensities are represented from 0 to 255 before normalization. These dimensions and channels are recorded by the dataset loader so incompatible or unreadable files can be identified early.</w:t>
      </w:r>
    </w:p>
    <w:p>
      <w:pPr>
        <w:pStyle w:val="Heading2"/>
      </w:pPr>
      <w:r>
        <w:t>7.2 Core residual preprocessing</w:t>
      </w:r>
    </w:p>
    <w:tbl>
      <w:tblPr>
        <w:tblStyle w:val="TableGrid"/>
        <w:tblW w:type="dxa" w:w="9360"/>
        <w:jc w:val="left"/>
        <w:tblLayout w:type="fixed"/>
        <w:tblLook w:firstColumn="1" w:firstRow="1" w:lastColumn="0" w:lastRow="0" w:noHBand="0" w:noVBand="1" w:val="04A0"/>
        <w:tblInd w:type="dxa" w:w="120"/>
      </w:tblPr>
      <w:tblGrid>
        <w:gridCol w:w="1900"/>
        <w:gridCol w:w="3500"/>
        <w:gridCol w:w="3960"/>
      </w:tblGrid>
      <w:tr>
        <w:trPr>
          <w:tblHeader w:val="true"/>
        </w:trPr>
        <w:tc>
          <w:tcPr>
            <w:tcW w:type="dxa" w:w="1900"/>
            <w:shd w:fill="0E7490"/>
            <w:vAlign w:val="center"/>
            <w:tcMar>
              <w:top w:w="80" w:type="dxa"/>
              <w:start w:w="120" w:type="dxa"/>
              <w:bottom w:w="80" w:type="dxa"/>
              <w:end w:w="120" w:type="dxa"/>
            </w:tcMar>
          </w:tcPr>
          <w:p>
            <w:pPr>
              <w:spacing w:after="0"/>
            </w:pPr>
            <w:r/>
            <w:r>
              <w:rPr>
                <w:rFonts w:ascii="Calibri" w:hAnsi="Calibri"/>
                <w:b/>
                <w:color w:val="FFFFFF"/>
                <w:sz w:val="17"/>
              </w:rPr>
              <w:t>Stage</w:t>
            </w:r>
          </w:p>
        </w:tc>
        <w:tc>
          <w:tcPr>
            <w:tcW w:type="dxa" w:w="3500"/>
            <w:shd w:fill="0E7490"/>
            <w:vAlign w:val="center"/>
            <w:tcMar>
              <w:top w:w="80" w:type="dxa"/>
              <w:start w:w="120" w:type="dxa"/>
              <w:bottom w:w="80" w:type="dxa"/>
              <w:end w:w="120" w:type="dxa"/>
            </w:tcMar>
          </w:tcPr>
          <w:p>
            <w:pPr>
              <w:spacing w:after="0"/>
            </w:pPr>
            <w:r/>
            <w:r>
              <w:rPr>
                <w:rFonts w:ascii="Calibri" w:hAnsi="Calibri"/>
                <w:b/>
                <w:color w:val="FFFFFF"/>
                <w:sz w:val="17"/>
              </w:rPr>
              <w:t>Implementation</w:t>
            </w:r>
          </w:p>
        </w:tc>
        <w:tc>
          <w:tcPr>
            <w:tcW w:type="dxa" w:w="3960"/>
            <w:shd w:fill="0E7490"/>
            <w:vAlign w:val="center"/>
            <w:tcMar>
              <w:top w:w="80" w:type="dxa"/>
              <w:start w:w="120" w:type="dxa"/>
              <w:bottom w:w="80" w:type="dxa"/>
              <w:end w:w="120" w:type="dxa"/>
            </w:tcMar>
          </w:tcPr>
          <w:p>
            <w:pPr>
              <w:spacing w:after="0"/>
            </w:pPr>
            <w:r/>
            <w:r>
              <w:rPr>
                <w:rFonts w:ascii="Calibri" w:hAnsi="Calibri"/>
                <w:b/>
                <w:color w:val="FFFFFF"/>
                <w:sz w:val="17"/>
              </w:rPr>
              <w:t>Reason</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Resize</w:t>
            </w:r>
          </w:p>
        </w:tc>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7"/>
              </w:rPr>
              <w:t>256 x 256 using area interpolation</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Stable profile and residual dimensions</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Grayscale</w:t>
            </w:r>
          </w:p>
        </w:tc>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7"/>
              </w:rPr>
              <w:t>BGR to single intensity channel</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Reduces residual comparison complexity</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Denoise</w:t>
            </w:r>
          </w:p>
        </w:tc>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7"/>
              </w:rPr>
              <w:t>5 x 5 Gaussian blur</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Suppresses isolated sensor/pixel noise</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Contrast</w:t>
            </w:r>
          </w:p>
        </w:tc>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7"/>
              </w:rPr>
              <w:t>CLAHE, clip limit 2.0, 8 x 8 tiles</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Improves local structure under uneven contrast</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Brightness correction</w:t>
            </w:r>
          </w:p>
        </w:tc>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7"/>
              </w:rPr>
              <w:t>Median foreground offset</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Reduces global illumination mismatch</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Variability normalization</w:t>
            </w:r>
          </w:p>
        </w:tc>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7"/>
              </w:rPr>
              <w:t>Absolute residual / (normal std + 15)</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Downweights naturally variable pixels</w:t>
            </w:r>
          </w:p>
        </w:tc>
      </w:tr>
      <w:tr>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Foreground masking</w:t>
            </w:r>
          </w:p>
        </w:tc>
        <w:tc>
          <w:tcPr>
            <w:tcW w:type="dxa" w:w="3500"/>
            <w:vAlign w:val="center"/>
            <w:tcMar>
              <w:top w:w="80" w:type="dxa"/>
              <w:start w:w="120" w:type="dxa"/>
              <w:bottom w:w="80" w:type="dxa"/>
              <w:end w:w="120" w:type="dxa"/>
            </w:tcMar>
          </w:tcPr>
          <w:p>
            <w:pPr>
              <w:spacing w:after="0" w:line="240" w:lineRule="auto"/>
            </w:pPr>
            <w:r/>
            <w:r>
              <w:rPr>
                <w:rFonts w:ascii="Calibri" w:hAnsi="Calibri"/>
                <w:color w:val="172033"/>
                <w:sz w:val="17"/>
              </w:rPr>
              <w:t>Otsu threshold on normal mean</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Excludes bright background</w:t>
            </w:r>
          </w:p>
        </w:tc>
      </w:tr>
      <w:tr>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Component cleanup</w:t>
            </w:r>
          </w:p>
        </w:tc>
        <w:tc>
          <w:tcPr>
            <w:tcW w:type="dxa" w:w="3500"/>
            <w:vAlign w:val="center"/>
            <w:shd w:fill="F3F5F8"/>
            <w:tcMar>
              <w:top w:w="80" w:type="dxa"/>
              <w:start w:w="120" w:type="dxa"/>
              <w:bottom w:w="80" w:type="dxa"/>
              <w:end w:w="120" w:type="dxa"/>
            </w:tcMar>
          </w:tcPr>
          <w:p>
            <w:pPr>
              <w:spacing w:after="0" w:line="240" w:lineRule="auto"/>
            </w:pPr>
            <w:r/>
            <w:r>
              <w:rPr>
                <w:rFonts w:ascii="Calibri" w:hAnsi="Calibri"/>
                <w:color w:val="172033"/>
                <w:sz w:val="17"/>
              </w:rPr>
              <w:t>8-connected regions, minimum area 4 pixels</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Removes tiny residual noise</w:t>
            </w:r>
          </w:p>
        </w:tc>
      </w:tr>
    </w:tbl>
    <w:p>
      <w:pPr>
        <w:pStyle w:val="Heading2"/>
      </w:pPr>
      <w:r>
        <w:t>7.3 Object-aware preprocessing utilities</w:t>
      </w:r>
    </w:p>
    <w:p>
      <w:r>
        <w:rPr>
          <w:rFonts w:ascii="Calibri" w:hAnsi="Calibri"/>
          <w:color w:val="172033"/>
        </w:rPr>
        <w:t>The module also provides foreground extraction, largest-component selection, bounding-box padding, elongated-object alignment, aspect-ratio-preserving resize, and LAB/CLAHE contrast enhancement. These functions improve input consistency and are reused by later classification paths. The current portable residual score remains a full-frame 256 x 256 comparison; the object-aware view is documented separately to avoid claiming that every preprocessing utility is applied in every detector branch.</w:t>
      </w:r>
    </w:p>
    <w:p>
      <w:pPr>
        <w:keepNext/>
        <w:jc w:val="center"/>
      </w:pPr>
      <w:r>
        <w:drawing>
          <wp:inline xmlns:a="http://schemas.openxmlformats.org/drawingml/2006/main" xmlns:pic="http://schemas.openxmlformats.org/drawingml/2006/picture">
            <wp:extent cx="6080760" cy="3969875"/>
            <wp:docPr id="5" name="Picture 5" descr="Object-aware preprocessing evidence"/>
            <wp:cNvGraphicFramePr>
              <a:graphicFrameLocks noChangeAspect="1"/>
            </wp:cNvGraphicFramePr>
            <a:graphic>
              <a:graphicData uri="http://schemas.openxmlformats.org/drawingml/2006/picture">
                <pic:pic>
                  <pic:nvPicPr>
                    <pic:cNvPr id="0" name="notebook_preprocessing.png"/>
                    <pic:cNvPicPr/>
                  </pic:nvPicPr>
                  <pic:blipFill>
                    <a:blip r:embed="rId15"/>
                    <a:stretch>
                      <a:fillRect/>
                    </a:stretch>
                  </pic:blipFill>
                  <pic:spPr>
                    <a:xfrm>
                      <a:off x="0" y="0"/>
                      <a:ext cx="6080760" cy="3969875"/>
                    </a:xfrm>
                    <a:prstGeom prst="rect"/>
                  </pic:spPr>
                </pic:pic>
              </a:graphicData>
            </a:graphic>
          </wp:inline>
        </w:drawing>
      </w:r>
    </w:p>
    <w:p>
      <w:pPr>
        <w:pStyle w:val="Caption"/>
        <w:spacing w:before="60" w:after="140"/>
        <w:jc w:val="center"/>
      </w:pPr>
      <w:r>
        <w:rPr>
          <w:rFonts w:ascii="Calibri" w:hAnsi="Calibri"/>
          <w:b/>
          <w:color w:val="0F2942"/>
          <w:sz w:val="18"/>
        </w:rPr>
        <w:t>Figure 5. Object-aware preprocessing evidence</w:t>
      </w:r>
      <w:r>
        <w:rPr>
          <w:rFonts w:ascii="Calibri" w:hAnsi="Calibri"/>
          <w:i/>
          <w:color w:val="5F6B7A"/>
          <w:sz w:val="16"/>
        </w:rPr>
        <w:br/>
        <w:t>Source: Executed Notebook 02 on a real cable bent-wire image.</w:t>
      </w:r>
    </w:p>
    <w:p>
      <w:pPr>
        <w:pStyle w:val="Heading2"/>
      </w:pPr>
      <w:r>
        <w:t>7.4 Preprocessing safeguards</w:t>
      </w:r>
    </w:p>
    <w:p>
      <w:pPr>
        <w:pStyle w:val="ListBullet"/>
        <w:spacing w:after="80" w:line="276" w:lineRule="auto"/>
        <w:ind w:left="720" w:hanging="360"/>
      </w:pPr>
      <w:r>
        <w:rPr>
          <w:rFonts w:ascii="Calibri" w:hAnsi="Calibri"/>
          <w:color w:val="172033"/>
        </w:rPr>
        <w:t>Unreadable images raise a clear file error instead of propagating an empty array.</w:t>
      </w:r>
    </w:p>
    <w:p>
      <w:pPr>
        <w:pStyle w:val="ListBullet"/>
        <w:spacing w:after="80" w:line="276" w:lineRule="auto"/>
        <w:ind w:left="720" w:hanging="360"/>
      </w:pPr>
      <w:r>
        <w:rPr>
          <w:rFonts w:ascii="Calibri" w:hAnsi="Calibri"/>
          <w:color w:val="172033"/>
        </w:rPr>
        <w:t>Empty crops cannot be resized.</w:t>
      </w:r>
    </w:p>
    <w:p>
      <w:pPr>
        <w:pStyle w:val="ListBullet"/>
        <w:spacing w:after="80" w:line="276" w:lineRule="auto"/>
        <w:ind w:left="720" w:hanging="360"/>
      </w:pPr>
      <w:r>
        <w:rPr>
          <w:rFonts w:ascii="Calibri" w:hAnsi="Calibri"/>
          <w:color w:val="172033"/>
        </w:rPr>
        <w:t>Foreground fallback retains the full image when segmentation is unreliable.</w:t>
      </w:r>
    </w:p>
    <w:p>
      <w:pPr>
        <w:pStyle w:val="ListBullet"/>
        <w:spacing w:after="80" w:line="276" w:lineRule="auto"/>
        <w:ind w:left="720" w:hanging="360"/>
      </w:pPr>
      <w:r>
        <w:rPr>
          <w:rFonts w:ascii="Calibri" w:hAnsi="Calibri"/>
          <w:color w:val="172033"/>
        </w:rPr>
        <w:t>Nearly square texture images are not forced through elongated-object rotation.</w:t>
      </w:r>
    </w:p>
    <w:p>
      <w:pPr>
        <w:pStyle w:val="ListBullet"/>
        <w:spacing w:after="80" w:line="276" w:lineRule="auto"/>
        <w:ind w:left="720" w:hanging="360"/>
      </w:pPr>
      <w:r>
        <w:rPr>
          <w:rFonts w:ascii="Calibri" w:hAnsi="Calibri"/>
          <w:color w:val="172033"/>
        </w:rPr>
        <w:t>Aspect ratio is preserved when constructing the padded classifier view.</w:t>
      </w:r>
    </w:p>
    <w:p>
      <w:pPr>
        <w:pStyle w:val="ListBullet"/>
        <w:spacing w:after="80" w:line="276" w:lineRule="auto"/>
        <w:ind w:left="720" w:hanging="360"/>
      </w:pPr>
      <w:r>
        <w:rPr>
          <w:rFonts w:ascii="Calibri" w:hAnsi="Calibri"/>
          <w:color w:val="172033"/>
        </w:rPr>
        <w:t>The baseline profile verifies that mean, variability, and mask shapes agree.</w:t>
      </w:r>
    </w:p>
    <w:p>
      <w:pPr>
        <w:pStyle w:val="Heading1"/>
        <w:pageBreakBefore/>
      </w:pPr>
      <w:r>
        <w:t>8. Portable Baseline Detector Design</w:t>
      </w:r>
    </w:p>
    <w:p>
      <w:r>
        <w:rPr>
          <w:rFonts w:ascii="Calibri" w:hAnsi="Calibri"/>
          <w:color w:val="172033"/>
        </w:rPr>
        <w:t>The portable baseline is the first complete anomaly detector in the project. It is designed to run on CPU from committed artifacts and to expose understandable intermediate evidence. It is more capable than a plain pixel-difference rule because the final decision combines deep global appearance with local residual structure.</w:t>
      </w:r>
    </w:p>
    <w:p>
      <w:pPr>
        <w:keepNext/>
        <w:jc w:val="center"/>
      </w:pPr>
      <w:r>
        <w:drawing>
          <wp:inline xmlns:a="http://schemas.openxmlformats.org/drawingml/2006/main" xmlns:pic="http://schemas.openxmlformats.org/drawingml/2006/picture">
            <wp:extent cx="6126480" cy="3752469"/>
            <wp:docPr id="6" name="Picture 6" descr="Portable detector architecture and dual-gate decision"/>
            <wp:cNvGraphicFramePr>
              <a:graphicFrameLocks noChangeAspect="1"/>
            </wp:cNvGraphicFramePr>
            <a:graphic>
              <a:graphicData uri="http://schemas.openxmlformats.org/drawingml/2006/picture">
                <pic:pic>
                  <pic:nvPicPr>
                    <pic:cNvPr id="0" name="portable_detector_architecture.png"/>
                    <pic:cNvPicPr/>
                  </pic:nvPicPr>
                  <pic:blipFill>
                    <a:blip r:embed="rId16"/>
                    <a:stretch>
                      <a:fillRect/>
                    </a:stretch>
                  </pic:blipFill>
                  <pic:spPr>
                    <a:xfrm>
                      <a:off x="0" y="0"/>
                      <a:ext cx="6126480" cy="3752469"/>
                    </a:xfrm>
                    <a:prstGeom prst="rect"/>
                  </pic:spPr>
                </pic:pic>
              </a:graphicData>
            </a:graphic>
          </wp:inline>
        </w:drawing>
      </w:r>
    </w:p>
    <w:p>
      <w:pPr>
        <w:pStyle w:val="Caption"/>
        <w:spacing w:before="60" w:after="140"/>
        <w:jc w:val="center"/>
      </w:pPr>
      <w:r>
        <w:rPr>
          <w:rFonts w:ascii="Calibri" w:hAnsi="Calibri"/>
          <w:b/>
          <w:color w:val="0F2942"/>
          <w:sz w:val="18"/>
        </w:rPr>
        <w:t>Figure 6. Portable detector architecture and dual-gate decision</w:t>
      </w:r>
      <w:r>
        <w:rPr>
          <w:rFonts w:ascii="Calibri" w:hAnsi="Calibri"/>
          <w:i/>
          <w:color w:val="5F6B7A"/>
          <w:sz w:val="16"/>
        </w:rPr>
        <w:br/>
        <w:t>Source: Implemented functions in ml/baseline_detector.py and ml/inference.py.</w:t>
      </w:r>
    </w:p>
    <w:p>
      <w:pPr>
        <w:pStyle w:val="Heading2"/>
      </w:pPr>
      <w:r>
        <w:t>8.1 Category normal profile</w:t>
      </w:r>
    </w:p>
    <w:p>
      <w:r>
        <w:rPr>
          <w:rFonts w:ascii="Calibri" w:hAnsi="Calibri"/>
          <w:color w:val="172033"/>
        </w:rPr>
        <w:t>For each category, `normal_profile.npz` stores four runtime arrays. The cable profile, used in the detailed notebook walkthrough, contains a 256 x 256 normal mean, 256 x 256 normal variability image, 256 x 256 foreground mask, and a 224 x 512 normal embedding bank. The first dimension of the embedding bank corresponds to the 224 cable `train/good` images.</w:t>
      </w:r>
    </w:p>
    <w:tbl>
      <w:tblPr>
        <w:tblStyle w:val="TableGrid"/>
        <w:tblW w:type="dxa" w:w="9360"/>
        <w:jc w:val="left"/>
        <w:tblLayout w:type="fixed"/>
        <w:tblLook w:firstColumn="1" w:firstRow="1" w:lastColumn="0" w:lastRow="0" w:noHBand="0" w:noVBand="1" w:val="04A0"/>
        <w:tblInd w:type="dxa" w:w="120"/>
      </w:tblPr>
      <w:tblGrid>
        <w:gridCol w:w="2100"/>
        <w:gridCol w:w="2600"/>
        <w:gridCol w:w="4660"/>
      </w:tblGrid>
      <w:tr>
        <w:trPr>
          <w:tblHeader w:val="true"/>
        </w:trPr>
        <w:tc>
          <w:tcPr>
            <w:tcW w:type="dxa" w:w="2100"/>
            <w:shd w:fill="0F2942"/>
            <w:vAlign w:val="center"/>
            <w:tcMar>
              <w:top w:w="80" w:type="dxa"/>
              <w:start w:w="120" w:type="dxa"/>
              <w:bottom w:w="80" w:type="dxa"/>
              <w:end w:w="120" w:type="dxa"/>
            </w:tcMar>
          </w:tcPr>
          <w:p>
            <w:pPr>
              <w:spacing w:after="0"/>
            </w:pPr>
            <w:r/>
            <w:r>
              <w:rPr>
                <w:rFonts w:ascii="Calibri" w:hAnsi="Calibri"/>
                <w:b/>
                <w:color w:val="FFFFFF"/>
                <w:sz w:val="17"/>
              </w:rPr>
              <w:t>Profile field</w:t>
            </w:r>
          </w:p>
        </w:tc>
        <w:tc>
          <w:tcPr>
            <w:tcW w:type="dxa" w:w="2600"/>
            <w:shd w:fill="0F2942"/>
            <w:vAlign w:val="center"/>
            <w:tcMar>
              <w:top w:w="80" w:type="dxa"/>
              <w:start w:w="120" w:type="dxa"/>
              <w:bottom w:w="80" w:type="dxa"/>
              <w:end w:w="120" w:type="dxa"/>
            </w:tcMar>
          </w:tcPr>
          <w:p>
            <w:pPr>
              <w:spacing w:after="0"/>
            </w:pPr>
            <w:r/>
            <w:r>
              <w:rPr>
                <w:rFonts w:ascii="Calibri" w:hAnsi="Calibri"/>
                <w:b/>
                <w:color w:val="FFFFFF"/>
                <w:sz w:val="17"/>
              </w:rPr>
              <w:t>Representation</w:t>
            </w:r>
          </w:p>
        </w:tc>
        <w:tc>
          <w:tcPr>
            <w:tcW w:type="dxa" w:w="4660"/>
            <w:shd w:fill="0F2942"/>
            <w:vAlign w:val="center"/>
            <w:tcMar>
              <w:top w:w="80" w:type="dxa"/>
              <w:start w:w="120" w:type="dxa"/>
              <w:bottom w:w="80" w:type="dxa"/>
              <w:end w:w="120" w:type="dxa"/>
            </w:tcMar>
          </w:tcPr>
          <w:p>
            <w:pPr>
              <w:spacing w:after="0"/>
            </w:pPr>
            <w:r/>
            <w:r>
              <w:rPr>
                <w:rFonts w:ascii="Calibri" w:hAnsi="Calibri"/>
                <w:b/>
                <w:color w:val="FFFFFF"/>
                <w:sz w:val="17"/>
              </w:rPr>
              <w:t>Runtime role</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mean</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float32, 256 x 256</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Expected normal grayscale appearance</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std</w:t>
            </w:r>
          </w:p>
        </w:tc>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float32, 256 x 256</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 pixel variability</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foreground_mask</w:t>
            </w:r>
          </w:p>
        </w:tc>
        <w:tc>
          <w:tcPr>
            <w:tcW w:type="dxa" w:w="2600"/>
            <w:vAlign w:val="center"/>
            <w:tcMar>
              <w:top w:w="80" w:type="dxa"/>
              <w:start w:w="120" w:type="dxa"/>
              <w:bottom w:w="80" w:type="dxa"/>
              <w:end w:w="120" w:type="dxa"/>
            </w:tcMar>
          </w:tcPr>
          <w:p>
            <w:pPr>
              <w:spacing w:after="0" w:line="240" w:lineRule="auto"/>
            </w:pPr>
            <w:r/>
            <w:r>
              <w:rPr>
                <w:rFonts w:ascii="Calibri" w:hAnsi="Calibri"/>
                <w:color w:val="172033"/>
                <w:sz w:val="17"/>
              </w:rPr>
              <w:t>boolean, 256 x 256</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Stable product pixels</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embedding_bank</w:t>
            </w:r>
          </w:p>
        </w:tc>
        <w:tc>
          <w:tcPr>
            <w:tcW w:type="dxa" w:w="2600"/>
            <w:vAlign w:val="center"/>
            <w:shd w:fill="F3F5F8"/>
            <w:tcMar>
              <w:top w:w="80" w:type="dxa"/>
              <w:start w:w="120" w:type="dxa"/>
              <w:bottom w:w="80" w:type="dxa"/>
              <w:end w:w="120" w:type="dxa"/>
            </w:tcMar>
          </w:tcPr>
          <w:p>
            <w:pPr>
              <w:spacing w:after="0" w:line="240" w:lineRule="auto"/>
            </w:pPr>
            <w:r/>
            <w:r>
              <w:rPr>
                <w:rFonts w:ascii="Calibri" w:hAnsi="Calibri"/>
                <w:color w:val="172033"/>
                <w:sz w:val="17"/>
              </w:rPr>
              <w:t>float32, N x 512</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Normalized normal ResNet18 embeddings</w:t>
            </w:r>
          </w:p>
        </w:tc>
      </w:tr>
    </w:tbl>
    <w:p>
      <w:pPr>
        <w:pStyle w:val="Heading2"/>
      </w:pPr>
      <w:r>
        <w:t>8.2 Global anomaly score</w:t>
      </w:r>
    </w:p>
    <w:p>
      <w:r>
        <w:rPr>
          <w:rFonts w:ascii="Calibri" w:hAnsi="Calibri"/>
          <w:color w:val="172033"/>
        </w:rPr>
        <w:t>The shared ResNet18 [2] is loaded from `models/inference/resnet18_features.onnx` using OpenCV DNN. The final classification layer is removed, producing a 512-dimensional embedding. Both the incoming embedding and the stored normal bank are L2-normalized. The anomaly score is one minus the highest cosine similarity to any normal embedding.</w:t>
      </w:r>
    </w:p>
    <w:p>
      <w:pPr>
        <w:spacing w:before="100" w:after="160" w:line="252" w:lineRule="auto"/>
        <w:ind w:left="259" w:right="259"/>
        <w:shd w:fill="EEF1F5"/>
      </w:pPr>
      <w:r>
        <w:rPr>
          <w:rFonts w:ascii="Consolas" w:hAnsi="Consolas"/>
          <w:color w:val="0F2942"/>
          <w:sz w:val="17"/>
        </w:rPr>
        <w:t>normalized_feature = feature / ||feature||</w:t>
        <w:br/>
        <w:t>normalized_bank    = bank / ||bank||</w:t>
        <w:br/>
        <w:t>global_score       = 1 - max(normalized_feature @ normalized_bank.T)</w:t>
      </w:r>
    </w:p>
    <w:p>
      <w:pPr>
        <w:pStyle w:val="Heading2"/>
      </w:pPr>
      <w:r>
        <w:t>8.3 Spatial normalized residual</w:t>
      </w:r>
    </w:p>
    <w:p>
      <w:r>
        <w:rPr>
          <w:rFonts w:ascii="Calibri" w:hAnsi="Calibri"/>
          <w:color w:val="172033"/>
        </w:rPr>
        <w:t>The residual branch compares the preprocessed image with normal mean appearance. A median brightness offset is calculated only over foreground pixels. The corrected absolute difference is divided by normal variability plus a fixed floor of 15 to avoid unstable division in nearly constant areas. Gaussian smoothing and foreground masking produce the final residual map.</w:t>
      </w:r>
    </w:p>
    <w:p>
      <w:pPr>
        <w:spacing w:before="100" w:after="160" w:line="252" w:lineRule="auto"/>
        <w:ind w:left="259" w:right="259"/>
        <w:shd w:fill="EEF1F5"/>
      </w:pPr>
      <w:r>
        <w:rPr>
          <w:rFonts w:ascii="Consolas" w:hAnsi="Consolas"/>
          <w:color w:val="0F2942"/>
          <w:sz w:val="17"/>
        </w:rPr>
        <w:t>brightness_offset = median((image - mean)[foreground])</w:t>
        <w:br/>
        <w:t>residual = abs(image - brightness_offset - mean) / (std + 15)</w:t>
        <w:br/>
        <w:t>residual = gaussian_blur(residual)</w:t>
        <w:br/>
        <w:t>residual[background] = 0</w:t>
      </w:r>
    </w:p>
    <w:p>
      <w:pPr>
        <w:pStyle w:val="Heading2"/>
      </w:pPr>
      <w:r>
        <w:t>8.4 Connected-component cleanup and dual gate</w:t>
      </w:r>
    </w:p>
    <w:p>
      <w:r>
        <w:rPr>
          <w:rFonts w:ascii="Calibri" w:hAnsi="Calibri"/>
          <w:color w:val="172033"/>
        </w:rPr>
        <w:t>Pixels above the category residual threshold form candidate anomaly regions. OpenCV connected-component analysis [3] removes components smaller than four pixels. The final baseline decision is deliberately stricter than score-only classification.</w:t>
      </w:r>
    </w:p>
    <w:p>
      <w:pPr>
        <w:spacing w:before="100" w:after="160" w:line="252" w:lineRule="auto"/>
        <w:ind w:left="259" w:right="259"/>
        <w:shd w:fill="EEF1F5"/>
      </w:pPr>
      <w:r>
        <w:rPr>
          <w:rFonts w:ascii="Consolas" w:hAnsi="Consolas"/>
          <w:color w:val="0F2942"/>
          <w:sz w:val="17"/>
        </w:rPr>
        <w:t>is_defective = (global_score &gt; category_global_threshold)</w:t>
        <w:br/>
        <w:t xml:space="preserve">               and (cleaned_residual_mask contains at least one pixel)</w:t>
      </w:r>
    </w:p>
    <w:p>
      <w:pPr>
        <w:spacing w:before="120" w:after="160"/>
        <w:ind w:left="173" w:right="173"/>
        <w:shd w:fill="FFF7E6"/>
        <w:pBdr>
          <w:left w:val="single" w:sz="24" w:space="8" w:color="A16207"/>
        </w:pBdr>
      </w:pPr>
      <w:r>
        <w:rPr>
          <w:rFonts w:ascii="Calibri" w:hAnsi="Calibri"/>
          <w:b/>
          <w:color w:val="A16207"/>
        </w:rPr>
        <w:t xml:space="preserve">Decision safeguard: </w:t>
      </w:r>
      <w:r>
        <w:rPr>
          <w:rFonts w:ascii="Calibri" w:hAnsi="Calibri"/>
          <w:color w:val="172033"/>
        </w:rPr>
        <w:t>A score can be above or below its threshold independently of residual noise. The product becomes Defective only when both global and spatial evidence agree.</w:t>
      </w:r>
    </w:p>
    <w:p>
      <w:pPr>
        <w:pStyle w:val="Heading1"/>
        <w:pageBreakBefore/>
      </w:pPr>
      <w:r>
        <w:t>9. Baseline Inference Walkthrough</w:t>
      </w:r>
    </w:p>
    <w:p>
      <w:pPr>
        <w:pStyle w:val="Heading2"/>
      </w:pPr>
      <w:r>
        <w:t>9.1 Cable profile configuration</w:t>
      </w:r>
    </w:p>
    <w:tbl>
      <w:tblPr>
        <w:tblStyle w:val="TableGrid"/>
        <w:tblW w:type="dxa" w:w="9360"/>
        <w:jc w:val="left"/>
        <w:tblLayout w:type="fixed"/>
        <w:tblLook w:firstColumn="1" w:firstRow="1" w:lastColumn="0" w:lastRow="0" w:noHBand="0" w:noVBand="1" w:val="04A0"/>
        <w:tblInd w:type="dxa" w:w="120"/>
      </w:tblPr>
      <w:tblGrid>
        <w:gridCol w:w="3100"/>
        <w:gridCol w:w="6260"/>
      </w:tblGrid>
      <w:tr>
        <w:trPr>
          <w:tblHeader w:val="true"/>
        </w:trPr>
        <w:tc>
          <w:tcPr>
            <w:tcW w:type="dxa" w:w="3100"/>
            <w:shd w:fill="0F2942"/>
            <w:vAlign w:val="center"/>
            <w:tcMar>
              <w:top w:w="80" w:type="dxa"/>
              <w:start w:w="120" w:type="dxa"/>
              <w:bottom w:w="80" w:type="dxa"/>
              <w:end w:w="120" w:type="dxa"/>
            </w:tcMar>
          </w:tcPr>
          <w:p>
            <w:pPr>
              <w:spacing w:after="0"/>
            </w:pPr>
            <w:r/>
            <w:r>
              <w:rPr>
                <w:rFonts w:ascii="Calibri" w:hAnsi="Calibri"/>
                <w:b/>
                <w:color w:val="FFFFFF"/>
                <w:sz w:val="18"/>
              </w:rPr>
              <w:t>Setting</w:t>
            </w:r>
          </w:p>
        </w:tc>
        <w:tc>
          <w:tcPr>
            <w:tcW w:type="dxa" w:w="6260"/>
            <w:shd w:fill="0F2942"/>
            <w:vAlign w:val="center"/>
            <w:tcMar>
              <w:top w:w="80" w:type="dxa"/>
              <w:start w:w="120" w:type="dxa"/>
              <w:bottom w:w="80" w:type="dxa"/>
              <w:end w:w="120" w:type="dxa"/>
            </w:tcMar>
          </w:tcPr>
          <w:p>
            <w:pPr>
              <w:spacing w:after="0"/>
            </w:pPr>
            <w:r/>
            <w:r>
              <w:rPr>
                <w:rFonts w:ascii="Calibri" w:hAnsi="Calibri"/>
                <w:b/>
                <w:color w:val="FFFFFF"/>
                <w:sz w:val="18"/>
              </w:rPr>
              <w:t>Value</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8"/>
              </w:rPr>
              <w:t>Category</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cable</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8"/>
              </w:rPr>
              <w:t>Global detector</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8"/>
              </w:rPr>
              <w:t>ResNet18 normal-memory cosine distance</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8"/>
              </w:rPr>
              <w:t>Global score threshold</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0.041518</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8"/>
              </w:rPr>
              <w:t>Residual threshold</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8"/>
              </w:rPr>
              <w:t>1.298446</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8"/>
              </w:rPr>
              <w:t>Normal embeddings</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224 x 512</w:t>
            </w:r>
          </w:p>
        </w:tc>
      </w:tr>
      <w:tr>
        <w:tc>
          <w:tcPr>
            <w:tcW w:type="dxa" w:w="3100"/>
            <w:vAlign w:val="center"/>
            <w:shd w:fill="F3F5F8"/>
            <w:tcMar>
              <w:top w:w="80" w:type="dxa"/>
              <w:start w:w="120" w:type="dxa"/>
              <w:bottom w:w="80" w:type="dxa"/>
              <w:end w:w="120" w:type="dxa"/>
            </w:tcMar>
          </w:tcPr>
          <w:p>
            <w:pPr>
              <w:spacing w:after="0" w:line="240" w:lineRule="auto"/>
            </w:pPr>
            <w:r/>
            <w:r>
              <w:rPr>
                <w:rFonts w:ascii="Calibri" w:hAnsi="Calibri"/>
                <w:color w:val="172033"/>
                <w:sz w:val="18"/>
              </w:rPr>
              <w:t>Residual resolution</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8"/>
              </w:rPr>
              <w:t>256 x 256</w:t>
            </w:r>
          </w:p>
        </w:tc>
      </w:tr>
      <w:tr>
        <w:tc>
          <w:tcPr>
            <w:tcW w:type="dxa" w:w="3100"/>
            <w:vAlign w:val="center"/>
            <w:tcMar>
              <w:top w:w="80" w:type="dxa"/>
              <w:start w:w="120" w:type="dxa"/>
              <w:bottom w:w="80" w:type="dxa"/>
              <w:end w:w="120" w:type="dxa"/>
            </w:tcMar>
          </w:tcPr>
          <w:p>
            <w:pPr>
              <w:spacing w:after="0" w:line="240" w:lineRule="auto"/>
            </w:pPr>
            <w:r/>
            <w:r>
              <w:rPr>
                <w:rFonts w:ascii="Calibri" w:hAnsi="Calibri"/>
                <w:color w:val="172033"/>
                <w:sz w:val="18"/>
              </w:rPr>
              <w:t>Execution device</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CPU through OpenCV DNN</w:t>
            </w:r>
          </w:p>
        </w:tc>
      </w:tr>
    </w:tbl>
    <w:p>
      <w:pPr>
        <w:pStyle w:val="Heading2"/>
      </w:pPr>
      <w:r>
        <w:t>9.2 Normal versus defective evidence</w:t>
      </w:r>
    </w:p>
    <w:tbl>
      <w:tblPr>
        <w:tblStyle w:val="TableGrid"/>
        <w:tblW w:type="dxa" w:w="9360"/>
        <w:jc w:val="left"/>
        <w:tblLayout w:type="fixed"/>
        <w:tblLook w:firstColumn="1" w:firstRow="1" w:lastColumn="0" w:lastRow="0" w:noHBand="0" w:noVBand="1" w:val="04A0"/>
        <w:tblInd w:type="dxa" w:w="120"/>
      </w:tblPr>
      <w:tblGrid>
        <w:gridCol w:w="2200"/>
        <w:gridCol w:w="1250"/>
        <w:gridCol w:w="1200"/>
        <w:gridCol w:w="1200"/>
        <w:gridCol w:w="1150"/>
        <w:gridCol w:w="1200"/>
        <w:gridCol w:w="1160"/>
      </w:tblGrid>
      <w:tr>
        <w:trPr>
          <w:tblHeader w:val="true"/>
        </w:trPr>
        <w:tc>
          <w:tcPr>
            <w:tcW w:type="dxa" w:w="2200"/>
            <w:shd w:fill="0E7490"/>
            <w:vAlign w:val="center"/>
            <w:tcMar>
              <w:top w:w="80" w:type="dxa"/>
              <w:start w:w="120" w:type="dxa"/>
              <w:bottom w:w="80" w:type="dxa"/>
              <w:end w:w="120" w:type="dxa"/>
            </w:tcMar>
          </w:tcPr>
          <w:p>
            <w:pPr>
              <w:spacing w:after="0"/>
            </w:pPr>
            <w:r/>
            <w:r>
              <w:rPr>
                <w:rFonts w:ascii="Calibri" w:hAnsi="Calibri"/>
                <w:b/>
                <w:color w:val="FFFFFF"/>
                <w:sz w:val="15"/>
              </w:rPr>
              <w:t>Image</w:t>
            </w:r>
          </w:p>
        </w:tc>
        <w:tc>
          <w:tcPr>
            <w:tcW w:type="dxa" w:w="1250"/>
            <w:shd w:fill="0E7490"/>
            <w:vAlign w:val="center"/>
            <w:tcMar>
              <w:top w:w="80" w:type="dxa"/>
              <w:start w:w="120" w:type="dxa"/>
              <w:bottom w:w="80" w:type="dxa"/>
              <w:end w:w="120" w:type="dxa"/>
            </w:tcMar>
          </w:tcPr>
          <w:p>
            <w:pPr>
              <w:spacing w:after="0"/>
            </w:pPr>
            <w:r/>
            <w:r>
              <w:rPr>
                <w:rFonts w:ascii="Calibri" w:hAnsi="Calibri"/>
                <w:b/>
                <w:color w:val="FFFFFF"/>
                <w:sz w:val="15"/>
              </w:rPr>
              <w:t>Expected</w:t>
            </w:r>
          </w:p>
        </w:tc>
        <w:tc>
          <w:tcPr>
            <w:tcW w:type="dxa" w:w="1200"/>
            <w:shd w:fill="0E7490"/>
            <w:vAlign w:val="center"/>
            <w:tcMar>
              <w:top w:w="80" w:type="dxa"/>
              <w:start w:w="120" w:type="dxa"/>
              <w:bottom w:w="80" w:type="dxa"/>
              <w:end w:w="120" w:type="dxa"/>
            </w:tcMar>
          </w:tcPr>
          <w:p>
            <w:pPr>
              <w:spacing w:after="0"/>
            </w:pPr>
            <w:r/>
            <w:r>
              <w:rPr>
                <w:rFonts w:ascii="Calibri" w:hAnsi="Calibri"/>
                <w:b/>
                <w:color w:val="FFFFFF"/>
                <w:sz w:val="15"/>
              </w:rPr>
              <w:t>Global score</w:t>
            </w:r>
          </w:p>
        </w:tc>
        <w:tc>
          <w:tcPr>
            <w:tcW w:type="dxa" w:w="1200"/>
            <w:shd w:fill="0E7490"/>
            <w:vAlign w:val="center"/>
            <w:tcMar>
              <w:top w:w="80" w:type="dxa"/>
              <w:start w:w="120" w:type="dxa"/>
              <w:bottom w:w="80" w:type="dxa"/>
              <w:end w:w="120" w:type="dxa"/>
            </w:tcMar>
          </w:tcPr>
          <w:p>
            <w:pPr>
              <w:spacing w:after="0"/>
            </w:pPr>
            <w:r/>
            <w:r>
              <w:rPr>
                <w:rFonts w:ascii="Calibri" w:hAnsi="Calibri"/>
                <w:b/>
                <w:color w:val="FFFFFF"/>
                <w:sz w:val="15"/>
              </w:rPr>
              <w:t>Residual p99</w:t>
            </w:r>
          </w:p>
        </w:tc>
        <w:tc>
          <w:tcPr>
            <w:tcW w:type="dxa" w:w="1150"/>
            <w:shd w:fill="0E7490"/>
            <w:vAlign w:val="center"/>
            <w:tcMar>
              <w:top w:w="80" w:type="dxa"/>
              <w:start w:w="120" w:type="dxa"/>
              <w:bottom w:w="80" w:type="dxa"/>
              <w:end w:w="120" w:type="dxa"/>
            </w:tcMar>
          </w:tcPr>
          <w:p>
            <w:pPr>
              <w:spacing w:after="0"/>
            </w:pPr>
            <w:r/>
            <w:r>
              <w:rPr>
                <w:rFonts w:ascii="Calibri" w:hAnsi="Calibri"/>
                <w:b/>
                <w:color w:val="FFFFFF"/>
                <w:sz w:val="15"/>
              </w:rPr>
              <w:t>Mask pixels</w:t>
            </w:r>
          </w:p>
        </w:tc>
        <w:tc>
          <w:tcPr>
            <w:tcW w:type="dxa" w:w="1200"/>
            <w:shd w:fill="0E7490"/>
            <w:vAlign w:val="center"/>
            <w:tcMar>
              <w:top w:w="80" w:type="dxa"/>
              <w:start w:w="120" w:type="dxa"/>
              <w:bottom w:w="80" w:type="dxa"/>
              <w:end w:w="120" w:type="dxa"/>
            </w:tcMar>
          </w:tcPr>
          <w:p>
            <w:pPr>
              <w:spacing w:after="0"/>
            </w:pPr>
            <w:r/>
            <w:r>
              <w:rPr>
                <w:rFonts w:ascii="Calibri" w:hAnsi="Calibri"/>
                <w:b/>
                <w:color w:val="FFFFFF"/>
                <w:sz w:val="15"/>
              </w:rPr>
              <w:t>Predicted</w:t>
            </w:r>
          </w:p>
        </w:tc>
        <w:tc>
          <w:tcPr>
            <w:tcW w:type="dxa" w:w="1160"/>
            <w:shd w:fill="0E7490"/>
            <w:vAlign w:val="center"/>
            <w:tcMar>
              <w:top w:w="80" w:type="dxa"/>
              <w:start w:w="120" w:type="dxa"/>
              <w:bottom w:w="80" w:type="dxa"/>
              <w:end w:w="120" w:type="dxa"/>
            </w:tcMar>
          </w:tcPr>
          <w:p>
            <w:pPr>
              <w:spacing w:after="0"/>
            </w:pPr>
            <w:r/>
            <w:r>
              <w:rPr>
                <w:rFonts w:ascii="Calibri" w:hAnsi="Calibri"/>
                <w:b/>
                <w:color w:val="FFFFFF"/>
                <w:sz w:val="15"/>
              </w:rPr>
              <w:t>Confidence</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5"/>
              </w:rPr>
              <w:t>good/000.png</w:t>
            </w:r>
          </w:p>
        </w:tc>
        <w:tc>
          <w:tcPr>
            <w:tcW w:type="dxa" w:w="1250"/>
            <w:vAlign w:val="center"/>
            <w:tcMar>
              <w:top w:w="80" w:type="dxa"/>
              <w:start w:w="120" w:type="dxa"/>
              <w:bottom w:w="80" w:type="dxa"/>
              <w:end w:w="120" w:type="dxa"/>
            </w:tcMar>
          </w:tcPr>
          <w:p>
            <w:pPr>
              <w:spacing w:after="0" w:line="240" w:lineRule="auto"/>
            </w:pPr>
            <w:r/>
            <w:r>
              <w:rPr>
                <w:rFonts w:ascii="Calibri" w:hAnsi="Calibri"/>
                <w:color w:val="172033"/>
                <w:sz w:val="15"/>
              </w:rPr>
              <w:t>Good</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0.040136</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1.5574</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1,870</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Good</w:t>
            </w:r>
          </w:p>
        </w:tc>
        <w:tc>
          <w:tcPr>
            <w:tcW w:type="dxa" w:w="1160"/>
            <w:vAlign w:val="center"/>
            <w:tcMar>
              <w:top w:w="80" w:type="dxa"/>
              <w:start w:w="120" w:type="dxa"/>
              <w:bottom w:w="80" w:type="dxa"/>
              <w:end w:w="120" w:type="dxa"/>
            </w:tcMar>
          </w:tcPr>
          <w:p>
            <w:pPr>
              <w:spacing w:after="0" w:line="240" w:lineRule="auto"/>
            </w:pPr>
            <w:r/>
            <w:r>
              <w:rPr>
                <w:rFonts w:ascii="Calibri" w:hAnsi="Calibri"/>
                <w:color w:val="172033"/>
                <w:sz w:val="15"/>
              </w:rPr>
              <w:t>55.14%</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5"/>
              </w:rPr>
              <w:t>bent_wire/001.png</w:t>
            </w:r>
          </w:p>
        </w:tc>
        <w:tc>
          <w:tcPr>
            <w:tcW w:type="dxa" w:w="1250"/>
            <w:vAlign w:val="center"/>
            <w:shd w:fill="F3F5F8"/>
            <w:tcMar>
              <w:top w:w="80" w:type="dxa"/>
              <w:start w:w="120" w:type="dxa"/>
              <w:bottom w:w="80" w:type="dxa"/>
              <w:end w:w="120" w:type="dxa"/>
            </w:tcMar>
          </w:tcPr>
          <w:p>
            <w:pPr>
              <w:spacing w:after="0" w:line="240" w:lineRule="auto"/>
            </w:pPr>
            <w:r/>
            <w:r>
              <w:rPr>
                <w:rFonts w:ascii="Calibri" w:hAnsi="Calibri"/>
                <w:color w:val="172033"/>
                <w:sz w:val="15"/>
              </w:rPr>
              <w:t>Defective</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0.066544</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1.4363</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1,119</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Defective</w:t>
            </w:r>
          </w:p>
        </w:tc>
        <w:tc>
          <w:tcPr>
            <w:tcW w:type="dxa" w:w="1160"/>
            <w:vAlign w:val="center"/>
            <w:shd w:fill="F3F5F8"/>
            <w:tcMar>
              <w:top w:w="80" w:type="dxa"/>
              <w:start w:w="120" w:type="dxa"/>
              <w:bottom w:w="80" w:type="dxa"/>
              <w:end w:w="120" w:type="dxa"/>
            </w:tcMar>
          </w:tcPr>
          <w:p>
            <w:pPr>
              <w:spacing w:after="0" w:line="240" w:lineRule="auto"/>
            </w:pPr>
            <w:r/>
            <w:r>
              <w:rPr>
                <w:rFonts w:ascii="Calibri" w:hAnsi="Calibri"/>
                <w:color w:val="172033"/>
                <w:sz w:val="15"/>
              </w:rPr>
              <w:t>57.50%</w:t>
            </w:r>
          </w:p>
        </w:tc>
      </w:tr>
    </w:tbl>
    <w:p>
      <w:r>
        <w:rPr>
          <w:rFonts w:ascii="Calibri" w:hAnsi="Calibri"/>
          <w:color w:val="172033"/>
        </w:rPr>
        <w:t>The normal image contains residual pixels, but its global score remains below 0.041518, so the dual gate returns Good. The bent-wire image exceeds the global threshold and retains a localized residual mask, so it returns Defective. This comparison demonstrates why score and mask must be interpreted together.</w:t>
      </w:r>
    </w:p>
    <w:p>
      <w:pPr>
        <w:keepNext/>
        <w:jc w:val="center"/>
      </w:pPr>
      <w:r>
        <w:drawing>
          <wp:inline xmlns:a="http://schemas.openxmlformats.org/drawingml/2006/main" xmlns:pic="http://schemas.openxmlformats.org/drawingml/2006/picture">
            <wp:extent cx="6126480" cy="3217533"/>
            <wp:docPr id="7" name="Picture 7" descr="Normal and defective portable baseline evidence"/>
            <wp:cNvGraphicFramePr>
              <a:graphicFrameLocks noChangeAspect="1"/>
            </wp:cNvGraphicFramePr>
            <a:graphic>
              <a:graphicData uri="http://schemas.openxmlformats.org/drawingml/2006/picture">
                <pic:pic>
                  <pic:nvPicPr>
                    <pic:cNvPr id="0" name="notebook_detector_evidence.png"/>
                    <pic:cNvPicPr/>
                  </pic:nvPicPr>
                  <pic:blipFill>
                    <a:blip r:embed="rId17"/>
                    <a:stretch>
                      <a:fillRect/>
                    </a:stretch>
                  </pic:blipFill>
                  <pic:spPr>
                    <a:xfrm>
                      <a:off x="0" y="0"/>
                      <a:ext cx="6126480" cy="3217533"/>
                    </a:xfrm>
                    <a:prstGeom prst="rect"/>
                  </pic:spPr>
                </pic:pic>
              </a:graphicData>
            </a:graphic>
          </wp:inline>
        </w:drawing>
      </w:r>
    </w:p>
    <w:p>
      <w:pPr>
        <w:pStyle w:val="Caption"/>
        <w:spacing w:before="60" w:after="140"/>
        <w:jc w:val="center"/>
      </w:pPr>
      <w:r>
        <w:rPr>
          <w:rFonts w:ascii="Calibri" w:hAnsi="Calibri"/>
          <w:b/>
          <w:color w:val="0F2942"/>
          <w:sz w:val="18"/>
        </w:rPr>
        <w:t>Figure 7. Normal and defective portable baseline evidence</w:t>
      </w:r>
      <w:r>
        <w:rPr>
          <w:rFonts w:ascii="Calibri" w:hAnsi="Calibri"/>
          <w:i/>
          <w:color w:val="5F6B7A"/>
          <w:sz w:val="16"/>
        </w:rPr>
        <w:br/>
        <w:t>Source: Executed Notebook 02; real MVTec cable images.</w:t>
      </w:r>
    </w:p>
    <w:p>
      <w:pPr>
        <w:pStyle w:val="Heading2"/>
      </w:pPr>
      <w:r>
        <w:t>9.3 Runtime outputs</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0F2942"/>
            <w:vAlign w:val="center"/>
            <w:tcMar>
              <w:top w:w="80" w:type="dxa"/>
              <w:start w:w="120" w:type="dxa"/>
              <w:bottom w:w="80" w:type="dxa"/>
              <w:end w:w="120" w:type="dxa"/>
            </w:tcMar>
          </w:tcPr>
          <w:p>
            <w:pPr>
              <w:spacing w:after="0"/>
            </w:pPr>
            <w:r/>
            <w:r>
              <w:rPr>
                <w:rFonts w:ascii="Calibri" w:hAnsi="Calibri"/>
                <w:b/>
                <w:color w:val="FFFFFF"/>
                <w:sz w:val="17"/>
              </w:rPr>
              <w:t>Output</w:t>
            </w:r>
          </w:p>
        </w:tc>
        <w:tc>
          <w:tcPr>
            <w:tcW w:type="dxa" w:w="6360"/>
            <w:shd w:fill="0F2942"/>
            <w:vAlign w:val="center"/>
            <w:tcMar>
              <w:top w:w="80" w:type="dxa"/>
              <w:start w:w="120" w:type="dxa"/>
              <w:bottom w:w="80" w:type="dxa"/>
              <w:end w:w="120" w:type="dxa"/>
            </w:tcMar>
          </w:tcPr>
          <w:p>
            <w:pPr>
              <w:spacing w:after="0"/>
            </w:pPr>
            <w:r/>
            <w:r>
              <w:rPr>
                <w:rFonts w:ascii="Calibri" w:hAnsi="Calibri"/>
                <w:b/>
                <w:color w:val="FFFFFF"/>
                <w:sz w:val="17"/>
              </w:rPr>
              <w:t>Meaning</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anomaly_score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Nearest-normal cosine distance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residual_score</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99th percentile of foreground normalized residual</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decision_threshold</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Category-specific global threshold</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is_defective</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Result of global-plus-spatial dual gate</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detection_confidence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Score-distance confidence estimate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anomaly_map</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Continuous normalized residual map</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pred_mask</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Cleaned binary defect region</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heatmap</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Localized visual overlay</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detector_kind</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Runtime engine description</w:t>
            </w:r>
          </w:p>
        </w:tc>
      </w:tr>
    </w:tbl>
    <w:p>
      <w:pPr>
        <w:pStyle w:val="Heading1"/>
        <w:pageBreakBefore/>
      </w:pPr>
      <w:r>
        <w:t>10. Baseline Evaluation Results</w:t>
      </w:r>
    </w:p>
    <w:p>
      <w:pPr>
        <w:pStyle w:val="Heading2"/>
      </w:pPr>
      <w:r>
        <w:t>10.1 Evaluation protocol</w:t>
      </w:r>
    </w:p>
    <w:p>
      <w:r>
        <w:rPr>
          <w:rFonts w:ascii="Calibri" w:hAnsi="Calibri"/>
          <w:color w:val="172033"/>
        </w:rPr>
        <w:t>The committed normal-profile metadata records five-fold stratified balanced-threshold validation on labelled MVTec test images. Fold thresholds are estimated from each development partition, and the production threshold maximizes sensitivity plus specificity on all labelled images after evaluation. The reported numbers are category-level validation records and must not be described as a separate untouched factory test set.</w:t>
      </w:r>
    </w:p>
    <w:tbl>
      <w:tblPr>
        <w:tblStyle w:val="TableGrid"/>
        <w:tblW w:type="dxa" w:w="9360"/>
        <w:jc w:val="left"/>
        <w:tblLayout w:type="fixed"/>
        <w:tblLook w:firstColumn="1" w:firstRow="1" w:lastColumn="0" w:lastRow="0" w:noHBand="0" w:noVBand="1" w:val="04A0"/>
        <w:tblInd w:type="dxa" w:w="120"/>
      </w:tblPr>
      <w:tblGrid>
        <w:gridCol w:w="6000"/>
        <w:gridCol w:w="3360"/>
      </w:tblGrid>
      <w:tr>
        <w:trPr>
          <w:tblHeader w:val="true"/>
        </w:trPr>
        <w:tc>
          <w:tcPr>
            <w:tcW w:type="dxa" w:w="6000"/>
            <w:shd w:fill="0F2942"/>
            <w:vAlign w:val="center"/>
            <w:tcMar>
              <w:top w:w="80" w:type="dxa"/>
              <w:start w:w="120" w:type="dxa"/>
              <w:bottom w:w="80" w:type="dxa"/>
              <w:end w:w="120" w:type="dxa"/>
            </w:tcMar>
          </w:tcPr>
          <w:p>
            <w:pPr>
              <w:spacing w:after="0"/>
            </w:pPr>
            <w:r/>
            <w:r>
              <w:rPr>
                <w:rFonts w:ascii="Calibri" w:hAnsi="Calibri"/>
                <w:b/>
                <w:color w:val="FFFFFF"/>
                <w:sz w:val="18"/>
              </w:rPr>
              <w:t>Aggregate view</w:t>
            </w:r>
          </w:p>
        </w:tc>
        <w:tc>
          <w:tcPr>
            <w:tcW w:type="dxa" w:w="3360"/>
            <w:shd w:fill="0F2942"/>
            <w:vAlign w:val="center"/>
            <w:tcMar>
              <w:top w:w="80" w:type="dxa"/>
              <w:start w:w="120" w:type="dxa"/>
              <w:bottom w:w="80" w:type="dxa"/>
              <w:end w:w="120" w:type="dxa"/>
            </w:tcMar>
          </w:tcPr>
          <w:p>
            <w:pPr>
              <w:spacing w:after="0"/>
            </w:pPr>
            <w:r/>
            <w:r>
              <w:rPr>
                <w:rFonts w:ascii="Calibri" w:hAnsi="Calibri"/>
                <w:b/>
                <w:color w:val="FFFFFF"/>
                <w:sz w:val="18"/>
              </w:rPr>
              <w:t>Score</w:t>
            </w:r>
          </w:p>
        </w:tc>
      </w:tr>
      <w:tr>
        <w:tc>
          <w:tcPr>
            <w:tcW w:type="dxa" w:w="6000"/>
            <w:vAlign w:val="center"/>
            <w:tcMar>
              <w:top w:w="80" w:type="dxa"/>
              <w:start w:w="120" w:type="dxa"/>
              <w:bottom w:w="80" w:type="dxa"/>
              <w:end w:w="120" w:type="dxa"/>
            </w:tcMar>
          </w:tcPr>
          <w:p>
            <w:pPr>
              <w:spacing w:after="0" w:line="240" w:lineRule="auto"/>
            </w:pPr>
            <w:r/>
            <w:r>
              <w:rPr>
                <w:rFonts w:ascii="Calibri" w:hAnsi="Calibri"/>
                <w:color w:val="172033"/>
                <w:sz w:val="18"/>
              </w:rPr>
              <w:t>Unweighted mean accuracy</w:t>
            </w:r>
          </w:p>
        </w:tc>
        <w:tc>
          <w:tcPr>
            <w:tcW w:type="dxa" w:w="3360"/>
            <w:vAlign w:val="center"/>
            <w:tcMar>
              <w:top w:w="80" w:type="dxa"/>
              <w:start w:w="120" w:type="dxa"/>
              <w:bottom w:w="80" w:type="dxa"/>
              <w:end w:w="120" w:type="dxa"/>
            </w:tcMar>
          </w:tcPr>
          <w:p>
            <w:pPr>
              <w:spacing w:after="0" w:line="240" w:lineRule="auto"/>
            </w:pPr>
            <w:r/>
            <w:r>
              <w:rPr>
                <w:rFonts w:ascii="Calibri" w:hAnsi="Calibri"/>
                <w:color w:val="172033"/>
                <w:sz w:val="18"/>
              </w:rPr>
              <w:t>0.7726</w:t>
            </w:r>
          </w:p>
        </w:tc>
      </w:tr>
      <w:tr>
        <w:tc>
          <w:tcPr>
            <w:tcW w:type="dxa" w:w="6000"/>
            <w:vAlign w:val="center"/>
            <w:shd w:fill="F3F5F8"/>
            <w:tcMar>
              <w:top w:w="80" w:type="dxa"/>
              <w:start w:w="120" w:type="dxa"/>
              <w:bottom w:w="80" w:type="dxa"/>
              <w:end w:w="120" w:type="dxa"/>
            </w:tcMar>
          </w:tcPr>
          <w:p>
            <w:pPr>
              <w:spacing w:after="0" w:line="240" w:lineRule="auto"/>
            </w:pPr>
            <w:r/>
            <w:r>
              <w:rPr>
                <w:rFonts w:ascii="Calibri" w:hAnsi="Calibri"/>
                <w:color w:val="172033"/>
                <w:sz w:val="18"/>
              </w:rPr>
              <w:t>Unweighted mean precision</w:t>
            </w:r>
          </w:p>
        </w:tc>
        <w:tc>
          <w:tcPr>
            <w:tcW w:type="dxa" w:w="3360"/>
            <w:vAlign w:val="center"/>
            <w:shd w:fill="F3F5F8"/>
            <w:tcMar>
              <w:top w:w="80" w:type="dxa"/>
              <w:start w:w="120" w:type="dxa"/>
              <w:bottom w:w="80" w:type="dxa"/>
              <w:end w:w="120" w:type="dxa"/>
            </w:tcMar>
          </w:tcPr>
          <w:p>
            <w:pPr>
              <w:spacing w:after="0" w:line="240" w:lineRule="auto"/>
            </w:pPr>
            <w:r/>
            <w:r>
              <w:rPr>
                <w:rFonts w:ascii="Calibri" w:hAnsi="Calibri"/>
                <w:color w:val="172033"/>
                <w:sz w:val="18"/>
              </w:rPr>
              <w:t>0.9168</w:t>
            </w:r>
          </w:p>
        </w:tc>
      </w:tr>
      <w:tr>
        <w:tc>
          <w:tcPr>
            <w:tcW w:type="dxa" w:w="6000"/>
            <w:vAlign w:val="center"/>
            <w:tcMar>
              <w:top w:w="80" w:type="dxa"/>
              <w:start w:w="120" w:type="dxa"/>
              <w:bottom w:w="80" w:type="dxa"/>
              <w:end w:w="120" w:type="dxa"/>
            </w:tcMar>
          </w:tcPr>
          <w:p>
            <w:pPr>
              <w:spacing w:after="0" w:line="240" w:lineRule="auto"/>
            </w:pPr>
            <w:r/>
            <w:r>
              <w:rPr>
                <w:rFonts w:ascii="Calibri" w:hAnsi="Calibri"/>
                <w:color w:val="172033"/>
                <w:sz w:val="18"/>
              </w:rPr>
              <w:t>Unweighted mean recall</w:t>
            </w:r>
          </w:p>
        </w:tc>
        <w:tc>
          <w:tcPr>
            <w:tcW w:type="dxa" w:w="3360"/>
            <w:vAlign w:val="center"/>
            <w:tcMar>
              <w:top w:w="80" w:type="dxa"/>
              <w:start w:w="120" w:type="dxa"/>
              <w:bottom w:w="80" w:type="dxa"/>
              <w:end w:w="120" w:type="dxa"/>
            </w:tcMar>
          </w:tcPr>
          <w:p>
            <w:pPr>
              <w:spacing w:after="0" w:line="240" w:lineRule="auto"/>
            </w:pPr>
            <w:r/>
            <w:r>
              <w:rPr>
                <w:rFonts w:ascii="Calibri" w:hAnsi="Calibri"/>
                <w:color w:val="172033"/>
                <w:sz w:val="18"/>
              </w:rPr>
              <w:t>0.7504</w:t>
            </w:r>
          </w:p>
        </w:tc>
      </w:tr>
      <w:tr>
        <w:tc>
          <w:tcPr>
            <w:tcW w:type="dxa" w:w="6000"/>
            <w:vAlign w:val="center"/>
            <w:shd w:fill="F3F5F8"/>
            <w:tcMar>
              <w:top w:w="80" w:type="dxa"/>
              <w:start w:w="120" w:type="dxa"/>
              <w:bottom w:w="80" w:type="dxa"/>
              <w:end w:w="120" w:type="dxa"/>
            </w:tcMar>
          </w:tcPr>
          <w:p>
            <w:pPr>
              <w:spacing w:after="0" w:line="240" w:lineRule="auto"/>
            </w:pPr>
            <w:r/>
            <w:r>
              <w:rPr>
                <w:rFonts w:ascii="Calibri" w:hAnsi="Calibri"/>
                <w:color w:val="172033"/>
                <w:sz w:val="18"/>
              </w:rPr>
              <w:t>Unweighted mean specificity</w:t>
            </w:r>
          </w:p>
        </w:tc>
        <w:tc>
          <w:tcPr>
            <w:tcW w:type="dxa" w:w="3360"/>
            <w:vAlign w:val="center"/>
            <w:shd w:fill="F3F5F8"/>
            <w:tcMar>
              <w:top w:w="80" w:type="dxa"/>
              <w:start w:w="120" w:type="dxa"/>
              <w:bottom w:w="80" w:type="dxa"/>
              <w:end w:w="120" w:type="dxa"/>
            </w:tcMar>
          </w:tcPr>
          <w:p>
            <w:pPr>
              <w:spacing w:after="0" w:line="240" w:lineRule="auto"/>
            </w:pPr>
            <w:r/>
            <w:r>
              <w:rPr>
                <w:rFonts w:ascii="Calibri" w:hAnsi="Calibri"/>
                <w:color w:val="172033"/>
                <w:sz w:val="18"/>
              </w:rPr>
              <w:t>0.8285</w:t>
            </w:r>
          </w:p>
        </w:tc>
      </w:tr>
      <w:tr>
        <w:tc>
          <w:tcPr>
            <w:tcW w:type="dxa" w:w="6000"/>
            <w:vAlign w:val="center"/>
            <w:tcMar>
              <w:top w:w="80" w:type="dxa"/>
              <w:start w:w="120" w:type="dxa"/>
              <w:bottom w:w="80" w:type="dxa"/>
              <w:end w:w="120" w:type="dxa"/>
            </w:tcMar>
          </w:tcPr>
          <w:p>
            <w:pPr>
              <w:spacing w:after="0" w:line="240" w:lineRule="auto"/>
            </w:pPr>
            <w:r/>
            <w:r>
              <w:rPr>
                <w:rFonts w:ascii="Calibri" w:hAnsi="Calibri"/>
                <w:color w:val="172033"/>
                <w:sz w:val="18"/>
              </w:rPr>
              <w:t>Unweighted mean balanced accuracy</w:t>
            </w:r>
          </w:p>
        </w:tc>
        <w:tc>
          <w:tcPr>
            <w:tcW w:type="dxa" w:w="3360"/>
            <w:vAlign w:val="center"/>
            <w:tcMar>
              <w:top w:w="80" w:type="dxa"/>
              <w:start w:w="120" w:type="dxa"/>
              <w:bottom w:w="80" w:type="dxa"/>
              <w:end w:w="120" w:type="dxa"/>
            </w:tcMar>
          </w:tcPr>
          <w:p>
            <w:pPr>
              <w:spacing w:after="0" w:line="240" w:lineRule="auto"/>
            </w:pPr>
            <w:r/>
            <w:r>
              <w:rPr>
                <w:rFonts w:ascii="Calibri" w:hAnsi="Calibri"/>
                <w:color w:val="172033"/>
                <w:sz w:val="18"/>
              </w:rPr>
              <w:t>0.7895</w:t>
            </w:r>
          </w:p>
        </w:tc>
      </w:tr>
      <w:tr>
        <w:tc>
          <w:tcPr>
            <w:tcW w:type="dxa" w:w="6000"/>
            <w:vAlign w:val="center"/>
            <w:shd w:fill="F3F5F8"/>
            <w:tcMar>
              <w:top w:w="80" w:type="dxa"/>
              <w:start w:w="120" w:type="dxa"/>
              <w:bottom w:w="80" w:type="dxa"/>
              <w:end w:w="120" w:type="dxa"/>
            </w:tcMar>
          </w:tcPr>
          <w:p>
            <w:pPr>
              <w:spacing w:after="0" w:line="240" w:lineRule="auto"/>
            </w:pPr>
            <w:r/>
            <w:r>
              <w:rPr>
                <w:rFonts w:ascii="Calibri" w:hAnsi="Calibri"/>
                <w:color w:val="172033"/>
                <w:sz w:val="18"/>
              </w:rPr>
              <w:t>Unweighted mean F1</w:t>
            </w:r>
          </w:p>
        </w:tc>
        <w:tc>
          <w:tcPr>
            <w:tcW w:type="dxa" w:w="3360"/>
            <w:vAlign w:val="center"/>
            <w:shd w:fill="F3F5F8"/>
            <w:tcMar>
              <w:top w:w="80" w:type="dxa"/>
              <w:start w:w="120" w:type="dxa"/>
              <w:bottom w:w="80" w:type="dxa"/>
              <w:end w:w="120" w:type="dxa"/>
            </w:tcMar>
          </w:tcPr>
          <w:p>
            <w:pPr>
              <w:spacing w:after="0" w:line="240" w:lineRule="auto"/>
            </w:pPr>
            <w:r/>
            <w:r>
              <w:rPr>
                <w:rFonts w:ascii="Calibri" w:hAnsi="Calibri"/>
                <w:color w:val="172033"/>
                <w:sz w:val="18"/>
              </w:rPr>
              <w:t>0.8196</w:t>
            </w:r>
          </w:p>
        </w:tc>
      </w:tr>
      <w:tr>
        <w:tc>
          <w:tcPr>
            <w:tcW w:type="dxa" w:w="6000"/>
            <w:vAlign w:val="center"/>
            <w:tcMar>
              <w:top w:w="80" w:type="dxa"/>
              <w:start w:w="120" w:type="dxa"/>
              <w:bottom w:w="80" w:type="dxa"/>
              <w:end w:w="120" w:type="dxa"/>
            </w:tcMar>
          </w:tcPr>
          <w:p>
            <w:pPr>
              <w:spacing w:after="0" w:line="240" w:lineRule="auto"/>
            </w:pPr>
            <w:r/>
            <w:r>
              <w:rPr>
                <w:rFonts w:ascii="Calibri" w:hAnsi="Calibri"/>
                <w:color w:val="172033"/>
                <w:sz w:val="18"/>
              </w:rPr>
              <w:t>Unweighted mean AUROC</w:t>
            </w:r>
          </w:p>
        </w:tc>
        <w:tc>
          <w:tcPr>
            <w:tcW w:type="dxa" w:w="3360"/>
            <w:vAlign w:val="center"/>
            <w:tcMar>
              <w:top w:w="80" w:type="dxa"/>
              <w:start w:w="120" w:type="dxa"/>
              <w:bottom w:w="80" w:type="dxa"/>
              <w:end w:w="120" w:type="dxa"/>
            </w:tcMar>
          </w:tcPr>
          <w:p>
            <w:pPr>
              <w:spacing w:after="0" w:line="240" w:lineRule="auto"/>
            </w:pPr>
            <w:r/>
            <w:r>
              <w:rPr>
                <w:rFonts w:ascii="Calibri" w:hAnsi="Calibri"/>
                <w:color w:val="172033"/>
                <w:sz w:val="18"/>
              </w:rPr>
              <w:t>0.8631</w:t>
            </w:r>
          </w:p>
        </w:tc>
      </w:tr>
    </w:tbl>
    <w:p>
      <w:pPr>
        <w:spacing w:before="120" w:after="160"/>
        <w:ind w:left="173" w:right="173"/>
        <w:shd w:fill="EAF2FF"/>
        <w:pBdr>
          <w:left w:val="single" w:sz="24" w:space="8" w:color="1D5FD1"/>
        </w:pBdr>
      </w:pPr>
      <w:r>
        <w:rPr>
          <w:rFonts w:ascii="Calibri" w:hAnsi="Calibri"/>
          <w:b/>
          <w:color w:val="1D5FD1"/>
        </w:rPr>
        <w:t xml:space="preserve">Interpretation: </w:t>
      </w:r>
      <w:r>
        <w:rPr>
          <w:rFonts w:ascii="Calibri" w:hAnsi="Calibri"/>
          <w:color w:val="172033"/>
        </w:rPr>
        <w:t>The high mean precision (0.9168) shows that positive baseline predictions are often correct, while mean recall (0.7504) confirms that some defects are missed. Milestone 2 addresses this recall gap with stronger spatial anomaly models.</w:t>
      </w:r>
    </w:p>
    <w:p>
      <w:pPr>
        <w:keepNext/>
        <w:jc w:val="center"/>
      </w:pPr>
      <w:r>
        <w:drawing>
          <wp:inline xmlns:a="http://schemas.openxmlformats.org/drawingml/2006/main" xmlns:pic="http://schemas.openxmlformats.org/drawingml/2006/picture">
            <wp:extent cx="6126480" cy="3423621"/>
            <wp:docPr id="8" name="Picture 8" descr="Portable baseline F1 and AUROC by category"/>
            <wp:cNvGraphicFramePr>
              <a:graphicFrameLocks noChangeAspect="1"/>
            </wp:cNvGraphicFramePr>
            <a:graphic>
              <a:graphicData uri="http://schemas.openxmlformats.org/drawingml/2006/picture">
                <pic:pic>
                  <pic:nvPicPr>
                    <pic:cNvPr id="0" name="portable_baseline_metrics.png"/>
                    <pic:cNvPicPr/>
                  </pic:nvPicPr>
                  <pic:blipFill>
                    <a:blip r:embed="rId18"/>
                    <a:stretch>
                      <a:fillRect/>
                    </a:stretch>
                  </pic:blipFill>
                  <pic:spPr>
                    <a:xfrm>
                      <a:off x="0" y="0"/>
                      <a:ext cx="6126480" cy="3423621"/>
                    </a:xfrm>
                    <a:prstGeom prst="rect"/>
                  </pic:spPr>
                </pic:pic>
              </a:graphicData>
            </a:graphic>
          </wp:inline>
        </w:drawing>
      </w:r>
    </w:p>
    <w:p>
      <w:pPr>
        <w:pStyle w:val="Caption"/>
        <w:spacing w:before="60" w:after="140"/>
        <w:jc w:val="center"/>
      </w:pPr>
      <w:r>
        <w:rPr>
          <w:rFonts w:ascii="Calibri" w:hAnsi="Calibri"/>
          <w:b/>
          <w:color w:val="0F2942"/>
          <w:sz w:val="18"/>
        </w:rPr>
        <w:t>Figure 8. Portable baseline F1 and AUROC by category</w:t>
      </w:r>
      <w:r>
        <w:rPr>
          <w:rFonts w:ascii="Calibri" w:hAnsi="Calibri"/>
          <w:i/>
          <w:color w:val="5F6B7A"/>
          <w:sz w:val="16"/>
        </w:rPr>
        <w:br/>
        <w:t>Source: Committed model_metadata.json records for all 15 categories.</w:t>
      </w:r>
    </w:p>
    <w:p>
      <w:pPr>
        <w:pStyle w:val="Heading2"/>
      </w:pPr>
      <w:r>
        <w:t>10.2 Category-level metrics</w:t>
      </w:r>
    </w:p>
    <w:tbl>
      <w:tblPr>
        <w:tblStyle w:val="TableGrid"/>
        <w:tblW w:type="dxa" w:w="9360"/>
        <w:jc w:val="left"/>
        <w:tblLayout w:type="fixed"/>
        <w:tblLook w:firstColumn="1" w:firstRow="1" w:lastColumn="0" w:lastRow="0" w:noHBand="0" w:noVBand="1" w:val="04A0"/>
        <w:tblInd w:type="dxa" w:w="120"/>
      </w:tblPr>
      <w:tblGrid>
        <w:gridCol w:w="2050"/>
        <w:gridCol w:w="1200"/>
        <w:gridCol w:w="1300"/>
        <w:gridCol w:w="1150"/>
        <w:gridCol w:w="1350"/>
        <w:gridCol w:w="1100"/>
        <w:gridCol w:w="1210"/>
      </w:tblGrid>
      <w:tr>
        <w:trPr>
          <w:tblHeader w:val="true"/>
        </w:trPr>
        <w:tc>
          <w:tcPr>
            <w:tcW w:type="dxa" w:w="2050"/>
            <w:shd w:fill="0F2942"/>
            <w:vAlign w:val="center"/>
            <w:tcMar>
              <w:top w:w="80" w:type="dxa"/>
              <w:start w:w="120" w:type="dxa"/>
              <w:bottom w:w="80" w:type="dxa"/>
              <w:end w:w="120" w:type="dxa"/>
            </w:tcMar>
          </w:tcPr>
          <w:p>
            <w:pPr>
              <w:spacing w:after="0"/>
            </w:pPr>
            <w:r/>
            <w:r>
              <w:rPr>
                <w:rFonts w:ascii="Calibri" w:hAnsi="Calibri"/>
                <w:b/>
                <w:color w:val="FFFFFF"/>
                <w:sz w:val="15"/>
              </w:rPr>
              <w:t>Category</w:t>
            </w:r>
          </w:p>
        </w:tc>
        <w:tc>
          <w:tcPr>
            <w:tcW w:type="dxa" w:w="1200"/>
            <w:shd w:fill="0F2942"/>
            <w:vAlign w:val="center"/>
            <w:tcMar>
              <w:top w:w="80" w:type="dxa"/>
              <w:start w:w="120" w:type="dxa"/>
              <w:bottom w:w="80" w:type="dxa"/>
              <w:end w:w="120" w:type="dxa"/>
            </w:tcMar>
          </w:tcPr>
          <w:p>
            <w:pPr>
              <w:spacing w:after="0"/>
            </w:pPr>
            <w:r/>
            <w:r>
              <w:rPr>
                <w:rFonts w:ascii="Calibri" w:hAnsi="Calibri"/>
                <w:b/>
                <w:color w:val="FFFFFF"/>
                <w:sz w:val="15"/>
              </w:rPr>
              <w:t>Accuracy</w:t>
            </w:r>
          </w:p>
        </w:tc>
        <w:tc>
          <w:tcPr>
            <w:tcW w:type="dxa" w:w="1300"/>
            <w:shd w:fill="0F2942"/>
            <w:vAlign w:val="center"/>
            <w:tcMar>
              <w:top w:w="80" w:type="dxa"/>
              <w:start w:w="120" w:type="dxa"/>
              <w:bottom w:w="80" w:type="dxa"/>
              <w:end w:w="120" w:type="dxa"/>
            </w:tcMar>
          </w:tcPr>
          <w:p>
            <w:pPr>
              <w:spacing w:after="0"/>
            </w:pPr>
            <w:r/>
            <w:r>
              <w:rPr>
                <w:rFonts w:ascii="Calibri" w:hAnsi="Calibri"/>
                <w:b/>
                <w:color w:val="FFFFFF"/>
                <w:sz w:val="15"/>
              </w:rPr>
              <w:t>Precision</w:t>
            </w:r>
          </w:p>
        </w:tc>
        <w:tc>
          <w:tcPr>
            <w:tcW w:type="dxa" w:w="1150"/>
            <w:shd w:fill="0F2942"/>
            <w:vAlign w:val="center"/>
            <w:tcMar>
              <w:top w:w="80" w:type="dxa"/>
              <w:start w:w="120" w:type="dxa"/>
              <w:bottom w:w="80" w:type="dxa"/>
              <w:end w:w="120" w:type="dxa"/>
            </w:tcMar>
          </w:tcPr>
          <w:p>
            <w:pPr>
              <w:spacing w:after="0"/>
            </w:pPr>
            <w:r/>
            <w:r>
              <w:rPr>
                <w:rFonts w:ascii="Calibri" w:hAnsi="Calibri"/>
                <w:b/>
                <w:color w:val="FFFFFF"/>
                <w:sz w:val="15"/>
              </w:rPr>
              <w:t>Recall</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5"/>
              </w:rPr>
              <w:t>Specificity</w:t>
            </w:r>
          </w:p>
        </w:tc>
        <w:tc>
          <w:tcPr>
            <w:tcW w:type="dxa" w:w="1100"/>
            <w:shd w:fill="0F2942"/>
            <w:vAlign w:val="center"/>
            <w:tcMar>
              <w:top w:w="80" w:type="dxa"/>
              <w:start w:w="120" w:type="dxa"/>
              <w:bottom w:w="80" w:type="dxa"/>
              <w:end w:w="120" w:type="dxa"/>
            </w:tcMar>
          </w:tcPr>
          <w:p>
            <w:pPr>
              <w:spacing w:after="0"/>
            </w:pPr>
            <w:r/>
            <w:r>
              <w:rPr>
                <w:rFonts w:ascii="Calibri" w:hAnsi="Calibri"/>
                <w:b/>
                <w:color w:val="FFFFFF"/>
                <w:sz w:val="15"/>
              </w:rPr>
              <w:t>F1</w:t>
            </w:r>
          </w:p>
        </w:tc>
        <w:tc>
          <w:tcPr>
            <w:tcW w:type="dxa" w:w="1210"/>
            <w:shd w:fill="0F2942"/>
            <w:vAlign w:val="center"/>
            <w:tcMar>
              <w:top w:w="80" w:type="dxa"/>
              <w:start w:w="120" w:type="dxa"/>
              <w:bottom w:w="80" w:type="dxa"/>
              <w:end w:w="120" w:type="dxa"/>
            </w:tcMar>
          </w:tcPr>
          <w:p>
            <w:pPr>
              <w:spacing w:after="0"/>
            </w:pPr>
            <w:r/>
            <w:r>
              <w:rPr>
                <w:rFonts w:ascii="Calibri" w:hAnsi="Calibri"/>
                <w:b/>
                <w:color w:val="FFFFFF"/>
                <w:sz w:val="15"/>
              </w:rPr>
              <w:t>AUROC</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bottle</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0.9639</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0.9688</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0.9841</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0.9000</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0.9764</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0.9913</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cable</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0.7933</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0.8765</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0.7717</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0.8276</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0.8208</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0.8711</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capsule</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0.7955</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0.9271</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0.8165</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0.6957</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0.8683</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0.8396</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carpet</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0.5641</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0.9130</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0.4719</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0.8571</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0.6222</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0.7885</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grid</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0.5769</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0.8000</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0.5614</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0.6190</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0.6598</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0.5940</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hazelnut</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0.8545</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0.9500</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0.8143</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0.9250</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0.8769</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0.9414</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leather</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0.8145</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0.9726</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0.7717</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0.9375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0.8606</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0.8845</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metal_nut</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0.6957</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0.9531</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0.6559</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0.8636</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0.7771</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0.8060</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pill</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0.5808</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0.8901</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0.5745</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0.6154</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0.6983</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0.7444</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screw</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0.7375</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0.8889</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0.7395</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0.7317</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0.8073</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0.8350</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tile</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0.8632</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0.9595</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0.8452</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0.9091</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0.8987</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0.9672</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toothbrush</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0.8810</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0.9630</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0.8667</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0.9167</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0.9123</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0.9111</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transistor</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0.8200</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0.7750</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0.7750</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0.8500</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0.7750</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0.9217</w:t>
            </w:r>
          </w:p>
        </w:tc>
      </w:tr>
      <w:tr>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wood</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5"/>
              </w:rPr>
              <w:t>0.7215</w:t>
            </w:r>
          </w:p>
        </w:tc>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0.9318</w:t>
            </w:r>
          </w:p>
        </w:tc>
        <w:tc>
          <w:tcPr>
            <w:tcW w:type="dxa" w:w="1150"/>
            <w:vAlign w:val="center"/>
            <w:shd w:fill="F3F5F8"/>
            <w:tcMar>
              <w:top w:w="80" w:type="dxa"/>
              <w:start w:w="120" w:type="dxa"/>
              <w:bottom w:w="80" w:type="dxa"/>
              <w:end w:w="120" w:type="dxa"/>
            </w:tcMar>
          </w:tcPr>
          <w:p>
            <w:pPr>
              <w:spacing w:after="0" w:line="240" w:lineRule="auto"/>
            </w:pPr>
            <w:r/>
            <w:r>
              <w:rPr>
                <w:rFonts w:ascii="Calibri" w:hAnsi="Calibri"/>
                <w:color w:val="172033"/>
                <w:sz w:val="15"/>
              </w:rPr>
              <w:t>0.6833</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0.8421</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0.7885</w:t>
            </w:r>
          </w:p>
        </w:tc>
        <w:tc>
          <w:tcPr>
            <w:tcW w:type="dxa" w:w="1210"/>
            <w:vAlign w:val="center"/>
            <w:shd w:fill="F3F5F8"/>
            <w:tcMar>
              <w:top w:w="80" w:type="dxa"/>
              <w:start w:w="120" w:type="dxa"/>
              <w:bottom w:w="80" w:type="dxa"/>
              <w:end w:w="120" w:type="dxa"/>
            </w:tcMar>
          </w:tcPr>
          <w:p>
            <w:pPr>
              <w:spacing w:after="0" w:line="240" w:lineRule="auto"/>
            </w:pPr>
            <w:r/>
            <w:r>
              <w:rPr>
                <w:rFonts w:ascii="Calibri" w:hAnsi="Calibri"/>
                <w:color w:val="172033"/>
                <w:sz w:val="15"/>
              </w:rPr>
              <w:t>0.8895</w:t>
            </w:r>
          </w:p>
        </w:tc>
      </w:tr>
      <w:tr>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zipper</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5"/>
              </w:rPr>
              <w:t>0.9272</w:t>
            </w:r>
          </w:p>
        </w:tc>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0.9821</w:t>
            </w:r>
          </w:p>
        </w:tc>
        <w:tc>
          <w:tcPr>
            <w:tcW w:type="dxa" w:w="1150"/>
            <w:vAlign w:val="center"/>
            <w:tcMar>
              <w:top w:w="80" w:type="dxa"/>
              <w:start w:w="120" w:type="dxa"/>
              <w:bottom w:w="80" w:type="dxa"/>
              <w:end w:w="120" w:type="dxa"/>
            </w:tcMar>
          </w:tcPr>
          <w:p>
            <w:pPr>
              <w:spacing w:after="0" w:line="240" w:lineRule="auto"/>
            </w:pPr>
            <w:r/>
            <w:r>
              <w:rPr>
                <w:rFonts w:ascii="Calibri" w:hAnsi="Calibri"/>
                <w:color w:val="172033"/>
                <w:sz w:val="15"/>
              </w:rPr>
              <w:t>0.9244</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0.9375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0.9524</w:t>
            </w:r>
          </w:p>
        </w:tc>
        <w:tc>
          <w:tcPr>
            <w:tcW w:type="dxa" w:w="1210"/>
            <w:vAlign w:val="center"/>
            <w:tcMar>
              <w:top w:w="80" w:type="dxa"/>
              <w:start w:w="120" w:type="dxa"/>
              <w:bottom w:w="80" w:type="dxa"/>
              <w:end w:w="120" w:type="dxa"/>
            </w:tcMar>
          </w:tcPr>
          <w:p>
            <w:pPr>
              <w:spacing w:after="0" w:line="240" w:lineRule="auto"/>
            </w:pPr>
            <w:r/>
            <w:r>
              <w:rPr>
                <w:rFonts w:ascii="Calibri" w:hAnsi="Calibri"/>
                <w:color w:val="172033"/>
                <w:sz w:val="15"/>
              </w:rPr>
              <w:t>0.9617</w:t>
            </w:r>
          </w:p>
        </w:tc>
      </w:tr>
    </w:tbl>
    <w:p>
      <w:pPr>
        <w:pStyle w:val="Heading2"/>
      </w:pPr>
      <w:r>
        <w:t>10.3 Calibrated thresholds</w:t>
      </w:r>
    </w:p>
    <w:tbl>
      <w:tblPr>
        <w:tblStyle w:val="TableGrid"/>
        <w:tblW w:type="dxa" w:w="9360"/>
        <w:jc w:val="left"/>
        <w:tblLayout w:type="fixed"/>
        <w:tblLook w:firstColumn="1" w:firstRow="1" w:lastColumn="0" w:lastRow="0" w:noHBand="0" w:noVBand="1" w:val="04A0"/>
        <w:tblInd w:type="dxa" w:w="120"/>
      </w:tblPr>
      <w:tblGrid>
        <w:gridCol w:w="3200"/>
        <w:gridCol w:w="3080"/>
        <w:gridCol w:w="3080"/>
      </w:tblGrid>
      <w:tr>
        <w:trPr>
          <w:tblHeader w:val="true"/>
        </w:trPr>
        <w:tc>
          <w:tcPr>
            <w:tcW w:type="dxa" w:w="3200"/>
            <w:shd w:fill="0E7490"/>
            <w:vAlign w:val="center"/>
            <w:tcMar>
              <w:top w:w="80" w:type="dxa"/>
              <w:start w:w="120" w:type="dxa"/>
              <w:bottom w:w="80" w:type="dxa"/>
              <w:end w:w="120" w:type="dxa"/>
            </w:tcMar>
          </w:tcPr>
          <w:p>
            <w:pPr>
              <w:spacing w:after="0"/>
            </w:pPr>
            <w:r/>
            <w:r>
              <w:rPr>
                <w:rFonts w:ascii="Calibri" w:hAnsi="Calibri"/>
                <w:b/>
                <w:color w:val="FFFFFF"/>
                <w:sz w:val="17"/>
              </w:rPr>
              <w:t>Category</w:t>
            </w:r>
          </w:p>
        </w:tc>
        <w:tc>
          <w:tcPr>
            <w:tcW w:type="dxa" w:w="3080"/>
            <w:shd w:fill="0E7490"/>
            <w:vAlign w:val="center"/>
            <w:tcMar>
              <w:top w:w="80" w:type="dxa"/>
              <w:start w:w="120" w:type="dxa"/>
              <w:bottom w:w="80" w:type="dxa"/>
              <w:end w:w="120" w:type="dxa"/>
            </w:tcMar>
          </w:tcPr>
          <w:p>
            <w:pPr>
              <w:spacing w:after="0"/>
            </w:pPr>
            <w:r/>
            <w:r>
              <w:rPr>
                <w:rFonts w:ascii="Calibri" w:hAnsi="Calibri"/>
                <w:b/>
                <w:color w:val="FFFFFF"/>
                <w:sz w:val="17"/>
              </w:rPr>
              <w:t>Global score threshold</w:t>
            </w:r>
          </w:p>
        </w:tc>
        <w:tc>
          <w:tcPr>
            <w:tcW w:type="dxa" w:w="3080"/>
            <w:shd w:fill="0E7490"/>
            <w:vAlign w:val="center"/>
            <w:tcMar>
              <w:top w:w="80" w:type="dxa"/>
              <w:start w:w="120" w:type="dxa"/>
              <w:bottom w:w="80" w:type="dxa"/>
              <w:end w:w="120" w:type="dxa"/>
            </w:tcMar>
          </w:tcPr>
          <w:p>
            <w:pPr>
              <w:spacing w:after="0"/>
            </w:pPr>
            <w:r/>
            <w:r>
              <w:rPr>
                <w:rFonts w:ascii="Calibri" w:hAnsi="Calibri"/>
                <w:b/>
                <w:color w:val="FFFFFF"/>
                <w:sz w:val="17"/>
              </w:rPr>
              <w:t>Residual pixel threshold</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bottle</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0.009110</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1.459192</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0.041518</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1.298446</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capsule</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0.008157</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0.542293</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carpet</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0.011741</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1.045642</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grid</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0.016833</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1.079766</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hazelnut</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0.063510</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0.607121</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leather</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0.013332</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0.736192</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metal_nut</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0.028916</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0.596241</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pill</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0.026076</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0.266804</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screw</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0.017529</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2.178845</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tile</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0.047957</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1.296797</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toothbrush</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0.015306</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0.798744</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transistor</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0.032319</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2.115497</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wood</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0.058633</w:t>
            </w:r>
          </w:p>
        </w:tc>
        <w:tc>
          <w:tcPr>
            <w:tcW w:type="dxa" w:w="3080"/>
            <w:vAlign w:val="center"/>
            <w:shd w:fill="F3F5F8"/>
            <w:tcMar>
              <w:top w:w="80" w:type="dxa"/>
              <w:start w:w="120" w:type="dxa"/>
              <w:bottom w:w="80" w:type="dxa"/>
              <w:end w:w="120" w:type="dxa"/>
            </w:tcMar>
          </w:tcPr>
          <w:p>
            <w:pPr>
              <w:spacing w:after="0" w:line="240" w:lineRule="auto"/>
            </w:pPr>
            <w:r/>
            <w:r>
              <w:rPr>
                <w:rFonts w:ascii="Calibri" w:hAnsi="Calibri"/>
                <w:color w:val="172033"/>
                <w:sz w:val="17"/>
              </w:rPr>
              <w:t>1.216930</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zipper</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0.010643</w:t>
            </w:r>
          </w:p>
        </w:tc>
        <w:tc>
          <w:tcPr>
            <w:tcW w:type="dxa" w:w="3080"/>
            <w:vAlign w:val="center"/>
            <w:tcMar>
              <w:top w:w="80" w:type="dxa"/>
              <w:start w:w="120" w:type="dxa"/>
              <w:bottom w:w="80" w:type="dxa"/>
              <w:end w:w="120" w:type="dxa"/>
            </w:tcMar>
          </w:tcPr>
          <w:p>
            <w:pPr>
              <w:spacing w:after="0" w:line="240" w:lineRule="auto"/>
            </w:pPr>
            <w:r/>
            <w:r>
              <w:rPr>
                <w:rFonts w:ascii="Calibri" w:hAnsi="Calibri"/>
                <w:color w:val="172033"/>
                <w:sz w:val="17"/>
              </w:rPr>
              <w:t>0.790813</w:t>
            </w:r>
          </w:p>
        </w:tc>
      </w:tr>
    </w:tbl>
    <w:p>
      <w:pPr>
        <w:pStyle w:val="Heading2"/>
      </w:pPr>
      <w:r>
        <w:t>10.4 Findings</w:t>
      </w:r>
    </w:p>
    <w:p>
      <w:pPr>
        <w:pStyle w:val="ListBullet"/>
        <w:spacing w:after="80" w:line="276" w:lineRule="auto"/>
        <w:ind w:left="720" w:hanging="360"/>
      </w:pPr>
      <w:r>
        <w:rPr>
          <w:rFonts w:ascii="Calibri" w:hAnsi="Calibri"/>
          <w:color w:val="172033"/>
        </w:rPr>
        <w:t>Bottle is the strongest portable category in the recorded evaluation (F1 0.9764; AUROC 0.9913).</w:t>
      </w:r>
    </w:p>
    <w:p>
      <w:pPr>
        <w:pStyle w:val="ListBullet"/>
        <w:spacing w:after="80" w:line="276" w:lineRule="auto"/>
        <w:ind w:left="720" w:hanging="360"/>
      </w:pPr>
      <w:r>
        <w:rPr>
          <w:rFonts w:ascii="Calibri" w:hAnsi="Calibri"/>
          <w:color w:val="172033"/>
        </w:rPr>
        <w:t>Zipper, toothbrush, tile, hazelnut, and capsule also show strong portable F1 values.</w:t>
      </w:r>
    </w:p>
    <w:p>
      <w:pPr>
        <w:pStyle w:val="ListBullet"/>
        <w:spacing w:after="80" w:line="276" w:lineRule="auto"/>
        <w:ind w:left="720" w:hanging="360"/>
      </w:pPr>
      <w:r>
        <w:rPr>
          <w:rFonts w:ascii="Calibri" w:hAnsi="Calibri"/>
          <w:color w:val="172033"/>
        </w:rPr>
        <w:t>Carpet, grid, and pill remain the weakest baseline categories and require advanced-model improvement.</w:t>
      </w:r>
    </w:p>
    <w:p>
      <w:pPr>
        <w:pStyle w:val="ListBullet"/>
        <w:spacing w:after="80" w:line="276" w:lineRule="auto"/>
        <w:ind w:left="720" w:hanging="360"/>
      </w:pPr>
      <w:r>
        <w:rPr>
          <w:rFonts w:ascii="Calibri" w:hAnsi="Calibri"/>
          <w:color w:val="172033"/>
        </w:rPr>
        <w:t>Precision is generally higher than recall, indicating a conservative detector that still misses some real anomalies.</w:t>
      </w:r>
    </w:p>
    <w:p>
      <w:pPr>
        <w:pStyle w:val="ListBullet"/>
        <w:spacing w:after="80" w:line="276" w:lineRule="auto"/>
        <w:ind w:left="720" w:hanging="360"/>
      </w:pPr>
      <w:r>
        <w:rPr>
          <w:rFonts w:ascii="Calibri" w:hAnsi="Calibri"/>
          <w:color w:val="172033"/>
        </w:rPr>
        <w:t>Thresholds differ substantially across categories, confirming that one universal threshold would be inappropriate.</w:t>
      </w:r>
    </w:p>
    <w:p>
      <w:pPr>
        <w:pStyle w:val="ListBullet"/>
        <w:spacing w:after="80" w:line="276" w:lineRule="auto"/>
        <w:ind w:left="720" w:hanging="360"/>
      </w:pPr>
      <w:r>
        <w:rPr>
          <w:rFonts w:ascii="Calibri" w:hAnsi="Calibri"/>
          <w:color w:val="172033"/>
        </w:rPr>
        <w:t>The portable baseline is suitable as an explainable fallback and integration path, not as the final accuracy ceiling.</w:t>
      </w:r>
    </w:p>
    <w:p>
      <w:pPr>
        <w:pStyle w:val="Heading1"/>
        <w:pageBreakBefore/>
      </w:pPr>
      <w:r>
        <w:t>11. Testing and Reproducibility</w:t>
      </w:r>
    </w:p>
    <w:p>
      <w:pPr>
        <w:pStyle w:val="Heading2"/>
      </w:pPr>
      <w:r>
        <w:t>11.1 Focused automated tests</w:t>
      </w:r>
    </w:p>
    <w:p>
      <w:r>
        <w:rPr>
          <w:rFonts w:ascii="Calibri" w:hAnsi="Calibri"/>
          <w:color w:val="172033"/>
        </w:rPr>
        <w:t>The focused Milestone 1 command runs the dataset loader, preprocessing, and baseline detector test modules. Nine tests passed. One dataset-dependent loader test skipped under the isolated test configuration when its expected external dataset path was unavailable; this is a controlled skip, not a failed assertion.</w:t>
      </w:r>
    </w:p>
    <w:p>
      <w:pPr>
        <w:keepNext/>
        <w:jc w:val="center"/>
      </w:pPr>
      <w:r>
        <w:drawing>
          <wp:inline xmlns:a="http://schemas.openxmlformats.org/drawingml/2006/main" xmlns:pic="http://schemas.openxmlformats.org/drawingml/2006/picture">
            <wp:extent cx="6080760" cy="1945843"/>
            <wp:docPr id="9" name="Picture 9" descr="Focused Milestone 1 automated test result"/>
            <wp:cNvGraphicFramePr>
              <a:graphicFrameLocks noChangeAspect="1"/>
            </wp:cNvGraphicFramePr>
            <a:graphic>
              <a:graphicData uri="http://schemas.openxmlformats.org/drawingml/2006/picture">
                <pic:pic>
                  <pic:nvPicPr>
                    <pic:cNvPr id="0" name="milestone1_pytest.png"/>
                    <pic:cNvPicPr/>
                  </pic:nvPicPr>
                  <pic:blipFill>
                    <a:blip r:embed="rId19"/>
                    <a:stretch>
                      <a:fillRect/>
                    </a:stretch>
                  </pic:blipFill>
                  <pic:spPr>
                    <a:xfrm>
                      <a:off x="0" y="0"/>
                      <a:ext cx="6080760" cy="1945843"/>
                    </a:xfrm>
                    <a:prstGeom prst="rect"/>
                  </pic:spPr>
                </pic:pic>
              </a:graphicData>
            </a:graphic>
          </wp:inline>
        </w:drawing>
      </w:r>
    </w:p>
    <w:p>
      <w:pPr>
        <w:pStyle w:val="Caption"/>
        <w:spacing w:before="60" w:after="140"/>
        <w:jc w:val="center"/>
      </w:pPr>
      <w:r>
        <w:rPr>
          <w:rFonts w:ascii="Calibri" w:hAnsi="Calibri"/>
          <w:b/>
          <w:color w:val="0F2942"/>
          <w:sz w:val="18"/>
        </w:rPr>
        <w:t>Figure 9. Focused Milestone 1 automated test result</w:t>
      </w:r>
      <w:r>
        <w:rPr>
          <w:rFonts w:ascii="Calibri" w:hAnsi="Calibri"/>
          <w:i/>
          <w:color w:val="5F6B7A"/>
          <w:sz w:val="16"/>
        </w:rPr>
        <w:br/>
        <w:t>Source: Focused automated test command output.</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0F2942"/>
            <w:vAlign w:val="center"/>
            <w:tcMar>
              <w:top w:w="80" w:type="dxa"/>
              <w:start w:w="120" w:type="dxa"/>
              <w:bottom w:w="80" w:type="dxa"/>
              <w:end w:w="120" w:type="dxa"/>
            </w:tcMar>
          </w:tcPr>
          <w:p>
            <w:pPr>
              <w:spacing w:after="0"/>
            </w:pPr>
            <w:r/>
            <w:r>
              <w:rPr>
                <w:rFonts w:ascii="Calibri" w:hAnsi="Calibri"/>
                <w:b/>
                <w:color w:val="FFFFFF"/>
                <w:sz w:val="17"/>
              </w:rPr>
              <w:t>Test area</w:t>
            </w:r>
          </w:p>
        </w:tc>
        <w:tc>
          <w:tcPr>
            <w:tcW w:type="dxa" w:w="6360"/>
            <w:shd w:fill="0F2942"/>
            <w:vAlign w:val="center"/>
            <w:tcMar>
              <w:top w:w="80" w:type="dxa"/>
              <w:start w:w="120" w:type="dxa"/>
              <w:bottom w:w="80" w:type="dxa"/>
              <w:end w:w="120" w:type="dxa"/>
            </w:tcMar>
          </w:tcPr>
          <w:p>
            <w:pPr>
              <w:spacing w:after="0"/>
            </w:pPr>
            <w:r/>
            <w:r>
              <w:rPr>
                <w:rFonts w:ascii="Calibri" w:hAnsi="Calibri"/>
                <w:b/>
                <w:color w:val="FFFFFF"/>
                <w:sz w:val="17"/>
              </w:rPr>
              <w:t>Behavior protected</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Dataset loader</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Discovers MVTec records when the configured dataset is present</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Pipeline shapes/types</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Preprocessing returns expected dimensions and dtypes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Grayscale handling</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Existing grayscale images remain valid</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Defect-mask crop</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Object preprocessing can use a supplied defect mask</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Threshold helper</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Threshold and binary prediction behavior</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Percentile scoring</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Anomaly score uses the configured percentile</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Noise cleanup</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Tiny residual components are removed</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Dual gate</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A high score without localized mask cannot fail the product</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Saved profile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Required runtime arrays exist in a normal profile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Binary metrics</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Accuracy, precision, recall, F1, and matrix calculation</w:t>
            </w:r>
          </w:p>
        </w:tc>
      </w:tr>
    </w:tbl>
    <w:p>
      <w:pPr>
        <w:pStyle w:val="Heading2"/>
      </w:pPr>
      <w:r>
        <w:t>11.2 Notebook reproducibility</w:t>
      </w:r>
    </w:p>
    <w:p>
      <w:pPr>
        <w:spacing w:before="100" w:after="160" w:line="252" w:lineRule="auto"/>
        <w:ind w:left="259" w:right="259"/>
        <w:shd w:fill="EEF1F5"/>
      </w:pPr>
      <w:r>
        <w:rPr>
          <w:rFonts w:ascii="Consolas" w:hAnsi="Consolas"/>
          <w:color w:val="0F2942"/>
          <w:sz w:val="17"/>
        </w:rPr>
        <w:t>python -m pip install -r requirements-ai.txt</w:t>
        <w:br/>
        <w:t>$env:MVTEC_DATASET_ROOT = 'C:\path\to\mvtec_anomaly_detection'</w:t>
        <w:br/>
        <w:t>jupyter nbconvert --to notebook --execute --inplace notebooks/01_system_and_dataset_overview.ipynb</w:t>
        <w:br/>
        <w:t>jupyter nbconvert --to notebook --execute --inplace notebooks/02_portable_baseline_detector.ipynb</w:t>
      </w:r>
    </w:p>
    <w:p>
      <w:r>
        <w:rPr>
          <w:rFonts w:ascii="Calibri" w:hAnsi="Calibri"/>
          <w:color w:val="172033"/>
        </w:rPr>
        <w:t>Both notebooks resolve the dataset through `MVTEC_DATASET_ROOT` or known local project paths. Their important figures, tables, and predictions are stored inline. They do not write screenshots, charts, CSV files, or report JSON to external result folders.</w:t>
      </w:r>
    </w:p>
    <w:p>
      <w:pPr>
        <w:pStyle w:val="Heading2"/>
      </w:pPr>
      <w:r>
        <w:t>11.3 Portable artifact requirements</w:t>
      </w:r>
    </w:p>
    <w:tbl>
      <w:tblPr>
        <w:tblStyle w:val="TableGrid"/>
        <w:tblW w:type="dxa" w:w="9360"/>
        <w:jc w:val="left"/>
        <w:tblLayout w:type="fixed"/>
        <w:tblLook w:firstColumn="1" w:firstRow="1" w:lastColumn="0" w:lastRow="0" w:noHBand="0" w:noVBand="1" w:val="04A0"/>
        <w:tblInd w:type="dxa" w:w="120"/>
      </w:tblPr>
      <w:tblGrid>
        <w:gridCol w:w="3200"/>
        <w:gridCol w:w="1900"/>
        <w:gridCol w:w="4260"/>
      </w:tblGrid>
      <w:tr>
        <w:trPr>
          <w:tblHeader w:val="true"/>
        </w:trPr>
        <w:tc>
          <w:tcPr>
            <w:tcW w:type="dxa" w:w="3200"/>
            <w:shd w:fill="0E7490"/>
            <w:vAlign w:val="center"/>
            <w:tcMar>
              <w:top w:w="80" w:type="dxa"/>
              <w:start w:w="120" w:type="dxa"/>
              <w:bottom w:w="80" w:type="dxa"/>
              <w:end w:w="120" w:type="dxa"/>
            </w:tcMar>
          </w:tcPr>
          <w:p>
            <w:pPr>
              <w:spacing w:after="0"/>
            </w:pPr>
            <w:r/>
            <w:r>
              <w:rPr>
                <w:rFonts w:ascii="Calibri" w:hAnsi="Calibri"/>
                <w:b/>
                <w:color w:val="FFFFFF"/>
                <w:sz w:val="17"/>
              </w:rPr>
              <w:t>Artifact</w:t>
            </w:r>
          </w:p>
        </w:tc>
        <w:tc>
          <w:tcPr>
            <w:tcW w:type="dxa" w:w="1900"/>
            <w:shd w:fill="0E7490"/>
            <w:vAlign w:val="center"/>
            <w:tcMar>
              <w:top w:w="80" w:type="dxa"/>
              <w:start w:w="120" w:type="dxa"/>
              <w:bottom w:w="80" w:type="dxa"/>
              <w:end w:w="120" w:type="dxa"/>
            </w:tcMar>
          </w:tcPr>
          <w:p>
            <w:pPr>
              <w:spacing w:after="0"/>
            </w:pPr>
            <w:r/>
            <w:r>
              <w:rPr>
                <w:rFonts w:ascii="Calibri" w:hAnsi="Calibri"/>
                <w:b/>
                <w:color w:val="FFFFFF"/>
                <w:sz w:val="17"/>
              </w:rPr>
              <w:t>Recorded size</w:t>
            </w:r>
          </w:p>
        </w:tc>
        <w:tc>
          <w:tcPr>
            <w:tcW w:type="dxa" w:w="4260"/>
            <w:shd w:fill="0E7490"/>
            <w:vAlign w:val="center"/>
            <w:tcMar>
              <w:top w:w="80" w:type="dxa"/>
              <w:start w:w="120" w:type="dxa"/>
              <w:bottom w:w="80" w:type="dxa"/>
              <w:end w:w="120" w:type="dxa"/>
            </w:tcMar>
          </w:tcPr>
          <w:p>
            <w:pPr>
              <w:spacing w:after="0"/>
            </w:pPr>
            <w:r/>
            <w:r>
              <w:rPr>
                <w:rFonts w:ascii="Calibri" w:hAnsi="Calibri"/>
                <w:b/>
                <w:color w:val="FFFFFF"/>
                <w:sz w:val="17"/>
              </w:rPr>
              <w:t>Purpose</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resnet18_features.onnx</w:t>
            </w:r>
          </w:p>
        </w:tc>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42.62 MB</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7"/>
              </w:rPr>
              <w:t>Shared global feature extractor</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15 normal_profile.npz files</w:t>
            </w:r>
          </w:p>
        </w:tc>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11.08 MB combined</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mean/std/mask/embedding memory</w:t>
            </w:r>
          </w:p>
        </w:tc>
      </w:tr>
      <w:tr>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7"/>
              </w:rPr>
              <w:t>category_model_registry.json</w:t>
            </w:r>
          </w:p>
        </w:tc>
        <w:tc>
          <w:tcPr>
            <w:tcW w:type="dxa" w:w="1900"/>
            <w:vAlign w:val="center"/>
            <w:tcMar>
              <w:top w:w="80" w:type="dxa"/>
              <w:start w:w="120" w:type="dxa"/>
              <w:bottom w:w="80" w:type="dxa"/>
              <w:end w:w="120" w:type="dxa"/>
            </w:tcMar>
          </w:tcPr>
          <w:p>
            <w:pPr>
              <w:spacing w:after="0" w:line="240" w:lineRule="auto"/>
            </w:pPr>
            <w:r/>
            <w:r>
              <w:rPr>
                <w:rFonts w:ascii="Calibri" w:hAnsi="Calibri"/>
                <w:color w:val="172033"/>
                <w:sz w:val="17"/>
              </w:rPr>
              <w:t>Small JSON</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7"/>
              </w:rPr>
              <w:t>Category paths and thresholds</w:t>
            </w:r>
          </w:p>
        </w:tc>
      </w:tr>
      <w:tr>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7"/>
              </w:rPr>
              <w:t>model_metadata.json per category</w:t>
            </w:r>
          </w:p>
        </w:tc>
        <w:tc>
          <w:tcPr>
            <w:tcW w:type="dxa" w:w="1900"/>
            <w:vAlign w:val="center"/>
            <w:shd w:fill="F3F5F8"/>
            <w:tcMar>
              <w:top w:w="80" w:type="dxa"/>
              <w:start w:w="120" w:type="dxa"/>
              <w:bottom w:w="80" w:type="dxa"/>
              <w:end w:w="120" w:type="dxa"/>
            </w:tcMar>
          </w:tcPr>
          <w:p>
            <w:pPr>
              <w:spacing w:after="0" w:line="240" w:lineRule="auto"/>
            </w:pPr>
            <w:r/>
            <w:r>
              <w:rPr>
                <w:rFonts w:ascii="Calibri" w:hAnsi="Calibri"/>
                <w:color w:val="172033"/>
                <w:sz w:val="17"/>
              </w:rPr>
              <w:t>Small JSON</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Metrics and evaluation provenance</w:t>
            </w:r>
          </w:p>
        </w:tc>
      </w:tr>
    </w:tbl>
    <w:p>
      <w:pPr>
        <w:pStyle w:val="Heading1"/>
        <w:pageBreakBefore/>
      </w:pPr>
      <w:r>
        <w:t>12. Risks, Limitations, and Mitigations</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trPr>
        <w:tc>
          <w:tcPr>
            <w:tcW w:type="dxa" w:w="1800"/>
            <w:shd w:fill="0F2942"/>
            <w:vAlign w:val="center"/>
            <w:tcMar>
              <w:top w:w="80" w:type="dxa"/>
              <w:start w:w="120" w:type="dxa"/>
              <w:bottom w:w="80" w:type="dxa"/>
              <w:end w:w="120" w:type="dxa"/>
            </w:tcMar>
          </w:tcPr>
          <w:p>
            <w:pPr>
              <w:spacing w:after="0"/>
            </w:pPr>
            <w:r/>
            <w:r>
              <w:rPr>
                <w:rFonts w:ascii="Calibri" w:hAnsi="Calibri"/>
                <w:b/>
                <w:color w:val="FFFFFF"/>
                <w:sz w:val="16"/>
              </w:rPr>
              <w:t>Risk</w:t>
            </w:r>
          </w:p>
        </w:tc>
        <w:tc>
          <w:tcPr>
            <w:tcW w:type="dxa" w:w="3300"/>
            <w:shd w:fill="0F2942"/>
            <w:vAlign w:val="center"/>
            <w:tcMar>
              <w:top w:w="80" w:type="dxa"/>
              <w:start w:w="120" w:type="dxa"/>
              <w:bottom w:w="80" w:type="dxa"/>
              <w:end w:w="120" w:type="dxa"/>
            </w:tcMar>
          </w:tcPr>
          <w:p>
            <w:pPr>
              <w:spacing w:after="0"/>
            </w:pPr>
            <w:r/>
            <w:r>
              <w:rPr>
                <w:rFonts w:ascii="Calibri" w:hAnsi="Calibri"/>
                <w:b/>
                <w:color w:val="FFFFFF"/>
                <w:sz w:val="16"/>
              </w:rPr>
              <w:t>Impact</w:t>
            </w:r>
          </w:p>
        </w:tc>
        <w:tc>
          <w:tcPr>
            <w:tcW w:type="dxa" w:w="4260"/>
            <w:shd w:fill="0F2942"/>
            <w:vAlign w:val="center"/>
            <w:tcMar>
              <w:top w:w="80" w:type="dxa"/>
              <w:start w:w="120" w:type="dxa"/>
              <w:bottom w:w="80" w:type="dxa"/>
              <w:end w:w="120" w:type="dxa"/>
            </w:tcMar>
          </w:tcPr>
          <w:p>
            <w:pPr>
              <w:spacing w:after="0"/>
            </w:pPr>
            <w:r/>
            <w:r>
              <w:rPr>
                <w:rFonts w:ascii="Calibri" w:hAnsi="Calibri"/>
                <w:b/>
                <w:color w:val="FFFFFF"/>
                <w:sz w:val="16"/>
              </w:rPr>
              <w:t>Mitigation</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Category variability</w:t>
            </w:r>
          </w:p>
        </w:tc>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6"/>
              </w:rPr>
              <w:t>A single portable method performs unevenly across textures and objects</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6"/>
              </w:rPr>
              <w:t>Use category-specific thresholds; promote PaDiM/PatchCore in Milestone 2</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False negatives</w:t>
            </w:r>
          </w:p>
        </w:tc>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6"/>
              </w:rPr>
              <w:t>Mean recall is lower than mean precision; weak categories miss defects</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6"/>
              </w:rPr>
              <w:t>Do not use baseline alone for safety-critical acceptance</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Dataset-to-factory gap</w:t>
            </w:r>
          </w:p>
        </w:tc>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6"/>
              </w:rPr>
              <w:t>MVTec lighting and products may not match a real factory</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6"/>
              </w:rPr>
              <w:t>Collect factory-specific normal and defect evidence before production</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Full-frame residual</w:t>
            </w:r>
          </w:p>
        </w:tc>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6"/>
              </w:rPr>
              <w:t>Pose/background variation can affect residual maps</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6"/>
              </w:rPr>
              <w:t>Use controlled camera setup and evaluate object-aware alignment</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Threshold provenance</w:t>
            </w:r>
          </w:p>
        </w:tc>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6"/>
              </w:rPr>
              <w:t>Validation uses labelled MVTec test images</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6"/>
              </w:rPr>
              <w:t>Describe as project validation, not an untouched production test</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Confidence interpretation</w:t>
            </w:r>
          </w:p>
        </w:tc>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6"/>
              </w:rPr>
              <w:t>Baseline confidence is a threshold-margin estimate, not calibrated probability</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6"/>
              </w:rPr>
              <w:t>Keep anomaly score and threshold visible; calibrate later</w:t>
            </w:r>
          </w:p>
        </w:tc>
      </w:tr>
      <w:tr>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6"/>
              </w:rPr>
              <w:t>Mask threshold sensitivity</w:t>
            </w:r>
          </w:p>
        </w:tc>
        <w:tc>
          <w:tcPr>
            <w:tcW w:type="dxa" w:w="3300"/>
            <w:vAlign w:val="center"/>
            <w:tcMar>
              <w:top w:w="80" w:type="dxa"/>
              <w:start w:w="120" w:type="dxa"/>
              <w:bottom w:w="80" w:type="dxa"/>
              <w:end w:w="120" w:type="dxa"/>
            </w:tcMar>
          </w:tcPr>
          <w:p>
            <w:pPr>
              <w:spacing w:after="0" w:line="240" w:lineRule="auto"/>
            </w:pPr>
            <w:r/>
            <w:r>
              <w:rPr>
                <w:rFonts w:ascii="Calibri" w:hAnsi="Calibri"/>
                <w:color w:val="172033"/>
                <w:sz w:val="16"/>
              </w:rPr>
              <w:t>Pixel regions vary with residual threshold</w:t>
            </w:r>
          </w:p>
        </w:tc>
        <w:tc>
          <w:tcPr>
            <w:tcW w:type="dxa" w:w="4260"/>
            <w:vAlign w:val="center"/>
            <w:tcMar>
              <w:top w:w="80" w:type="dxa"/>
              <w:start w:w="120" w:type="dxa"/>
              <w:bottom w:w="80" w:type="dxa"/>
              <w:end w:w="120" w:type="dxa"/>
            </w:tcMar>
          </w:tcPr>
          <w:p>
            <w:pPr>
              <w:spacing w:after="0" w:line="240" w:lineRule="auto"/>
            </w:pPr>
            <w:r/>
            <w:r>
              <w:rPr>
                <w:rFonts w:ascii="Calibri" w:hAnsi="Calibri"/>
                <w:color w:val="172033"/>
                <w:sz w:val="16"/>
              </w:rPr>
              <w:t>Evaluate IoU/Dice and advanced localization in Milestone 2</w:t>
            </w:r>
          </w:p>
        </w:tc>
      </w:tr>
      <w:tr>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6"/>
              </w:rPr>
              <w:t>License</w:t>
            </w:r>
          </w:p>
        </w:tc>
        <w:tc>
          <w:tcPr>
            <w:tcW w:type="dxa" w:w="3300"/>
            <w:vAlign w:val="center"/>
            <w:shd w:fill="F3F5F8"/>
            <w:tcMar>
              <w:top w:w="80" w:type="dxa"/>
              <w:start w:w="120" w:type="dxa"/>
              <w:bottom w:w="80" w:type="dxa"/>
              <w:end w:w="120" w:type="dxa"/>
            </w:tcMar>
          </w:tcPr>
          <w:p>
            <w:pPr>
              <w:spacing w:after="0" w:line="240" w:lineRule="auto"/>
            </w:pPr>
            <w:r/>
            <w:r>
              <w:rPr>
                <w:rFonts w:ascii="Calibri" w:hAnsi="Calibri"/>
                <w:color w:val="172033"/>
                <w:sz w:val="16"/>
              </w:rPr>
              <w:t>MVTec reuse is subject to dataset terms</w:t>
            </w:r>
          </w:p>
        </w:tc>
        <w:tc>
          <w:tcPr>
            <w:tcW w:type="dxa" w:w="4260"/>
            <w:vAlign w:val="center"/>
            <w:shd w:fill="F3F5F8"/>
            <w:tcMar>
              <w:top w:w="80" w:type="dxa"/>
              <w:start w:w="120" w:type="dxa"/>
              <w:bottom w:w="80" w:type="dxa"/>
              <w:end w:w="120" w:type="dxa"/>
            </w:tcMar>
          </w:tcPr>
          <w:p>
            <w:pPr>
              <w:spacing w:after="0" w:line="240" w:lineRule="auto"/>
            </w:pPr>
            <w:r/>
            <w:r>
              <w:rPr>
                <w:rFonts w:ascii="Calibri" w:hAnsi="Calibri"/>
                <w:color w:val="172033"/>
                <w:sz w:val="16"/>
              </w:rPr>
              <w:t>Do not redistribute dataset or assume commercial permission</w:t>
            </w:r>
          </w:p>
        </w:tc>
      </w:tr>
    </w:tbl>
    <w:p>
      <w:pPr>
        <w:pStyle w:val="Heading2"/>
      </w:pPr>
      <w:r>
        <w:t>12.1 Engineering decisions that reduce risk</w:t>
      </w:r>
    </w:p>
    <w:p>
      <w:pPr>
        <w:pStyle w:val="ListBullet"/>
        <w:spacing w:after="80" w:line="276" w:lineRule="auto"/>
        <w:ind w:left="720" w:hanging="360"/>
      </w:pPr>
      <w:r>
        <w:rPr>
          <w:rFonts w:ascii="Calibri" w:hAnsi="Calibri"/>
          <w:color w:val="172033"/>
        </w:rPr>
        <w:t>Category selection is mandatory so the wrong normal profile is not used silently.</w:t>
      </w:r>
    </w:p>
    <w:p>
      <w:pPr>
        <w:pStyle w:val="ListBullet"/>
        <w:spacing w:after="80" w:line="276" w:lineRule="auto"/>
        <w:ind w:left="720" w:hanging="360"/>
      </w:pPr>
      <w:r>
        <w:rPr>
          <w:rFonts w:ascii="Calibri" w:hAnsi="Calibri"/>
          <w:color w:val="172033"/>
        </w:rPr>
        <w:t>Global and residual thresholds are stored per category.</w:t>
      </w:r>
    </w:p>
    <w:p>
      <w:pPr>
        <w:pStyle w:val="ListBullet"/>
        <w:spacing w:after="80" w:line="276" w:lineRule="auto"/>
        <w:ind w:left="720" w:hanging="360"/>
      </w:pPr>
      <w:r>
        <w:rPr>
          <w:rFonts w:ascii="Calibri" w:hAnsi="Calibri"/>
          <w:color w:val="172033"/>
        </w:rPr>
        <w:t>Unreadable images fail with a clear exception.</w:t>
      </w:r>
    </w:p>
    <w:p>
      <w:pPr>
        <w:pStyle w:val="ListBullet"/>
        <w:spacing w:after="80" w:line="276" w:lineRule="auto"/>
        <w:ind w:left="720" w:hanging="360"/>
      </w:pPr>
      <w:r>
        <w:rPr>
          <w:rFonts w:ascii="Calibri" w:hAnsi="Calibri"/>
          <w:color w:val="172033"/>
        </w:rPr>
        <w:t>Shape consistency is checked before applying a profile.</w:t>
      </w:r>
    </w:p>
    <w:p>
      <w:pPr>
        <w:pStyle w:val="ListBullet"/>
        <w:spacing w:after="80" w:line="276" w:lineRule="auto"/>
        <w:ind w:left="720" w:hanging="360"/>
      </w:pPr>
      <w:r>
        <w:rPr>
          <w:rFonts w:ascii="Calibri" w:hAnsi="Calibri"/>
          <w:color w:val="172033"/>
        </w:rPr>
        <w:t>Tiny connected components are removed before geometry is reported.</w:t>
      </w:r>
    </w:p>
    <w:p>
      <w:pPr>
        <w:pStyle w:val="ListBullet"/>
        <w:spacing w:after="80" w:line="276" w:lineRule="auto"/>
        <w:ind w:left="720" w:hanging="360"/>
      </w:pPr>
      <w:r>
        <w:rPr>
          <w:rFonts w:ascii="Calibri" w:hAnsi="Calibri"/>
          <w:color w:val="172033"/>
        </w:rPr>
        <w:t>The dual gate prevents score-only rejection without spatial evidence.</w:t>
      </w:r>
    </w:p>
    <w:p>
      <w:pPr>
        <w:pStyle w:val="ListBullet"/>
        <w:spacing w:after="80" w:line="276" w:lineRule="auto"/>
        <w:ind w:left="720" w:hanging="360"/>
      </w:pPr>
      <w:r>
        <w:rPr>
          <w:rFonts w:ascii="Calibri" w:hAnsi="Calibri"/>
          <w:color w:val="172033"/>
        </w:rPr>
        <w:t>Metrics and protocols remain attached to model metadata.</w:t>
      </w:r>
    </w:p>
    <w:p>
      <w:pPr>
        <w:pStyle w:val="ListBullet"/>
        <w:spacing w:after="80" w:line="276" w:lineRule="auto"/>
        <w:ind w:left="720" w:hanging="360"/>
      </w:pPr>
      <w:r>
        <w:rPr>
          <w:rFonts w:ascii="Calibri" w:hAnsi="Calibri"/>
          <w:color w:val="172033"/>
        </w:rPr>
        <w:t>Weak categories are explicitly listed for advanced-model improvement.</w:t>
      </w:r>
    </w:p>
    <w:p>
      <w:pPr>
        <w:pStyle w:val="Heading1"/>
        <w:pageBreakBefore/>
      </w:pPr>
      <w:r>
        <w:t>13. Milestone Completion and Handover</w:t>
      </w:r>
    </w:p>
    <w:p>
      <w:pPr>
        <w:pStyle w:val="Heading2"/>
      </w:pPr>
      <w:r>
        <w:t>13.1 Completed deliverables</w:t>
      </w:r>
    </w:p>
    <w:tbl>
      <w:tblPr>
        <w:tblStyle w:val="TableGrid"/>
        <w:tblW w:type="dxa" w:w="9360"/>
        <w:jc w:val="left"/>
        <w:tblLayout w:type="fixed"/>
        <w:tblLook w:firstColumn="1" w:firstRow="1" w:lastColumn="0" w:lastRow="0" w:noHBand="0" w:noVBand="1" w:val="04A0"/>
        <w:tblInd w:type="dxa" w:w="120"/>
      </w:tblPr>
      <w:tblGrid>
        <w:gridCol w:w="2300"/>
        <w:gridCol w:w="5900"/>
        <w:gridCol w:w="11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17"/>
              </w:rPr>
              <w:t>Deliverable</w:t>
            </w:r>
          </w:p>
        </w:tc>
        <w:tc>
          <w:tcPr>
            <w:tcW w:type="dxa" w:w="5900"/>
            <w:shd w:fill="0F2942"/>
            <w:vAlign w:val="center"/>
            <w:tcMar>
              <w:top w:w="80" w:type="dxa"/>
              <w:start w:w="120" w:type="dxa"/>
              <w:bottom w:w="80" w:type="dxa"/>
              <w:end w:w="120" w:type="dxa"/>
            </w:tcMar>
          </w:tcPr>
          <w:p>
            <w:pPr>
              <w:spacing w:after="0"/>
            </w:pPr>
            <w:r/>
            <w:r>
              <w:rPr>
                <w:rFonts w:ascii="Calibri" w:hAnsi="Calibri"/>
                <w:b/>
                <w:color w:val="FFFFFF"/>
                <w:sz w:val="17"/>
              </w:rPr>
              <w:t>Evidence</w:t>
            </w:r>
          </w:p>
        </w:tc>
        <w:tc>
          <w:tcPr>
            <w:tcW w:type="dxa" w:w="116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Dataset foundation</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15 categories, 5,354 images, zero missing expected masks</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Loader contract</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Dynamic labels, targets, shapes, channels, and mask paths</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Preprocessing</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Core residual and object-aware utilities</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 profiles</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15 category profiles with normal memory</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Portable feature runtime</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ResNet18 ONNX through OpenCV DNN</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Baseline detector</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Global score, residual map, mask, heatmap, and dual gate</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Calibration evidence</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Category thresholds and validation metrics</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evidence</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Two executed milestone notebooks with inline outputs</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7"/>
              </w:rPr>
              <w:t>Focused testing</w:t>
            </w:r>
          </w:p>
        </w:tc>
        <w:tc>
          <w:tcPr>
            <w:tcW w:type="dxa" w:w="5900"/>
            <w:vAlign w:val="center"/>
            <w:tcMar>
              <w:top w:w="80" w:type="dxa"/>
              <w:start w:w="120" w:type="dxa"/>
              <w:bottom w:w="80" w:type="dxa"/>
              <w:end w:w="120" w:type="dxa"/>
            </w:tcMar>
          </w:tcPr>
          <w:p>
            <w:pPr>
              <w:spacing w:after="0" w:line="240" w:lineRule="auto"/>
            </w:pPr>
            <w:r/>
            <w:r>
              <w:rPr>
                <w:rFonts w:ascii="Calibri" w:hAnsi="Calibri"/>
                <w:color w:val="172033"/>
                <w:sz w:val="17"/>
              </w:rPr>
              <w:t>9 passed and 1 controlled skip</w:t>
            </w:r>
          </w:p>
        </w:tc>
        <w:tc>
          <w:tcPr>
            <w:tcW w:type="dxa" w:w="1160"/>
            <w:vAlign w:val="center"/>
            <w:tcMar>
              <w:top w:w="80" w:type="dxa"/>
              <w:start w:w="120" w:type="dxa"/>
              <w:bottom w:w="80" w:type="dxa"/>
              <w:end w:w="120" w:type="dxa"/>
            </w:tcMar>
            <w:shd w:fill="EAF7EF"/>
          </w:tcPr>
          <w:p>
            <w:pPr>
              <w:spacing w:after="0" w:line="240" w:lineRule="auto"/>
            </w:pPr>
            <w:r>
              <w:rPr>
                <w:rFonts w:ascii="Calibri" w:hAnsi="Calibri"/>
                <w:b/>
                <w:color w:val="15803D"/>
                <w:sz w:val="17"/>
              </w:rPr>
            </w:r>
            <w:r>
              <w:rPr>
                <w:rFonts w:ascii="Calibri" w:hAnsi="Calibri"/>
                <w:b/>
                <w:color w:val="15803D"/>
                <w:sz w:val="17"/>
              </w:rPr>
              <w:t>Complete</w:t>
            </w:r>
          </w:p>
        </w:tc>
      </w:tr>
      <w:tr>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7"/>
              </w:rPr>
              <w:t>Documentation</w:t>
            </w:r>
          </w:p>
        </w:tc>
        <w:tc>
          <w:tcPr>
            <w:tcW w:type="dxa" w:w="5900"/>
            <w:vAlign w:val="center"/>
            <w:shd w:fill="F3F5F8"/>
            <w:tcMar>
              <w:top w:w="80" w:type="dxa"/>
              <w:start w:w="120" w:type="dxa"/>
              <w:bottom w:w="80" w:type="dxa"/>
              <w:end w:w="120" w:type="dxa"/>
            </w:tcMar>
          </w:tcPr>
          <w:p>
            <w:pPr>
              <w:spacing w:after="0" w:line="240" w:lineRule="auto"/>
            </w:pPr>
            <w:r/>
            <w:r>
              <w:rPr>
                <w:rFonts w:ascii="Calibri" w:hAnsi="Calibri"/>
                <w:color w:val="172033"/>
                <w:sz w:val="17"/>
              </w:rPr>
              <w:t>Final Milestone 1 report with source/evidence map</w:t>
            </w:r>
          </w:p>
        </w:tc>
        <w:tc>
          <w:tcPr>
            <w:tcW w:type="dxa" w:w="1160"/>
            <w:vAlign w:val="center"/>
            <w:shd w:fill="EAF7EF"/>
            <w:tcMar>
              <w:top w:w="80" w:type="dxa"/>
              <w:start w:w="120" w:type="dxa"/>
              <w:bottom w:w="80" w:type="dxa"/>
              <w:end w:w="120" w:type="dxa"/>
            </w:tcMar>
          </w:tcPr>
          <w:p>
            <w:pPr>
              <w:spacing w:after="0" w:line="240" w:lineRule="auto"/>
            </w:pPr>
            <w:r>
              <w:rPr>
                <w:rFonts w:ascii="Calibri" w:hAnsi="Calibri"/>
                <w:b/>
                <w:color w:val="15803D"/>
                <w:sz w:val="17"/>
              </w:rPr>
            </w:r>
            <w:r>
              <w:rPr>
                <w:rFonts w:ascii="Calibri" w:hAnsi="Calibri"/>
                <w:b/>
                <w:color w:val="15803D"/>
                <w:sz w:val="17"/>
              </w:rPr>
              <w:t>Complete</w:t>
            </w:r>
          </w:p>
        </w:tc>
      </w:tr>
    </w:tbl>
    <w:p>
      <w:pPr>
        <w:pStyle w:val="Heading2"/>
      </w:pPr>
      <w:r>
        <w:t>13.2 Handover to Milestone 2</w:t>
      </w:r>
    </w:p>
    <w:p>
      <w:r>
        <w:rPr>
          <w:rFonts w:ascii="Calibri" w:hAnsi="Calibri"/>
          <w:color w:val="172033"/>
        </w:rPr>
        <w:t>Milestone 1 hands forward a validated multi-category dataset contract, reusable preprocessing, portable profiles, shared ONNX features, calibrated baseline scores, masks, and heatmaps. Milestone 2 can therefore concentrate on stronger anomaly modelling rather than repeating data preparation. It will train and compare PaDiM and PatchCore, evaluate image and pixel metrics, calibrate advanced thresholds, and export supported models to OpenVINO.</w:t>
      </w:r>
    </w:p>
    <w:p>
      <w:pPr>
        <w:pStyle w:val="Heading2"/>
      </w:pPr>
      <w:r>
        <w:t>13.3 Final outcome</w:t>
      </w:r>
    </w:p>
    <w:p>
      <w:pPr>
        <w:spacing w:before="120" w:after="160"/>
        <w:ind w:left="173" w:right="173"/>
        <w:shd w:fill="EAF7EF"/>
        <w:pBdr>
          <w:left w:val="single" w:sz="24" w:space="8" w:color="15803D"/>
        </w:pBdr>
      </w:pPr>
      <w:r>
        <w:rPr>
          <w:rFonts w:ascii="Calibri" w:hAnsi="Calibri"/>
          <w:b/>
          <w:color w:val="15803D"/>
        </w:rPr>
        <w:t xml:space="preserve">Milestone conclusion: </w:t>
      </w:r>
      <w:r>
        <w:rPr>
          <w:rFonts w:ascii="Calibri" w:hAnsi="Calibri"/>
          <w:color w:val="172033"/>
        </w:rPr>
        <w:t>VisionInspect AI now has a complete, portable, explainable Good/Defective baseline for all 15 MVTec categories. The foundation is reproducible and application-ready, while its measured limitations clearly define the need for advanced anomaly models in the next milestone.</w:t>
      </w:r>
    </w:p>
    <w:p>
      <w:pPr>
        <w:pStyle w:val="Heading1"/>
        <w:pageBreakBefore/>
      </w:pPr>
      <w:r>
        <w:t>References</w:t>
      </w:r>
    </w:p>
    <w:p>
      <w:pPr>
        <w:spacing w:after="160"/>
        <w:ind w:left="360" w:hanging="360"/>
      </w:pPr>
      <w:r>
        <w:rPr>
          <w:rFonts w:ascii="Calibri" w:hAnsi="Calibri"/>
          <w:color w:val="172033"/>
          <w:sz w:val="18"/>
        </w:rPr>
        <w:t>[1] P. Bergmann, M. Fauser, D. Sattlegger, and C. Steger, 'MVTec AD - A Comprehensive Real-World Dataset for Unsupervised Anomaly Detection,' CVPR, 2019. https://www.mvtec.com/research-teaching/datasets/mvtec</w:t>
      </w:r>
    </w:p>
    <w:p>
      <w:pPr>
        <w:spacing w:after="160"/>
        <w:ind w:left="360" w:hanging="360"/>
      </w:pPr>
      <w:r>
        <w:rPr>
          <w:rFonts w:ascii="Calibri" w:hAnsi="Calibri"/>
          <w:color w:val="172033"/>
          <w:sz w:val="18"/>
        </w:rPr>
        <w:t>[2] K. He, X. Zhang, S. Ren, and J. Sun, 'Deep Residual Learning for Image Recognition,' Proceedings of CVPR, 2016, pp. 770-778. https://openaccess.thecvf.com/content_cvpr_2016/html/He_Deep_Residual_Learning_CVPR_2016_paper.html</w:t>
      </w:r>
    </w:p>
    <w:p>
      <w:pPr>
        <w:spacing w:after="160"/>
        <w:ind w:left="360" w:hanging="360"/>
      </w:pPr>
      <w:r>
        <w:rPr>
          <w:rFonts w:ascii="Calibri" w:hAnsi="Calibri"/>
          <w:color w:val="172033"/>
          <w:sz w:val="18"/>
        </w:rPr>
        <w:t>[3] OpenCV Documentation, 'Structural Analysis and Shape Descriptors: Connected Components.' https://docs.opencv.org/doc/doxygen/html/d3/dc0/group__imgproc__shape.html</w:t>
      </w:r>
    </w:p>
    <w:p>
      <w:pPr>
        <w:spacing w:after="160"/>
        <w:ind w:left="360" w:hanging="360"/>
      </w:pPr>
      <w:r>
        <w:rPr>
          <w:rFonts w:ascii="Calibri" w:hAnsi="Calibri"/>
          <w:color w:val="172033"/>
          <w:sz w:val="18"/>
        </w:rPr>
        <w:t>[4] VisionInspect AI Member 4 source repository, branch Himanshu-parhi-ai/ml, files under ml/, models/, notebooks/, scripts/, and tests/.</w:t>
      </w:r>
    </w:p>
    <w:p>
      <w:pPr>
        <w:spacing w:after="160"/>
        <w:ind w:left="360" w:hanging="360"/>
      </w:pPr>
      <w:r>
        <w:rPr>
          <w:rFonts w:ascii="Calibri" w:hAnsi="Calibri"/>
          <w:color w:val="172033"/>
          <w:sz w:val="18"/>
        </w:rPr>
        <w:t>[5] VisionInspect AI executed notebooks: 01_system_and_dataset_overview.ipynb and 02_portable_baseline_detector.ipynb.</w:t>
      </w:r>
    </w:p>
    <w:p>
      <w:pPr>
        <w:pStyle w:val="Heading1"/>
        <w:pageBreakBefore/>
      </w:pPr>
      <w:r>
        <w:t>Appendix A. Code and Artifact Inventory</w:t>
      </w:r>
    </w:p>
    <w:tbl>
      <w:tblPr>
        <w:tblStyle w:val="TableGrid"/>
        <w:tblW w:type="dxa" w:w="9360"/>
        <w:jc w:val="left"/>
        <w:tblLayout w:type="fixed"/>
        <w:tblLook w:firstColumn="1" w:firstRow="1" w:lastColumn="0" w:lastRow="0" w:noHBand="0" w:noVBand="1" w:val="04A0"/>
        <w:tblInd w:type="dxa" w:w="120"/>
      </w:tblPr>
      <w:tblGrid>
        <w:gridCol w:w="1500"/>
        <w:gridCol w:w="4200"/>
        <w:gridCol w:w="3660"/>
      </w:tblGrid>
      <w:tr>
        <w:trPr>
          <w:tblHeader w:val="true"/>
        </w:trPr>
        <w:tc>
          <w:tcPr>
            <w:tcW w:type="dxa" w:w="1500"/>
            <w:shd w:fill="0F2942"/>
            <w:vAlign w:val="center"/>
            <w:tcMar>
              <w:top w:w="80" w:type="dxa"/>
              <w:start w:w="120" w:type="dxa"/>
              <w:bottom w:w="80" w:type="dxa"/>
              <w:end w:w="120" w:type="dxa"/>
            </w:tcMar>
          </w:tcPr>
          <w:p>
            <w:pPr>
              <w:spacing w:after="0"/>
            </w:pPr>
            <w:r/>
            <w:r>
              <w:rPr>
                <w:rFonts w:ascii="Calibri" w:hAnsi="Calibri"/>
                <w:b/>
                <w:color w:val="FFFFFF"/>
                <w:sz w:val="16"/>
              </w:rPr>
              <w:t>Type</w:t>
            </w:r>
          </w:p>
        </w:tc>
        <w:tc>
          <w:tcPr>
            <w:tcW w:type="dxa" w:w="4200"/>
            <w:shd w:fill="0F2942"/>
            <w:vAlign w:val="center"/>
            <w:tcMar>
              <w:top w:w="80" w:type="dxa"/>
              <w:start w:w="120" w:type="dxa"/>
              <w:bottom w:w="80" w:type="dxa"/>
              <w:end w:w="120" w:type="dxa"/>
            </w:tcMar>
          </w:tcPr>
          <w:p>
            <w:pPr>
              <w:spacing w:after="0"/>
            </w:pPr>
            <w:r/>
            <w:r>
              <w:rPr>
                <w:rFonts w:ascii="Calibri" w:hAnsi="Calibri"/>
                <w:b/>
                <w:color w:val="FFFFFF"/>
                <w:sz w:val="16"/>
              </w:rPr>
              <w:t>Path</w:t>
            </w:r>
          </w:p>
        </w:tc>
        <w:tc>
          <w:tcPr>
            <w:tcW w:type="dxa" w:w="3660"/>
            <w:shd w:fill="0F2942"/>
            <w:vAlign w:val="center"/>
            <w:tcMar>
              <w:top w:w="80" w:type="dxa"/>
              <w:start w:w="120" w:type="dxa"/>
              <w:bottom w:w="80" w:type="dxa"/>
              <w:end w:w="120" w:type="dxa"/>
            </w:tcMar>
          </w:tcPr>
          <w:p>
            <w:pPr>
              <w:spacing w:after="0"/>
            </w:pPr>
            <w:r/>
            <w:r>
              <w:rPr>
                <w:rFonts w:ascii="Calibri" w:hAnsi="Calibri"/>
                <w:b/>
                <w:color w:val="FFFFFF"/>
                <w:sz w:val="16"/>
              </w:rPr>
              <w:t>Milestone 1 responsibility</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ml/config.py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Dataset/model roots and default category</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ml/dataset_loader.py</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Dynamic MVTec DataFrame records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ml/preprocessing.py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Core image-processing functions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ml/object_preprocessing.py</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Foreground, crop, alignment, and padding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ml/baseline_detector.py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Profiles, scores, masks, metrics, and heatmaps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ml/classifier.py</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ResNet18 ONNX feature extraction</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ml/inference.py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Baseline prediction and dual-gate behavior</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Source</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ml/model_registry.py</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Category thresholds and portable artifacts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Artifact</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models/inference/resnet18_features.onnx</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Shared 512-D feature extractor</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Artifact</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models/inference/normal_profile.npz</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Bottle normal profile</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Artifact</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models/categories/*/normal_profile.npz</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Remaining category profiles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Artifact</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models/category_model_registry.json</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Portable category configuration</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Notebook</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notebooks/01_system_and_dataset_overview.ipynb</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Dataset evidence</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notebooks/02_portable_baseline_detector.ipynb</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Baseline process evidence</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Test</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tests/test_dataset_loader.py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Loader behavior</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6"/>
              </w:rPr>
              <w:t>Test</w:t>
            </w:r>
          </w:p>
        </w:tc>
        <w:tc>
          <w:tcPr>
            <w:tcW w:type="dxa" w:w="4200"/>
            <w:vAlign w:val="center"/>
            <w:shd w:fill="F3F5F8"/>
            <w:tcMar>
              <w:top w:w="80" w:type="dxa"/>
              <w:start w:w="120" w:type="dxa"/>
              <w:bottom w:w="80" w:type="dxa"/>
              <w:end w:w="120" w:type="dxa"/>
            </w:tcMar>
          </w:tcPr>
          <w:p>
            <w:pPr>
              <w:spacing w:after="0" w:line="240" w:lineRule="auto"/>
            </w:pPr>
            <w:r/>
            <w:r>
              <w:rPr>
                <w:rFonts w:ascii="Calibri" w:hAnsi="Calibri"/>
                <w:color w:val="172033"/>
                <w:sz w:val="16"/>
              </w:rPr>
              <w:t>tests/test_preprocessing.py</w:t>
            </w:r>
          </w:p>
        </w:tc>
        <w:tc>
          <w:tcPr>
            <w:tcW w:type="dxa" w:w="3660"/>
            <w:vAlign w:val="center"/>
            <w:shd w:fill="F3F5F8"/>
            <w:tcMar>
              <w:top w:w="80" w:type="dxa"/>
              <w:start w:w="120" w:type="dxa"/>
              <w:bottom w:w="80" w:type="dxa"/>
              <w:end w:w="120" w:type="dxa"/>
            </w:tcMar>
          </w:tcPr>
          <w:p>
            <w:pPr>
              <w:spacing w:after="0" w:line="240" w:lineRule="auto"/>
            </w:pPr>
            <w:r/>
            <w:r>
              <w:rPr>
                <w:rFonts w:ascii="Calibri" w:hAnsi="Calibri"/>
                <w:color w:val="172033"/>
                <w:sz w:val="16"/>
              </w:rPr>
              <w:t>Preprocessing behavior</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6"/>
              </w:rPr>
              <w:t>Test</w:t>
            </w:r>
          </w:p>
        </w:tc>
        <w:tc>
          <w:tcPr>
            <w:tcW w:type="dxa" w:w="4200"/>
            <w:vAlign w:val="center"/>
            <w:tcMar>
              <w:top w:w="80" w:type="dxa"/>
              <w:start w:w="120" w:type="dxa"/>
              <w:bottom w:w="80" w:type="dxa"/>
              <w:end w:w="120" w:type="dxa"/>
            </w:tcMar>
          </w:tcPr>
          <w:p>
            <w:pPr>
              <w:spacing w:after="0" w:line="240" w:lineRule="auto"/>
            </w:pPr>
            <w:r/>
            <w:r>
              <w:rPr>
                <w:rFonts w:ascii="Calibri" w:hAnsi="Calibri"/>
                <w:color w:val="172033"/>
                <w:sz w:val="16"/>
              </w:rPr>
              <w:t>tests/test_baseline_detector.py</w:t>
            </w:r>
          </w:p>
        </w:tc>
        <w:tc>
          <w:tcPr>
            <w:tcW w:type="dxa" w:w="3660"/>
            <w:vAlign w:val="center"/>
            <w:tcMar>
              <w:top w:w="80" w:type="dxa"/>
              <w:start w:w="120" w:type="dxa"/>
              <w:bottom w:w="80" w:type="dxa"/>
              <w:end w:w="120" w:type="dxa"/>
            </w:tcMar>
          </w:tcPr>
          <w:p>
            <w:pPr>
              <w:spacing w:after="0" w:line="240" w:lineRule="auto"/>
            </w:pPr>
            <w:r/>
            <w:r>
              <w:rPr>
                <w:rFonts w:ascii="Calibri" w:hAnsi="Calibri"/>
                <w:color w:val="172033"/>
                <w:sz w:val="16"/>
              </w:rPr>
              <w:t>Baseline behavior</w:t>
            </w:r>
          </w:p>
        </w:tc>
      </w:tr>
    </w:tbl>
    <w:p>
      <w:pPr>
        <w:pStyle w:val="Heading1"/>
        <w:pageBreakBefore/>
      </w:pPr>
      <w:r>
        <w:t>Appendix B. Evidence Index</w:t>
      </w:r>
    </w:p>
    <w:tbl>
      <w:tblPr>
        <w:tblStyle w:val="TableGrid"/>
        <w:tblW w:type="dxa" w:w="9360"/>
        <w:jc w:val="left"/>
        <w:tblLayout w:type="fixed"/>
        <w:tblLook w:firstColumn="1" w:firstRow="1" w:lastColumn="0" w:lastRow="0" w:noHBand="0" w:noVBand="1" w:val="04A0"/>
        <w:tblInd w:type="dxa" w:w="120"/>
      </w:tblPr>
      <w:tblGrid>
        <w:gridCol w:w="2800"/>
        <w:gridCol w:w="2100"/>
        <w:gridCol w:w="4460"/>
      </w:tblGrid>
      <w:tr>
        <w:trPr>
          <w:tblHeader w:val="true"/>
        </w:trPr>
        <w:tc>
          <w:tcPr>
            <w:tcW w:type="dxa" w:w="2800"/>
            <w:shd w:fill="0E7490"/>
            <w:vAlign w:val="center"/>
            <w:tcMar>
              <w:top w:w="80" w:type="dxa"/>
              <w:start w:w="120" w:type="dxa"/>
              <w:bottom w:w="80" w:type="dxa"/>
              <w:end w:w="120" w:type="dxa"/>
            </w:tcMar>
          </w:tcPr>
          <w:p>
            <w:pPr>
              <w:spacing w:after="0"/>
            </w:pPr>
            <w:r/>
            <w:r>
              <w:rPr>
                <w:rFonts w:ascii="Calibri" w:hAnsi="Calibri"/>
                <w:b/>
                <w:color w:val="FFFFFF"/>
                <w:sz w:val="17"/>
              </w:rPr>
              <w:t>Evidence</w:t>
            </w:r>
          </w:p>
        </w:tc>
        <w:tc>
          <w:tcPr>
            <w:tcW w:type="dxa" w:w="2100"/>
            <w:shd w:fill="0E7490"/>
            <w:vAlign w:val="center"/>
            <w:tcMar>
              <w:top w:w="80" w:type="dxa"/>
              <w:start w:w="120" w:type="dxa"/>
              <w:bottom w:w="80" w:type="dxa"/>
              <w:end w:w="120" w:type="dxa"/>
            </w:tcMar>
          </w:tcPr>
          <w:p>
            <w:pPr>
              <w:spacing w:after="0"/>
            </w:pPr>
            <w:r/>
            <w:r>
              <w:rPr>
                <w:rFonts w:ascii="Calibri" w:hAnsi="Calibri"/>
                <w:b/>
                <w:color w:val="FFFFFF"/>
                <w:sz w:val="17"/>
              </w:rPr>
              <w:t>Source</w:t>
            </w:r>
          </w:p>
        </w:tc>
        <w:tc>
          <w:tcPr>
            <w:tcW w:type="dxa" w:w="4460"/>
            <w:shd w:fill="0E7490"/>
            <w:vAlign w:val="center"/>
            <w:tcMar>
              <w:top w:w="80" w:type="dxa"/>
              <w:start w:w="120" w:type="dxa"/>
              <w:bottom w:w="80" w:type="dxa"/>
              <w:end w:w="120" w:type="dxa"/>
            </w:tcMar>
          </w:tcPr>
          <w:p>
            <w:pPr>
              <w:spacing w:after="0"/>
            </w:pPr>
            <w:r/>
            <w:r>
              <w:rPr>
                <w:rFonts w:ascii="Calibri" w:hAnsi="Calibri"/>
                <w:b/>
                <w:color w:val="FFFFFF"/>
                <w:sz w:val="17"/>
              </w:rPr>
              <w:t>What it proves</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7"/>
              </w:rPr>
              <w:t>Dataset count and health table</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Notebook 01</w:t>
            </w:r>
          </w:p>
        </w:tc>
        <w:tc>
          <w:tcPr>
            <w:tcW w:type="dxa" w:w="4460"/>
            <w:vAlign w:val="center"/>
            <w:tcMar>
              <w:top w:w="80" w:type="dxa"/>
              <w:start w:w="120" w:type="dxa"/>
              <w:bottom w:w="80" w:type="dxa"/>
              <w:end w:w="120" w:type="dxa"/>
            </w:tcMar>
          </w:tcPr>
          <w:p>
            <w:pPr>
              <w:spacing w:after="0" w:line="240" w:lineRule="auto"/>
            </w:pPr>
            <w:r/>
            <w:r>
              <w:rPr>
                <w:rFonts w:ascii="Calibri" w:hAnsi="Calibri"/>
                <w:color w:val="172033"/>
                <w:sz w:val="17"/>
              </w:rPr>
              <w:t>All category counts, dimensions, channels, and missing masks</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distribution chart</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01</w:t>
            </w:r>
          </w:p>
        </w:tc>
        <w:tc>
          <w:tcPr>
            <w:tcW w:type="dxa" w:w="4460"/>
            <w:vAlign w:val="center"/>
            <w:shd w:fill="F3F5F8"/>
            <w:tcMar>
              <w:top w:w="80" w:type="dxa"/>
              <w:start w:w="120" w:type="dxa"/>
              <w:bottom w:w="80" w:type="dxa"/>
              <w:end w:w="120" w:type="dxa"/>
            </w:tcMar>
          </w:tcPr>
          <w:p>
            <w:pPr>
              <w:spacing w:after="0" w:line="240" w:lineRule="auto"/>
            </w:pPr>
            <w:r/>
            <w:r>
              <w:rPr>
                <w:rFonts w:ascii="Calibri" w:hAnsi="Calibri"/>
                <w:color w:val="172033"/>
                <w:sz w:val="17"/>
              </w:rPr>
              <w:t>Train-normal, test-normal, and defective volumes</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7"/>
              </w:rPr>
              <w:t>15-category sample grid</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Notebook 01</w:t>
            </w:r>
          </w:p>
        </w:tc>
        <w:tc>
          <w:tcPr>
            <w:tcW w:type="dxa" w:w="4460"/>
            <w:vAlign w:val="center"/>
            <w:tcMar>
              <w:top w:w="80" w:type="dxa"/>
              <w:start w:w="120" w:type="dxa"/>
              <w:bottom w:w="80" w:type="dxa"/>
              <w:end w:w="120" w:type="dxa"/>
            </w:tcMar>
          </w:tcPr>
          <w:p>
            <w:pPr>
              <w:spacing w:after="0" w:line="240" w:lineRule="auto"/>
            </w:pPr>
            <w:r/>
            <w:r>
              <w:rPr>
                <w:rFonts w:ascii="Calibri" w:hAnsi="Calibri"/>
                <w:color w:val="172033"/>
                <w:sz w:val="17"/>
              </w:rPr>
              <w:t>Real MVTec defective images</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Profile array table</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02</w:t>
            </w:r>
          </w:p>
        </w:tc>
        <w:tc>
          <w:tcPr>
            <w:tcW w:type="dxa" w:w="4460"/>
            <w:vAlign w:val="center"/>
            <w:shd w:fill="F3F5F8"/>
            <w:tcMar>
              <w:top w:w="80" w:type="dxa"/>
              <w:start w:w="120" w:type="dxa"/>
              <w:bottom w:w="80" w:type="dxa"/>
              <w:end w:w="120" w:type="dxa"/>
            </w:tcMar>
          </w:tcPr>
          <w:p>
            <w:pPr>
              <w:spacing w:after="0" w:line="240" w:lineRule="auto"/>
            </w:pPr>
            <w:r/>
            <w:r>
              <w:rPr>
                <w:rFonts w:ascii="Calibri" w:hAnsi="Calibri"/>
                <w:color w:val="172033"/>
                <w:sz w:val="17"/>
              </w:rPr>
              <w:t>Mean/std/mask/embedding-memory shapes</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7"/>
              </w:rPr>
              <w:t>Object-aware preprocessing grid</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Notebook 02</w:t>
            </w:r>
          </w:p>
        </w:tc>
        <w:tc>
          <w:tcPr>
            <w:tcW w:type="dxa" w:w="4460"/>
            <w:vAlign w:val="center"/>
            <w:tcMar>
              <w:top w:w="80" w:type="dxa"/>
              <w:start w:w="120" w:type="dxa"/>
              <w:bottom w:w="80" w:type="dxa"/>
              <w:end w:w="120" w:type="dxa"/>
            </w:tcMar>
          </w:tcPr>
          <w:p>
            <w:pPr>
              <w:spacing w:after="0" w:line="240" w:lineRule="auto"/>
            </w:pPr>
            <w:r/>
            <w:r>
              <w:rPr>
                <w:rFonts w:ascii="Calibri" w:hAnsi="Calibri"/>
                <w:color w:val="172033"/>
                <w:sz w:val="17"/>
              </w:rPr>
              <w:t>Original through enhanced view</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Normal/defect score table</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Notebook 02</w:t>
            </w:r>
          </w:p>
        </w:tc>
        <w:tc>
          <w:tcPr>
            <w:tcW w:type="dxa" w:w="4460"/>
            <w:vAlign w:val="center"/>
            <w:shd w:fill="F3F5F8"/>
            <w:tcMar>
              <w:top w:w="80" w:type="dxa"/>
              <w:start w:w="120" w:type="dxa"/>
              <w:bottom w:w="80" w:type="dxa"/>
              <w:end w:w="120" w:type="dxa"/>
            </w:tcMar>
          </w:tcPr>
          <w:p>
            <w:pPr>
              <w:spacing w:after="0" w:line="240" w:lineRule="auto"/>
            </w:pPr>
            <w:r/>
            <w:r>
              <w:rPr>
                <w:rFonts w:ascii="Calibri" w:hAnsi="Calibri"/>
                <w:color w:val="172033"/>
                <w:sz w:val="17"/>
              </w:rPr>
              <w:t>Threshold, residual, mask pixels, prediction, confidence</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7"/>
              </w:rPr>
              <w:t>Residual and heatmap grid</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Notebook 02</w:t>
            </w:r>
          </w:p>
        </w:tc>
        <w:tc>
          <w:tcPr>
            <w:tcW w:type="dxa" w:w="4460"/>
            <w:vAlign w:val="center"/>
            <w:tcMar>
              <w:top w:w="80" w:type="dxa"/>
              <w:start w:w="120" w:type="dxa"/>
              <w:bottom w:w="80" w:type="dxa"/>
              <w:end w:w="120" w:type="dxa"/>
            </w:tcMar>
          </w:tcPr>
          <w:p>
            <w:pPr>
              <w:spacing w:after="0" w:line="240" w:lineRule="auto"/>
            </w:pPr>
            <w:r/>
            <w:r>
              <w:rPr>
                <w:rFonts w:ascii="Calibri" w:hAnsi="Calibri"/>
                <w:color w:val="172033"/>
                <w:sz w:val="17"/>
              </w:rPr>
              <w:t>Input, residual map, cleaned mask, localized heatmap</w:t>
            </w:r>
          </w:p>
        </w:tc>
      </w:tr>
      <w:tr>
        <w:tc>
          <w:tcPr>
            <w:tcW w:type="dxa" w:w="28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baseline metrics</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model metadata</w:t>
            </w:r>
          </w:p>
        </w:tc>
        <w:tc>
          <w:tcPr>
            <w:tcW w:type="dxa" w:w="4460"/>
            <w:vAlign w:val="center"/>
            <w:shd w:fill="F3F5F8"/>
            <w:tcMar>
              <w:top w:w="80" w:type="dxa"/>
              <w:start w:w="120" w:type="dxa"/>
              <w:bottom w:w="80" w:type="dxa"/>
              <w:end w:w="120" w:type="dxa"/>
            </w:tcMar>
          </w:tcPr>
          <w:p>
            <w:pPr>
              <w:spacing w:after="0" w:line="240" w:lineRule="auto"/>
            </w:pPr>
            <w:r/>
            <w:r>
              <w:rPr>
                <w:rFonts w:ascii="Calibri" w:hAnsi="Calibri"/>
                <w:color w:val="172033"/>
                <w:sz w:val="17"/>
              </w:rPr>
              <w:t>Accuracy, precision, recall, specificity, F1, AUROC</w:t>
            </w:r>
          </w:p>
        </w:tc>
      </w:tr>
      <w:tr>
        <w:tc>
          <w:tcPr>
            <w:tcW w:type="dxa" w:w="2800"/>
            <w:vAlign w:val="center"/>
            <w:tcMar>
              <w:top w:w="80" w:type="dxa"/>
              <w:start w:w="120" w:type="dxa"/>
              <w:bottom w:w="80" w:type="dxa"/>
              <w:end w:w="120" w:type="dxa"/>
            </w:tcMar>
          </w:tcPr>
          <w:p>
            <w:pPr>
              <w:spacing w:after="0" w:line="240" w:lineRule="auto"/>
            </w:pPr>
            <w:r/>
            <w:r>
              <w:rPr>
                <w:rFonts w:ascii="Calibri" w:hAnsi="Calibri"/>
                <w:color w:val="172033"/>
                <w:sz w:val="17"/>
              </w:rPr>
              <w:t>Focused test output</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7"/>
              </w:rPr>
              <w:t>Pytest</w:t>
            </w:r>
          </w:p>
        </w:tc>
        <w:tc>
          <w:tcPr>
            <w:tcW w:type="dxa" w:w="4460"/>
            <w:vAlign w:val="center"/>
            <w:tcMar>
              <w:top w:w="80" w:type="dxa"/>
              <w:start w:w="120" w:type="dxa"/>
              <w:bottom w:w="80" w:type="dxa"/>
              <w:end w:w="120" w:type="dxa"/>
            </w:tcMar>
          </w:tcPr>
          <w:p>
            <w:pPr>
              <w:spacing w:after="0" w:line="240" w:lineRule="auto"/>
            </w:pPr>
            <w:r/>
            <w:r>
              <w:rPr>
                <w:rFonts w:ascii="Calibri" w:hAnsi="Calibri"/>
                <w:color w:val="172033"/>
                <w:sz w:val="17"/>
              </w:rPr>
              <w:t>9 passed and 1 controlled skip</w:t>
            </w:r>
          </w:p>
        </w:tc>
      </w:tr>
    </w:tbl>
    <w:p>
      <w:pPr>
        <w:jc w:val="center"/>
      </w:pPr>
      <w:r>
        <w:rPr>
          <w:rFonts w:ascii="Calibri" w:hAnsi="Calibri"/>
          <w:color w:val="172033"/>
        </w:rPr>
        <w:t>End of Milestone 1 documentation.</w:t>
      </w:r>
    </w:p>
    <w:sectPr w:rsidR="00FC693F" w:rsidRPr="0006063C" w:rsidSect="00034616">
      <w:headerReference w:type="default" r:id="rId9"/>
      <w:footerReference w:type="default" r:id="rId10"/>
      <w:pgSz w:w="12240" w:h="15840"/>
      <w:pgMar w:top="1123" w:right="1224" w:bottom="1123" w:left="1224"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Himanshu Sekhar Parhi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7DEE8"/>
      </w:pBdr>
    </w:pPr>
    <w:r>
      <w:rPr>
        <w:rFonts w:ascii="Calibri" w:hAnsi="Calibri"/>
        <w:b/>
        <w:color w:val="5F6B7A"/>
        <w:sz w:val="17"/>
      </w:rPr>
      <w:t>VISIONINSPECT AI  |  AI/ML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0F29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bCs/>
      <w:color w:val="0F294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100"/>
    </w:pPr>
    <w:rPr>
      <w:rFonts w:ascii="Calibri" w:hAnsi="Calibri"/>
      <w: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 Milestone 1: Data Foundation and Portable Baseline</dc:title>
  <dc:subject>AI/ML milestone documentation</dc:subject>
  <dc:creator>Himanshu Sekhar Parhi</dc:creator>
  <cp:keywords>VisionInspect AI, MVTec AD, anomaly detection, OpenCV, ResNet18, baseline</cp:keywords>
  <dc:description>generated by python-docx</dc:description>
  <cp:lastModifiedBy/>
  <cp:revision>1</cp:revision>
  <dcterms:created xsi:type="dcterms:W3CDTF">2013-12-23T23:15:00Z</dcterms:created>
  <dcterms:modified xsi:type="dcterms:W3CDTF">2013-12-23T23:15:00Z</dcterms:modified>
  <cp:category/>
</cp:coreProperties>
</file>