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Calibri" w:hAnsi="Calibri"/>
          <w:b/>
          <w:color w:val="1D5FD1"/>
          <w:sz w:val="22"/>
        </w:rPr>
        <w:t>VISIONINSPECT AI</w:t>
      </w:r>
    </w:p>
    <w:p>
      <w:pPr>
        <w:spacing w:after="300"/>
        <w:jc w:val="center"/>
      </w:pPr>
      <w:r>
        <w:rPr>
          <w:rFonts w:ascii="Calibri" w:hAnsi="Calibri"/>
          <w:b/>
          <w:color w:val="0E7490"/>
          <w:sz w:val="24"/>
        </w:rPr>
        <w:t>AI/ML MODULE  |  MILESTONE 2</w:t>
      </w:r>
    </w:p>
    <w:p>
      <w:pPr>
        <w:spacing w:after="240"/>
        <w:jc w:val="center"/>
      </w:pPr>
      <w:r>
        <w:rPr>
          <w:rFonts w:ascii="Calibri" w:hAnsi="Calibri"/>
          <w:b/>
          <w:color w:val="0F2942"/>
          <w:sz w:val="58"/>
        </w:rPr>
        <w:t>Advanced Anomaly Detection,</w:t>
        <w:br/>
        <w:t>Localization, and Calibration</w:t>
      </w:r>
    </w:p>
    <w:p>
      <w:pPr>
        <w:spacing w:after="840"/>
        <w:jc w:val="center"/>
      </w:pPr>
      <w:r>
        <w:rPr>
          <w:rFonts w:ascii="Calibri" w:hAnsi="Calibri"/>
          <w:color w:val="5F6B7A"/>
          <w:sz w:val="26"/>
        </w:rPr>
        <w:t>PaDiM and PatchCore selection, OpenVINO inference, threshold calibration, heatmaps, mask evaluation, and practical runtime evidence</w:t>
      </w:r>
    </w:p>
    <w:p>
      <w:pPr>
        <w:spacing w:after="560"/>
        <w:pBdr>
          <w:bottom w:val="single" w:sz="18" w:color="1D5FD1"/>
        </w:pBdr>
      </w:pPr>
    </w:p>
    <w:tbl>
      <w:tblPr>
        <w:tblStyle w:val="TableGrid"/>
        <w:tblW w:type="dxa" w:w="9360"/>
        <w:tblLayout w:type="fixed"/>
        <w:tblLook w:firstColumn="1" w:firstRow="1" w:lastColumn="0" w:lastRow="0" w:noHBand="0" w:noVBand="1" w:val="04A0"/>
        <w:jc w:val="center"/>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20"/>
              </w:rPr>
              <w:t>Submission field</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20"/>
              </w:rPr>
              <w:t>Details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Project</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VisionInspect AI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Assigned module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Member 4 - AI/ML</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Prepared by</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Himanshu Sekhar Parhi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Mentor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Sai Jyoteesh</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Programme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Infosys Springboard Programme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Document version</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Milestone 2 Submission - Version 1.0</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Submission date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1 August 2026</w:t>
            </w:r>
          </w:p>
        </w:tc>
      </w:tr>
    </w:tbl>
    <w:p>
      <w:pPr>
        <w:sectPr>
          <w:pgSz w:w="12240" w:h="15840"/>
          <w:pgMar w:top="1440" w:right="1440" w:bottom="1440" w:left="1440" w:header="720" w:footer="720" w:gutter="0"/>
          <w:cols w:space="720"/>
          <w:docGrid w:linePitch="360"/>
        </w:sectPr>
      </w:pPr>
    </w:p>
    <w:p>
      <w:pPr>
        <w:pStyle w:val="Heading1"/>
      </w:pPr>
      <w:r>
        <w:t>Document Control</w:t>
      </w:r>
    </w:p>
    <w:p>
      <w:r>
        <w:rPr>
          <w:rFonts w:ascii="Calibri" w:hAnsi="Calibri"/>
          <w:color w:val="172033"/>
        </w:rPr>
        <w:t>This report records Milestone 2 of the VisionInspect AI Member 4 module. It documents the transition from the portable baseline to category-specific PaDiM and PatchCore anomaly models, calibrated decisions, defect localization, and practical advanced-runtime evidence.</w:t>
      </w:r>
    </w:p>
    <w:p>
      <w:r>
        <w:rPr>
          <w:rFonts w:ascii="Calibri" w:hAnsi="Calibri"/>
          <w:color w:val="172033"/>
        </w:rPr>
        <w:t>Submission sequence: Milestone 1 - 25 July 2026; Milestone 2 - 1 August 2026; Milestone 3 - 8 August 2026; Milestone 4 - 15 August 2026. This report is the second practical stage in that weekly progression.</w:t>
      </w:r>
    </w:p>
    <w:p>
      <w:pPr>
        <w:spacing w:before="120" w:after="160"/>
        <w:ind w:left="173" w:right="173"/>
        <w:shd w:fill="EAF7EF"/>
        <w:pBdr>
          <w:left w:val="single" w:sz="24" w:space="8" w:color="15803D"/>
        </w:pBdr>
      </w:pPr>
      <w:r>
        <w:rPr>
          <w:rFonts w:ascii="Calibri" w:hAnsi="Calibri"/>
          <w:b/>
          <w:color w:val="15803D"/>
        </w:rPr>
        <w:t xml:space="preserve">Milestone status: </w:t>
      </w:r>
      <w:r>
        <w:rPr>
          <w:rFonts w:ascii="Calibri" w:hAnsi="Calibri"/>
          <w:color w:val="172033"/>
        </w:rPr>
        <w:t>Completed and verified. All 15 categories have recorded advanced-model metrics and registry selections; cable has a committed OpenVINO runtime and spatial calibrator; focused Milestone 2 tests pass.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7"/>
              </w:rPr>
              <w:t>Control item</w:t>
            </w:r>
          </w:p>
        </w:tc>
        <w:tc>
          <w:tcPr>
            <w:tcW w:type="dxa" w:w="6960"/>
            <w:shd w:fill="0F2942"/>
            <w:vAlign w:val="center"/>
            <w:tcMar>
              <w:top w:w="80" w:type="dxa"/>
              <w:start w:w="120" w:type="dxa"/>
              <w:bottom w:w="80" w:type="dxa"/>
              <w:end w:w="120" w:type="dxa"/>
            </w:tcMar>
          </w:tcPr>
          <w:p>
            <w:pPr>
              <w:spacing w:after="0"/>
            </w:pPr>
            <w:r/>
            <w:r>
              <w:rPr>
                <w:rFonts w:ascii="Calibri" w:hAnsi="Calibri"/>
                <w:b/>
                <w:color w:val="FFFFFF"/>
                <w:sz w:val="17"/>
              </w:rPr>
              <w:t>Recorded value</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Milestone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2 - Advanced Anomaly Detection, Localization, and Calibration</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Primary notebooks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03_advanced_anomaly_detectors.ipynb; 05_localization_and_explainability.ipynb; 07_training_benchmarking_and_calibration.ipynb</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Selected models</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12 PaDiM categories; 3 PatchCore categories</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executable</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 PatchCore OpenVINO IR with spatial calibrator</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Evaluation state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Category metrics, candidate benchmarks, calibrated thresholds, and holdout records stored in metadata</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tests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14 passed, 1 skipped in 4.12 seconds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Repository branch</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Himanshu-parhi-ai/ml</w:t>
            </w:r>
          </w:p>
        </w:tc>
      </w:tr>
    </w:tbl>
    <w:p>
      <w:pPr>
        <w:pStyle w:val="Heading2"/>
      </w:pPr>
      <w:r>
        <w:t>Milestone Snapshot</w:t>
      </w:r>
    </w:p>
    <w:tbl>
      <w:tblPr>
        <w:tblStyle w:val="TableGrid"/>
        <w:tblW w:type="dxa" w:w="9360"/>
        <w:jc w:val="left"/>
        <w:tblLayout w:type="fixed"/>
        <w:tblLook w:firstColumn="1" w:firstRow="1" w:lastColumn="0" w:lastRow="0" w:noHBand="0" w:noVBand="1" w:val="04A0"/>
        <w:tblInd w:type="dxa" w:w="120"/>
      </w:tblPr>
      <w:tblGrid>
        <w:gridCol w:w="1500"/>
        <w:gridCol w:w="7860"/>
      </w:tblGrid>
      <w:tr>
        <w:trPr>
          <w:tblHeader w:val="true"/>
        </w:trPr>
        <w:tc>
          <w:tcPr>
            <w:tcW w:type="dxa" w:w="1500"/>
            <w:shd w:fill="1D5FD1"/>
            <w:vAlign w:val="center"/>
            <w:tcMar>
              <w:top w:w="80" w:type="dxa"/>
              <w:start w:w="120" w:type="dxa"/>
              <w:bottom w:w="80" w:type="dxa"/>
              <w:end w:w="120" w:type="dxa"/>
            </w:tcMar>
          </w:tcPr>
          <w:p>
            <w:pPr>
              <w:spacing w:after="0"/>
            </w:pPr>
            <w:r/>
            <w:r>
              <w:rPr>
                <w:rFonts w:ascii="Calibri" w:hAnsi="Calibri"/>
                <w:b/>
                <w:color w:val="FFFFFF"/>
                <w:sz w:val="18"/>
              </w:rPr>
              <w:t>Value</w:t>
            </w:r>
          </w:p>
        </w:tc>
        <w:tc>
          <w:tcPr>
            <w:tcW w:type="dxa" w:w="7860"/>
            <w:shd w:fill="1D5FD1"/>
            <w:vAlign w:val="center"/>
            <w:tcMar>
              <w:top w:w="80" w:type="dxa"/>
              <w:start w:w="120" w:type="dxa"/>
              <w:bottom w:w="80" w:type="dxa"/>
              <w:end w:w="120" w:type="dxa"/>
            </w:tcMar>
          </w:tcPr>
          <w:p>
            <w:pPr>
              <w:spacing w:after="0"/>
            </w:pPr>
            <w:r/>
            <w:r>
              <w:rPr>
                <w:rFonts w:ascii="Calibri" w:hAnsi="Calibri"/>
                <w:b/>
                <w:color w:val="FFFFFF"/>
                <w:sz w:val="18"/>
              </w:rPr>
              <w:t>Meaning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15</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MVTec categories with advanced model records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12</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PaDiM registry selections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3</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PatchCore registry selections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0.9554</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Mean recorded image AUROC</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0.9442</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Mean recorded image F1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0.9737</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Mean recorded pixel AUROC</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0.5402</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Mean recorded pixel F1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0.9670</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Cable OpenVINO spatial-calibrator F1</w:t>
            </w:r>
          </w:p>
        </w:tc>
      </w:tr>
    </w:tbl>
    <w:p>
      <w:pPr>
        <w:pStyle w:val="Heading1"/>
        <w:pageBreakBefore/>
      </w:pPr>
      <w:r>
        <w:t>Table of Contents</w:t>
      </w:r>
    </w:p>
    <w:tbl>
      <w:tblPr>
        <w:tblStyle w:val="TableGrid"/>
        <w:tblW w:type="dxa" w:w="9360"/>
        <w:jc w:val="left"/>
        <w:tblLayout w:type="fixed"/>
        <w:tblLook w:firstColumn="1" w:firstRow="1" w:lastColumn="0" w:lastRow="0" w:noHBand="0" w:noVBand="1" w:val="04A0"/>
        <w:tblInd w:type="dxa" w:w="120"/>
      </w:tblPr>
      <w:tblGrid>
        <w:gridCol w:w="8300"/>
        <w:gridCol w:w="1060"/>
      </w:tblGrid>
      <w:tr>
        <w:trPr>
          <w:tblHeader w:val="true"/>
        </w:trPr>
        <w:tc>
          <w:tcPr>
            <w:tcW w:type="dxa" w:w="8300"/>
            <w:shd w:fill="0F2942"/>
            <w:vAlign w:val="center"/>
            <w:tcMar>
              <w:top w:w="45" w:type="dxa"/>
              <w:start w:w="120" w:type="dxa"/>
              <w:bottom w:w="45" w:type="dxa"/>
              <w:end w:w="120" w:type="dxa"/>
            </w:tcMar>
          </w:tcPr>
          <w:p>
            <w:pPr>
              <w:spacing w:after="0"/>
            </w:pPr>
            <w:r/>
            <w:r>
              <w:rPr>
                <w:rFonts w:ascii="Calibri" w:hAnsi="Calibri"/>
                <w:b/>
                <w:color w:val="FFFFFF"/>
                <w:sz w:val="17"/>
              </w:rPr>
              <w:t>Section</w:t>
            </w:r>
          </w:p>
        </w:tc>
        <w:tc>
          <w:tcPr>
            <w:tcW w:type="dxa" w:w="1060"/>
            <w:shd w:fill="0F2942"/>
            <w:vAlign w:val="center"/>
            <w:tcMar>
              <w:top w:w="45" w:type="dxa"/>
              <w:start w:w="120" w:type="dxa"/>
              <w:bottom w:w="45" w:type="dxa"/>
              <w:end w:w="120" w:type="dxa"/>
            </w:tcMar>
          </w:tcPr>
          <w:p>
            <w:pPr>
              <w:spacing w:after="0"/>
            </w:pPr>
            <w:r/>
            <w:r>
              <w:rPr>
                <w:rFonts w:ascii="Calibri" w:hAnsi="Calibri"/>
                <w:b/>
                <w:color w:val="FFFFFF"/>
                <w:sz w:val="17"/>
              </w:rPr>
              <w:t>Page</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 Executive Summary</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2</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2. Milestone Scope and Acceptance Criteria</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3</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3. Advanced Anomaly Detection Concepts</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4</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4. Implementation Architecture</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5</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5. Category Model Registry and Artifact Status</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6</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6. Training, Benchmarking, and Model Promotion</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8</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7. Threshold Calibration and Evaluation Protocol</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9</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8. Advanced Model Evaluation Results</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11</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9. Practical Advanced Inference Demonstration</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12</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10. Localization and Explainability</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13</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11. Runtime Portability and Fallback Behavior</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14</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12. Testing and Reproducibility</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15</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13. Risks, Limitations, and Mitigations</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16</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14. Milestone Completion and Handover</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17</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References</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17</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Appendix A. Code and Artifact Inventory</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18</w:t>
            </w:r>
          </w:p>
        </w:tc>
      </w:tr>
      <w:tr>
        <w:tc>
          <w:tcPr>
            <w:tcW w:type="dxa" w:w="8300"/>
            <w:vAlign w:val="center"/>
            <w:tcMar>
              <w:top w:w="45" w:type="dxa"/>
              <w:start w:w="120" w:type="dxa"/>
              <w:bottom w:w="45" w:type="dxa"/>
              <w:end w:w="120" w:type="dxa"/>
            </w:tcMar>
          </w:tcPr>
          <w:p>
            <w:pPr>
              <w:spacing w:after="0" w:line="240" w:lineRule="auto"/>
            </w:pPr>
            <w:r/>
            <w:r>
              <w:rPr>
                <w:rFonts w:ascii="Calibri" w:hAnsi="Calibri"/>
                <w:color w:val="172033"/>
                <w:sz w:val="17"/>
              </w:rPr>
              <w:t>Appendix B. Evidence Index</w:t>
            </w:r>
          </w:p>
        </w:tc>
        <w:tc>
          <w:tcPr>
            <w:tcW w:type="dxa" w:w="1060"/>
            <w:vAlign w:val="center"/>
            <w:tcMar>
              <w:top w:w="45" w:type="dxa"/>
              <w:start w:w="120" w:type="dxa"/>
              <w:bottom w:w="45" w:type="dxa"/>
              <w:end w:w="120" w:type="dxa"/>
            </w:tcMar>
          </w:tcPr>
          <w:p>
            <w:pPr>
              <w:spacing w:after="0" w:line="240" w:lineRule="auto"/>
            </w:pPr>
            <w:r/>
            <w:r>
              <w:rPr>
                <w:rFonts w:ascii="Calibri" w:hAnsi="Calibri"/>
                <w:color w:val="172033"/>
                <w:sz w:val="17"/>
              </w:rPr>
              <w:t>18</w:t>
            </w:r>
          </w:p>
        </w:tc>
      </w:tr>
    </w:tbl>
    <w:p>
      <w:pPr>
        <w:pStyle w:val="Heading2"/>
      </w:pPr>
      <w:r>
        <w:t>List of Figures</w:t>
      </w:r>
    </w:p>
    <w:tbl>
      <w:tblPr>
        <w:tblStyle w:val="TableGrid"/>
        <w:tblW w:type="dxa" w:w="9360"/>
        <w:jc w:val="left"/>
        <w:tblLayout w:type="fixed"/>
        <w:tblLook w:firstColumn="1" w:firstRow="1" w:lastColumn="0" w:lastRow="0" w:noHBand="0" w:noVBand="1" w:val="04A0"/>
        <w:tblInd w:type="dxa" w:w="120"/>
      </w:tblPr>
      <w:tblGrid>
        <w:gridCol w:w="1200"/>
        <w:gridCol w:w="8160"/>
      </w:tblGrid>
      <w:tr>
        <w:trPr>
          <w:tblHeader w:val="true"/>
        </w:trPr>
        <w:tc>
          <w:tcPr>
            <w:tcW w:type="dxa" w:w="1200"/>
            <w:shd w:fill="0E7490"/>
            <w:vAlign w:val="center"/>
            <w:tcMar>
              <w:top w:w="45" w:type="dxa"/>
              <w:start w:w="120" w:type="dxa"/>
              <w:bottom w:w="45" w:type="dxa"/>
              <w:end w:w="120" w:type="dxa"/>
            </w:tcMar>
          </w:tcPr>
          <w:p>
            <w:pPr>
              <w:spacing w:after="0"/>
            </w:pPr>
            <w:r/>
            <w:r>
              <w:rPr>
                <w:rFonts w:ascii="Calibri" w:hAnsi="Calibri"/>
                <w:b/>
                <w:color w:val="FFFFFF"/>
                <w:sz w:val="17"/>
              </w:rPr>
              <w:t>Figure</w:t>
            </w:r>
          </w:p>
        </w:tc>
        <w:tc>
          <w:tcPr>
            <w:tcW w:type="dxa" w:w="8160"/>
            <w:shd w:fill="0E7490"/>
            <w:vAlign w:val="center"/>
            <w:tcMar>
              <w:top w:w="45" w:type="dxa"/>
              <w:start w:w="120" w:type="dxa"/>
              <w:bottom w:w="45" w:type="dxa"/>
              <w:end w:w="120" w:type="dxa"/>
            </w:tcMar>
          </w:tcPr>
          <w:p>
            <w:pPr>
              <w:spacing w:after="0"/>
            </w:pPr>
            <w:r/>
            <w:r>
              <w:rPr>
                <w:rFonts w:ascii="Calibri" w:hAnsi="Calibri"/>
                <w:b/>
                <w:color w:val="FFFFFF"/>
                <w:sz w:val="17"/>
              </w:rPr>
              <w:t>Description</w:t>
            </w:r>
          </w:p>
        </w:tc>
      </w:tr>
      <w:tr>
        <w:tc>
          <w:tcPr>
            <w:tcW w:type="dxa" w:w="1200"/>
            <w:vAlign w:val="center"/>
            <w:tcMar>
              <w:top w:w="45" w:type="dxa"/>
              <w:start w:w="120" w:type="dxa"/>
              <w:bottom w:w="45" w:type="dxa"/>
              <w:end w:w="120" w:type="dxa"/>
            </w:tcMar>
          </w:tcPr>
          <w:p>
            <w:pPr>
              <w:spacing w:after="0" w:line="240" w:lineRule="auto"/>
            </w:pPr>
            <w:r/>
            <w:r>
              <w:rPr>
                <w:rFonts w:ascii="Calibri" w:hAnsi="Calibri"/>
                <w:color w:val="172033"/>
                <w:sz w:val="17"/>
              </w:rPr>
              <w:t>1</w:t>
            </w:r>
          </w:p>
        </w:tc>
        <w:tc>
          <w:tcPr>
            <w:tcW w:type="dxa" w:w="8160"/>
            <w:vAlign w:val="center"/>
            <w:tcMar>
              <w:top w:w="45" w:type="dxa"/>
              <w:start w:w="120" w:type="dxa"/>
              <w:bottom w:w="45" w:type="dxa"/>
              <w:end w:w="120" w:type="dxa"/>
            </w:tcMar>
          </w:tcPr>
          <w:p>
            <w:pPr>
              <w:spacing w:after="0" w:line="240" w:lineRule="auto"/>
            </w:pPr>
            <w:r/>
            <w:r>
              <w:rPr>
                <w:rFonts w:ascii="Calibri" w:hAnsi="Calibri"/>
                <w:color w:val="172033"/>
                <w:sz w:val="17"/>
              </w:rPr>
              <w:t>Advanced model development and runtime workflow</w:t>
            </w:r>
          </w:p>
        </w:tc>
      </w:tr>
      <w:tr>
        <w:tc>
          <w:tcPr>
            <w:tcW w:type="dxa" w:w="1200"/>
            <w:vAlign w:val="center"/>
            <w:shd w:fill="F3F5F8"/>
            <w:tcMar>
              <w:top w:w="45" w:type="dxa"/>
              <w:start w:w="120" w:type="dxa"/>
              <w:bottom w:w="45" w:type="dxa"/>
              <w:end w:w="120" w:type="dxa"/>
            </w:tcMar>
          </w:tcPr>
          <w:p>
            <w:pPr>
              <w:spacing w:after="0" w:line="240" w:lineRule="auto"/>
            </w:pPr>
            <w:r/>
            <w:r>
              <w:rPr>
                <w:rFonts w:ascii="Calibri" w:hAnsi="Calibri"/>
                <w:color w:val="172033"/>
                <w:sz w:val="17"/>
              </w:rPr>
              <w:t>2</w:t>
            </w:r>
          </w:p>
        </w:tc>
        <w:tc>
          <w:tcPr>
            <w:tcW w:type="dxa" w:w="8160"/>
            <w:vAlign w:val="center"/>
            <w:shd w:fill="F3F5F8"/>
            <w:tcMar>
              <w:top w:w="45" w:type="dxa"/>
              <w:start w:w="120" w:type="dxa"/>
              <w:bottom w:w="45" w:type="dxa"/>
              <w:end w:w="120" w:type="dxa"/>
            </w:tcMar>
          </w:tcPr>
          <w:p>
            <w:pPr>
              <w:spacing w:after="0" w:line="240" w:lineRule="auto"/>
            </w:pPr>
            <w:r/>
            <w:r>
              <w:rPr>
                <w:rFonts w:ascii="Calibri" w:hAnsi="Calibri"/>
                <w:color w:val="172033"/>
                <w:sz w:val="17"/>
              </w:rPr>
              <w:t>PaDiM and PatchCore representation concepts</w:t>
            </w:r>
          </w:p>
        </w:tc>
      </w:tr>
      <w:tr>
        <w:tc>
          <w:tcPr>
            <w:tcW w:type="dxa" w:w="1200"/>
            <w:vAlign w:val="center"/>
            <w:tcMar>
              <w:top w:w="45" w:type="dxa"/>
              <w:start w:w="120" w:type="dxa"/>
              <w:bottom w:w="45" w:type="dxa"/>
              <w:end w:w="120" w:type="dxa"/>
            </w:tcMar>
          </w:tcPr>
          <w:p>
            <w:pPr>
              <w:spacing w:after="0" w:line="240" w:lineRule="auto"/>
            </w:pPr>
            <w:r/>
            <w:r>
              <w:rPr>
                <w:rFonts w:ascii="Calibri" w:hAnsi="Calibri"/>
                <w:color w:val="172033"/>
                <w:sz w:val="17"/>
              </w:rPr>
              <w:t>3</w:t>
            </w:r>
          </w:p>
        </w:tc>
        <w:tc>
          <w:tcPr>
            <w:tcW w:type="dxa" w:w="8160"/>
            <w:vAlign w:val="center"/>
            <w:tcMar>
              <w:top w:w="45" w:type="dxa"/>
              <w:start w:w="120" w:type="dxa"/>
              <w:bottom w:w="45" w:type="dxa"/>
              <w:end w:w="120" w:type="dxa"/>
            </w:tcMar>
          </w:tcPr>
          <w:p>
            <w:pPr>
              <w:spacing w:after="0" w:line="240" w:lineRule="auto"/>
            </w:pPr>
            <w:r/>
            <w:r>
              <w:rPr>
                <w:rFonts w:ascii="Calibri" w:hAnsi="Calibri"/>
                <w:color w:val="172033"/>
                <w:sz w:val="17"/>
              </w:rPr>
              <w:t>Promoted advanced model by category</w:t>
            </w:r>
          </w:p>
        </w:tc>
      </w:tr>
      <w:tr>
        <w:tc>
          <w:tcPr>
            <w:tcW w:type="dxa" w:w="1200"/>
            <w:vAlign w:val="center"/>
            <w:shd w:fill="F3F5F8"/>
            <w:tcMar>
              <w:top w:w="45" w:type="dxa"/>
              <w:start w:w="120" w:type="dxa"/>
              <w:bottom w:w="45" w:type="dxa"/>
              <w:end w:w="120" w:type="dxa"/>
            </w:tcMar>
          </w:tcPr>
          <w:p>
            <w:pPr>
              <w:spacing w:after="0" w:line="240" w:lineRule="auto"/>
            </w:pPr>
            <w:r/>
            <w:r>
              <w:rPr>
                <w:rFonts w:ascii="Calibri" w:hAnsi="Calibri"/>
                <w:color w:val="172033"/>
                <w:sz w:val="17"/>
              </w:rPr>
              <w:t>4</w:t>
            </w:r>
          </w:p>
        </w:tc>
        <w:tc>
          <w:tcPr>
            <w:tcW w:type="dxa" w:w="8160"/>
            <w:vAlign w:val="center"/>
            <w:shd w:fill="F3F5F8"/>
            <w:tcMar>
              <w:top w:w="45" w:type="dxa"/>
              <w:start w:w="120" w:type="dxa"/>
              <w:bottom w:w="45" w:type="dxa"/>
              <w:end w:w="120" w:type="dxa"/>
            </w:tcMar>
          </w:tcPr>
          <w:p>
            <w:pPr>
              <w:spacing w:after="0" w:line="240" w:lineRule="auto"/>
            </w:pPr>
            <w:r/>
            <w:r>
              <w:rPr>
                <w:rFonts w:ascii="Calibri" w:hAnsi="Calibri"/>
                <w:color w:val="172033"/>
                <w:sz w:val="17"/>
              </w:rPr>
              <w:t>Recorded advanced-model evaluation by category</w:t>
            </w:r>
          </w:p>
        </w:tc>
      </w:tr>
      <w:tr>
        <w:tc>
          <w:tcPr>
            <w:tcW w:type="dxa" w:w="1200"/>
            <w:vAlign w:val="center"/>
            <w:tcMar>
              <w:top w:w="45" w:type="dxa"/>
              <w:start w:w="120" w:type="dxa"/>
              <w:bottom w:w="45" w:type="dxa"/>
              <w:end w:w="120" w:type="dxa"/>
            </w:tcMar>
          </w:tcPr>
          <w:p>
            <w:pPr>
              <w:spacing w:after="0" w:line="240" w:lineRule="auto"/>
            </w:pPr>
            <w:r/>
            <w:r>
              <w:rPr>
                <w:rFonts w:ascii="Calibri" w:hAnsi="Calibri"/>
                <w:color w:val="172033"/>
                <w:sz w:val="17"/>
              </w:rPr>
              <w:t>5</w:t>
            </w:r>
          </w:p>
        </w:tc>
        <w:tc>
          <w:tcPr>
            <w:tcW w:type="dxa" w:w="8160"/>
            <w:vAlign w:val="center"/>
            <w:tcMar>
              <w:top w:w="45" w:type="dxa"/>
              <w:start w:w="120" w:type="dxa"/>
              <w:bottom w:w="45" w:type="dxa"/>
              <w:end w:w="120" w:type="dxa"/>
            </w:tcMar>
          </w:tcPr>
          <w:p>
            <w:pPr>
              <w:spacing w:after="0" w:line="240" w:lineRule="auto"/>
            </w:pPr>
            <w:r/>
            <w:r>
              <w:rPr>
                <w:rFonts w:ascii="Calibri" w:hAnsi="Calibri"/>
                <w:color w:val="172033"/>
                <w:sz w:val="17"/>
              </w:rPr>
              <w:t>Candidate comparison on benchmarked categories</w:t>
            </w:r>
          </w:p>
        </w:tc>
      </w:tr>
      <w:tr>
        <w:tc>
          <w:tcPr>
            <w:tcW w:type="dxa" w:w="1200"/>
            <w:vAlign w:val="center"/>
            <w:shd w:fill="F3F5F8"/>
            <w:tcMar>
              <w:top w:w="45" w:type="dxa"/>
              <w:start w:w="120" w:type="dxa"/>
              <w:bottom w:w="45" w:type="dxa"/>
              <w:end w:w="120" w:type="dxa"/>
            </w:tcMar>
          </w:tcPr>
          <w:p>
            <w:pPr>
              <w:spacing w:after="0" w:line="240" w:lineRule="auto"/>
            </w:pPr>
            <w:r/>
            <w:r>
              <w:rPr>
                <w:rFonts w:ascii="Calibri" w:hAnsi="Calibri"/>
                <w:color w:val="172033"/>
                <w:sz w:val="17"/>
              </w:rPr>
              <w:t>6</w:t>
            </w:r>
          </w:p>
        </w:tc>
        <w:tc>
          <w:tcPr>
            <w:tcW w:type="dxa" w:w="8160"/>
            <w:vAlign w:val="center"/>
            <w:shd w:fill="F3F5F8"/>
            <w:tcMar>
              <w:top w:w="45" w:type="dxa"/>
              <w:start w:w="120" w:type="dxa"/>
              <w:bottom w:w="45" w:type="dxa"/>
              <w:end w:w="120" w:type="dxa"/>
            </w:tcMar>
          </w:tcPr>
          <w:p>
            <w:pPr>
              <w:spacing w:after="0" w:line="240" w:lineRule="auto"/>
            </w:pPr>
            <w:r/>
            <w:r>
              <w:rPr>
                <w:rFonts w:ascii="Calibri" w:hAnsi="Calibri"/>
                <w:color w:val="172033"/>
                <w:sz w:val="17"/>
              </w:rPr>
              <w:t>Threshold calibration and model promotion</w:t>
            </w:r>
          </w:p>
        </w:tc>
      </w:tr>
      <w:tr>
        <w:tc>
          <w:tcPr>
            <w:tcW w:type="dxa" w:w="1200"/>
            <w:vAlign w:val="center"/>
            <w:tcMar>
              <w:top w:w="45" w:type="dxa"/>
              <w:start w:w="120" w:type="dxa"/>
              <w:bottom w:w="45" w:type="dxa"/>
              <w:end w:w="120" w:type="dxa"/>
            </w:tcMar>
          </w:tcPr>
          <w:p>
            <w:pPr>
              <w:spacing w:after="0" w:line="240" w:lineRule="auto"/>
            </w:pPr>
            <w:r/>
            <w:r>
              <w:rPr>
                <w:rFonts w:ascii="Calibri" w:hAnsi="Calibri"/>
                <w:color w:val="172033"/>
                <w:sz w:val="17"/>
              </w:rPr>
              <w:t>7</w:t>
            </w:r>
          </w:p>
        </w:tc>
        <w:tc>
          <w:tcPr>
            <w:tcW w:type="dxa" w:w="8160"/>
            <w:vAlign w:val="center"/>
            <w:tcMar>
              <w:top w:w="45" w:type="dxa"/>
              <w:start w:w="120" w:type="dxa"/>
              <w:bottom w:w="45" w:type="dxa"/>
              <w:end w:w="120" w:type="dxa"/>
            </w:tcMar>
          </w:tcPr>
          <w:p>
            <w:pPr>
              <w:spacing w:after="0" w:line="240" w:lineRule="auto"/>
            </w:pPr>
            <w:r/>
            <w:r>
              <w:rPr>
                <w:rFonts w:ascii="Calibri" w:hAnsi="Calibri"/>
                <w:color w:val="172033"/>
                <w:sz w:val="17"/>
              </w:rPr>
              <w:t>Cable OpenVINO spatial calibrator confusion matrix</w:t>
            </w:r>
          </w:p>
        </w:tc>
      </w:tr>
      <w:tr>
        <w:tc>
          <w:tcPr>
            <w:tcW w:type="dxa" w:w="1200"/>
            <w:vAlign w:val="center"/>
            <w:shd w:fill="F3F5F8"/>
            <w:tcMar>
              <w:top w:w="45" w:type="dxa"/>
              <w:start w:w="120" w:type="dxa"/>
              <w:bottom w:w="45" w:type="dxa"/>
              <w:end w:w="120" w:type="dxa"/>
            </w:tcMar>
          </w:tcPr>
          <w:p>
            <w:pPr>
              <w:spacing w:after="0" w:line="240" w:lineRule="auto"/>
            </w:pPr>
            <w:r/>
            <w:r>
              <w:rPr>
                <w:rFonts w:ascii="Calibri" w:hAnsi="Calibri"/>
                <w:color w:val="172033"/>
                <w:sz w:val="17"/>
              </w:rPr>
              <w:t>8</w:t>
            </w:r>
          </w:p>
        </w:tc>
        <w:tc>
          <w:tcPr>
            <w:tcW w:type="dxa" w:w="8160"/>
            <w:vAlign w:val="center"/>
            <w:shd w:fill="F3F5F8"/>
            <w:tcMar>
              <w:top w:w="45" w:type="dxa"/>
              <w:start w:w="120" w:type="dxa"/>
              <w:bottom w:w="45" w:type="dxa"/>
              <w:end w:w="120" w:type="dxa"/>
            </w:tcMar>
          </w:tcPr>
          <w:p>
            <w:pPr>
              <w:spacing w:after="0" w:line="240" w:lineRule="auto"/>
            </w:pPr>
            <w:r/>
            <w:r>
              <w:rPr>
                <w:rFonts w:ascii="Calibri" w:hAnsi="Calibri"/>
                <w:color w:val="172033"/>
                <w:sz w:val="17"/>
              </w:rPr>
              <w:t>Cable PatchCore OpenVINO practical inference</w:t>
            </w:r>
          </w:p>
        </w:tc>
      </w:tr>
      <w:tr>
        <w:tc>
          <w:tcPr>
            <w:tcW w:type="dxa" w:w="1200"/>
            <w:vAlign w:val="center"/>
            <w:tcMar>
              <w:top w:w="45" w:type="dxa"/>
              <w:start w:w="120" w:type="dxa"/>
              <w:bottom w:w="45" w:type="dxa"/>
              <w:end w:w="120" w:type="dxa"/>
            </w:tcMar>
          </w:tcPr>
          <w:p>
            <w:pPr>
              <w:spacing w:after="0" w:line="240" w:lineRule="auto"/>
            </w:pPr>
            <w:r/>
            <w:r>
              <w:rPr>
                <w:rFonts w:ascii="Calibri" w:hAnsi="Calibri"/>
                <w:color w:val="172033"/>
                <w:sz w:val="17"/>
              </w:rPr>
              <w:t>9</w:t>
            </w:r>
          </w:p>
        </w:tc>
        <w:tc>
          <w:tcPr>
            <w:tcW w:type="dxa" w:w="8160"/>
            <w:vAlign w:val="center"/>
            <w:tcMar>
              <w:top w:w="45" w:type="dxa"/>
              <w:start w:w="120" w:type="dxa"/>
              <w:bottom w:w="45" w:type="dxa"/>
              <w:end w:w="120" w:type="dxa"/>
            </w:tcMar>
          </w:tcPr>
          <w:p>
            <w:pPr>
              <w:spacing w:after="0" w:line="240" w:lineRule="auto"/>
            </w:pPr>
            <w:r/>
            <w:r>
              <w:rPr>
                <w:rFonts w:ascii="Calibri" w:hAnsi="Calibri"/>
                <w:color w:val="172033"/>
                <w:sz w:val="17"/>
              </w:rPr>
              <w:t>Localization and explainability evidence</w:t>
            </w:r>
          </w:p>
        </w:tc>
      </w:tr>
      <w:tr>
        <w:tc>
          <w:tcPr>
            <w:tcW w:type="dxa" w:w="1200"/>
            <w:vAlign w:val="center"/>
            <w:shd w:fill="F3F5F8"/>
            <w:tcMar>
              <w:top w:w="45" w:type="dxa"/>
              <w:start w:w="120" w:type="dxa"/>
              <w:bottom w:w="45" w:type="dxa"/>
              <w:end w:w="120" w:type="dxa"/>
            </w:tcMar>
          </w:tcPr>
          <w:p>
            <w:pPr>
              <w:spacing w:after="0" w:line="240" w:lineRule="auto"/>
            </w:pPr>
            <w:r/>
            <w:r>
              <w:rPr>
                <w:rFonts w:ascii="Calibri" w:hAnsi="Calibri"/>
                <w:color w:val="172033"/>
                <w:sz w:val="17"/>
              </w:rPr>
              <w:t>10</w:t>
            </w:r>
          </w:p>
        </w:tc>
        <w:tc>
          <w:tcPr>
            <w:tcW w:type="dxa" w:w="8160"/>
            <w:vAlign w:val="center"/>
            <w:shd w:fill="F3F5F8"/>
            <w:tcMar>
              <w:top w:w="45" w:type="dxa"/>
              <w:start w:w="120" w:type="dxa"/>
              <w:bottom w:w="45" w:type="dxa"/>
              <w:end w:w="120" w:type="dxa"/>
            </w:tcMar>
          </w:tcPr>
          <w:p>
            <w:pPr>
              <w:spacing w:after="0" w:line="240" w:lineRule="auto"/>
            </w:pPr>
            <w:r/>
            <w:r>
              <w:rPr>
                <w:rFonts w:ascii="Calibri" w:hAnsi="Calibri"/>
                <w:color w:val="172033"/>
                <w:sz w:val="17"/>
              </w:rPr>
              <w:t>Focused Milestone 2 automated test result</w:t>
            </w:r>
          </w:p>
        </w:tc>
      </w:tr>
    </w:tbl>
    <w:p>
      <w:pPr>
        <w:pStyle w:val="Heading1"/>
        <w:pageBreakBefore/>
      </w:pPr>
      <w:r>
        <w:t>1. Executive Summary</w:t>
      </w:r>
    </w:p>
    <w:p>
      <w:r>
        <w:rPr>
          <w:rFonts w:ascii="Calibri" w:hAnsi="Calibri"/>
          <w:color w:val="172033"/>
        </w:rPr>
        <w:t>Milestone 2 strengthens VisionInspect AI from a portable anomaly baseline into a category-aware advanced inspection system. The implementation uses Anomalib-based PaDiM and PatchCore training, compares model candidates, stores one selected model family and calibrated threshold per product category, and exposes a shared runtime contract containing an image-level anomaly score, pixel anomaly map, binary mask, detection confidence, and fallback status.</w:t>
      </w:r>
    </w:p>
    <w:p>
      <w:r>
        <w:rPr>
          <w:rFonts w:ascii="Calibri" w:hAnsi="Calibri"/>
          <w:color w:val="172033"/>
        </w:rPr>
        <w:t>The model registry promotes PaDiM for 12 MVTec categories and PatchCore for cable, hazelnut, and screw. Across the 15 recorded advanced-model evaluations, the unweighted mean image AUROC is 0.9554, image F1 is 0.9442, pixel AUROC is 0.9737, and pixel F1 is 0.5402. The difference between high pixel AUROC and moderate pixel F1 is important: models rank suspicious pixels effectively, but exact binary region overlap remains sensitive to thresholding and defect geometry.</w:t>
      </w:r>
    </w:p>
    <w:p>
      <w:r>
        <w:rPr>
          <w:rFonts w:ascii="Calibri" w:hAnsi="Calibri"/>
          <w:color w:val="172033"/>
        </w:rPr>
        <w:t>Cable provides the practical deployment demonstration because its selected PatchCore model is committed as OpenVINO IR and paired with a portable ExtraTrees spatial calibrator. On the executed bent-wire example, the engine returned Defective with anomaly score 0.808486, 100% detection confidence, a 6.11% defect-area estimate, severity 77.0 (High), Fail decision, and no fallback. The calibrator's five-fold out-of-fold evaluation produced F1 0.9670 from 150 labelled cable test images.</w:t>
      </w:r>
    </w:p>
    <w:p>
      <w:pPr>
        <w:spacing w:before="120" w:after="160"/>
        <w:ind w:left="173" w:right="173"/>
        <w:shd w:fill="FFF7E6"/>
        <w:pBdr>
          <w:left w:val="single" w:sz="24" w:space="8" w:color="A16207"/>
        </w:pBdr>
      </w:pPr>
      <w:r>
        <w:rPr>
          <w:rFonts w:ascii="Calibri" w:hAnsi="Calibri"/>
          <w:b/>
          <w:color w:val="A16207"/>
        </w:rPr>
        <w:t xml:space="preserve">Evidence boundary: </w:t>
      </w:r>
      <w:r>
        <w:rPr>
          <w:rFonts w:ascii="Calibri" w:hAnsi="Calibri"/>
          <w:color w:val="172033"/>
        </w:rPr>
        <w:t>The repository stores model-selection metadata for all categories, but heavy PaDiM/PatchCore `.ckpt` files are intentionally not committed. The report therefore distinguishes recorded training evaluation from currently executable source-control artifacts.</w:t>
      </w:r>
    </w:p>
    <w:p>
      <w:pPr>
        <w:pStyle w:val="Heading2"/>
      </w:pPr>
      <w:r>
        <w:t>1.1 Key outcomes</w:t>
      </w:r>
    </w:p>
    <w:p>
      <w:pPr>
        <w:pStyle w:val="ListBullet"/>
        <w:spacing w:after="80" w:line="276" w:lineRule="auto"/>
        <w:ind w:left="720" w:hanging="360"/>
      </w:pPr>
      <w:r>
        <w:rPr>
          <w:rFonts w:ascii="Calibri" w:hAnsi="Calibri"/>
          <w:color w:val="172033"/>
        </w:rPr>
        <w:t>A single registry controls category, model family, artifact paths, and decision thresholds.</w:t>
      </w:r>
    </w:p>
    <w:p>
      <w:pPr>
        <w:pStyle w:val="ListBullet"/>
        <w:spacing w:after="80" w:line="276" w:lineRule="auto"/>
        <w:ind w:left="720" w:hanging="360"/>
      </w:pPr>
      <w:r>
        <w:rPr>
          <w:rFonts w:ascii="Calibri" w:hAnsi="Calibri"/>
          <w:color w:val="172033"/>
        </w:rPr>
        <w:t>PaDiM and PatchCore candidates are benchmarked using image and pixel metrics before promotion.</w:t>
      </w:r>
    </w:p>
    <w:p>
      <w:pPr>
        <w:pStyle w:val="ListBullet"/>
        <w:spacing w:after="80" w:line="276" w:lineRule="auto"/>
        <w:ind w:left="720" w:hanging="360"/>
      </w:pPr>
      <w:r>
        <w:rPr>
          <w:rFonts w:ascii="Calibri" w:hAnsi="Calibri"/>
          <w:color w:val="172033"/>
        </w:rPr>
        <w:t>Advanced thresholds use a stratified calibration/holdout protocol rather than arbitrary values.</w:t>
      </w:r>
    </w:p>
    <w:p>
      <w:pPr>
        <w:pStyle w:val="ListBullet"/>
        <w:spacing w:after="80" w:line="276" w:lineRule="auto"/>
        <w:ind w:left="720" w:hanging="360"/>
      </w:pPr>
      <w:r>
        <w:rPr>
          <w:rFonts w:ascii="Calibri" w:hAnsi="Calibri"/>
          <w:color w:val="172033"/>
        </w:rPr>
        <w:t>Cable OpenVINO inference uses global and spatial anomaly-map evidence through a 72-value calibrator feature vector.</w:t>
      </w:r>
    </w:p>
    <w:p>
      <w:pPr>
        <w:pStyle w:val="ListBullet"/>
        <w:spacing w:after="80" w:line="276" w:lineRule="auto"/>
        <w:ind w:left="720" w:hanging="360"/>
      </w:pPr>
      <w:r>
        <w:rPr>
          <w:rFonts w:ascii="Calibri" w:hAnsi="Calibri"/>
          <w:color w:val="172033"/>
        </w:rPr>
        <w:t>Heatmaps, masks, overlap metrics, critical-location geometry, and explainability fields are available for QA review.</w:t>
      </w:r>
    </w:p>
    <w:p>
      <w:pPr>
        <w:pStyle w:val="ListBullet"/>
        <w:spacing w:after="80" w:line="276" w:lineRule="auto"/>
        <w:ind w:left="720" w:hanging="360"/>
      </w:pPr>
      <w:r>
        <w:rPr>
          <w:rFonts w:ascii="Calibri" w:hAnsi="Calibri"/>
          <w:color w:val="172033"/>
        </w:rPr>
        <w:t>Missing or failed advanced artifacts trigger a recorded portable-baseline fallback.</w:t>
      </w:r>
    </w:p>
    <w:p>
      <w:pPr>
        <w:pStyle w:val="ListBullet"/>
        <w:spacing w:after="80" w:line="276" w:lineRule="auto"/>
        <w:ind w:left="720" w:hanging="360"/>
      </w:pPr>
      <w:r>
        <w:rPr>
          <w:rFonts w:ascii="Calibri" w:hAnsi="Calibri"/>
          <w:color w:val="172033"/>
        </w:rPr>
        <w:t>Tests protect localization, calibration helpers, runtime artifacts, prediction contracts, and fallback behavior.</w:t>
      </w:r>
    </w:p>
    <w:p>
      <w:pPr>
        <w:pStyle w:val="Heading1"/>
      </w:pPr>
      <w:r>
        <w:t>2. Milestone Scope and Acceptance Criteria</w:t>
      </w:r>
    </w:p>
    <w:p>
      <w:pPr>
        <w:pStyle w:val="Heading2"/>
      </w:pPr>
      <w:r>
        <w:t>2.1 Objective</w:t>
      </w:r>
    </w:p>
    <w:p>
      <w:r>
        <w:rPr>
          <w:rFonts w:ascii="Calibri" w:hAnsi="Calibri"/>
          <w:color w:val="172033"/>
        </w:rPr>
        <w:t>The Milestone 2 objective is to train and evaluate stronger one-class anomaly models, choose the most suitable detector per MVTec category, convert useful model outputs into QA evidence, and prepare a runtime path that remains usable when heavyweight training artifacts are unavailable.</w:t>
      </w:r>
    </w:p>
    <w:p>
      <w:pPr>
        <w:pStyle w:val="Heading2"/>
      </w:pPr>
      <w:r>
        <w:t>2.2 Included work</w:t>
      </w:r>
    </w:p>
    <w:p>
      <w:pPr>
        <w:pStyle w:val="ListBullet"/>
        <w:spacing w:after="80" w:line="276" w:lineRule="auto"/>
        <w:ind w:left="720" w:hanging="360"/>
      </w:pPr>
      <w:r>
        <w:rPr>
          <w:rFonts w:ascii="Calibri" w:hAnsi="Calibri"/>
          <w:color w:val="172033"/>
        </w:rPr>
        <w:t>PaDiM and PatchCore model construction through Anomalib.</w:t>
      </w:r>
    </w:p>
    <w:p>
      <w:pPr>
        <w:pStyle w:val="ListBullet"/>
        <w:spacing w:after="80" w:line="276" w:lineRule="auto"/>
        <w:ind w:left="720" w:hanging="360"/>
      </w:pPr>
      <w:r>
        <w:rPr>
          <w:rFonts w:ascii="Calibri" w:hAnsi="Calibri"/>
          <w:color w:val="172033"/>
        </w:rPr>
        <w:t>Category-specific training on `train/good` data.</w:t>
      </w:r>
    </w:p>
    <w:p>
      <w:pPr>
        <w:pStyle w:val="ListBullet"/>
        <w:spacing w:after="80" w:line="276" w:lineRule="auto"/>
        <w:ind w:left="720" w:hanging="360"/>
      </w:pPr>
      <w:r>
        <w:rPr>
          <w:rFonts w:ascii="Calibri" w:hAnsi="Calibri"/>
          <w:color w:val="172033"/>
        </w:rPr>
        <w:t>Candidate benchmarking using image AUROC/F1 and pixel AUROC/F1.</w:t>
      </w:r>
    </w:p>
    <w:p>
      <w:pPr>
        <w:pStyle w:val="ListBullet"/>
        <w:spacing w:after="80" w:line="276" w:lineRule="auto"/>
        <w:ind w:left="720" w:hanging="360"/>
      </w:pPr>
      <w:r>
        <w:rPr>
          <w:rFonts w:ascii="Calibri" w:hAnsi="Calibri"/>
          <w:color w:val="172033"/>
        </w:rPr>
        <w:t>Promotion of the strongest recorded candidate to the category registry.</w:t>
      </w:r>
    </w:p>
    <w:p>
      <w:pPr>
        <w:pStyle w:val="ListBullet"/>
        <w:spacing w:after="80" w:line="276" w:lineRule="auto"/>
        <w:ind w:left="720" w:hanging="360"/>
      </w:pPr>
      <w:r>
        <w:rPr>
          <w:rFonts w:ascii="Calibri" w:hAnsi="Calibri"/>
          <w:color w:val="172033"/>
        </w:rPr>
        <w:t>Stratified threshold calibration and holdout evaluation.</w:t>
      </w:r>
    </w:p>
    <w:p>
      <w:pPr>
        <w:pStyle w:val="ListBullet"/>
        <w:spacing w:after="80" w:line="276" w:lineRule="auto"/>
        <w:ind w:left="720" w:hanging="360"/>
      </w:pPr>
      <w:r>
        <w:rPr>
          <w:rFonts w:ascii="Calibri" w:hAnsi="Calibri"/>
          <w:color w:val="172033"/>
        </w:rPr>
        <w:t>OpenVINO export and CPU inference for the cable advanced model.</w:t>
      </w:r>
    </w:p>
    <w:p>
      <w:pPr>
        <w:pStyle w:val="ListBullet"/>
        <w:spacing w:after="80" w:line="276" w:lineRule="auto"/>
        <w:ind w:left="720" w:hanging="360"/>
      </w:pPr>
      <w:r>
        <w:rPr>
          <w:rFonts w:ascii="Calibri" w:hAnsi="Calibri"/>
          <w:color w:val="172033"/>
        </w:rPr>
        <w:t>Spatial calibration from anomaly score and anomaly-map statistics.</w:t>
      </w:r>
    </w:p>
    <w:p>
      <w:pPr>
        <w:pStyle w:val="ListBullet"/>
        <w:spacing w:after="80" w:line="276" w:lineRule="auto"/>
        <w:ind w:left="720" w:hanging="360"/>
      </w:pPr>
      <w:r>
        <w:rPr>
          <w:rFonts w:ascii="Calibri" w:hAnsi="Calibri"/>
          <w:color w:val="172033"/>
        </w:rPr>
        <w:t>Heatmap, mask, IoU, Dice, coverage, area, center, and critical-zone evidence.</w:t>
      </w:r>
    </w:p>
    <w:p>
      <w:pPr>
        <w:pStyle w:val="ListBullet"/>
        <w:spacing w:after="80" w:line="276" w:lineRule="auto"/>
        <w:ind w:left="720" w:hanging="360"/>
      </w:pPr>
      <w:r>
        <w:rPr>
          <w:rFonts w:ascii="Calibri" w:hAnsi="Calibri"/>
          <w:color w:val="172033"/>
        </w:rPr>
        <w:t>Explicit advanced-to-portable fallback semantics.</w:t>
      </w:r>
    </w:p>
    <w:p>
      <w:pPr>
        <w:pStyle w:val="Heading2"/>
      </w:pPr>
      <w:r>
        <w:t>2.3 Excluded or deferred work</w:t>
      </w:r>
    </w:p>
    <w:p>
      <w:pPr>
        <w:pStyle w:val="ListBullet"/>
        <w:spacing w:after="80" w:line="276" w:lineRule="auto"/>
        <w:ind w:left="720" w:hanging="360"/>
      </w:pPr>
      <w:r>
        <w:rPr>
          <w:rFonts w:ascii="Calibri" w:hAnsi="Calibri"/>
          <w:color w:val="172033"/>
        </w:rPr>
        <w:t>Defect subtype classification and severity policy are documented in Milestone 3.</w:t>
      </w:r>
    </w:p>
    <w:p>
      <w:pPr>
        <w:pStyle w:val="ListBullet"/>
        <w:spacing w:after="80" w:line="276" w:lineRule="auto"/>
        <w:ind w:left="720" w:hanging="360"/>
      </w:pPr>
      <w:r>
        <w:rPr>
          <w:rFonts w:ascii="Calibri" w:hAnsi="Calibri"/>
          <w:color w:val="172033"/>
        </w:rPr>
        <w:t>Backend orchestration, batch integration, and final end-to-end validation are documented in Milestone 4.</w:t>
      </w:r>
    </w:p>
    <w:p>
      <w:pPr>
        <w:pStyle w:val="ListBullet"/>
        <w:spacing w:after="80" w:line="276" w:lineRule="auto"/>
        <w:ind w:left="720" w:hanging="360"/>
      </w:pPr>
      <w:r>
        <w:rPr>
          <w:rFonts w:ascii="Calibri" w:hAnsi="Calibri"/>
          <w:color w:val="172033"/>
        </w:rPr>
        <w:t>This milestone does not implement YOLO-style object detection; anomaly maps localize unusual regions.</w:t>
      </w:r>
    </w:p>
    <w:p>
      <w:pPr>
        <w:pStyle w:val="ListBullet"/>
        <w:spacing w:after="80" w:line="276" w:lineRule="auto"/>
        <w:ind w:left="720" w:hanging="360"/>
      </w:pPr>
      <w:r>
        <w:rPr>
          <w:rFonts w:ascii="Calibri" w:hAnsi="Calibri"/>
          <w:color w:val="172033"/>
        </w:rPr>
        <w:t>Factory camera, PLC, and MES connections remain outside the AI/ML milestone scope.</w:t>
      </w:r>
    </w:p>
    <w:p>
      <w:pPr>
        <w:pStyle w:val="ListBullet"/>
        <w:spacing w:after="80" w:line="276" w:lineRule="auto"/>
        <w:ind w:left="720" w:hanging="360"/>
      </w:pPr>
      <w:r>
        <w:rPr>
          <w:rFonts w:ascii="Calibri" w:hAnsi="Calibri"/>
          <w:color w:val="172033"/>
        </w:rPr>
        <w:t>Heavy checkpoint distribution and external model storage are deployment concerns, not source-code evidence.</w:t>
      </w:r>
    </w:p>
    <w:p>
      <w:pPr>
        <w:pStyle w:val="Heading2"/>
      </w:pPr>
      <w:r>
        <w:t>2.4 Acceptance criteria</w:t>
      </w:r>
    </w:p>
    <w:tbl>
      <w:tblPr>
        <w:tblStyle w:val="TableGrid"/>
        <w:tblW w:type="dxa" w:w="9360"/>
        <w:jc w:val="left"/>
        <w:tblLayout w:type="fixed"/>
        <w:tblLook w:firstColumn="1" w:firstRow="1" w:lastColumn="0" w:lastRow="0" w:noHBand="0" w:noVBand="1" w:val="04A0"/>
        <w:tblInd w:type="dxa" w:w="120"/>
      </w:tblPr>
      <w:tblGrid>
        <w:gridCol w:w="2500"/>
        <w:gridCol w:w="5860"/>
        <w:gridCol w:w="1000"/>
      </w:tblGrid>
      <w:tr>
        <w:trPr>
          <w:tblHeader w:val="true"/>
        </w:trPr>
        <w:tc>
          <w:tcPr>
            <w:tcW w:type="dxa" w:w="2500"/>
            <w:shd w:fill="0F2942"/>
            <w:vAlign w:val="center"/>
            <w:tcMar>
              <w:top w:w="80" w:type="dxa"/>
              <w:start w:w="120" w:type="dxa"/>
              <w:bottom w:w="80" w:type="dxa"/>
              <w:end w:w="120" w:type="dxa"/>
            </w:tcMar>
          </w:tcPr>
          <w:p>
            <w:pPr>
              <w:spacing w:after="0"/>
            </w:pPr>
            <w:r/>
            <w:r>
              <w:rPr>
                <w:rFonts w:ascii="Calibri" w:hAnsi="Calibri"/>
                <w:b/>
                <w:color w:val="FFFFFF"/>
                <w:sz w:val="17"/>
              </w:rPr>
              <w:t>Criterion</w:t>
            </w:r>
          </w:p>
        </w:tc>
        <w:tc>
          <w:tcPr>
            <w:tcW w:type="dxa" w:w="5860"/>
            <w:shd w:fill="0F2942"/>
            <w:vAlign w:val="center"/>
            <w:tcMar>
              <w:top w:w="80" w:type="dxa"/>
              <w:start w:w="120" w:type="dxa"/>
              <w:bottom w:w="80" w:type="dxa"/>
              <w:end w:w="120" w:type="dxa"/>
            </w:tcMar>
          </w:tcPr>
          <w:p>
            <w:pPr>
              <w:spacing w:after="0"/>
            </w:pPr>
            <w:r/>
            <w:r>
              <w:rPr>
                <w:rFonts w:ascii="Calibri" w:hAnsi="Calibri"/>
                <w:b/>
                <w:color w:val="FFFFFF"/>
                <w:sz w:val="17"/>
              </w:rPr>
              <w:t>Verification condition</w:t>
            </w:r>
          </w:p>
        </w:tc>
        <w:tc>
          <w:tcPr>
            <w:tcW w:type="dxa" w:w="100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Advanced model definitions</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PaDiM and PatchCore construct successfully from the shared trainer</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selection</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Every supported category resolves to one promoted model kind</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Evaluation evidence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Image and pixel metrics are stored for all 15 categories</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Calibration</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thresholds and holdout metrics are persisted where calibration was run</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Localization</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Runtime returns anomaly map, mask, heatmap, and geometry</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Practical runtime</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 advanced OpenVINO inference completes without fallback</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Failure behavior</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Unavailable advanced artifacts produce explicit fallback metadata</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Software validation</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advanced/localization/runtime tests pass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bl>
    <w:p>
      <w:pPr>
        <w:pStyle w:val="Heading1"/>
      </w:pPr>
      <w:r>
        <w:t>3. Advanced Anomaly Detection Concepts</w:t>
      </w:r>
    </w:p>
    <w:p>
      <w:pPr>
        <w:pStyle w:val="Heading2"/>
      </w:pPr>
      <w:r>
        <w:t>3.1 Why one-class anomaly detection</w:t>
      </w:r>
    </w:p>
    <w:p>
      <w:r>
        <w:rPr>
          <w:rFonts w:ascii="Calibri" w:hAnsi="Calibri"/>
          <w:color w:val="172033"/>
        </w:rPr>
        <w:t>Industrial defect datasets rarely enumerate every failure that may occur. PaDiM and PatchCore therefore learn normal appearance from defect-free training images and treat deviations at inference time as anomalies. This matches MVTec AD's normal-only training split and allows the detector to identify previously unseen defect patterns without requiring a closed list of defect classes.</w:t>
      </w:r>
    </w:p>
    <w:p>
      <w:pPr>
        <w:spacing w:before="120" w:after="160"/>
        <w:ind w:left="173" w:right="173"/>
        <w:shd w:fill="EAF2FF"/>
        <w:pBdr>
          <w:left w:val="single" w:sz="24" w:space="8" w:color="1D5FD1"/>
        </w:pBdr>
      </w:pPr>
      <w:r>
        <w:rPr>
          <w:rFonts w:ascii="Calibri" w:hAnsi="Calibri"/>
          <w:b/>
          <w:color w:val="1D5FD1"/>
        </w:rPr>
        <w:t xml:space="preserve">Important distinction: </w:t>
      </w:r>
      <w:r>
        <w:rPr>
          <w:rFonts w:ascii="Calibri" w:hAnsi="Calibri"/>
          <w:color w:val="172033"/>
        </w:rPr>
        <w:t>Advanced anomaly detection answers whether and where an image differs from learned normal appearance. It does not by itself name the manufacturing defect subtype; that responsibility belongs to the Milestone 3 classifier.</w:t>
      </w:r>
    </w:p>
    <w:p>
      <w:pPr>
        <w:keepNext/>
        <w:jc w:val="center"/>
      </w:pPr>
      <w:r>
        <w:drawing>
          <wp:inline xmlns:a="http://schemas.openxmlformats.org/drawingml/2006/main" xmlns:pic="http://schemas.openxmlformats.org/drawingml/2006/picture">
            <wp:extent cx="6126480" cy="2893060"/>
            <wp:docPr id="1" name="Picture 1" descr="PaDiM and PatchCore representation concepts"/>
            <wp:cNvGraphicFramePr>
              <a:graphicFrameLocks noChangeAspect="1"/>
            </wp:cNvGraphicFramePr>
            <a:graphic>
              <a:graphicData uri="http://schemas.openxmlformats.org/drawingml/2006/picture">
                <pic:pic>
                  <pic:nvPicPr>
                    <pic:cNvPr id="0" name="padim_patchcore_concepts.png"/>
                    <pic:cNvPicPr/>
                  </pic:nvPicPr>
                  <pic:blipFill>
                    <a:blip r:embed="rId11"/>
                    <a:stretch>
                      <a:fillRect/>
                    </a:stretch>
                  </pic:blipFill>
                  <pic:spPr>
                    <a:xfrm>
                      <a:off x="0" y="0"/>
                      <a:ext cx="6126480" cy="2893060"/>
                    </a:xfrm>
                    <a:prstGeom prst="rect"/>
                  </pic:spPr>
                </pic:pic>
              </a:graphicData>
            </a:graphic>
          </wp:inline>
        </w:drawing>
      </w:r>
    </w:p>
    <w:p>
      <w:pPr>
        <w:pStyle w:val="Caption"/>
        <w:spacing w:before="60" w:after="140"/>
        <w:jc w:val="center"/>
      </w:pPr>
      <w:r>
        <w:rPr>
          <w:rFonts w:ascii="Calibri" w:hAnsi="Calibri"/>
          <w:b/>
          <w:color w:val="0F2942"/>
          <w:sz w:val="18"/>
        </w:rPr>
        <w:t>Figure 2. PaDiM and PatchCore representation concepts</w:t>
      </w:r>
      <w:r>
        <w:rPr>
          <w:rFonts w:ascii="Calibri" w:hAnsi="Calibri"/>
          <w:i/>
          <w:color w:val="5F6B7A"/>
          <w:sz w:val="16"/>
        </w:rPr>
        <w:br/>
        <w:t>Source: Implementation concepts aligned with the referenced PaDiM and PatchCore papers.</w:t>
      </w:r>
    </w:p>
    <w:p>
      <w:pPr>
        <w:pStyle w:val="Heading2"/>
      </w:pPr>
      <w:r>
        <w:t>3.2 PaDiM role</w:t>
      </w:r>
    </w:p>
    <w:p>
      <w:r>
        <w:rPr>
          <w:rFonts w:ascii="Calibri" w:hAnsi="Calibri"/>
          <w:color w:val="172033"/>
        </w:rPr>
        <w:t>PaDiM uses pretrained CNN patch embeddings and models the normal feature distribution at each spatial location with a multivariate Gaussian. Test patches receive Mahalanobis-distance anomaly values. The project uses PaDiM as the selected model for 12 categories because it provides strong image-level detection, dense anomaly maps, and comparatively compact normal statistics.</w:t>
      </w:r>
    </w:p>
    <w:p>
      <w:pPr>
        <w:pStyle w:val="Heading2"/>
      </w:pPr>
      <w:r>
        <w:t>3.3 PatchCore role</w:t>
      </w:r>
    </w:p>
    <w:p>
      <w:r>
        <w:rPr>
          <w:rFonts w:ascii="Calibri" w:hAnsi="Calibri"/>
          <w:color w:val="172033"/>
        </w:rPr>
        <w:t>PatchCore stores a representative memory bank of normal patch features. At inference, each test patch is compared with nearby normal memory items, and large nearest-neighbor distances indicate anomalies. Candidate benchmarks promoted PatchCore for cable, hazelnut, and screw because it improved their recorded image and/or localization metrics.</w:t>
      </w:r>
    </w:p>
    <w:tbl>
      <w:tblPr>
        <w:tblStyle w:val="TableGrid"/>
        <w:tblW w:type="dxa" w:w="9360"/>
        <w:jc w:val="left"/>
        <w:tblLayout w:type="fixed"/>
        <w:tblLook w:firstColumn="1" w:firstRow="1" w:lastColumn="0" w:lastRow="0" w:noHBand="0" w:noVBand="1" w:val="04A0"/>
        <w:tblInd w:type="dxa" w:w="120"/>
      </w:tblPr>
      <w:tblGrid>
        <w:gridCol w:w="2200"/>
        <w:gridCol w:w="3580"/>
        <w:gridCol w:w="3580"/>
      </w:tblGrid>
      <w:tr>
        <w:trPr>
          <w:tblHeader w:val="true"/>
        </w:trPr>
        <w:tc>
          <w:tcPr>
            <w:tcW w:type="dxa" w:w="2200"/>
            <w:shd w:fill="0E7490"/>
            <w:vAlign w:val="center"/>
            <w:tcMar>
              <w:top w:w="80" w:type="dxa"/>
              <w:start w:w="120" w:type="dxa"/>
              <w:bottom w:w="80" w:type="dxa"/>
              <w:end w:w="120" w:type="dxa"/>
            </w:tcMar>
          </w:tcPr>
          <w:p>
            <w:pPr>
              <w:spacing w:after="0"/>
            </w:pPr>
            <w:r/>
            <w:r>
              <w:rPr>
                <w:rFonts w:ascii="Calibri" w:hAnsi="Calibri"/>
                <w:b/>
                <w:color w:val="FFFFFF"/>
                <w:sz w:val="18"/>
              </w:rPr>
              <w:t>Property</w:t>
            </w:r>
          </w:p>
        </w:tc>
        <w:tc>
          <w:tcPr>
            <w:tcW w:type="dxa" w:w="3580"/>
            <w:shd w:fill="0E7490"/>
            <w:vAlign w:val="center"/>
            <w:tcMar>
              <w:top w:w="80" w:type="dxa"/>
              <w:start w:w="120" w:type="dxa"/>
              <w:bottom w:w="80" w:type="dxa"/>
              <w:end w:w="120" w:type="dxa"/>
            </w:tcMar>
          </w:tcPr>
          <w:p>
            <w:pPr>
              <w:spacing w:after="0"/>
            </w:pPr>
            <w:r/>
            <w:r>
              <w:rPr>
                <w:rFonts w:ascii="Calibri" w:hAnsi="Calibri"/>
                <w:b/>
                <w:color w:val="FFFFFF"/>
                <w:sz w:val="18"/>
              </w:rPr>
              <w:t>PaDiM</w:t>
            </w:r>
          </w:p>
        </w:tc>
        <w:tc>
          <w:tcPr>
            <w:tcW w:type="dxa" w:w="3580"/>
            <w:shd w:fill="0E7490"/>
            <w:vAlign w:val="center"/>
            <w:tcMar>
              <w:top w:w="80" w:type="dxa"/>
              <w:start w:w="120" w:type="dxa"/>
              <w:bottom w:w="80" w:type="dxa"/>
              <w:end w:w="120" w:type="dxa"/>
            </w:tcMar>
          </w:tcPr>
          <w:p>
            <w:pPr>
              <w:spacing w:after="0"/>
            </w:pPr>
            <w:r/>
            <w:r>
              <w:rPr>
                <w:rFonts w:ascii="Calibri" w:hAnsi="Calibri"/>
                <w:b/>
                <w:color w:val="FFFFFF"/>
                <w:sz w:val="18"/>
              </w:rPr>
              <w:t>PatchCore</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8"/>
              </w:rPr>
              <w:t>Training labels</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Normal images only</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Normal images only</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8"/>
              </w:rPr>
              <w:t>Normal representation</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Per-location Gaussian distributions</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Representative patch-memory coreset</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8"/>
              </w:rPr>
              <w:t>Patch score</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Mahalanobis distance</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Nearest-neighbor feature distance</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8"/>
              </w:rPr>
              <w:t>Outputs</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Image score and dense anomaly map</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Image score and dense anomaly map</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8"/>
              </w:rPr>
              <w:t>Project selection</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12 categories</w:t>
            </w:r>
          </w:p>
        </w:tc>
        <w:tc>
          <w:tcPr>
            <w:tcW w:type="dxa" w:w="3580"/>
            <w:vAlign w:val="center"/>
            <w:tcMar>
              <w:top w:w="80" w:type="dxa"/>
              <w:start w:w="120" w:type="dxa"/>
              <w:bottom w:w="80" w:type="dxa"/>
              <w:end w:w="120" w:type="dxa"/>
            </w:tcMar>
          </w:tcPr>
          <w:p>
            <w:pPr>
              <w:spacing w:after="0" w:line="240" w:lineRule="auto"/>
            </w:pPr>
            <w:r/>
            <w:r>
              <w:rPr>
                <w:rFonts w:ascii="Calibri" w:hAnsi="Calibri"/>
                <w:color w:val="172033"/>
                <w:sz w:val="18"/>
              </w:rPr>
              <w:t>Cable, hazelnut, screw</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8"/>
              </w:rPr>
              <w:t>Primary limitation</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Alignment and covariance assumptions</w:t>
            </w:r>
          </w:p>
        </w:tc>
        <w:tc>
          <w:tcPr>
            <w:tcW w:type="dxa" w:w="3580"/>
            <w:vAlign w:val="center"/>
            <w:shd w:fill="F3F5F8"/>
            <w:tcMar>
              <w:top w:w="80" w:type="dxa"/>
              <w:start w:w="120" w:type="dxa"/>
              <w:bottom w:w="80" w:type="dxa"/>
              <w:end w:w="120" w:type="dxa"/>
            </w:tcMar>
          </w:tcPr>
          <w:p>
            <w:pPr>
              <w:spacing w:after="0" w:line="240" w:lineRule="auto"/>
            </w:pPr>
            <w:r/>
            <w:r>
              <w:rPr>
                <w:rFonts w:ascii="Calibri" w:hAnsi="Calibri"/>
                <w:color w:val="172033"/>
                <w:sz w:val="18"/>
              </w:rPr>
              <w:t>Larger memory/checkpoint footprint</w:t>
            </w:r>
          </w:p>
        </w:tc>
      </w:tr>
    </w:tbl>
    <w:p>
      <w:pPr>
        <w:pStyle w:val="Heading1"/>
      </w:pPr>
      <w:r>
        <w:t>4. Implementation Architecture</w:t>
      </w:r>
    </w:p>
    <w:p>
      <w:r>
        <w:rPr>
          <w:rFonts w:ascii="Calibri" w:hAnsi="Calibri"/>
          <w:color w:val="172033"/>
        </w:rPr>
        <w:t>Training and serving are deliberately separated. Training scripts create model and calibration evidence. The runtime reads only the promoted registry entry for the selected category, attempts the available advanced engine, and returns a stable dictionary consumed by later quality-control stages.</w:t>
      </w:r>
    </w:p>
    <w:p>
      <w:pPr>
        <w:keepNext/>
        <w:jc w:val="center"/>
      </w:pPr>
      <w:r>
        <w:drawing>
          <wp:inline xmlns:a="http://schemas.openxmlformats.org/drawingml/2006/main" xmlns:pic="http://schemas.openxmlformats.org/drawingml/2006/picture">
            <wp:extent cx="6126480" cy="3131312"/>
            <wp:docPr id="2" name="Picture 2" descr="Advanced model development and runtime workflow"/>
            <wp:cNvGraphicFramePr>
              <a:graphicFrameLocks noChangeAspect="1"/>
            </wp:cNvGraphicFramePr>
            <a:graphic>
              <a:graphicData uri="http://schemas.openxmlformats.org/drawingml/2006/picture">
                <pic:pic>
                  <pic:nvPicPr>
                    <pic:cNvPr id="0" name="milestone2_workflow.png"/>
                    <pic:cNvPicPr/>
                  </pic:nvPicPr>
                  <pic:blipFill>
                    <a:blip r:embed="rId12"/>
                    <a:stretch>
                      <a:fillRect/>
                    </a:stretch>
                  </pic:blipFill>
                  <pic:spPr>
                    <a:xfrm>
                      <a:off x="0" y="0"/>
                      <a:ext cx="6126480" cy="3131312"/>
                    </a:xfrm>
                    <a:prstGeom prst="rect"/>
                  </pic:spPr>
                </pic:pic>
              </a:graphicData>
            </a:graphic>
          </wp:inline>
        </w:drawing>
      </w:r>
    </w:p>
    <w:p>
      <w:pPr>
        <w:pStyle w:val="Caption"/>
        <w:spacing w:before="60" w:after="140"/>
        <w:jc w:val="center"/>
      </w:pPr>
      <w:r>
        <w:rPr>
          <w:rFonts w:ascii="Calibri" w:hAnsi="Calibri"/>
          <w:b/>
          <w:color w:val="0F2942"/>
          <w:sz w:val="18"/>
        </w:rPr>
        <w:t>Figure 1. Advanced model development and runtime workflow</w:t>
      </w:r>
      <w:r>
        <w:rPr>
          <w:rFonts w:ascii="Calibri" w:hAnsi="Calibri"/>
          <w:i/>
          <w:color w:val="5F6B7A"/>
          <w:sz w:val="16"/>
        </w:rPr>
        <w:br/>
        <w:t>Source: Generated from `ml/` and `scripts/` control flow.</w:t>
      </w:r>
    </w:p>
    <w:p>
      <w:pPr>
        <w:pStyle w:val="Heading2"/>
      </w:pPr>
      <w:r>
        <w:t>4.1 Core implementation modules</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0F2942"/>
            <w:vAlign w:val="center"/>
            <w:tcMar>
              <w:top w:w="80" w:type="dxa"/>
              <w:start w:w="120" w:type="dxa"/>
              <w:bottom w:w="80" w:type="dxa"/>
              <w:end w:w="120" w:type="dxa"/>
            </w:tcMar>
          </w:tcPr>
          <w:p>
            <w:pPr>
              <w:spacing w:after="0"/>
            </w:pPr>
            <w:r/>
            <w:r>
              <w:rPr>
                <w:rFonts w:ascii="Calibri" w:hAnsi="Calibri"/>
                <w:b/>
                <w:color w:val="FFFFFF"/>
                <w:sz w:val="18"/>
              </w:rPr>
              <w:t>Module</w:t>
            </w:r>
          </w:p>
        </w:tc>
        <w:tc>
          <w:tcPr>
            <w:tcW w:type="dxa" w:w="6360"/>
            <w:shd w:fill="0F2942"/>
            <w:vAlign w:val="center"/>
            <w:tcMar>
              <w:top w:w="80" w:type="dxa"/>
              <w:start w:w="120" w:type="dxa"/>
              <w:bottom w:w="80" w:type="dxa"/>
              <w:end w:w="120" w:type="dxa"/>
            </w:tcMar>
          </w:tcPr>
          <w:p>
            <w:pPr>
              <w:spacing w:after="0"/>
            </w:pPr>
            <w:r/>
            <w:r>
              <w:rPr>
                <w:rFonts w:ascii="Calibri" w:hAnsi="Calibri"/>
                <w:b/>
                <w:color w:val="FFFFFF"/>
                <w:sz w:val="18"/>
              </w:rPr>
              <w:t>Milestone 2 responsibility</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ml/anomalib_trainer.py</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Construct MVTec datamodule, preprocessing, PaDiM/PatchCore model, and Engine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ml/model_registry.py</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Resolve category, model family, artifacts, thresholds, and runtime readiness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ml/padim_detector.py</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Load Anomalib/OpenVINO engines, produce score/map/mask, and apply spatial calibrator</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ml/inference.py</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Choose advanced or portable path and construct the backend-ready inspection contract</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ml/heatmap.py</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Normalize/colorize maps, overlay masks, and calculate localization metrics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ml/object_preprocessing.py</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Foreground extraction, crop, alignment, padding, and contrast utilities</w:t>
            </w:r>
          </w:p>
        </w:tc>
      </w:tr>
    </w:tbl>
    <w:p>
      <w:pPr>
        <w:pStyle w:val="Heading2"/>
      </w:pPr>
      <w:r>
        <w:t>4.2 Runtime result contract</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0E7490"/>
            <w:vAlign w:val="center"/>
            <w:tcMar>
              <w:top w:w="80" w:type="dxa"/>
              <w:start w:w="120" w:type="dxa"/>
              <w:bottom w:w="80" w:type="dxa"/>
              <w:end w:w="120" w:type="dxa"/>
            </w:tcMar>
          </w:tcPr>
          <w:p>
            <w:pPr>
              <w:spacing w:after="0"/>
            </w:pPr>
            <w:r/>
            <w:r>
              <w:rPr>
                <w:rFonts w:ascii="Calibri" w:hAnsi="Calibri"/>
                <w:b/>
                <w:color w:val="FFFFFF"/>
                <w:sz w:val="18"/>
              </w:rPr>
              <w:t>Output field</w:t>
            </w:r>
          </w:p>
        </w:tc>
        <w:tc>
          <w:tcPr>
            <w:tcW w:type="dxa" w:w="6660"/>
            <w:shd w:fill="0E7490"/>
            <w:vAlign w:val="center"/>
            <w:tcMar>
              <w:top w:w="80" w:type="dxa"/>
              <w:start w:w="120" w:type="dxa"/>
              <w:bottom w:w="80" w:type="dxa"/>
              <w:end w:w="120" w:type="dxa"/>
            </w:tcMar>
          </w:tcPr>
          <w:p>
            <w:pPr>
              <w:spacing w:after="0"/>
            </w:pPr>
            <w:r/>
            <w:r>
              <w:rPr>
                <w:rFonts w:ascii="Calibri" w:hAnsi="Calibri"/>
                <w:b/>
                <w:color w:val="FFFFFF"/>
                <w:sz w:val="18"/>
              </w:rPr>
              <w:t>Meaning</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engine</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8"/>
              </w:rPr>
              <w:t>Actual engine, such as `patchcore_openvino`, `padim`, or portable baseline</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anomaly_score</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8"/>
              </w:rPr>
              <w:t>Global measure of deviation from normal appearance</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decision_threshold</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8"/>
              </w:rPr>
              <w:t>Category-specific threshold stored in the registry/metadata</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decision_basis</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8"/>
              </w:rPr>
              <w:t>Score threshold or spatial calibrator</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detection_confidence</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8"/>
              </w:rPr>
              <w:t>Confidence attached to Good/Defective detection</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anomaly_map</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8"/>
              </w:rPr>
              <w:t>Dense floating-point spatial anomaly evidence</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pred_mask</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8"/>
              </w:rPr>
              <w:t>Binary suspicious region used for geometry and heatmap creation</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fallback_used / reason</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8"/>
              </w:rPr>
              <w:t>Explicit record when advanced inference cannot run</w:t>
            </w:r>
          </w:p>
        </w:tc>
      </w:tr>
    </w:tbl>
    <w:p>
      <w:pPr>
        <w:pStyle w:val="Heading1"/>
      </w:pPr>
      <w:r>
        <w:t>5. Category Model Registry and Artifact Status</w:t>
      </w:r>
    </w:p>
    <w:p>
      <w:r>
        <w:rPr>
          <w:rFonts w:ascii="Calibri" w:hAnsi="Calibri"/>
          <w:color w:val="172033"/>
        </w:rPr>
        <w:t>The category registry prevents a cable image from silently using a bottle model. Every request must resolve a supported category, after which the registry supplies model kind, checkpoint path, optional OpenVINO path, optional spatial calibrator, portable profile, classifier artifact, and calibrated thresholds.</w:t>
      </w:r>
    </w:p>
    <w:p>
      <w:pPr>
        <w:keepNext/>
        <w:jc w:val="center"/>
      </w:pPr>
      <w:r>
        <w:drawing>
          <wp:inline xmlns:a="http://schemas.openxmlformats.org/drawingml/2006/main" xmlns:pic="http://schemas.openxmlformats.org/drawingml/2006/picture">
            <wp:extent cx="6126480" cy="2620772"/>
            <wp:docPr id="3" name="Picture 3" descr="Promoted advanced model by category"/>
            <wp:cNvGraphicFramePr>
              <a:graphicFrameLocks noChangeAspect="1"/>
            </wp:cNvGraphicFramePr>
            <a:graphic>
              <a:graphicData uri="http://schemas.openxmlformats.org/drawingml/2006/picture">
                <pic:pic>
                  <pic:nvPicPr>
                    <pic:cNvPr id="0" name="category_model_selection.png"/>
                    <pic:cNvPicPr/>
                  </pic:nvPicPr>
                  <pic:blipFill>
                    <a:blip r:embed="rId13"/>
                    <a:stretch>
                      <a:fillRect/>
                    </a:stretch>
                  </pic:blipFill>
                  <pic:spPr>
                    <a:xfrm>
                      <a:off x="0" y="0"/>
                      <a:ext cx="6126480" cy="2620772"/>
                    </a:xfrm>
                    <a:prstGeom prst="rect"/>
                  </pic:spPr>
                </pic:pic>
              </a:graphicData>
            </a:graphic>
          </wp:inline>
        </w:drawing>
      </w:r>
    </w:p>
    <w:p>
      <w:pPr>
        <w:pStyle w:val="Caption"/>
        <w:spacing w:before="60" w:after="140"/>
        <w:jc w:val="center"/>
      </w:pPr>
      <w:r>
        <w:rPr>
          <w:rFonts w:ascii="Calibri" w:hAnsi="Calibri"/>
          <w:b/>
          <w:color w:val="0F2942"/>
          <w:sz w:val="18"/>
        </w:rPr>
        <w:t>Figure 3. Promoted advanced model by category</w:t>
      </w:r>
      <w:r>
        <w:rPr>
          <w:rFonts w:ascii="Calibri" w:hAnsi="Calibri"/>
          <w:i/>
          <w:color w:val="5F6B7A"/>
          <w:sz w:val="16"/>
        </w:rPr>
        <w:br/>
        <w:t>Source: Current `models/category_model_registry.json` selections.</w:t>
      </w:r>
    </w:p>
    <w:p>
      <w:pPr>
        <w:pStyle w:val="Heading2"/>
      </w:pPr>
      <w:r>
        <w:t>5.1 Registry summary</w:t>
      </w:r>
    </w:p>
    <w:tbl>
      <w:tblPr>
        <w:tblStyle w:val="TableGrid"/>
        <w:tblW w:type="dxa" w:w="9360"/>
        <w:jc w:val="left"/>
        <w:tblLayout w:type="fixed"/>
        <w:tblLook w:firstColumn="1" w:firstRow="1" w:lastColumn="0" w:lastRow="0" w:noHBand="0" w:noVBand="1" w:val="04A0"/>
        <w:tblInd w:type="dxa" w:w="120"/>
      </w:tblPr>
      <w:tblGrid>
        <w:gridCol w:w="1650"/>
        <w:gridCol w:w="1350"/>
        <w:gridCol w:w="1550"/>
        <w:gridCol w:w="1350"/>
        <w:gridCol w:w="1350"/>
        <w:gridCol w:w="2110"/>
      </w:tblGrid>
      <w:tr>
        <w:trPr>
          <w:tblHeader w:val="true"/>
        </w:trPr>
        <w:tc>
          <w:tcPr>
            <w:tcW w:type="dxa" w:w="1650"/>
            <w:shd w:fill="0F2942"/>
            <w:vAlign w:val="center"/>
            <w:tcMar>
              <w:top w:w="80" w:type="dxa"/>
              <w:start w:w="120" w:type="dxa"/>
              <w:bottom w:w="80" w:type="dxa"/>
              <w:end w:w="120" w:type="dxa"/>
            </w:tcMar>
          </w:tcPr>
          <w:p>
            <w:pPr>
              <w:spacing w:after="0"/>
            </w:pPr>
            <w:r/>
            <w:r>
              <w:rPr>
                <w:rFonts w:ascii="Calibri" w:hAnsi="Calibri"/>
                <w:b/>
                <w:color w:val="FFFFFF"/>
                <w:sz w:val="16"/>
              </w:rPr>
              <w:t>Category</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6"/>
              </w:rPr>
              <w:t>Selected</w:t>
            </w:r>
          </w:p>
        </w:tc>
        <w:tc>
          <w:tcPr>
            <w:tcW w:type="dxa" w:w="1550"/>
            <w:shd w:fill="0F2942"/>
            <w:vAlign w:val="center"/>
            <w:tcMar>
              <w:top w:w="80" w:type="dxa"/>
              <w:start w:w="120" w:type="dxa"/>
              <w:bottom w:w="80" w:type="dxa"/>
              <w:end w:w="120" w:type="dxa"/>
            </w:tcMar>
          </w:tcPr>
          <w:p>
            <w:pPr>
              <w:spacing w:after="0"/>
            </w:pPr>
            <w:r/>
            <w:r>
              <w:rPr>
                <w:rFonts w:ascii="Calibri" w:hAnsi="Calibri"/>
                <w:b/>
                <w:color w:val="FFFFFF"/>
                <w:sz w:val="16"/>
              </w:rPr>
              <w:t>Threshold</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6"/>
              </w:rPr>
              <w:t>Image F1</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6"/>
              </w:rPr>
              <w:t>Pixel F1</w:t>
            </w:r>
          </w:p>
        </w:tc>
        <w:tc>
          <w:tcPr>
            <w:tcW w:type="dxa" w:w="2110"/>
            <w:shd w:fill="0F2942"/>
            <w:vAlign w:val="center"/>
            <w:tcMar>
              <w:top w:w="80" w:type="dxa"/>
              <w:start w:w="120" w:type="dxa"/>
              <w:bottom w:w="80" w:type="dxa"/>
              <w:end w:w="120" w:type="dxa"/>
            </w:tcMar>
          </w:tcPr>
          <w:p>
            <w:pPr>
              <w:spacing w:after="0"/>
            </w:pPr>
            <w:r/>
            <w:r>
              <w:rPr>
                <w:rFonts w:ascii="Calibri" w:hAnsi="Calibri"/>
                <w:b/>
                <w:color w:val="FFFFFF"/>
                <w:sz w:val="16"/>
              </w:rPr>
              <w:t>Advanced artifact state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bottle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0.500053</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0.9764</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0.7141</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0.513668</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0.9274</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0.6147</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 OpenVINO</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capsule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0.500863</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0.9554</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0.4267</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carpet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0.616156</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0.9724</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0.5656</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0.487125</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0.9298</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0.4019</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0.481546</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0.9640</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0.6424</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leather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0.499993</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0.9945</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0.3675</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metal_nut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0.500032</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0.9735</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0.7619</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pill</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0.523497</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0.9459</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0.5451</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0.416284</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0.9407</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0.3717</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tile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0.474012</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0.9212</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0.5253</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toothbrush</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0.544603</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0.9355</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0.6088</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transistor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0.500030</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0.8434</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0.6679</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wood</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0.532627</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0.9516</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0.4304</w:t>
            </w:r>
          </w:p>
        </w:tc>
        <w:tc>
          <w:tcPr>
            <w:tcW w:type="dxa" w:w="2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Checkpoint reference</w:t>
            </w:r>
          </w:p>
        </w:tc>
      </w:tr>
      <w:tr>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zipper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0.500006</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0.9316</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0.4597</w:t>
            </w:r>
          </w:p>
        </w:tc>
        <w:tc>
          <w:tcPr>
            <w:tcW w:type="dxa" w:w="2110"/>
            <w:vAlign w:val="center"/>
            <w:tcMar>
              <w:top w:w="80" w:type="dxa"/>
              <w:start w:w="120" w:type="dxa"/>
              <w:bottom w:w="80" w:type="dxa"/>
              <w:end w:w="120" w:type="dxa"/>
            </w:tcMar>
          </w:tcPr>
          <w:p>
            <w:pPr>
              <w:spacing w:after="0" w:line="240" w:lineRule="auto"/>
            </w:pPr>
            <w:r/>
            <w:r>
              <w:rPr>
                <w:rFonts w:ascii="Calibri" w:hAnsi="Calibri"/>
                <w:color w:val="172033"/>
                <w:sz w:val="16"/>
              </w:rPr>
              <w:t>Checkpoint reference</w:t>
            </w:r>
          </w:p>
        </w:tc>
      </w:tr>
    </w:tbl>
    <w:p>
      <w:pPr>
        <w:pStyle w:val="TableNote"/>
      </w:pPr>
      <w:r>
        <w:t>Table 1. Promoted model and threshold by category. `Checkpoint reference` means the registry and evaluation metadata are committed while the heavyweight `.ckpt` file is outside this submission branch.</w:t>
      </w:r>
    </w:p>
    <w:p>
      <w:pPr>
        <w:pStyle w:val="Heading2"/>
      </w:pPr>
      <w:r>
        <w:t>5.2 Artifact availability</w:t>
      </w:r>
    </w:p>
    <w:tbl>
      <w:tblPr>
        <w:tblStyle w:val="TableGrid"/>
        <w:tblW w:type="dxa" w:w="9360"/>
        <w:jc w:val="left"/>
        <w:tblLayout w:type="fixed"/>
        <w:tblLook w:firstColumn="1" w:firstRow="1" w:lastColumn="0" w:lastRow="0" w:noHBand="0" w:noVBand="1" w:val="04A0"/>
        <w:tblInd w:type="dxa" w:w="120"/>
      </w:tblPr>
      <w:tblGrid>
        <w:gridCol w:w="2300"/>
        <w:gridCol w:w="900"/>
        <w:gridCol w:w="1500"/>
        <w:gridCol w:w="4660"/>
      </w:tblGrid>
      <w:tr>
        <w:trPr>
          <w:tblHeader w:val="true"/>
        </w:trPr>
        <w:tc>
          <w:tcPr>
            <w:tcW w:type="dxa" w:w="2300"/>
            <w:shd w:fill="0E7490"/>
            <w:vAlign w:val="center"/>
            <w:tcMar>
              <w:top w:w="80" w:type="dxa"/>
              <w:start w:w="120" w:type="dxa"/>
              <w:bottom w:w="80" w:type="dxa"/>
              <w:end w:w="120" w:type="dxa"/>
            </w:tcMar>
          </w:tcPr>
          <w:p>
            <w:pPr>
              <w:spacing w:after="0"/>
            </w:pPr>
            <w:r/>
            <w:r>
              <w:rPr>
                <w:rFonts w:ascii="Calibri" w:hAnsi="Calibri"/>
                <w:b/>
                <w:color w:val="FFFFFF"/>
                <w:sz w:val="17"/>
              </w:rPr>
              <w:t>Artifact group</w:t>
            </w:r>
          </w:p>
        </w:tc>
        <w:tc>
          <w:tcPr>
            <w:tcW w:type="dxa" w:w="900"/>
            <w:shd w:fill="0E7490"/>
            <w:vAlign w:val="center"/>
            <w:tcMar>
              <w:top w:w="80" w:type="dxa"/>
              <w:start w:w="120" w:type="dxa"/>
              <w:bottom w:w="80" w:type="dxa"/>
              <w:end w:w="120" w:type="dxa"/>
            </w:tcMar>
          </w:tcPr>
          <w:p>
            <w:pPr>
              <w:spacing w:after="0"/>
            </w:pPr>
            <w:r/>
            <w:r>
              <w:rPr>
                <w:rFonts w:ascii="Calibri" w:hAnsi="Calibri"/>
                <w:b/>
                <w:color w:val="FFFFFF"/>
                <w:sz w:val="17"/>
              </w:rPr>
              <w:t>Count</w:t>
            </w:r>
          </w:p>
        </w:tc>
        <w:tc>
          <w:tcPr>
            <w:tcW w:type="dxa" w:w="1500"/>
            <w:shd w:fill="0E7490"/>
            <w:vAlign w:val="center"/>
            <w:tcMar>
              <w:top w:w="80" w:type="dxa"/>
              <w:start w:w="120" w:type="dxa"/>
              <w:bottom w:w="80" w:type="dxa"/>
              <w:end w:w="120" w:type="dxa"/>
            </w:tcMar>
          </w:tcPr>
          <w:p>
            <w:pPr>
              <w:spacing w:after="0"/>
            </w:pPr>
            <w:r/>
            <w:r>
              <w:rPr>
                <w:rFonts w:ascii="Calibri" w:hAnsi="Calibri"/>
                <w:b/>
                <w:color w:val="FFFFFF"/>
                <w:sz w:val="17"/>
              </w:rPr>
              <w:t>State</w:t>
            </w:r>
          </w:p>
        </w:tc>
        <w:tc>
          <w:tcPr>
            <w:tcW w:type="dxa" w:w="4660"/>
            <w:shd w:fill="0E7490"/>
            <w:vAlign w:val="center"/>
            <w:tcMar>
              <w:top w:w="80" w:type="dxa"/>
              <w:start w:w="120" w:type="dxa"/>
              <w:bottom w:w="80" w:type="dxa"/>
              <w:end w:w="120" w:type="dxa"/>
            </w:tcMar>
          </w:tcPr>
          <w:p>
            <w:pPr>
              <w:spacing w:after="0"/>
            </w:pPr>
            <w:r/>
            <w:r>
              <w:rPr>
                <w:rFonts w:ascii="Calibri" w:hAnsi="Calibri"/>
                <w:b/>
                <w:color w:val="FFFFFF"/>
                <w:sz w:val="17"/>
              </w:rPr>
              <w:t>Interpretation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Advanced checkpoint references</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15</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7"/>
              </w:rPr>
              <w:t>Configured in registry</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0 `.ckpt` files committed in this branch</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 OpenVINO IR</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7"/>
              </w:rPr>
              <w:t>Executable</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`model.xml` plus 27.45 MB `model.bin`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Cable spatial calibrator</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7"/>
              </w:rPr>
              <w:t>Executable</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Portable ExtraTrees `.npz` artifact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metric records</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7"/>
              </w:rPr>
              <w:t>15</w:t>
            </w:r>
          </w:p>
        </w:tc>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7"/>
              </w:rPr>
              <w:t>Available</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Stored in category `model_metadata.json`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Portable normal profiles</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7"/>
              </w:rPr>
              <w:t>15</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7"/>
              </w:rPr>
              <w:t>Executable</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Fallback runtime for every category</w:t>
            </w:r>
          </w:p>
        </w:tc>
      </w:tr>
    </w:tbl>
    <w:p>
      <w:pPr>
        <w:pStyle w:val="Heading1"/>
      </w:pPr>
      <w:r>
        <w:t>6. Training, Benchmarking, and Model Promotion</w:t>
      </w:r>
    </w:p>
    <w:p>
      <w:pPr>
        <w:pStyle w:val="Heading2"/>
      </w:pPr>
      <w:r>
        <w:t>6.1 Reproducible script sequence</w:t>
      </w:r>
    </w:p>
    <w:tbl>
      <w:tblPr>
        <w:tblStyle w:val="TableGrid"/>
        <w:tblW w:type="dxa" w:w="9360"/>
        <w:jc w:val="left"/>
        <w:tblLayout w:type="fixed"/>
        <w:tblLook w:firstColumn="1" w:firstRow="1" w:lastColumn="0" w:lastRow="0" w:noHBand="0" w:noVBand="1" w:val="04A0"/>
        <w:tblInd w:type="dxa" w:w="120"/>
      </w:tblPr>
      <w:tblGrid>
        <w:gridCol w:w="3300"/>
        <w:gridCol w:w="6060"/>
      </w:tblGrid>
      <w:tr>
        <w:trPr>
          <w:tblHeader w:val="true"/>
        </w:trPr>
        <w:tc>
          <w:tcPr>
            <w:tcW w:type="dxa" w:w="3300"/>
            <w:shd w:fill="0F2942"/>
            <w:vAlign w:val="center"/>
            <w:tcMar>
              <w:top w:w="80" w:type="dxa"/>
              <w:start w:w="120" w:type="dxa"/>
              <w:bottom w:w="80" w:type="dxa"/>
              <w:end w:w="120" w:type="dxa"/>
            </w:tcMar>
          </w:tcPr>
          <w:p>
            <w:pPr>
              <w:spacing w:after="0"/>
            </w:pPr>
            <w:r/>
            <w:r>
              <w:rPr>
                <w:rFonts w:ascii="Calibri" w:hAnsi="Calibri"/>
                <w:b/>
                <w:color w:val="FFFFFF"/>
                <w:sz w:val="18"/>
              </w:rPr>
              <w:t>Script</w:t>
            </w:r>
          </w:p>
        </w:tc>
        <w:tc>
          <w:tcPr>
            <w:tcW w:type="dxa" w:w="6060"/>
            <w:shd w:fill="0F2942"/>
            <w:vAlign w:val="center"/>
            <w:tcMar>
              <w:top w:w="80" w:type="dxa"/>
              <w:start w:w="120" w:type="dxa"/>
              <w:bottom w:w="80" w:type="dxa"/>
              <w:end w:w="120" w:type="dxa"/>
            </w:tcMar>
          </w:tcPr>
          <w:p>
            <w:pPr>
              <w:spacing w:after="0"/>
            </w:pPr>
            <w:r/>
            <w:r>
              <w:rPr>
                <w:rFonts w:ascii="Calibri" w:hAnsi="Calibri"/>
                <w:b/>
                <w:color w:val="FFFFFF"/>
                <w:sz w:val="18"/>
              </w:rPr>
              <w:t>Responsibility</w:t>
            </w:r>
          </w:p>
        </w:tc>
      </w:tr>
      <w:tr>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8"/>
              </w:rPr>
              <w:t>train_category_models.py</w:t>
            </w:r>
          </w:p>
        </w:tc>
        <w:tc>
          <w:tcPr>
            <w:tcW w:type="dxa" w:w="6060"/>
            <w:vAlign w:val="center"/>
            <w:tcMar>
              <w:top w:w="80" w:type="dxa"/>
              <w:start w:w="120" w:type="dxa"/>
              <w:bottom w:w="80" w:type="dxa"/>
              <w:end w:w="120" w:type="dxa"/>
            </w:tcMar>
          </w:tcPr>
          <w:p>
            <w:pPr>
              <w:spacing w:after="0" w:line="240" w:lineRule="auto"/>
            </w:pPr>
            <w:r/>
            <w:r>
              <w:rPr>
                <w:rFonts w:ascii="Calibri" w:hAnsi="Calibri"/>
                <w:color w:val="172033"/>
                <w:sz w:val="18"/>
              </w:rPr>
              <w:t>Train PaDiM and create portable normal profiles</w:t>
            </w:r>
          </w:p>
        </w:tc>
      </w:tr>
      <w:tr>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8"/>
              </w:rPr>
              <w:t>benchmark_category_models.py</w:t>
            </w:r>
          </w:p>
        </w:tc>
        <w:tc>
          <w:tcPr>
            <w:tcW w:type="dxa" w:w="6060"/>
            <w:vAlign w:val="center"/>
            <w:shd w:fill="F3F5F8"/>
            <w:tcMar>
              <w:top w:w="80" w:type="dxa"/>
              <w:start w:w="120" w:type="dxa"/>
              <w:bottom w:w="80" w:type="dxa"/>
              <w:end w:w="120" w:type="dxa"/>
            </w:tcMar>
          </w:tcPr>
          <w:p>
            <w:pPr>
              <w:spacing w:after="0" w:line="240" w:lineRule="auto"/>
            </w:pPr>
            <w:r/>
            <w:r>
              <w:rPr>
                <w:rFonts w:ascii="Calibri" w:hAnsi="Calibri"/>
                <w:color w:val="172033"/>
                <w:sz w:val="18"/>
              </w:rPr>
              <w:t>Compare current, centered-PaDiM, and PatchCore candidates</w:t>
            </w:r>
          </w:p>
        </w:tc>
      </w:tr>
      <w:tr>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8"/>
              </w:rPr>
              <w:t>promote_category_benchmarks.py</w:t>
            </w:r>
          </w:p>
        </w:tc>
        <w:tc>
          <w:tcPr>
            <w:tcW w:type="dxa" w:w="6060"/>
            <w:vAlign w:val="center"/>
            <w:tcMar>
              <w:top w:w="80" w:type="dxa"/>
              <w:start w:w="120" w:type="dxa"/>
              <w:bottom w:w="80" w:type="dxa"/>
              <w:end w:w="120" w:type="dxa"/>
            </w:tcMar>
          </w:tcPr>
          <w:p>
            <w:pPr>
              <w:spacing w:after="0" w:line="240" w:lineRule="auto"/>
            </w:pPr>
            <w:r/>
            <w:r>
              <w:rPr>
                <w:rFonts w:ascii="Calibri" w:hAnsi="Calibri"/>
                <w:color w:val="172033"/>
                <w:sz w:val="18"/>
              </w:rPr>
              <w:t>Copy the strongest candidate and update registry metadata</w:t>
            </w:r>
          </w:p>
        </w:tc>
      </w:tr>
      <w:tr>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8"/>
              </w:rPr>
              <w:t>calibrate_category_thresholds.py</w:t>
            </w:r>
          </w:p>
        </w:tc>
        <w:tc>
          <w:tcPr>
            <w:tcW w:type="dxa" w:w="6060"/>
            <w:vAlign w:val="center"/>
            <w:shd w:fill="F3F5F8"/>
            <w:tcMar>
              <w:top w:w="80" w:type="dxa"/>
              <w:start w:w="120" w:type="dxa"/>
              <w:bottom w:w="80" w:type="dxa"/>
              <w:end w:w="120" w:type="dxa"/>
            </w:tcMar>
          </w:tcPr>
          <w:p>
            <w:pPr>
              <w:spacing w:after="0" w:line="240" w:lineRule="auto"/>
            </w:pPr>
            <w:r/>
            <w:r>
              <w:rPr>
                <w:rFonts w:ascii="Calibri" w:hAnsi="Calibri"/>
                <w:color w:val="172033"/>
                <w:sz w:val="18"/>
              </w:rPr>
              <w:t>Select score thresholds and evaluate holdout behavior</w:t>
            </w:r>
          </w:p>
        </w:tc>
      </w:tr>
      <w:tr>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8"/>
              </w:rPr>
              <w:t>export_openvino.py</w:t>
            </w:r>
          </w:p>
        </w:tc>
        <w:tc>
          <w:tcPr>
            <w:tcW w:type="dxa" w:w="6060"/>
            <w:vAlign w:val="center"/>
            <w:tcMar>
              <w:top w:w="80" w:type="dxa"/>
              <w:start w:w="120" w:type="dxa"/>
              <w:bottom w:w="80" w:type="dxa"/>
              <w:end w:w="120" w:type="dxa"/>
            </w:tcMar>
          </w:tcPr>
          <w:p>
            <w:pPr>
              <w:spacing w:after="0" w:line="240" w:lineRule="auto"/>
            </w:pPr>
            <w:r/>
            <w:r>
              <w:rPr>
                <w:rFonts w:ascii="Calibri" w:hAnsi="Calibri"/>
                <w:color w:val="172033"/>
                <w:sz w:val="18"/>
              </w:rPr>
              <w:t>Convert available advanced checkpoints to OpenVINO IR</w:t>
            </w:r>
          </w:p>
        </w:tc>
      </w:tr>
    </w:tbl>
    <w:p>
      <w:pPr>
        <w:spacing w:before="100" w:after="160" w:line="252" w:lineRule="auto"/>
        <w:ind w:left="259" w:right="259"/>
        <w:shd w:fill="EEF1F5"/>
      </w:pPr>
      <w:r>
        <w:rPr>
          <w:rFonts w:ascii="Consolas" w:hAnsi="Consolas"/>
          <w:color w:val="0F2942"/>
          <w:sz w:val="17"/>
        </w:rPr>
        <w:t>python scripts/train_category_models.py --categories cable,hazelnut,screw</w:t>
        <w:br/>
        <w:t>python scripts/benchmark_category_models.py --categories cable,hazelnut,screw</w:t>
        <w:br/>
        <w:t>python scripts/promote_category_benchmarks.py --categories cable,hazelnut,screw</w:t>
        <w:br/>
        <w:t>python scripts/calibrate_category_thresholds.py --categories cable,hazelnut,screw --mode advanced</w:t>
        <w:br/>
        <w:t>python scripts/export_openvino.py</w:t>
      </w:r>
    </w:p>
    <w:p>
      <w:pPr>
        <w:pStyle w:val="Heading2"/>
      </w:pPr>
      <w:r>
        <w:t>6.2 Candidate benchmark evidence</w:t>
      </w:r>
    </w:p>
    <w:p>
      <w:r>
        <w:rPr>
          <w:rFonts w:ascii="Calibri" w:hAnsi="Calibri"/>
          <w:color w:val="172033"/>
        </w:rPr>
        <w:t>Candidate comparisons are stored for cable, grid, hazelnut, and screw. The promotion decision considers image detection and pixel localization together; a model is not selected from a single headline number without its spatial behavior.</w:t>
      </w:r>
    </w:p>
    <w:p>
      <w:pPr>
        <w:keepNext/>
        <w:jc w:val="center"/>
      </w:pPr>
      <w:r>
        <w:drawing>
          <wp:inline xmlns:a="http://schemas.openxmlformats.org/drawingml/2006/main" xmlns:pic="http://schemas.openxmlformats.org/drawingml/2006/picture">
            <wp:extent cx="6126480" cy="3812032"/>
            <wp:docPr id="4" name="Picture 4" descr="Candidate comparison on benchmarked categories"/>
            <wp:cNvGraphicFramePr>
              <a:graphicFrameLocks noChangeAspect="1"/>
            </wp:cNvGraphicFramePr>
            <a:graphic>
              <a:graphicData uri="http://schemas.openxmlformats.org/drawingml/2006/picture">
                <pic:pic>
                  <pic:nvPicPr>
                    <pic:cNvPr id="0" name="candidate_benchmark_comparison.png"/>
                    <pic:cNvPicPr/>
                  </pic:nvPicPr>
                  <pic:blipFill>
                    <a:blip r:embed="rId14"/>
                    <a:stretch>
                      <a:fillRect/>
                    </a:stretch>
                  </pic:blipFill>
                  <pic:spPr>
                    <a:xfrm>
                      <a:off x="0" y="0"/>
                      <a:ext cx="6126480" cy="3812032"/>
                    </a:xfrm>
                    <a:prstGeom prst="rect"/>
                  </pic:spPr>
                </pic:pic>
              </a:graphicData>
            </a:graphic>
          </wp:inline>
        </w:drawing>
      </w:r>
    </w:p>
    <w:p>
      <w:pPr>
        <w:pStyle w:val="Caption"/>
        <w:spacing w:before="60" w:after="140"/>
        <w:jc w:val="center"/>
      </w:pPr>
      <w:r>
        <w:rPr>
          <w:rFonts w:ascii="Calibri" w:hAnsi="Calibri"/>
          <w:b/>
          <w:color w:val="0F2942"/>
          <w:sz w:val="18"/>
        </w:rPr>
        <w:t>Figure 5. Candidate comparison on benchmarked categories</w:t>
      </w:r>
      <w:r>
        <w:rPr>
          <w:rFonts w:ascii="Calibri" w:hAnsi="Calibri"/>
          <w:i/>
          <w:color w:val="5F6B7A"/>
          <w:sz w:val="16"/>
        </w:rPr>
        <w:br/>
        <w:t>Source: Current category `benchmark_comparison` metadata.</w:t>
      </w:r>
    </w:p>
    <w:tbl>
      <w:tblPr>
        <w:tblStyle w:val="TableGrid"/>
        <w:tblW w:type="dxa" w:w="9360"/>
        <w:jc w:val="left"/>
        <w:tblLayout w:type="fixed"/>
        <w:tblLook w:firstColumn="1" w:firstRow="1" w:lastColumn="0" w:lastRow="0" w:noHBand="0" w:noVBand="1" w:val="04A0"/>
        <w:tblInd w:type="dxa" w:w="120"/>
      </w:tblPr>
      <w:tblGrid>
        <w:gridCol w:w="1500"/>
        <w:gridCol w:w="2100"/>
        <w:gridCol w:w="1440"/>
        <w:gridCol w:w="1440"/>
        <w:gridCol w:w="1440"/>
        <w:gridCol w:w="1440"/>
      </w:tblGrid>
      <w:tr>
        <w:trPr>
          <w:tblHeader w:val="true"/>
        </w:trPr>
        <w:tc>
          <w:tcPr>
            <w:tcW w:type="dxa" w:w="1500"/>
            <w:shd w:fill="0E7490"/>
            <w:vAlign w:val="center"/>
            <w:tcMar>
              <w:top w:w="80" w:type="dxa"/>
              <w:start w:w="120" w:type="dxa"/>
              <w:bottom w:w="80" w:type="dxa"/>
              <w:end w:w="120" w:type="dxa"/>
            </w:tcMar>
          </w:tcPr>
          <w:p>
            <w:pPr>
              <w:spacing w:after="0"/>
            </w:pPr>
            <w:r/>
            <w:r>
              <w:rPr>
                <w:rFonts w:ascii="Calibri" w:hAnsi="Calibri"/>
                <w:b/>
                <w:color w:val="FFFFFF"/>
                <w:sz w:val="16"/>
              </w:rPr>
              <w:t>Category</w:t>
            </w:r>
          </w:p>
        </w:tc>
        <w:tc>
          <w:tcPr>
            <w:tcW w:type="dxa" w:w="2100"/>
            <w:shd w:fill="0E7490"/>
            <w:vAlign w:val="center"/>
            <w:tcMar>
              <w:top w:w="80" w:type="dxa"/>
              <w:start w:w="120" w:type="dxa"/>
              <w:bottom w:w="80" w:type="dxa"/>
              <w:end w:w="120" w:type="dxa"/>
            </w:tcMar>
          </w:tcPr>
          <w:p>
            <w:pPr>
              <w:spacing w:after="0"/>
            </w:pPr>
            <w:r/>
            <w:r>
              <w:rPr>
                <w:rFonts w:ascii="Calibri" w:hAnsi="Calibri"/>
                <w:b/>
                <w:color w:val="FFFFFF"/>
                <w:sz w:val="16"/>
              </w:rPr>
              <w:t>Candidate</w:t>
            </w:r>
          </w:p>
        </w:tc>
        <w:tc>
          <w:tcPr>
            <w:tcW w:type="dxa" w:w="1440"/>
            <w:shd w:fill="0E7490"/>
            <w:vAlign w:val="center"/>
            <w:tcMar>
              <w:top w:w="80" w:type="dxa"/>
              <w:start w:w="120" w:type="dxa"/>
              <w:bottom w:w="80" w:type="dxa"/>
              <w:end w:w="120" w:type="dxa"/>
            </w:tcMar>
          </w:tcPr>
          <w:p>
            <w:pPr>
              <w:spacing w:after="0"/>
            </w:pPr>
            <w:r/>
            <w:r>
              <w:rPr>
                <w:rFonts w:ascii="Calibri" w:hAnsi="Calibri"/>
                <w:b/>
                <w:color w:val="FFFFFF"/>
                <w:sz w:val="16"/>
              </w:rPr>
              <w:t>Image AUROC</w:t>
            </w:r>
          </w:p>
        </w:tc>
        <w:tc>
          <w:tcPr>
            <w:tcW w:type="dxa" w:w="1440"/>
            <w:shd w:fill="0E7490"/>
            <w:vAlign w:val="center"/>
            <w:tcMar>
              <w:top w:w="80" w:type="dxa"/>
              <w:start w:w="120" w:type="dxa"/>
              <w:bottom w:w="80" w:type="dxa"/>
              <w:end w:w="120" w:type="dxa"/>
            </w:tcMar>
          </w:tcPr>
          <w:p>
            <w:pPr>
              <w:spacing w:after="0"/>
            </w:pPr>
            <w:r/>
            <w:r>
              <w:rPr>
                <w:rFonts w:ascii="Calibri" w:hAnsi="Calibri"/>
                <w:b/>
                <w:color w:val="FFFFFF"/>
                <w:sz w:val="16"/>
              </w:rPr>
              <w:t>Image F1</w:t>
            </w:r>
          </w:p>
        </w:tc>
        <w:tc>
          <w:tcPr>
            <w:tcW w:type="dxa" w:w="1440"/>
            <w:shd w:fill="0E7490"/>
            <w:vAlign w:val="center"/>
            <w:tcMar>
              <w:top w:w="80" w:type="dxa"/>
              <w:start w:w="120" w:type="dxa"/>
              <w:bottom w:w="80" w:type="dxa"/>
              <w:end w:w="120" w:type="dxa"/>
            </w:tcMar>
          </w:tcPr>
          <w:p>
            <w:pPr>
              <w:spacing w:after="0"/>
            </w:pPr>
            <w:r/>
            <w:r>
              <w:rPr>
                <w:rFonts w:ascii="Calibri" w:hAnsi="Calibri"/>
                <w:b/>
                <w:color w:val="FFFFFF"/>
                <w:sz w:val="16"/>
              </w:rPr>
              <w:t>Pixel AUROC</w:t>
            </w:r>
          </w:p>
        </w:tc>
        <w:tc>
          <w:tcPr>
            <w:tcW w:type="dxa" w:w="1440"/>
            <w:shd w:fill="0E7490"/>
            <w:vAlign w:val="center"/>
            <w:tcMar>
              <w:top w:w="80" w:type="dxa"/>
              <w:start w:w="120" w:type="dxa"/>
              <w:bottom w:w="80" w:type="dxa"/>
              <w:end w:w="120" w:type="dxa"/>
            </w:tcMar>
          </w:tcPr>
          <w:p>
            <w:pPr>
              <w:spacing w:after="0"/>
            </w:pPr>
            <w:r/>
            <w:r>
              <w:rPr>
                <w:rFonts w:ascii="Calibri" w:hAnsi="Calibri"/>
                <w:b/>
                <w:color w:val="FFFFFF"/>
                <w:sz w:val="16"/>
              </w:rPr>
              <w:t>Pixel F1</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baseline</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0.8774</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0.8558</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0.9683</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0.4860</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padim_center_roi</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0.9048</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0.8617</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0.9649</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0.5282</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0.9670</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0.9167</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0.9816</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0.6156</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baseline</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0.8864</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0.9000</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0.9583</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0.3316</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padim_center_roi</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0.9607</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0.9381</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0.9676</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0.3710</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0.9148</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0.9057</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0.9608</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0.3545</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baseline</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0.8832</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0.8767</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0.9763</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0.5267</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padim_center_roi</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0.9321</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0.9178</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0.9773</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0.5787</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0.9961</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0.9718</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0.9880</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0.6403</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baseline</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0.8307</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0.8845</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0.9841</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0.2641</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padim_center_roi</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0.8764</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0.8923</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0.9813</w:t>
            </w:r>
          </w:p>
        </w:tc>
        <w:tc>
          <w:tcPr>
            <w:tcW w:type="dxa" w:w="1440"/>
            <w:vAlign w:val="center"/>
            <w:tcMar>
              <w:top w:w="80" w:type="dxa"/>
              <w:start w:w="120" w:type="dxa"/>
              <w:bottom w:w="80" w:type="dxa"/>
              <w:end w:w="120" w:type="dxa"/>
            </w:tcMar>
          </w:tcPr>
          <w:p>
            <w:pPr>
              <w:spacing w:after="0" w:line="240" w:lineRule="auto"/>
            </w:pPr>
            <w:r/>
            <w:r>
              <w:rPr>
                <w:rFonts w:ascii="Calibri" w:hAnsi="Calibri"/>
                <w:color w:val="172033"/>
                <w:sz w:val="16"/>
              </w:rPr>
              <w:t>0.3066</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0.9664</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0.9496</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0.9918</w:t>
            </w:r>
          </w:p>
        </w:tc>
        <w:tc>
          <w:tcPr>
            <w:tcW w:type="dxa" w:w="1440"/>
            <w:vAlign w:val="center"/>
            <w:shd w:fill="F3F5F8"/>
            <w:tcMar>
              <w:top w:w="80" w:type="dxa"/>
              <w:start w:w="120" w:type="dxa"/>
              <w:bottom w:w="80" w:type="dxa"/>
              <w:end w:w="120" w:type="dxa"/>
            </w:tcMar>
          </w:tcPr>
          <w:p>
            <w:pPr>
              <w:spacing w:after="0" w:line="240" w:lineRule="auto"/>
            </w:pPr>
            <w:r/>
            <w:r>
              <w:rPr>
                <w:rFonts w:ascii="Calibri" w:hAnsi="Calibri"/>
                <w:color w:val="172033"/>
                <w:sz w:val="16"/>
              </w:rPr>
              <w:t>0.3649</w:t>
            </w:r>
          </w:p>
        </w:tc>
      </w:tr>
    </w:tbl>
    <w:p>
      <w:pPr>
        <w:pStyle w:val="Heading2"/>
      </w:pPr>
      <w:r>
        <w:t>6.3 Promotion findings</w:t>
      </w:r>
    </w:p>
    <w:p>
      <w:pPr>
        <w:pStyle w:val="ListBullet"/>
        <w:spacing w:after="80" w:line="276" w:lineRule="auto"/>
        <w:ind w:left="720" w:hanging="360"/>
      </w:pPr>
      <w:r>
        <w:rPr>
          <w:rFonts w:ascii="Calibri" w:hAnsi="Calibri"/>
          <w:color w:val="172033"/>
        </w:rPr>
        <w:t>Cable PatchCore increased recorded image F1 from 0.8558 to 0.9167 and pixel F1 from 0.4860 to 0.6156.</w:t>
      </w:r>
    </w:p>
    <w:p>
      <w:pPr>
        <w:pStyle w:val="ListBullet"/>
        <w:spacing w:after="80" w:line="276" w:lineRule="auto"/>
        <w:ind w:left="720" w:hanging="360"/>
      </w:pPr>
      <w:r>
        <w:rPr>
          <w:rFonts w:ascii="Calibri" w:hAnsi="Calibri"/>
          <w:color w:val="172033"/>
        </w:rPr>
        <w:t>Hazelnut PatchCore increased recorded image F1 from 0.8767 to 0.9718 and pixel F1 from 0.5267 to 0.6403.</w:t>
      </w:r>
    </w:p>
    <w:p>
      <w:pPr>
        <w:pStyle w:val="ListBullet"/>
        <w:spacing w:after="80" w:line="276" w:lineRule="auto"/>
        <w:ind w:left="720" w:hanging="360"/>
      </w:pPr>
      <w:r>
        <w:rPr>
          <w:rFonts w:ascii="Calibri" w:hAnsi="Calibri"/>
          <w:color w:val="172033"/>
        </w:rPr>
        <w:t>Screw PatchCore increased recorded image F1 from 0.8845 to 0.9496 and pixel F1 from 0.2641 to 0.3649.</w:t>
      </w:r>
    </w:p>
    <w:p>
      <w:pPr>
        <w:pStyle w:val="ListBullet"/>
        <w:spacing w:after="80" w:line="276" w:lineRule="auto"/>
        <w:ind w:left="720" w:hanging="360"/>
      </w:pPr>
      <w:r>
        <w:rPr>
          <w:rFonts w:ascii="Calibri" w:hAnsi="Calibri"/>
          <w:color w:val="172033"/>
        </w:rPr>
        <w:t>Grid retained PaDiM because centered PaDiM produced the strongest recorded image F1 (0.9381), while PatchCore did not dominate its spatial result.</w:t>
      </w:r>
    </w:p>
    <w:p>
      <w:pPr>
        <w:pStyle w:val="Heading1"/>
      </w:pPr>
      <w:r>
        <w:t>7. Threshold Calibration and Evaluation Protocol</w:t>
      </w:r>
    </w:p>
    <w:p>
      <w:pPr>
        <w:pStyle w:val="Heading2"/>
      </w:pPr>
      <w:r>
        <w:t>7.1 Advanced score calibration</w:t>
      </w:r>
    </w:p>
    <w:p>
      <w:r>
        <w:rPr>
          <w:rFonts w:ascii="Calibri" w:hAnsi="Calibri"/>
          <w:color w:val="172033"/>
        </w:rPr>
        <w:t>For 14 category records, the advanced threshold is selected on a 30% stratified development partition from labelled MVTec test folders and evaluated on the remaining 70% stratified holdout. The calibration script supports F1 or balanced-accuracy objectives. Bottle retains its earlier recorded threshold and model metrics but does not contain the later split-based calibration section, so aggregate holdout values use 14 categories rather than 15.</w:t>
      </w:r>
    </w:p>
    <w:p>
      <w:pPr>
        <w:keepNext/>
        <w:jc w:val="center"/>
      </w:pPr>
      <w:r>
        <w:drawing>
          <wp:inline xmlns:a="http://schemas.openxmlformats.org/drawingml/2006/main" xmlns:pic="http://schemas.openxmlformats.org/drawingml/2006/picture">
            <wp:extent cx="6126480" cy="2790952"/>
            <wp:docPr id="5" name="Picture 5" descr="Threshold calibration and model promotion"/>
            <wp:cNvGraphicFramePr>
              <a:graphicFrameLocks noChangeAspect="1"/>
            </wp:cNvGraphicFramePr>
            <a:graphic>
              <a:graphicData uri="http://schemas.openxmlformats.org/drawingml/2006/picture">
                <pic:pic>
                  <pic:nvPicPr>
                    <pic:cNvPr id="0" name="calibration_pipeline.png"/>
                    <pic:cNvPicPr/>
                  </pic:nvPicPr>
                  <pic:blipFill>
                    <a:blip r:embed="rId15"/>
                    <a:stretch>
                      <a:fillRect/>
                    </a:stretch>
                  </pic:blipFill>
                  <pic:spPr>
                    <a:xfrm>
                      <a:off x="0" y="0"/>
                      <a:ext cx="6126480" cy="2790952"/>
                    </a:xfrm>
                    <a:prstGeom prst="rect"/>
                  </pic:spPr>
                </pic:pic>
              </a:graphicData>
            </a:graphic>
          </wp:inline>
        </w:drawing>
      </w:r>
    </w:p>
    <w:p>
      <w:pPr>
        <w:pStyle w:val="Caption"/>
        <w:spacing w:before="60" w:after="140"/>
        <w:jc w:val="center"/>
      </w:pPr>
      <w:r>
        <w:rPr>
          <w:rFonts w:ascii="Calibri" w:hAnsi="Calibri"/>
          <w:b/>
          <w:color w:val="0F2942"/>
          <w:sz w:val="18"/>
        </w:rPr>
        <w:t>Figure 6. Threshold calibration and model promotion</w:t>
      </w:r>
      <w:r>
        <w:rPr>
          <w:rFonts w:ascii="Calibri" w:hAnsi="Calibri"/>
          <w:i/>
          <w:color w:val="5F6B7A"/>
          <w:sz w:val="16"/>
        </w:rPr>
        <w:br/>
        <w:t>Source: Implemented by `calibrate_category_thresholds.py` and registry update logic.</w:t>
      </w:r>
    </w:p>
    <w:tbl>
      <w:tblPr>
        <w:tblStyle w:val="TableGrid"/>
        <w:tblW w:type="dxa" w:w="9360"/>
        <w:jc w:val="left"/>
        <w:tblLayout w:type="fixed"/>
        <w:tblLook w:firstColumn="1" w:firstRow="1" w:lastColumn="0" w:lastRow="0" w:noHBand="0" w:noVBand="1" w:val="04A0"/>
        <w:tblInd w:type="dxa" w:w="120"/>
      </w:tblPr>
      <w:tblGrid>
        <w:gridCol w:w="1500"/>
        <w:gridCol w:w="1200"/>
        <w:gridCol w:w="1350"/>
        <w:gridCol w:w="1120"/>
        <w:gridCol w:w="1120"/>
        <w:gridCol w:w="1020"/>
        <w:gridCol w:w="1020"/>
        <w:gridCol w:w="1030"/>
      </w:tblGrid>
      <w:tr>
        <w:trPr>
          <w:tblHeader w:val="true"/>
        </w:trPr>
        <w:tc>
          <w:tcPr>
            <w:tcW w:type="dxa" w:w="1500"/>
            <w:shd w:fill="0F2942"/>
            <w:vAlign w:val="center"/>
            <w:tcMar>
              <w:top w:w="80" w:type="dxa"/>
              <w:start w:w="120" w:type="dxa"/>
              <w:bottom w:w="80" w:type="dxa"/>
              <w:end w:w="120" w:type="dxa"/>
            </w:tcMar>
          </w:tcPr>
          <w:p>
            <w:pPr>
              <w:spacing w:after="0"/>
            </w:pPr>
            <w:r/>
            <w:r>
              <w:rPr>
                <w:rFonts w:ascii="Calibri" w:hAnsi="Calibri"/>
                <w:b/>
                <w:color w:val="FFFFFF"/>
                <w:sz w:val="15"/>
              </w:rPr>
              <w:t>Category</w:t>
            </w:r>
          </w:p>
        </w:tc>
        <w:tc>
          <w:tcPr>
            <w:tcW w:type="dxa" w:w="1200"/>
            <w:shd w:fill="0F2942"/>
            <w:vAlign w:val="center"/>
            <w:tcMar>
              <w:top w:w="80" w:type="dxa"/>
              <w:start w:w="120" w:type="dxa"/>
              <w:bottom w:w="80" w:type="dxa"/>
              <w:end w:w="120" w:type="dxa"/>
            </w:tcMar>
          </w:tcPr>
          <w:p>
            <w:pPr>
              <w:spacing w:after="0"/>
            </w:pPr>
            <w:r/>
            <w:r>
              <w:rPr>
                <w:rFonts w:ascii="Calibri" w:hAnsi="Calibri"/>
                <w:b/>
                <w:color w:val="FFFFFF"/>
                <w:sz w:val="15"/>
              </w:rPr>
              <w:t>Model</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5"/>
              </w:rPr>
              <w:t>Threshold</w:t>
            </w:r>
          </w:p>
        </w:tc>
        <w:tc>
          <w:tcPr>
            <w:tcW w:type="dxa" w:w="1120"/>
            <w:shd w:fill="0F2942"/>
            <w:vAlign w:val="center"/>
            <w:tcMar>
              <w:top w:w="80" w:type="dxa"/>
              <w:start w:w="120" w:type="dxa"/>
              <w:bottom w:w="80" w:type="dxa"/>
              <w:end w:w="120" w:type="dxa"/>
            </w:tcMar>
          </w:tcPr>
          <w:p>
            <w:pPr>
              <w:spacing w:after="0"/>
            </w:pPr>
            <w:r/>
            <w:r>
              <w:rPr>
                <w:rFonts w:ascii="Calibri" w:hAnsi="Calibri"/>
                <w:b/>
                <w:color w:val="FFFFFF"/>
                <w:sz w:val="15"/>
              </w:rPr>
              <w:t>Accuracy</w:t>
            </w:r>
          </w:p>
        </w:tc>
        <w:tc>
          <w:tcPr>
            <w:tcW w:type="dxa" w:w="1120"/>
            <w:shd w:fill="0F2942"/>
            <w:vAlign w:val="center"/>
            <w:tcMar>
              <w:top w:w="80" w:type="dxa"/>
              <w:start w:w="120" w:type="dxa"/>
              <w:bottom w:w="80" w:type="dxa"/>
              <w:end w:w="120" w:type="dxa"/>
            </w:tcMar>
          </w:tcPr>
          <w:p>
            <w:pPr>
              <w:spacing w:after="0"/>
            </w:pPr>
            <w:r/>
            <w:r>
              <w:rPr>
                <w:rFonts w:ascii="Calibri" w:hAnsi="Calibri"/>
                <w:b/>
                <w:color w:val="FFFFFF"/>
                <w:sz w:val="15"/>
              </w:rPr>
              <w:t>Precision</w:t>
            </w:r>
          </w:p>
        </w:tc>
        <w:tc>
          <w:tcPr>
            <w:tcW w:type="dxa" w:w="1020"/>
            <w:shd w:fill="0F2942"/>
            <w:vAlign w:val="center"/>
            <w:tcMar>
              <w:top w:w="80" w:type="dxa"/>
              <w:start w:w="120" w:type="dxa"/>
              <w:bottom w:w="80" w:type="dxa"/>
              <w:end w:w="120" w:type="dxa"/>
            </w:tcMar>
          </w:tcPr>
          <w:p>
            <w:pPr>
              <w:spacing w:after="0"/>
            </w:pPr>
            <w:r/>
            <w:r>
              <w:rPr>
                <w:rFonts w:ascii="Calibri" w:hAnsi="Calibri"/>
                <w:b/>
                <w:color w:val="FFFFFF"/>
                <w:sz w:val="15"/>
              </w:rPr>
              <w:t>Recall</w:t>
            </w:r>
          </w:p>
        </w:tc>
        <w:tc>
          <w:tcPr>
            <w:tcW w:type="dxa" w:w="1020"/>
            <w:shd w:fill="0F2942"/>
            <w:vAlign w:val="center"/>
            <w:tcMar>
              <w:top w:w="80" w:type="dxa"/>
              <w:start w:w="120" w:type="dxa"/>
              <w:bottom w:w="80" w:type="dxa"/>
              <w:end w:w="120" w:type="dxa"/>
            </w:tcMar>
          </w:tcPr>
          <w:p>
            <w:pPr>
              <w:spacing w:after="0"/>
            </w:pPr>
            <w:r/>
            <w:r>
              <w:rPr>
                <w:rFonts w:ascii="Calibri" w:hAnsi="Calibri"/>
                <w:b/>
                <w:color w:val="FFFFFF"/>
                <w:sz w:val="15"/>
              </w:rPr>
              <w:t>F1</w:t>
            </w:r>
          </w:p>
        </w:tc>
        <w:tc>
          <w:tcPr>
            <w:tcW w:type="dxa" w:w="1030"/>
            <w:shd w:fill="0F2942"/>
            <w:vAlign w:val="center"/>
            <w:tcMar>
              <w:top w:w="80" w:type="dxa"/>
              <w:start w:w="120" w:type="dxa"/>
              <w:bottom w:w="80" w:type="dxa"/>
              <w:end w:w="120" w:type="dxa"/>
            </w:tcMar>
          </w:tcPr>
          <w:p>
            <w:pPr>
              <w:spacing w:after="0"/>
            </w:pPr>
            <w:r/>
            <w:r>
              <w:rPr>
                <w:rFonts w:ascii="Calibri" w:hAnsi="Calibri"/>
                <w:b/>
                <w:color w:val="FFFFFF"/>
                <w:sz w:val="15"/>
              </w:rPr>
              <w:t>AUROC</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cable</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patchcore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0.513668</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0.8857</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0.9643</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0.8438</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0.9000</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0.9703</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capsule</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0.500863</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0.9032</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0.9146</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0.9740</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0.9434</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0.8636</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carpet</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0.616156</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0.8902</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0.8548</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0.9217</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0.9927</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grid</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0.487125</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0.8909</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0.8864</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0.9750</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0.9286</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0.9550</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hazelnut</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patchcore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0.481546</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0.9481</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0.9412</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0.9796</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0.9600</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0.9964</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leather</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0.499993</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metal_nut</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0.500032</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0.9506</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0.9429</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0.9706</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0.9758</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pill</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0.523497</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0.8718</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0.9118</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0.9394</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0.9254</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0.8535</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screw</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patchcore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0.416284</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0.9018</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0.9000</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0.9759</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0.9364</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0.9713</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tile</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0.474012</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0.8537</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0.8615</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0.9492</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0.9032</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0.9528</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toothbrush</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0.544603</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0.8667</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0.8696</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0.9524</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0.9091</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0.8413</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transistor</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0.500030</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0.8714</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0.7879</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0.9286</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0.8525</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0.9541</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wood</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0.532627</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0.9107</w:t>
            </w:r>
          </w:p>
        </w:tc>
        <w:tc>
          <w:tcPr>
            <w:tcW w:type="dxa" w:w="1120"/>
            <w:vAlign w:val="center"/>
            <w:tcMar>
              <w:top w:w="80" w:type="dxa"/>
              <w:start w:w="120" w:type="dxa"/>
              <w:bottom w:w="80" w:type="dxa"/>
              <w:end w:w="120" w:type="dxa"/>
            </w:tcMar>
          </w:tcPr>
          <w:p>
            <w:pPr>
              <w:spacing w:after="0" w:line="240" w:lineRule="auto"/>
            </w:pPr>
            <w:r/>
            <w:r>
              <w:rPr>
                <w:rFonts w:ascii="Calibri" w:hAnsi="Calibri"/>
                <w:color w:val="172033"/>
                <w:sz w:val="15"/>
              </w:rPr>
              <w:t>0.9318</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0.9535</w:t>
            </w:r>
          </w:p>
        </w:tc>
        <w:tc>
          <w:tcPr>
            <w:tcW w:type="dxa" w:w="1020"/>
            <w:vAlign w:val="center"/>
            <w:tcMar>
              <w:top w:w="80" w:type="dxa"/>
              <w:start w:w="120" w:type="dxa"/>
              <w:bottom w:w="80" w:type="dxa"/>
              <w:end w:w="120" w:type="dxa"/>
            </w:tcMar>
          </w:tcPr>
          <w:p>
            <w:pPr>
              <w:spacing w:after="0" w:line="240" w:lineRule="auto"/>
            </w:pPr>
            <w:r/>
            <w:r>
              <w:rPr>
                <w:rFonts w:ascii="Calibri" w:hAnsi="Calibri"/>
                <w:color w:val="172033"/>
                <w:sz w:val="15"/>
              </w:rPr>
              <w:t>0.9425</w:t>
            </w:r>
          </w:p>
        </w:tc>
        <w:tc>
          <w:tcPr>
            <w:tcW w:type="dxa" w:w="1030"/>
            <w:vAlign w:val="center"/>
            <w:tcMar>
              <w:top w:w="80" w:type="dxa"/>
              <w:start w:w="120" w:type="dxa"/>
              <w:bottom w:w="80" w:type="dxa"/>
              <w:end w:w="120" w:type="dxa"/>
            </w:tcMar>
          </w:tcPr>
          <w:p>
            <w:pPr>
              <w:spacing w:after="0" w:line="240" w:lineRule="auto"/>
            </w:pPr>
            <w:r/>
            <w:r>
              <w:rPr>
                <w:rFonts w:ascii="Calibri" w:hAnsi="Calibri"/>
                <w:color w:val="172033"/>
                <w:sz w:val="15"/>
              </w:rPr>
              <w:t>0.9821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zipper</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padim</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0.500006</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0.8774</w:t>
            </w:r>
          </w:p>
        </w:tc>
        <w:tc>
          <w:tcPr>
            <w:tcW w:type="dxa" w:w="11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0.9494</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0.8929</w:t>
            </w:r>
          </w:p>
        </w:tc>
        <w:tc>
          <w:tcPr>
            <w:tcW w:type="dxa" w:w="102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0.9202</w:t>
            </w:r>
          </w:p>
        </w:tc>
        <w:tc>
          <w:tcPr>
            <w:tcW w:type="dxa" w:w="1030"/>
            <w:vAlign w:val="center"/>
            <w:shd w:fill="F3F5F8"/>
            <w:tcMar>
              <w:top w:w="80" w:type="dxa"/>
              <w:start w:w="120" w:type="dxa"/>
              <w:bottom w:w="80" w:type="dxa"/>
              <w:end w:w="120" w:type="dxa"/>
            </w:tcMar>
          </w:tcPr>
          <w:p>
            <w:pPr>
              <w:spacing w:after="0" w:line="240" w:lineRule="auto"/>
            </w:pPr>
            <w:r/>
            <w:r>
              <w:rPr>
                <w:rFonts w:ascii="Calibri" w:hAnsi="Calibri"/>
                <w:color w:val="172033"/>
                <w:sz w:val="15"/>
              </w:rPr>
              <w:t>0.8620</w:t>
            </w:r>
          </w:p>
        </w:tc>
      </w:tr>
    </w:tbl>
    <w:p>
      <w:pPr>
        <w:spacing w:before="120" w:after="160"/>
        <w:ind w:left="173" w:right="173"/>
        <w:shd w:fill="EAF2FF"/>
        <w:pBdr>
          <w:left w:val="single" w:sz="24" w:space="8" w:color="1D5FD1"/>
        </w:pBdr>
      </w:pPr>
      <w:r>
        <w:rPr>
          <w:rFonts w:ascii="Calibri" w:hAnsi="Calibri"/>
          <w:b/>
          <w:color w:val="1D5FD1"/>
        </w:rPr>
        <w:t xml:space="preserve">Holdout aggregate: </w:t>
      </w:r>
      <w:r>
        <w:rPr>
          <w:rFonts w:ascii="Calibri" w:hAnsi="Calibri"/>
          <w:color w:val="172033"/>
        </w:rPr>
        <w:t>Across the 14 split-calibrated categories, mean holdout accuracy is 0.9016, mean precision is 0.9187, mean recall is 0.9442, mean F1 is 0.9295, and mean AUROC is 0.9408.</w:t>
      </w:r>
    </w:p>
    <w:p>
      <w:pPr>
        <w:pStyle w:val="Heading2"/>
      </w:pPr>
      <w:r>
        <w:t>7.2 Cable spatial calibration</w:t>
      </w:r>
    </w:p>
    <w:p>
      <w:r>
        <w:rPr>
          <w:rFonts w:ascii="Calibri" w:hAnsi="Calibri"/>
          <w:color w:val="172033"/>
        </w:rPr>
        <w:t>The cable OpenVINO runtime adds a second decision layer. A 72-value vector summarizes the global score, anomaly-map moments, ten percentiles, nine threshold-exceedance ratios, and three statistics from each cell of a 4 x 4 spatial grid. An ExtraTrees classifier converts that evidence into a defective probability. Five-fold out-of-fold predictions assess the calibrator before the final portable forest is fitted on all 150 labelled cable test records.</w:t>
      </w:r>
    </w:p>
    <w:p>
      <w:pPr>
        <w:keepNext/>
        <w:jc w:val="center"/>
      </w:pPr>
      <w:r>
        <w:drawing>
          <wp:inline xmlns:a="http://schemas.openxmlformats.org/drawingml/2006/main" xmlns:pic="http://schemas.openxmlformats.org/drawingml/2006/picture">
            <wp:extent cx="5303520" cy="3945819"/>
            <wp:docPr id="6" name="Picture 6" descr="Cable OpenVINO spatial calibrator confusion matrix"/>
            <wp:cNvGraphicFramePr>
              <a:graphicFrameLocks noChangeAspect="1"/>
            </wp:cNvGraphicFramePr>
            <a:graphic>
              <a:graphicData uri="http://schemas.openxmlformats.org/drawingml/2006/picture">
                <pic:pic>
                  <pic:nvPicPr>
                    <pic:cNvPr id="0" name="cable_openvino_confusion_matrix.png"/>
                    <pic:cNvPicPr/>
                  </pic:nvPicPr>
                  <pic:blipFill>
                    <a:blip r:embed="rId16"/>
                    <a:stretch>
                      <a:fillRect/>
                    </a:stretch>
                  </pic:blipFill>
                  <pic:spPr>
                    <a:xfrm>
                      <a:off x="0" y="0"/>
                      <a:ext cx="5303520" cy="3945819"/>
                    </a:xfrm>
                    <a:prstGeom prst="rect"/>
                  </pic:spPr>
                </pic:pic>
              </a:graphicData>
            </a:graphic>
          </wp:inline>
        </w:drawing>
      </w:r>
    </w:p>
    <w:p>
      <w:pPr>
        <w:pStyle w:val="Caption"/>
        <w:spacing w:before="60" w:after="140"/>
        <w:jc w:val="center"/>
      </w:pPr>
      <w:r>
        <w:rPr>
          <w:rFonts w:ascii="Calibri" w:hAnsi="Calibri"/>
          <w:b/>
          <w:color w:val="0F2942"/>
          <w:sz w:val="18"/>
        </w:rPr>
        <w:t>Figure 7. Cable OpenVINO spatial calibrator confusion matrix</w:t>
      </w:r>
      <w:r>
        <w:rPr>
          <w:rFonts w:ascii="Calibri" w:hAnsi="Calibri"/>
          <w:i/>
          <w:color w:val="5F6B7A"/>
          <w:sz w:val="16"/>
        </w:rPr>
        <w:br/>
        <w:t>Source: Recorded `openvino_spatial_calibration` metadata.</w:t>
      </w:r>
    </w:p>
    <w:tbl>
      <w:tblPr>
        <w:tblStyle w:val="TableGrid"/>
        <w:tblW w:type="dxa" w:w="9360"/>
        <w:jc w:val="left"/>
        <w:tblLayout w:type="fixed"/>
        <w:tblLook w:firstColumn="1" w:firstRow="1" w:lastColumn="0" w:lastRow="0" w:noHBand="0" w:noVBand="1" w:val="04A0"/>
        <w:tblInd w:type="dxa" w:w="120"/>
      </w:tblPr>
      <w:tblGrid>
        <w:gridCol w:w="5200"/>
        <w:gridCol w:w="4160"/>
      </w:tblGrid>
      <w:tr>
        <w:trPr>
          <w:tblHeader w:val="true"/>
        </w:trPr>
        <w:tc>
          <w:tcPr>
            <w:tcW w:type="dxa" w:w="5200"/>
            <w:shd w:fill="0E7490"/>
            <w:vAlign w:val="center"/>
            <w:tcMar>
              <w:top w:w="80" w:type="dxa"/>
              <w:start w:w="120" w:type="dxa"/>
              <w:bottom w:w="80" w:type="dxa"/>
              <w:end w:w="120" w:type="dxa"/>
            </w:tcMar>
          </w:tcPr>
          <w:p>
            <w:pPr>
              <w:spacing w:after="0"/>
            </w:pPr>
            <w:r/>
            <w:r>
              <w:rPr>
                <w:rFonts w:ascii="Calibri" w:hAnsi="Calibri"/>
                <w:b/>
                <w:color w:val="FFFFFF"/>
                <w:sz w:val="18"/>
              </w:rPr>
              <w:t>Cable defect subtype</w:t>
            </w:r>
          </w:p>
        </w:tc>
        <w:tc>
          <w:tcPr>
            <w:tcW w:type="dxa" w:w="4160"/>
            <w:shd w:fill="0E7490"/>
            <w:vAlign w:val="center"/>
            <w:tcMar>
              <w:top w:w="80" w:type="dxa"/>
              <w:start w:w="120" w:type="dxa"/>
              <w:bottom w:w="80" w:type="dxa"/>
              <w:end w:w="120" w:type="dxa"/>
            </w:tcMar>
          </w:tcPr>
          <w:p>
            <w:pPr>
              <w:spacing w:after="0"/>
            </w:pPr>
            <w:r/>
            <w:r>
              <w:rPr>
                <w:rFonts w:ascii="Calibri" w:hAnsi="Calibri"/>
                <w:b/>
                <w:color w:val="FFFFFF"/>
                <w:sz w:val="18"/>
              </w:rPr>
              <w:t>Out-of-fold detection recall</w:t>
            </w:r>
          </w:p>
        </w:tc>
      </w:tr>
      <w:tr>
        <w:tc>
          <w:tcPr>
            <w:tcW w:type="dxa" w:w="5200"/>
            <w:vAlign w:val="center"/>
            <w:tcMar>
              <w:top w:w="80" w:type="dxa"/>
              <w:start w:w="120" w:type="dxa"/>
              <w:bottom w:w="80" w:type="dxa"/>
              <w:end w:w="120" w:type="dxa"/>
            </w:tcMar>
          </w:tcPr>
          <w:p>
            <w:pPr>
              <w:spacing w:after="0" w:line="240" w:lineRule="auto"/>
            </w:pPr>
            <w:r/>
            <w:r>
              <w:rPr>
                <w:rFonts w:ascii="Calibri" w:hAnsi="Calibri"/>
                <w:color w:val="172033"/>
                <w:sz w:val="18"/>
              </w:rPr>
              <w:t>bent_wire</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shd w:fill="F3F5F8"/>
            <w:tcMar>
              <w:top w:w="80" w:type="dxa"/>
              <w:start w:w="120" w:type="dxa"/>
              <w:bottom w:w="80" w:type="dxa"/>
              <w:end w:w="120" w:type="dxa"/>
            </w:tcMar>
          </w:tcPr>
          <w:p>
            <w:pPr>
              <w:spacing w:after="0" w:line="240" w:lineRule="auto"/>
            </w:pPr>
            <w:r/>
            <w:r>
              <w:rPr>
                <w:rFonts w:ascii="Calibri" w:hAnsi="Calibri"/>
                <w:color w:val="172033"/>
                <w:sz w:val="18"/>
              </w:rPr>
              <w:t>cable_swap</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tcMar>
              <w:top w:w="80" w:type="dxa"/>
              <w:start w:w="120" w:type="dxa"/>
              <w:bottom w:w="80" w:type="dxa"/>
              <w:end w:w="120" w:type="dxa"/>
            </w:tcMar>
          </w:tcPr>
          <w:p>
            <w:pPr>
              <w:spacing w:after="0" w:line="240" w:lineRule="auto"/>
            </w:pPr>
            <w:r/>
            <w:r>
              <w:rPr>
                <w:rFonts w:ascii="Calibri" w:hAnsi="Calibri"/>
                <w:color w:val="172033"/>
                <w:sz w:val="18"/>
              </w:rPr>
              <w:t>combined</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shd w:fill="F3F5F8"/>
            <w:tcMar>
              <w:top w:w="80" w:type="dxa"/>
              <w:start w:w="120" w:type="dxa"/>
              <w:bottom w:w="80" w:type="dxa"/>
              <w:end w:w="120" w:type="dxa"/>
            </w:tcMar>
          </w:tcPr>
          <w:p>
            <w:pPr>
              <w:spacing w:after="0" w:line="240" w:lineRule="auto"/>
            </w:pPr>
            <w:r/>
            <w:r>
              <w:rPr>
                <w:rFonts w:ascii="Calibri" w:hAnsi="Calibri"/>
                <w:color w:val="172033"/>
                <w:sz w:val="18"/>
              </w:rPr>
              <w:t>cut_inner_insulation</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tcMar>
              <w:top w:w="80" w:type="dxa"/>
              <w:start w:w="120" w:type="dxa"/>
              <w:bottom w:w="80" w:type="dxa"/>
              <w:end w:w="120" w:type="dxa"/>
            </w:tcMar>
          </w:tcPr>
          <w:p>
            <w:pPr>
              <w:spacing w:after="0" w:line="240" w:lineRule="auto"/>
            </w:pPr>
            <w:r/>
            <w:r>
              <w:rPr>
                <w:rFonts w:ascii="Calibri" w:hAnsi="Calibri"/>
                <w:color w:val="172033"/>
                <w:sz w:val="18"/>
              </w:rPr>
              <w:t>cut_outer_insulation</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shd w:fill="F3F5F8"/>
            <w:tcMar>
              <w:top w:w="80" w:type="dxa"/>
              <w:start w:w="120" w:type="dxa"/>
              <w:bottom w:w="80" w:type="dxa"/>
              <w:end w:w="120" w:type="dxa"/>
            </w:tcMar>
          </w:tcPr>
          <w:p>
            <w:pPr>
              <w:spacing w:after="0" w:line="240" w:lineRule="auto"/>
            </w:pPr>
            <w:r/>
            <w:r>
              <w:rPr>
                <w:rFonts w:ascii="Calibri" w:hAnsi="Calibri"/>
                <w:color w:val="172033"/>
                <w:sz w:val="18"/>
              </w:rPr>
              <w:t>missing_cable</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5200"/>
            <w:vAlign w:val="center"/>
            <w:tcMar>
              <w:top w:w="80" w:type="dxa"/>
              <w:start w:w="120" w:type="dxa"/>
              <w:bottom w:w="80" w:type="dxa"/>
              <w:end w:w="120" w:type="dxa"/>
            </w:tcMar>
          </w:tcPr>
          <w:p>
            <w:pPr>
              <w:spacing w:after="0" w:line="240" w:lineRule="auto"/>
            </w:pPr>
            <w:r/>
            <w:r>
              <w:rPr>
                <w:rFonts w:ascii="Calibri" w:hAnsi="Calibri"/>
                <w:color w:val="172033"/>
                <w:sz w:val="18"/>
              </w:rPr>
              <w:t>missing_wire</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8"/>
              </w:rPr>
              <w:t>80.00%</w:t>
            </w:r>
          </w:p>
        </w:tc>
      </w:tr>
      <w:tr>
        <w:tc>
          <w:tcPr>
            <w:tcW w:type="dxa" w:w="5200"/>
            <w:vAlign w:val="center"/>
            <w:shd w:fill="F3F5F8"/>
            <w:tcMar>
              <w:top w:w="80" w:type="dxa"/>
              <w:start w:w="120" w:type="dxa"/>
              <w:bottom w:w="80" w:type="dxa"/>
              <w:end w:w="120" w:type="dxa"/>
            </w:tcMar>
          </w:tcPr>
          <w:p>
            <w:pPr>
              <w:spacing w:after="0" w:line="240" w:lineRule="auto"/>
            </w:pPr>
            <w:r/>
            <w:r>
              <w:rPr>
                <w:rFonts w:ascii="Calibri" w:hAnsi="Calibri"/>
                <w:color w:val="172033"/>
                <w:sz w:val="18"/>
              </w:rPr>
              <w:t>poke_insulation</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8"/>
              </w:rPr>
              <w:t>80.00%</w:t>
            </w:r>
          </w:p>
        </w:tc>
      </w:tr>
    </w:tbl>
    <w:p>
      <w:pPr>
        <w:pStyle w:val="Heading2"/>
      </w:pPr>
      <w:r>
        <w:t>7.3 Evaluation boundary</w:t>
      </w:r>
    </w:p>
    <w:p>
      <w:r>
        <w:rPr>
          <w:rFonts w:ascii="Calibri" w:hAnsi="Calibri"/>
          <w:color w:val="172033"/>
        </w:rPr>
        <w:t>These metrics are project validation records derived from labelled MVTec test folders. They are suitable for comparing candidates and calibrating the demonstration system, but they must not be described as an untouched factory acceptance test. A production release requires factory-specific images collected under the target camera, lighting, product orientation, and process conditions.</w:t>
      </w:r>
    </w:p>
    <w:p>
      <w:pPr>
        <w:pStyle w:val="Heading1"/>
      </w:pPr>
      <w:r>
        <w:t>8. Advanced Model Evaluation Results</w:t>
      </w:r>
    </w:p>
    <w:p>
      <w:pPr>
        <w:pStyle w:val="Heading2"/>
      </w:pPr>
      <w:r>
        <w:t>8.1 Aggregate view</w:t>
      </w:r>
    </w:p>
    <w:tbl>
      <w:tblPr>
        <w:tblStyle w:val="TableGrid"/>
        <w:tblW w:type="dxa" w:w="9360"/>
        <w:jc w:val="left"/>
        <w:tblLayout w:type="fixed"/>
        <w:tblLook w:firstColumn="1" w:firstRow="1" w:lastColumn="0" w:lastRow="0" w:noHBand="0" w:noVBand="1" w:val="04A0"/>
        <w:tblInd w:type="dxa" w:w="120"/>
      </w:tblPr>
      <w:tblGrid>
        <w:gridCol w:w="6800"/>
        <w:gridCol w:w="2560"/>
      </w:tblGrid>
      <w:tr>
        <w:trPr>
          <w:tblHeader w:val="true"/>
        </w:trPr>
        <w:tc>
          <w:tcPr>
            <w:tcW w:type="dxa" w:w="6800"/>
            <w:shd w:fill="0F2942"/>
            <w:vAlign w:val="center"/>
            <w:tcMar>
              <w:top w:w="80" w:type="dxa"/>
              <w:start w:w="120" w:type="dxa"/>
              <w:bottom w:w="80" w:type="dxa"/>
              <w:end w:w="120" w:type="dxa"/>
            </w:tcMar>
          </w:tcPr>
          <w:p>
            <w:pPr>
              <w:spacing w:after="0"/>
            </w:pPr>
            <w:r/>
            <w:r>
              <w:rPr>
                <w:rFonts w:ascii="Calibri" w:hAnsi="Calibri"/>
                <w:b/>
                <w:color w:val="FFFFFF"/>
                <w:sz w:val="18"/>
              </w:rPr>
              <w:t>Aggregate metric</w:t>
            </w:r>
          </w:p>
        </w:tc>
        <w:tc>
          <w:tcPr>
            <w:tcW w:type="dxa" w:w="2560"/>
            <w:shd w:fill="0F2942"/>
            <w:vAlign w:val="center"/>
            <w:tcMar>
              <w:top w:w="80" w:type="dxa"/>
              <w:start w:w="120" w:type="dxa"/>
              <w:bottom w:w="80" w:type="dxa"/>
              <w:end w:w="120" w:type="dxa"/>
            </w:tcMar>
          </w:tcPr>
          <w:p>
            <w:pPr>
              <w:spacing w:after="0"/>
            </w:pPr>
            <w:r/>
            <w:r>
              <w:rPr>
                <w:rFonts w:ascii="Calibri" w:hAnsi="Calibri"/>
                <w:b/>
                <w:color w:val="FFFFFF"/>
                <w:sz w:val="18"/>
              </w:rPr>
              <w:t>Recorded value</w:t>
            </w:r>
          </w:p>
        </w:tc>
      </w:tr>
      <w:tr>
        <w:tc>
          <w:tcPr>
            <w:tcW w:type="dxa" w:w="6800"/>
            <w:vAlign w:val="center"/>
            <w:tcMar>
              <w:top w:w="80" w:type="dxa"/>
              <w:start w:w="120" w:type="dxa"/>
              <w:bottom w:w="80" w:type="dxa"/>
              <w:end w:w="120" w:type="dxa"/>
            </w:tcMar>
          </w:tcPr>
          <w:p>
            <w:pPr>
              <w:spacing w:after="0" w:line="240" w:lineRule="auto"/>
            </w:pPr>
            <w:r/>
            <w:r>
              <w:rPr>
                <w:rFonts w:ascii="Calibri" w:hAnsi="Calibri"/>
                <w:color w:val="172033"/>
                <w:sz w:val="18"/>
              </w:rPr>
              <w:t>Unweighted mean image AUROC</w:t>
            </w:r>
          </w:p>
        </w:tc>
        <w:tc>
          <w:tcPr>
            <w:tcW w:type="dxa" w:w="2560"/>
            <w:vAlign w:val="center"/>
            <w:tcMar>
              <w:top w:w="80" w:type="dxa"/>
              <w:start w:w="120" w:type="dxa"/>
              <w:bottom w:w="80" w:type="dxa"/>
              <w:end w:w="120" w:type="dxa"/>
            </w:tcMar>
          </w:tcPr>
          <w:p>
            <w:pPr>
              <w:spacing w:after="0" w:line="240" w:lineRule="auto"/>
            </w:pPr>
            <w:r/>
            <w:r>
              <w:rPr>
                <w:rFonts w:ascii="Calibri" w:hAnsi="Calibri"/>
                <w:color w:val="172033"/>
                <w:sz w:val="18"/>
              </w:rPr>
              <w:t>0.9554</w:t>
            </w:r>
          </w:p>
        </w:tc>
      </w:tr>
      <w:tr>
        <w:tc>
          <w:tcPr>
            <w:tcW w:type="dxa" w:w="6800"/>
            <w:vAlign w:val="center"/>
            <w:shd w:fill="F3F5F8"/>
            <w:tcMar>
              <w:top w:w="80" w:type="dxa"/>
              <w:start w:w="120" w:type="dxa"/>
              <w:bottom w:w="80" w:type="dxa"/>
              <w:end w:w="120" w:type="dxa"/>
            </w:tcMar>
          </w:tcPr>
          <w:p>
            <w:pPr>
              <w:spacing w:after="0" w:line="240" w:lineRule="auto"/>
            </w:pPr>
            <w:r/>
            <w:r>
              <w:rPr>
                <w:rFonts w:ascii="Calibri" w:hAnsi="Calibri"/>
                <w:color w:val="172033"/>
                <w:sz w:val="18"/>
              </w:rPr>
              <w:t>Unweighted mean image F1</w:t>
            </w:r>
          </w:p>
        </w:tc>
        <w:tc>
          <w:tcPr>
            <w:tcW w:type="dxa" w:w="2560"/>
            <w:vAlign w:val="center"/>
            <w:shd w:fill="F3F5F8"/>
            <w:tcMar>
              <w:top w:w="80" w:type="dxa"/>
              <w:start w:w="120" w:type="dxa"/>
              <w:bottom w:w="80" w:type="dxa"/>
              <w:end w:w="120" w:type="dxa"/>
            </w:tcMar>
          </w:tcPr>
          <w:p>
            <w:pPr>
              <w:spacing w:after="0" w:line="240" w:lineRule="auto"/>
            </w:pPr>
            <w:r/>
            <w:r>
              <w:rPr>
                <w:rFonts w:ascii="Calibri" w:hAnsi="Calibri"/>
                <w:color w:val="172033"/>
                <w:sz w:val="18"/>
              </w:rPr>
              <w:t>0.9442</w:t>
            </w:r>
          </w:p>
        </w:tc>
      </w:tr>
      <w:tr>
        <w:tc>
          <w:tcPr>
            <w:tcW w:type="dxa" w:w="6800"/>
            <w:vAlign w:val="center"/>
            <w:tcMar>
              <w:top w:w="80" w:type="dxa"/>
              <w:start w:w="120" w:type="dxa"/>
              <w:bottom w:w="80" w:type="dxa"/>
              <w:end w:w="120" w:type="dxa"/>
            </w:tcMar>
          </w:tcPr>
          <w:p>
            <w:pPr>
              <w:spacing w:after="0" w:line="240" w:lineRule="auto"/>
            </w:pPr>
            <w:r/>
            <w:r>
              <w:rPr>
                <w:rFonts w:ascii="Calibri" w:hAnsi="Calibri"/>
                <w:color w:val="172033"/>
                <w:sz w:val="18"/>
              </w:rPr>
              <w:t>Unweighted mean pixel AUROC</w:t>
            </w:r>
          </w:p>
        </w:tc>
        <w:tc>
          <w:tcPr>
            <w:tcW w:type="dxa" w:w="2560"/>
            <w:vAlign w:val="center"/>
            <w:tcMar>
              <w:top w:w="80" w:type="dxa"/>
              <w:start w:w="120" w:type="dxa"/>
              <w:bottom w:w="80" w:type="dxa"/>
              <w:end w:w="120" w:type="dxa"/>
            </w:tcMar>
          </w:tcPr>
          <w:p>
            <w:pPr>
              <w:spacing w:after="0" w:line="240" w:lineRule="auto"/>
            </w:pPr>
            <w:r/>
            <w:r>
              <w:rPr>
                <w:rFonts w:ascii="Calibri" w:hAnsi="Calibri"/>
                <w:color w:val="172033"/>
                <w:sz w:val="18"/>
              </w:rPr>
              <w:t>0.9737</w:t>
            </w:r>
          </w:p>
        </w:tc>
      </w:tr>
      <w:tr>
        <w:tc>
          <w:tcPr>
            <w:tcW w:type="dxa" w:w="6800"/>
            <w:vAlign w:val="center"/>
            <w:shd w:fill="F3F5F8"/>
            <w:tcMar>
              <w:top w:w="80" w:type="dxa"/>
              <w:start w:w="120" w:type="dxa"/>
              <w:bottom w:w="80" w:type="dxa"/>
              <w:end w:w="120" w:type="dxa"/>
            </w:tcMar>
          </w:tcPr>
          <w:p>
            <w:pPr>
              <w:spacing w:after="0" w:line="240" w:lineRule="auto"/>
            </w:pPr>
            <w:r/>
            <w:r>
              <w:rPr>
                <w:rFonts w:ascii="Calibri" w:hAnsi="Calibri"/>
                <w:color w:val="172033"/>
                <w:sz w:val="18"/>
              </w:rPr>
              <w:t>Unweighted mean pixel F1</w:t>
            </w:r>
          </w:p>
        </w:tc>
        <w:tc>
          <w:tcPr>
            <w:tcW w:type="dxa" w:w="2560"/>
            <w:vAlign w:val="center"/>
            <w:shd w:fill="F3F5F8"/>
            <w:tcMar>
              <w:top w:w="80" w:type="dxa"/>
              <w:start w:w="120" w:type="dxa"/>
              <w:bottom w:w="80" w:type="dxa"/>
              <w:end w:w="120" w:type="dxa"/>
            </w:tcMar>
          </w:tcPr>
          <w:p>
            <w:pPr>
              <w:spacing w:after="0" w:line="240" w:lineRule="auto"/>
            </w:pPr>
            <w:r/>
            <w:r>
              <w:rPr>
                <w:rFonts w:ascii="Calibri" w:hAnsi="Calibri"/>
                <w:color w:val="172033"/>
                <w:sz w:val="18"/>
              </w:rPr>
              <w:t>0.5402</w:t>
            </w:r>
          </w:p>
        </w:tc>
      </w:tr>
      <w:tr>
        <w:tc>
          <w:tcPr>
            <w:tcW w:type="dxa" w:w="6800"/>
            <w:vAlign w:val="center"/>
            <w:tcMar>
              <w:top w:w="80" w:type="dxa"/>
              <w:start w:w="120" w:type="dxa"/>
              <w:bottom w:w="80" w:type="dxa"/>
              <w:end w:w="120" w:type="dxa"/>
            </w:tcMar>
          </w:tcPr>
          <w:p>
            <w:pPr>
              <w:spacing w:after="0" w:line="240" w:lineRule="auto"/>
            </w:pPr>
            <w:r/>
            <w:r>
              <w:rPr>
                <w:rFonts w:ascii="Calibri" w:hAnsi="Calibri"/>
                <w:color w:val="172033"/>
                <w:sz w:val="18"/>
              </w:rPr>
              <w:t>Minimum category image F1</w:t>
            </w:r>
          </w:p>
        </w:tc>
        <w:tc>
          <w:tcPr>
            <w:tcW w:type="dxa" w:w="2560"/>
            <w:vAlign w:val="center"/>
            <w:tcMar>
              <w:top w:w="80" w:type="dxa"/>
              <w:start w:w="120" w:type="dxa"/>
              <w:bottom w:w="80" w:type="dxa"/>
              <w:end w:w="120" w:type="dxa"/>
            </w:tcMar>
          </w:tcPr>
          <w:p>
            <w:pPr>
              <w:spacing w:after="0" w:line="240" w:lineRule="auto"/>
            </w:pPr>
            <w:r/>
            <w:r>
              <w:rPr>
                <w:rFonts w:ascii="Calibri" w:hAnsi="Calibri"/>
                <w:color w:val="172033"/>
                <w:sz w:val="18"/>
              </w:rPr>
              <w:t>0.8434 (transistor)</w:t>
            </w:r>
          </w:p>
        </w:tc>
      </w:tr>
      <w:tr>
        <w:tc>
          <w:tcPr>
            <w:tcW w:type="dxa" w:w="6800"/>
            <w:vAlign w:val="center"/>
            <w:shd w:fill="F3F5F8"/>
            <w:tcMar>
              <w:top w:w="80" w:type="dxa"/>
              <w:start w:w="120" w:type="dxa"/>
              <w:bottom w:w="80" w:type="dxa"/>
              <w:end w:w="120" w:type="dxa"/>
            </w:tcMar>
          </w:tcPr>
          <w:p>
            <w:pPr>
              <w:spacing w:after="0" w:line="240" w:lineRule="auto"/>
            </w:pPr>
            <w:r/>
            <w:r>
              <w:rPr>
                <w:rFonts w:ascii="Calibri" w:hAnsi="Calibri"/>
                <w:color w:val="172033"/>
                <w:sz w:val="18"/>
              </w:rPr>
              <w:t>Maximum category image F1</w:t>
            </w:r>
          </w:p>
        </w:tc>
        <w:tc>
          <w:tcPr>
            <w:tcW w:type="dxa" w:w="2560"/>
            <w:vAlign w:val="center"/>
            <w:shd w:fill="F3F5F8"/>
            <w:tcMar>
              <w:top w:w="80" w:type="dxa"/>
              <w:start w:w="120" w:type="dxa"/>
              <w:bottom w:w="80" w:type="dxa"/>
              <w:end w:w="120" w:type="dxa"/>
            </w:tcMar>
          </w:tcPr>
          <w:p>
            <w:pPr>
              <w:spacing w:after="0" w:line="240" w:lineRule="auto"/>
            </w:pPr>
            <w:r/>
            <w:r>
              <w:rPr>
                <w:rFonts w:ascii="Calibri" w:hAnsi="Calibri"/>
                <w:color w:val="172033"/>
                <w:sz w:val="18"/>
              </w:rPr>
              <w:t>0.9945 (leather)</w:t>
            </w:r>
          </w:p>
        </w:tc>
      </w:tr>
    </w:tbl>
    <w:p>
      <w:pPr>
        <w:keepNext/>
        <w:jc w:val="center"/>
      </w:pPr>
      <w:r>
        <w:drawing>
          <wp:inline xmlns:a="http://schemas.openxmlformats.org/drawingml/2006/main" xmlns:pic="http://schemas.openxmlformats.org/drawingml/2006/picture">
            <wp:extent cx="6126480" cy="2423436"/>
            <wp:docPr id="7" name="Picture 7" descr="Recorded advanced-model evaluation by category"/>
            <wp:cNvGraphicFramePr>
              <a:graphicFrameLocks noChangeAspect="1"/>
            </wp:cNvGraphicFramePr>
            <a:graphic>
              <a:graphicData uri="http://schemas.openxmlformats.org/drawingml/2006/picture">
                <pic:pic>
                  <pic:nvPicPr>
                    <pic:cNvPr id="0" name="advanced_model_metrics.png"/>
                    <pic:cNvPicPr/>
                  </pic:nvPicPr>
                  <pic:blipFill>
                    <a:blip r:embed="rId17"/>
                    <a:stretch>
                      <a:fillRect/>
                    </a:stretch>
                  </pic:blipFill>
                  <pic:spPr>
                    <a:xfrm>
                      <a:off x="0" y="0"/>
                      <a:ext cx="6126480" cy="2423436"/>
                    </a:xfrm>
                    <a:prstGeom prst="rect"/>
                  </pic:spPr>
                </pic:pic>
              </a:graphicData>
            </a:graphic>
          </wp:inline>
        </w:drawing>
      </w:r>
    </w:p>
    <w:p>
      <w:pPr>
        <w:pStyle w:val="Caption"/>
        <w:spacing w:before="60" w:after="140"/>
        <w:jc w:val="center"/>
      </w:pPr>
      <w:r>
        <w:rPr>
          <w:rFonts w:ascii="Calibri" w:hAnsi="Calibri"/>
          <w:b/>
          <w:color w:val="0F2942"/>
          <w:sz w:val="18"/>
        </w:rPr>
        <w:t>Figure 4. Recorded advanced-model evaluation by category</w:t>
      </w:r>
      <w:r>
        <w:rPr>
          <w:rFonts w:ascii="Calibri" w:hAnsi="Calibri"/>
          <w:i/>
          <w:color w:val="5F6B7A"/>
          <w:sz w:val="16"/>
        </w:rPr>
        <w:br/>
        <w:t>Source: Executed Notebook 03 using current category model metadata.</w:t>
      </w:r>
    </w:p>
    <w:p>
      <w:pPr>
        <w:pStyle w:val="Heading2"/>
      </w:pPr>
      <w:r>
        <w:t>8.2 Category metrics</w:t>
      </w:r>
    </w:p>
    <w:tbl>
      <w:tblPr>
        <w:tblStyle w:val="TableGrid"/>
        <w:tblW w:type="dxa" w:w="9360"/>
        <w:jc w:val="left"/>
        <w:tblLayout w:type="fixed"/>
        <w:tblLook w:firstColumn="1" w:firstRow="1" w:lastColumn="0" w:lastRow="0" w:noHBand="0" w:noVBand="1" w:val="04A0"/>
        <w:tblInd w:type="dxa" w:w="120"/>
      </w:tblPr>
      <w:tblGrid>
        <w:gridCol w:w="1750"/>
        <w:gridCol w:w="1350"/>
        <w:gridCol w:w="1565"/>
        <w:gridCol w:w="1565"/>
        <w:gridCol w:w="1565"/>
        <w:gridCol w:w="1565"/>
      </w:tblGrid>
      <w:tr>
        <w:trPr>
          <w:tblHeader w:val="true"/>
        </w:trPr>
        <w:tc>
          <w:tcPr>
            <w:tcW w:type="dxa" w:w="1750"/>
            <w:shd w:fill="0E7490"/>
            <w:vAlign w:val="center"/>
            <w:tcMar>
              <w:top w:w="80" w:type="dxa"/>
              <w:start w:w="120" w:type="dxa"/>
              <w:bottom w:w="80" w:type="dxa"/>
              <w:end w:w="120" w:type="dxa"/>
            </w:tcMar>
          </w:tcPr>
          <w:p>
            <w:pPr>
              <w:spacing w:after="0"/>
            </w:pPr>
            <w:r/>
            <w:r>
              <w:rPr>
                <w:rFonts w:ascii="Calibri" w:hAnsi="Calibri"/>
                <w:b/>
                <w:color w:val="FFFFFF"/>
                <w:sz w:val="16"/>
              </w:rPr>
              <w:t>Category</w:t>
            </w:r>
          </w:p>
        </w:tc>
        <w:tc>
          <w:tcPr>
            <w:tcW w:type="dxa" w:w="1350"/>
            <w:shd w:fill="0E7490"/>
            <w:vAlign w:val="center"/>
            <w:tcMar>
              <w:top w:w="80" w:type="dxa"/>
              <w:start w:w="120" w:type="dxa"/>
              <w:bottom w:w="80" w:type="dxa"/>
              <w:end w:w="120" w:type="dxa"/>
            </w:tcMar>
          </w:tcPr>
          <w:p>
            <w:pPr>
              <w:spacing w:after="0"/>
            </w:pPr>
            <w:r/>
            <w:r>
              <w:rPr>
                <w:rFonts w:ascii="Calibri" w:hAnsi="Calibri"/>
                <w:b/>
                <w:color w:val="FFFFFF"/>
                <w:sz w:val="16"/>
              </w:rPr>
              <w:t>Model</w:t>
            </w:r>
          </w:p>
        </w:tc>
        <w:tc>
          <w:tcPr>
            <w:tcW w:type="dxa" w:w="1565"/>
            <w:shd w:fill="0E7490"/>
            <w:vAlign w:val="center"/>
            <w:tcMar>
              <w:top w:w="80" w:type="dxa"/>
              <w:start w:w="120" w:type="dxa"/>
              <w:bottom w:w="80" w:type="dxa"/>
              <w:end w:w="120" w:type="dxa"/>
            </w:tcMar>
          </w:tcPr>
          <w:p>
            <w:pPr>
              <w:spacing w:after="0"/>
            </w:pPr>
            <w:r/>
            <w:r>
              <w:rPr>
                <w:rFonts w:ascii="Calibri" w:hAnsi="Calibri"/>
                <w:b/>
                <w:color w:val="FFFFFF"/>
                <w:sz w:val="16"/>
              </w:rPr>
              <w:t>Image AUROC</w:t>
            </w:r>
          </w:p>
        </w:tc>
        <w:tc>
          <w:tcPr>
            <w:tcW w:type="dxa" w:w="1565"/>
            <w:shd w:fill="0E7490"/>
            <w:vAlign w:val="center"/>
            <w:tcMar>
              <w:top w:w="80" w:type="dxa"/>
              <w:start w:w="120" w:type="dxa"/>
              <w:bottom w:w="80" w:type="dxa"/>
              <w:end w:w="120" w:type="dxa"/>
            </w:tcMar>
          </w:tcPr>
          <w:p>
            <w:pPr>
              <w:spacing w:after="0"/>
            </w:pPr>
            <w:r/>
            <w:r>
              <w:rPr>
                <w:rFonts w:ascii="Calibri" w:hAnsi="Calibri"/>
                <w:b/>
                <w:color w:val="FFFFFF"/>
                <w:sz w:val="16"/>
              </w:rPr>
              <w:t>Image F1</w:t>
            </w:r>
          </w:p>
        </w:tc>
        <w:tc>
          <w:tcPr>
            <w:tcW w:type="dxa" w:w="1565"/>
            <w:shd w:fill="0E7490"/>
            <w:vAlign w:val="center"/>
            <w:tcMar>
              <w:top w:w="80" w:type="dxa"/>
              <w:start w:w="120" w:type="dxa"/>
              <w:bottom w:w="80" w:type="dxa"/>
              <w:end w:w="120" w:type="dxa"/>
            </w:tcMar>
          </w:tcPr>
          <w:p>
            <w:pPr>
              <w:spacing w:after="0"/>
            </w:pPr>
            <w:r/>
            <w:r>
              <w:rPr>
                <w:rFonts w:ascii="Calibri" w:hAnsi="Calibri"/>
                <w:b/>
                <w:color w:val="FFFFFF"/>
                <w:sz w:val="16"/>
              </w:rPr>
              <w:t>Pixel AUROC</w:t>
            </w:r>
          </w:p>
        </w:tc>
        <w:tc>
          <w:tcPr>
            <w:tcW w:type="dxa" w:w="1565"/>
            <w:shd w:fill="0E7490"/>
            <w:vAlign w:val="center"/>
            <w:tcMar>
              <w:top w:w="80" w:type="dxa"/>
              <w:start w:w="120" w:type="dxa"/>
              <w:bottom w:w="80" w:type="dxa"/>
              <w:end w:w="120" w:type="dxa"/>
            </w:tcMar>
          </w:tcPr>
          <w:p>
            <w:pPr>
              <w:spacing w:after="0"/>
            </w:pPr>
            <w:r/>
            <w:r>
              <w:rPr>
                <w:rFonts w:ascii="Calibri" w:hAnsi="Calibri"/>
                <w:b/>
                <w:color w:val="FFFFFF"/>
                <w:sz w:val="16"/>
              </w:rPr>
              <w:t>Pixel F1</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bottle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0.9968</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0.9764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0.9820</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0.7141</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0.9695</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0.9274</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0.9815</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0.6147</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capsule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0.8991</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0.9554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0.9848</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0.4267</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carpet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0.9952</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0.9724</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0.9896</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0.5656</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0.9524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0.9298</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0.9699</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0.4019</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0.9950</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0.9640</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0.9881</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0.6424</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leather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1.0000</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0.9945</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0.9897</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0.3675</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metal_nut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0.9839</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0.9735</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0.9679</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0.7619</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pill</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0.8882</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0.9459</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0.9588</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0.5451</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patchcore</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0.9650</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0.9407</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0.9918</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0.3717</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tile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0.9574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0.9212</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0.9232</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0.5253</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toothbrush</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0.8972</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0.9355</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0.9907</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0.6088</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transistor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0.9525</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0.8434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0.9770</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0.6679</w:t>
            </w:r>
          </w:p>
        </w:tc>
      </w:tr>
      <w:tr>
        <w:tc>
          <w:tcPr>
            <w:tcW w:type="dxa" w:w="1750"/>
            <w:vAlign w:val="center"/>
            <w:shd w:fill="F3F5F8"/>
            <w:tcMar>
              <w:top w:w="80" w:type="dxa"/>
              <w:start w:w="120" w:type="dxa"/>
              <w:bottom w:w="80" w:type="dxa"/>
              <w:end w:w="120" w:type="dxa"/>
            </w:tcMar>
          </w:tcPr>
          <w:p>
            <w:pPr>
              <w:spacing w:after="0" w:line="240" w:lineRule="auto"/>
            </w:pPr>
            <w:r/>
            <w:r>
              <w:rPr>
                <w:rFonts w:ascii="Calibri" w:hAnsi="Calibri"/>
                <w:color w:val="172033"/>
                <w:sz w:val="16"/>
              </w:rPr>
              <w:t>wood</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0.9842</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0.9516</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0.9343</w:t>
            </w:r>
          </w:p>
        </w:tc>
        <w:tc>
          <w:tcPr>
            <w:tcW w:type="dxa" w:w="1565"/>
            <w:vAlign w:val="center"/>
            <w:shd w:fill="F3F5F8"/>
            <w:tcMar>
              <w:top w:w="80" w:type="dxa"/>
              <w:start w:w="120" w:type="dxa"/>
              <w:bottom w:w="80" w:type="dxa"/>
              <w:end w:w="120" w:type="dxa"/>
            </w:tcMar>
          </w:tcPr>
          <w:p>
            <w:pPr>
              <w:spacing w:after="0" w:line="240" w:lineRule="auto"/>
            </w:pPr>
            <w:r/>
            <w:r>
              <w:rPr>
                <w:rFonts w:ascii="Calibri" w:hAnsi="Calibri"/>
                <w:color w:val="172033"/>
                <w:sz w:val="16"/>
              </w:rPr>
              <w:t>0.4304</w:t>
            </w:r>
          </w:p>
        </w:tc>
      </w:tr>
      <w:tr>
        <w:tc>
          <w:tcPr>
            <w:tcW w:type="dxa" w:w="1750"/>
            <w:vAlign w:val="center"/>
            <w:tcMar>
              <w:top w:w="80" w:type="dxa"/>
              <w:start w:w="120" w:type="dxa"/>
              <w:bottom w:w="80" w:type="dxa"/>
              <w:end w:w="120" w:type="dxa"/>
            </w:tcMar>
          </w:tcPr>
          <w:p>
            <w:pPr>
              <w:spacing w:after="0" w:line="240" w:lineRule="auto"/>
            </w:pPr>
            <w:r/>
            <w:r>
              <w:rPr>
                <w:rFonts w:ascii="Calibri" w:hAnsi="Calibri"/>
                <w:color w:val="172033"/>
                <w:sz w:val="16"/>
              </w:rPr>
              <w:t>zipper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6"/>
              </w:rPr>
              <w:t>padim</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0.8942</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0.9316</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0.9754</w:t>
            </w:r>
          </w:p>
        </w:tc>
        <w:tc>
          <w:tcPr>
            <w:tcW w:type="dxa" w:w="1565"/>
            <w:vAlign w:val="center"/>
            <w:tcMar>
              <w:top w:w="80" w:type="dxa"/>
              <w:start w:w="120" w:type="dxa"/>
              <w:bottom w:w="80" w:type="dxa"/>
              <w:end w:w="120" w:type="dxa"/>
            </w:tcMar>
          </w:tcPr>
          <w:p>
            <w:pPr>
              <w:spacing w:after="0" w:line="240" w:lineRule="auto"/>
            </w:pPr>
            <w:r/>
            <w:r>
              <w:rPr>
                <w:rFonts w:ascii="Calibri" w:hAnsi="Calibri"/>
                <w:color w:val="172033"/>
                <w:sz w:val="16"/>
              </w:rPr>
              <w:t>0.4597</w:t>
            </w:r>
          </w:p>
        </w:tc>
      </w:tr>
    </w:tbl>
    <w:p>
      <w:pPr>
        <w:pStyle w:val="Heading2"/>
      </w:pPr>
      <w:r>
        <w:t>8.3 Interpretation</w:t>
      </w:r>
    </w:p>
    <w:p>
      <w:pPr>
        <w:pStyle w:val="ListBullet"/>
        <w:spacing w:after="80" w:line="276" w:lineRule="auto"/>
        <w:ind w:left="720" w:hanging="360"/>
      </w:pPr>
      <w:r>
        <w:rPr>
          <w:rFonts w:ascii="Calibri" w:hAnsi="Calibri"/>
          <w:color w:val="172033"/>
        </w:rPr>
        <w:t>All 15 categories have recorded image AUROC above 0.88; the mean is 0.9554.</w:t>
      </w:r>
    </w:p>
    <w:p>
      <w:pPr>
        <w:pStyle w:val="ListBullet"/>
        <w:spacing w:after="80" w:line="276" w:lineRule="auto"/>
        <w:ind w:left="720" w:hanging="360"/>
      </w:pPr>
      <w:r>
        <w:rPr>
          <w:rFonts w:ascii="Calibri" w:hAnsi="Calibri"/>
          <w:color w:val="172033"/>
        </w:rPr>
        <w:t>Fourteen of 15 categories have recorded image F1 above 0.92; transistor is the lowest at 0.8434.</w:t>
      </w:r>
    </w:p>
    <w:p>
      <w:pPr>
        <w:pStyle w:val="ListBullet"/>
        <w:spacing w:after="80" w:line="276" w:lineRule="auto"/>
        <w:ind w:left="720" w:hanging="360"/>
      </w:pPr>
      <w:r>
        <w:rPr>
          <w:rFonts w:ascii="Calibri" w:hAnsi="Calibri"/>
          <w:color w:val="172033"/>
        </w:rPr>
        <w:t>Pixel AUROC is strong across categories, indicating useful ranking of suspicious pixels.</w:t>
      </w:r>
    </w:p>
    <w:p>
      <w:pPr>
        <w:pStyle w:val="ListBullet"/>
        <w:spacing w:after="80" w:line="276" w:lineRule="auto"/>
        <w:ind w:left="720" w:hanging="360"/>
      </w:pPr>
      <w:r>
        <w:rPr>
          <w:rFonts w:ascii="Calibri" w:hAnsi="Calibri"/>
          <w:color w:val="172033"/>
        </w:rPr>
        <w:t>Pixel F1 varies from 0.3675 to 0.7619, so mask thresholding and exact boundary overlap remain the largest localization weakness.</w:t>
      </w:r>
    </w:p>
    <w:p>
      <w:pPr>
        <w:pStyle w:val="ListBullet"/>
        <w:spacing w:after="80" w:line="276" w:lineRule="auto"/>
        <w:ind w:left="720" w:hanging="360"/>
      </w:pPr>
      <w:r>
        <w:rPr>
          <w:rFonts w:ascii="Calibri" w:hAnsi="Calibri"/>
          <w:color w:val="172033"/>
        </w:rPr>
        <w:t>Metal nut has the strongest recorded pixel F1 (0.7619), while leather and screw show that excellent image detection does not guarantee exact segmentation overlap.</w:t>
      </w:r>
    </w:p>
    <w:p>
      <w:pPr>
        <w:pStyle w:val="ListBullet"/>
        <w:spacing w:after="80" w:line="276" w:lineRule="auto"/>
        <w:ind w:left="720" w:hanging="360"/>
      </w:pPr>
      <w:r>
        <w:rPr>
          <w:rFonts w:ascii="Calibri" w:hAnsi="Calibri"/>
          <w:color w:val="172033"/>
        </w:rPr>
        <w:t>Model selection is category-specific because texture variation, object alignment, and defect scale affect the two algorithms differently.</w:t>
      </w:r>
    </w:p>
    <w:p>
      <w:pPr>
        <w:pStyle w:val="Heading1"/>
      </w:pPr>
      <w:r>
        <w:t>9. Practical Advanced Inference Demonstration</w:t>
      </w:r>
    </w:p>
    <w:p>
      <w:pPr>
        <w:pStyle w:val="Heading2"/>
      </w:pPr>
      <w:r>
        <w:t>9.1 Demonstration setup</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trPr>
        <w:tc>
          <w:tcPr>
            <w:tcW w:type="dxa" w:w="2800"/>
            <w:shd w:fill="0F2942"/>
            <w:vAlign w:val="center"/>
            <w:tcMar>
              <w:top w:w="80" w:type="dxa"/>
              <w:start w:w="120" w:type="dxa"/>
              <w:bottom w:w="80" w:type="dxa"/>
              <w:end w:w="120" w:type="dxa"/>
            </w:tcMar>
          </w:tcPr>
          <w:p>
            <w:pPr>
              <w:spacing w:after="0"/>
            </w:pPr>
            <w:r/>
            <w:r>
              <w:rPr>
                <w:rFonts w:ascii="Calibri" w:hAnsi="Calibri"/>
                <w:b/>
                <w:color w:val="FFFFFF"/>
                <w:sz w:val="18"/>
              </w:rPr>
              <w:t>Item</w:t>
            </w:r>
          </w:p>
        </w:tc>
        <w:tc>
          <w:tcPr>
            <w:tcW w:type="dxa" w:w="6560"/>
            <w:shd w:fill="0F2942"/>
            <w:vAlign w:val="center"/>
            <w:tcMar>
              <w:top w:w="80" w:type="dxa"/>
              <w:start w:w="120" w:type="dxa"/>
              <w:bottom w:w="80" w:type="dxa"/>
              <w:end w:w="120" w:type="dxa"/>
            </w:tcMar>
          </w:tcPr>
          <w:p>
            <w:pPr>
              <w:spacing w:after="0"/>
            </w:pPr>
            <w:r/>
            <w:r>
              <w:rPr>
                <w:rFonts w:ascii="Calibri" w:hAnsi="Calibri"/>
                <w:b/>
                <w:color w:val="FFFFFF"/>
                <w:sz w:val="18"/>
              </w:rPr>
              <w:t>Value</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8"/>
              </w:rPr>
              <w:t>Category</w:t>
            </w:r>
          </w:p>
        </w:tc>
        <w:tc>
          <w:tcPr>
            <w:tcW w:type="dxa" w:w="6560"/>
            <w:vAlign w:val="center"/>
            <w:tcMar>
              <w:top w:w="80" w:type="dxa"/>
              <w:start w:w="120" w:type="dxa"/>
              <w:bottom w:w="80" w:type="dxa"/>
              <w:end w:w="120" w:type="dxa"/>
            </w:tcMar>
          </w:tcPr>
          <w:p>
            <w:pPr>
              <w:spacing w:after="0" w:line="240" w:lineRule="auto"/>
            </w:pPr>
            <w:r/>
            <w:r>
              <w:rPr>
                <w:rFonts w:ascii="Calibri" w:hAnsi="Calibri"/>
                <w:color w:val="172033"/>
                <w:sz w:val="18"/>
              </w:rPr>
              <w:t>cable</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8"/>
              </w:rPr>
              <w:t>Input</w:t>
            </w:r>
          </w:p>
        </w:tc>
        <w:tc>
          <w:tcPr>
            <w:tcW w:type="dxa" w:w="6560"/>
            <w:vAlign w:val="center"/>
            <w:shd w:fill="F3F5F8"/>
            <w:tcMar>
              <w:top w:w="80" w:type="dxa"/>
              <w:start w:w="120" w:type="dxa"/>
              <w:bottom w:w="80" w:type="dxa"/>
              <w:end w:w="120" w:type="dxa"/>
            </w:tcMar>
          </w:tcPr>
          <w:p>
            <w:pPr>
              <w:spacing w:after="0" w:line="240" w:lineRule="auto"/>
            </w:pPr>
            <w:r/>
            <w:r>
              <w:rPr>
                <w:rFonts w:ascii="Calibri" w:hAnsi="Calibri"/>
                <w:color w:val="172033"/>
                <w:sz w:val="18"/>
              </w:rPr>
              <w:t>Real MVTec cable test image from a defect folder</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8"/>
              </w:rPr>
              <w:t>Selected detector</w:t>
            </w:r>
          </w:p>
        </w:tc>
        <w:tc>
          <w:tcPr>
            <w:tcW w:type="dxa" w:w="6560"/>
            <w:vAlign w:val="center"/>
            <w:tcMar>
              <w:top w:w="80" w:type="dxa"/>
              <w:start w:w="120" w:type="dxa"/>
              <w:bottom w:w="80" w:type="dxa"/>
              <w:end w:w="120" w:type="dxa"/>
            </w:tcMar>
          </w:tcPr>
          <w:p>
            <w:pPr>
              <w:spacing w:after="0" w:line="240" w:lineRule="auto"/>
            </w:pPr>
            <w:r/>
            <w:r>
              <w:rPr>
                <w:rFonts w:ascii="Calibri" w:hAnsi="Calibri"/>
                <w:color w:val="172033"/>
                <w:sz w:val="18"/>
              </w:rPr>
              <w:t>PatchCore</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8"/>
              </w:rPr>
              <w:t>Execution engine</w:t>
            </w:r>
          </w:p>
        </w:tc>
        <w:tc>
          <w:tcPr>
            <w:tcW w:type="dxa" w:w="6560"/>
            <w:vAlign w:val="center"/>
            <w:shd w:fill="F3F5F8"/>
            <w:tcMar>
              <w:top w:w="80" w:type="dxa"/>
              <w:start w:w="120" w:type="dxa"/>
              <w:bottom w:w="80" w:type="dxa"/>
              <w:end w:w="120" w:type="dxa"/>
            </w:tcMar>
          </w:tcPr>
          <w:p>
            <w:pPr>
              <w:spacing w:after="0" w:line="240" w:lineRule="auto"/>
            </w:pPr>
            <w:r/>
            <w:r>
              <w:rPr>
                <w:rFonts w:ascii="Calibri" w:hAnsi="Calibri"/>
                <w:color w:val="172033"/>
                <w:sz w:val="18"/>
              </w:rPr>
              <w:t>OpenVINO CPU</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8"/>
              </w:rPr>
              <w:t>Decision basis</w:t>
            </w:r>
          </w:p>
        </w:tc>
        <w:tc>
          <w:tcPr>
            <w:tcW w:type="dxa" w:w="6560"/>
            <w:vAlign w:val="center"/>
            <w:tcMar>
              <w:top w:w="80" w:type="dxa"/>
              <w:start w:w="120" w:type="dxa"/>
              <w:bottom w:w="80" w:type="dxa"/>
              <w:end w:w="120" w:type="dxa"/>
            </w:tcMar>
          </w:tcPr>
          <w:p>
            <w:pPr>
              <w:spacing w:after="0" w:line="240" w:lineRule="auto"/>
            </w:pPr>
            <w:r/>
            <w:r>
              <w:rPr>
                <w:rFonts w:ascii="Calibri" w:hAnsi="Calibri"/>
                <w:color w:val="172033"/>
                <w:sz w:val="18"/>
              </w:rPr>
              <w:t>Spatial calibrator</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8"/>
              </w:rPr>
              <w:t>Fallback</w:t>
            </w:r>
          </w:p>
        </w:tc>
        <w:tc>
          <w:tcPr>
            <w:tcW w:type="dxa" w:w="6560"/>
            <w:vAlign w:val="center"/>
            <w:shd w:fill="F3F5F8"/>
            <w:tcMar>
              <w:top w:w="80" w:type="dxa"/>
              <w:start w:w="120" w:type="dxa"/>
              <w:bottom w:w="80" w:type="dxa"/>
              <w:end w:w="120" w:type="dxa"/>
            </w:tcMar>
          </w:tcPr>
          <w:p>
            <w:pPr>
              <w:spacing w:after="0" w:line="240" w:lineRule="auto"/>
            </w:pPr>
            <w:r/>
            <w:r>
              <w:rPr>
                <w:rFonts w:ascii="Calibri" w:hAnsi="Calibri"/>
                <w:color w:val="172033"/>
                <w:sz w:val="18"/>
              </w:rPr>
              <w:t>Not used</w:t>
            </w:r>
          </w:p>
        </w:tc>
      </w:tr>
    </w:tbl>
    <w:p>
      <w:pPr>
        <w:keepNext/>
        <w:jc w:val="center"/>
      </w:pPr>
      <w:r>
        <w:drawing>
          <wp:inline xmlns:a="http://schemas.openxmlformats.org/drawingml/2006/main" xmlns:pic="http://schemas.openxmlformats.org/drawingml/2006/picture">
            <wp:extent cx="6126480" cy="1964253"/>
            <wp:docPr id="8" name="Picture 8" descr="Cable PatchCore OpenVINO practical inference"/>
            <wp:cNvGraphicFramePr>
              <a:graphicFrameLocks noChangeAspect="1"/>
            </wp:cNvGraphicFramePr>
            <a:graphic>
              <a:graphicData uri="http://schemas.openxmlformats.org/drawingml/2006/picture">
                <pic:pic>
                  <pic:nvPicPr>
                    <pic:cNvPr id="0" name="cable_advanced_runtime.png"/>
                    <pic:cNvPicPr/>
                  </pic:nvPicPr>
                  <pic:blipFill>
                    <a:blip r:embed="rId18"/>
                    <a:stretch>
                      <a:fillRect/>
                    </a:stretch>
                  </pic:blipFill>
                  <pic:spPr>
                    <a:xfrm>
                      <a:off x="0" y="0"/>
                      <a:ext cx="6126480" cy="1964253"/>
                    </a:xfrm>
                    <a:prstGeom prst="rect"/>
                  </pic:spPr>
                </pic:pic>
              </a:graphicData>
            </a:graphic>
          </wp:inline>
        </w:drawing>
      </w:r>
    </w:p>
    <w:p>
      <w:pPr>
        <w:pStyle w:val="Caption"/>
        <w:spacing w:before="60" w:after="140"/>
        <w:jc w:val="center"/>
      </w:pPr>
      <w:r>
        <w:rPr>
          <w:rFonts w:ascii="Calibri" w:hAnsi="Calibri"/>
          <w:b/>
          <w:color w:val="0F2942"/>
          <w:sz w:val="18"/>
        </w:rPr>
        <w:t>Figure 8. Cable PatchCore OpenVINO practical inference</w:t>
      </w:r>
      <w:r>
        <w:rPr>
          <w:rFonts w:ascii="Calibri" w:hAnsi="Calibri"/>
          <w:i/>
          <w:color w:val="5F6B7A"/>
          <w:sz w:val="16"/>
        </w:rPr>
        <w:br/>
        <w:t>Source: Executed Notebook 03 on a real MVTec cable image.</w:t>
      </w:r>
    </w:p>
    <w:p>
      <w:pPr>
        <w:pStyle w:val="Heading2"/>
      </w:pPr>
      <w:r>
        <w:t>9.2 Raw result summary</w:t>
      </w:r>
    </w:p>
    <w:tbl>
      <w:tblPr>
        <w:tblStyle w:val="TableGrid"/>
        <w:tblW w:type="dxa" w:w="9360"/>
        <w:jc w:val="left"/>
        <w:tblLayout w:type="fixed"/>
        <w:tblLook w:firstColumn="1" w:firstRow="1" w:lastColumn="0" w:lastRow="0" w:noHBand="0" w:noVBand="1" w:val="04A0"/>
        <w:tblInd w:type="dxa" w:w="120"/>
      </w:tblPr>
      <w:tblGrid>
        <w:gridCol w:w="3500"/>
        <w:gridCol w:w="5860"/>
      </w:tblGrid>
      <w:tr>
        <w:trPr>
          <w:tblHeader w:val="true"/>
        </w:trPr>
        <w:tc>
          <w:tcPr>
            <w:tcW w:type="dxa" w:w="3500"/>
            <w:shd w:fill="0E7490"/>
            <w:vAlign w:val="center"/>
            <w:tcMar>
              <w:top w:w="80" w:type="dxa"/>
              <w:start w:w="120" w:type="dxa"/>
              <w:bottom w:w="80" w:type="dxa"/>
              <w:end w:w="120" w:type="dxa"/>
            </w:tcMar>
          </w:tcPr>
          <w:p>
            <w:pPr>
              <w:spacing w:after="0"/>
            </w:pPr>
            <w:r/>
            <w:r>
              <w:rPr>
                <w:rFonts w:ascii="Calibri" w:hAnsi="Calibri"/>
                <w:b/>
                <w:color w:val="FFFFFF"/>
                <w:sz w:val="18"/>
              </w:rPr>
              <w:t>Output field</w:t>
            </w:r>
          </w:p>
        </w:tc>
        <w:tc>
          <w:tcPr>
            <w:tcW w:type="dxa" w:w="5860"/>
            <w:shd w:fill="0E7490"/>
            <w:vAlign w:val="center"/>
            <w:tcMar>
              <w:top w:w="80" w:type="dxa"/>
              <w:start w:w="120" w:type="dxa"/>
              <w:bottom w:w="80" w:type="dxa"/>
              <w:end w:w="120" w:type="dxa"/>
            </w:tcMar>
          </w:tcPr>
          <w:p>
            <w:pPr>
              <w:spacing w:after="0"/>
            </w:pPr>
            <w:r/>
            <w:r>
              <w:rPr>
                <w:rFonts w:ascii="Calibri" w:hAnsi="Calibri"/>
                <w:b/>
                <w:color w:val="FFFFFF"/>
                <w:sz w:val="18"/>
              </w:rPr>
              <w:t>Observed value</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active_inference_engine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patchcore_openvino</w:t>
            </w:r>
          </w:p>
        </w:tc>
      </w:tr>
      <w:tr>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8"/>
              </w:rPr>
              <w:t>prediction</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8"/>
              </w:rPr>
              <w:t>Defective</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defect_type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bent_wire</w:t>
            </w:r>
          </w:p>
        </w:tc>
      </w:tr>
      <w:tr>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8"/>
              </w:rPr>
              <w:t>anomaly_score</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8"/>
              </w:rPr>
              <w:t>0.808486</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detection_confidence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1.0000</w:t>
            </w:r>
          </w:p>
        </w:tc>
      </w:tr>
      <w:tr>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8"/>
              </w:rPr>
              <w:t>classification_confidence</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8"/>
              </w:rPr>
              <w:t>0.7967</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defect_area_ratio</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0.0611 (6.11%)</w:t>
            </w:r>
          </w:p>
        </w:tc>
      </w:tr>
      <w:tr>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8"/>
              </w:rPr>
              <w:t>severity</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8"/>
              </w:rPr>
              <w:t>77.0 - High</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quality decision</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Fail</w:t>
            </w:r>
          </w:p>
        </w:tc>
      </w:tr>
      <w:tr>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8"/>
              </w:rPr>
              <w:t>model_used</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8"/>
              </w:rPr>
              <w:t>patchcore:v1 (patchcore_openvino)</w:t>
            </w:r>
          </w:p>
        </w:tc>
      </w:tr>
      <w:tr>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8"/>
              </w:rPr>
              <w:t>fallback_used</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8"/>
              </w:rPr>
              <w:t>false</w:t>
            </w:r>
          </w:p>
        </w:tc>
      </w:tr>
    </w:tbl>
    <w:p>
      <w:pPr>
        <w:spacing w:before="120" w:after="160"/>
        <w:ind w:left="173" w:right="173"/>
        <w:shd w:fill="EAF7EF"/>
        <w:pBdr>
          <w:left w:val="single" w:sz="24" w:space="8" w:color="15803D"/>
        </w:pBdr>
      </w:pPr>
      <w:r>
        <w:rPr>
          <w:rFonts w:ascii="Calibri" w:hAnsi="Calibri"/>
          <w:b/>
          <w:color w:val="15803D"/>
        </w:rPr>
        <w:t xml:space="preserve">What the practical output proves: </w:t>
      </w:r>
      <w:r>
        <w:rPr>
          <w:rFonts w:ascii="Calibri" w:hAnsi="Calibri"/>
          <w:color w:val="172033"/>
        </w:rPr>
        <w:t>The selected category resolved to its promoted engine, the advanced model produced both global and spatial evidence, and the request completed without invoking the portable fallback. The subtype, severity, and QA fields are shown only to demonstrate the downstream interface; their implementation and evaluation belong to Milestone 3.</w:t>
      </w:r>
    </w:p>
    <w:p>
      <w:pPr>
        <w:pStyle w:val="Heading1"/>
      </w:pPr>
      <w:r>
        <w:t>10. Localization and Explainability</w:t>
      </w:r>
    </w:p>
    <w:p>
      <w:pPr>
        <w:pStyle w:val="Heading2"/>
      </w:pPr>
      <w:r>
        <w:t>10.1 Shared localization contract</w:t>
      </w:r>
    </w:p>
    <w:p>
      <w:r>
        <w:rPr>
          <w:rFonts w:ascii="Calibri" w:hAnsi="Calibri"/>
          <w:color w:val="172033"/>
        </w:rPr>
        <w:t>PaDiM, PatchCore OpenVINO, and the portable detector all return an anomaly map and predicted mask through the same interface. The heatmap module normalizes the map for display, overlays it on the source image, overlays binary masks, and compares predicted regions with MVTec ground truth. This common contract lets the frontend and severity logic remain independent of the selected anomaly engine.</w:t>
      </w:r>
    </w:p>
    <w:p>
      <w:pPr>
        <w:keepNext/>
        <w:jc w:val="center"/>
      </w:pPr>
      <w:r>
        <w:drawing>
          <wp:inline xmlns:a="http://schemas.openxmlformats.org/drawingml/2006/main" xmlns:pic="http://schemas.openxmlformats.org/drawingml/2006/picture">
            <wp:extent cx="6126480" cy="1361821"/>
            <wp:docPr id="9" name="Picture 9" descr="Localization and explainability evidence"/>
            <wp:cNvGraphicFramePr>
              <a:graphicFrameLocks noChangeAspect="1"/>
            </wp:cNvGraphicFramePr>
            <a:graphic>
              <a:graphicData uri="http://schemas.openxmlformats.org/drawingml/2006/picture">
                <pic:pic>
                  <pic:nvPicPr>
                    <pic:cNvPr id="0" name="localization_evidence.png"/>
                    <pic:cNvPicPr/>
                  </pic:nvPicPr>
                  <pic:blipFill>
                    <a:blip r:embed="rId19"/>
                    <a:stretch>
                      <a:fillRect/>
                    </a:stretch>
                  </pic:blipFill>
                  <pic:spPr>
                    <a:xfrm>
                      <a:off x="0" y="0"/>
                      <a:ext cx="6126480" cy="1361821"/>
                    </a:xfrm>
                    <a:prstGeom prst="rect"/>
                  </pic:spPr>
                </pic:pic>
              </a:graphicData>
            </a:graphic>
          </wp:inline>
        </w:drawing>
      </w:r>
    </w:p>
    <w:p>
      <w:pPr>
        <w:pStyle w:val="Caption"/>
        <w:spacing w:before="60" w:after="140"/>
        <w:jc w:val="center"/>
      </w:pPr>
      <w:r>
        <w:rPr>
          <w:rFonts w:ascii="Calibri" w:hAnsi="Calibri"/>
          <w:b/>
          <w:color w:val="0F2942"/>
          <w:sz w:val="18"/>
        </w:rPr>
        <w:t>Figure 9. Localization and explainability evidence</w:t>
      </w:r>
      <w:r>
        <w:rPr>
          <w:rFonts w:ascii="Calibri" w:hAnsi="Calibri"/>
          <w:i/>
          <w:color w:val="5F6B7A"/>
          <w:sz w:val="16"/>
        </w:rPr>
        <w:br/>
        <w:t>Source: Executed Notebook 05 on bottle/broken_large using the shared localization contract.</w:t>
      </w:r>
    </w:p>
    <w:p>
      <w:pPr>
        <w:pStyle w:val="Heading2"/>
      </w:pPr>
      <w:r>
        <w:t>10.2 Demonstrated overlap and geometry</w:t>
      </w:r>
    </w:p>
    <w:tbl>
      <w:tblPr>
        <w:tblStyle w:val="TableGrid"/>
        <w:tblW w:type="dxa" w:w="9360"/>
        <w:jc w:val="left"/>
        <w:tblLayout w:type="fixed"/>
        <w:tblLook w:firstColumn="1" w:firstRow="1" w:lastColumn="0" w:lastRow="0" w:noHBand="0" w:noVBand="1" w:val="04A0"/>
        <w:tblInd w:type="dxa" w:w="120"/>
      </w:tblPr>
      <w:tblGrid>
        <w:gridCol w:w="2300"/>
        <w:gridCol w:w="2200"/>
        <w:gridCol w:w="48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17"/>
              </w:rPr>
              <w:t>Measure</w:t>
            </w:r>
          </w:p>
        </w:tc>
        <w:tc>
          <w:tcPr>
            <w:tcW w:type="dxa" w:w="2200"/>
            <w:shd w:fill="0F2942"/>
            <w:vAlign w:val="center"/>
            <w:tcMar>
              <w:top w:w="80" w:type="dxa"/>
              <w:start w:w="120" w:type="dxa"/>
              <w:bottom w:w="80" w:type="dxa"/>
              <w:end w:w="120" w:type="dxa"/>
            </w:tcMar>
          </w:tcPr>
          <w:p>
            <w:pPr>
              <w:spacing w:after="0"/>
            </w:pPr>
            <w:r/>
            <w:r>
              <w:rPr>
                <w:rFonts w:ascii="Calibri" w:hAnsi="Calibri"/>
                <w:b/>
                <w:color w:val="FFFFFF"/>
                <w:sz w:val="17"/>
              </w:rPr>
              <w:t>Observed value</w:t>
            </w:r>
          </w:p>
        </w:tc>
        <w:tc>
          <w:tcPr>
            <w:tcW w:type="dxa" w:w="4860"/>
            <w:shd w:fill="0F2942"/>
            <w:vAlign w:val="center"/>
            <w:tcMar>
              <w:top w:w="80" w:type="dxa"/>
              <w:start w:w="120" w:type="dxa"/>
              <w:bottom w:w="80" w:type="dxa"/>
              <w:end w:w="120" w:type="dxa"/>
            </w:tcMar>
          </w:tcPr>
          <w:p>
            <w:pPr>
              <w:spacing w:after="0"/>
            </w:pPr>
            <w:r/>
            <w:r>
              <w:rPr>
                <w:rFonts w:ascii="Calibri" w:hAnsi="Calibri"/>
                <w:b/>
                <w:color w:val="FFFFFF"/>
                <w:sz w:val="17"/>
              </w:rPr>
              <w:t>Interpretation</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IoU</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0.2977</w:t>
            </w:r>
          </w:p>
        </w:tc>
        <w:tc>
          <w:tcPr>
            <w:tcW w:type="dxa" w:w="4860"/>
            <w:vAlign w:val="center"/>
            <w:tcMar>
              <w:top w:w="80" w:type="dxa"/>
              <w:start w:w="120" w:type="dxa"/>
              <w:bottom w:w="80" w:type="dxa"/>
              <w:end w:w="120" w:type="dxa"/>
            </w:tcMar>
          </w:tcPr>
          <w:p>
            <w:pPr>
              <w:spacing w:after="0" w:line="240" w:lineRule="auto"/>
            </w:pPr>
            <w:r/>
            <w:r>
              <w:rPr>
                <w:rFonts w:ascii="Calibri" w:hAnsi="Calibri"/>
                <w:color w:val="172033"/>
                <w:sz w:val="17"/>
              </w:rPr>
              <w:t>Intersection divided by union of predicted and ground-truth regions</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Dice</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0.4588</w:t>
            </w:r>
          </w:p>
        </w:tc>
        <w:tc>
          <w:tcPr>
            <w:tcW w:type="dxa" w:w="4860"/>
            <w:vAlign w:val="center"/>
            <w:shd w:fill="F3F5F8"/>
            <w:tcMar>
              <w:top w:w="80" w:type="dxa"/>
              <w:start w:w="120" w:type="dxa"/>
              <w:bottom w:w="80" w:type="dxa"/>
              <w:end w:w="120" w:type="dxa"/>
            </w:tcMar>
          </w:tcPr>
          <w:p>
            <w:pPr>
              <w:spacing w:after="0" w:line="240" w:lineRule="auto"/>
            </w:pPr>
            <w:r/>
            <w:r>
              <w:rPr>
                <w:rFonts w:ascii="Calibri" w:hAnsi="Calibri"/>
                <w:color w:val="172033"/>
                <w:sz w:val="17"/>
              </w:rPr>
              <w:t>Twice the overlap divided by combined mask area</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Ground-truth coverage</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0.3073</w:t>
            </w:r>
          </w:p>
        </w:tc>
        <w:tc>
          <w:tcPr>
            <w:tcW w:type="dxa" w:w="4860"/>
            <w:vAlign w:val="center"/>
            <w:tcMar>
              <w:top w:w="80" w:type="dxa"/>
              <w:start w:w="120" w:type="dxa"/>
              <w:bottom w:w="80" w:type="dxa"/>
              <w:end w:w="120" w:type="dxa"/>
            </w:tcMar>
          </w:tcPr>
          <w:p>
            <w:pPr>
              <w:spacing w:after="0" w:line="240" w:lineRule="auto"/>
            </w:pPr>
            <w:r/>
            <w:r>
              <w:rPr>
                <w:rFonts w:ascii="Calibri" w:hAnsi="Calibri"/>
                <w:color w:val="172033"/>
                <w:sz w:val="17"/>
              </w:rPr>
              <w:t>Fraction of labelled defect pixels captured</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Ground-truth area ratio</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0.1089</w:t>
            </w:r>
          </w:p>
        </w:tc>
        <w:tc>
          <w:tcPr>
            <w:tcW w:type="dxa" w:w="4860"/>
            <w:vAlign w:val="center"/>
            <w:shd w:fill="F3F5F8"/>
            <w:tcMar>
              <w:top w:w="80" w:type="dxa"/>
              <w:start w:w="120" w:type="dxa"/>
              <w:bottom w:w="80" w:type="dxa"/>
              <w:end w:w="120" w:type="dxa"/>
            </w:tcMar>
          </w:tcPr>
          <w:p>
            <w:pPr>
              <w:spacing w:after="0" w:line="240" w:lineRule="auto"/>
            </w:pPr>
            <w:r/>
            <w:r>
              <w:rPr>
                <w:rFonts w:ascii="Calibri" w:hAnsi="Calibri"/>
                <w:color w:val="172033"/>
                <w:sz w:val="17"/>
              </w:rPr>
              <w:t>Labelled defect area relative to image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Predicted area ratio</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0.0370</w:t>
            </w:r>
          </w:p>
        </w:tc>
        <w:tc>
          <w:tcPr>
            <w:tcW w:type="dxa" w:w="4860"/>
            <w:vAlign w:val="center"/>
            <w:tcMar>
              <w:top w:w="80" w:type="dxa"/>
              <w:start w:w="120" w:type="dxa"/>
              <w:bottom w:w="80" w:type="dxa"/>
              <w:end w:w="120" w:type="dxa"/>
            </w:tcMar>
          </w:tcPr>
          <w:p>
            <w:pPr>
              <w:spacing w:after="0" w:line="240" w:lineRule="auto"/>
            </w:pPr>
            <w:r/>
            <w:r>
              <w:rPr>
                <w:rFonts w:ascii="Calibri" w:hAnsi="Calibri"/>
                <w:color w:val="172033"/>
                <w:sz w:val="17"/>
              </w:rPr>
              <w:t>Predicted suspicious area relative to image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Predicted center</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x=0.6649, y=0.6854</w:t>
            </w:r>
          </w:p>
        </w:tc>
        <w:tc>
          <w:tcPr>
            <w:tcW w:type="dxa" w:w="486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Normalized defect-mask centroid</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Critical location</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True</w:t>
            </w:r>
          </w:p>
        </w:tc>
        <w:tc>
          <w:tcPr>
            <w:tcW w:type="dxa" w:w="4860"/>
            <w:vAlign w:val="center"/>
            <w:tcMar>
              <w:top w:w="80" w:type="dxa"/>
              <w:start w:w="120" w:type="dxa"/>
              <w:bottom w:w="80" w:type="dxa"/>
              <w:end w:w="120" w:type="dxa"/>
            </w:tcMar>
          </w:tcPr>
          <w:p>
            <w:pPr>
              <w:spacing w:after="0" w:line="240" w:lineRule="auto"/>
            </w:pPr>
            <w:r/>
            <w:r>
              <w:rPr>
                <w:rFonts w:ascii="Calibri" w:hAnsi="Calibri"/>
                <w:color w:val="172033"/>
                <w:sz w:val="17"/>
              </w:rPr>
              <w:t>Predicted region intersects configured center/edge critical zones</w:t>
            </w:r>
          </w:p>
        </w:tc>
      </w:tr>
    </w:tbl>
    <w:p>
      <w:pPr>
        <w:pStyle w:val="Heading2"/>
      </w:pPr>
      <w:r>
        <w:t>10.3 Explainability fields used later</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0E7490"/>
            <w:vAlign w:val="center"/>
            <w:tcMar>
              <w:top w:w="80" w:type="dxa"/>
              <w:start w:w="120" w:type="dxa"/>
              <w:bottom w:w="80" w:type="dxa"/>
              <w:end w:w="120" w:type="dxa"/>
            </w:tcMar>
          </w:tcPr>
          <w:p>
            <w:pPr>
              <w:spacing w:after="0"/>
            </w:pPr>
            <w:r/>
            <w:r>
              <w:rPr>
                <w:rFonts w:ascii="Calibri" w:hAnsi="Calibri"/>
                <w:b/>
                <w:color w:val="FFFFFF"/>
                <w:sz w:val="18"/>
              </w:rPr>
              <w:t>Field</w:t>
            </w:r>
          </w:p>
        </w:tc>
        <w:tc>
          <w:tcPr>
            <w:tcW w:type="dxa" w:w="6360"/>
            <w:shd w:fill="0E7490"/>
            <w:vAlign w:val="center"/>
            <w:tcMar>
              <w:top w:w="80" w:type="dxa"/>
              <w:start w:w="120" w:type="dxa"/>
              <w:bottom w:w="80" w:type="dxa"/>
              <w:end w:w="120" w:type="dxa"/>
            </w:tcMar>
          </w:tcPr>
          <w:p>
            <w:pPr>
              <w:spacing w:after="0"/>
            </w:pPr>
            <w:r/>
            <w:r>
              <w:rPr>
                <w:rFonts w:ascii="Calibri" w:hAnsi="Calibri"/>
                <w:b/>
                <w:color w:val="FFFFFF"/>
                <w:sz w:val="18"/>
              </w:rPr>
              <w:t>QA meaning</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Heatmap P95</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95th percentile anomaly-map intensity</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Defect area</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Fraction of predicted-mask pixels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Critical zone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Whether the mask intersects product-configured QA zones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Decision threshold</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Exact threshold applied by the active detector/calibrator</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Decision basis</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Spatial calibrator or direct score threshold</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8"/>
              </w:rPr>
              <w:t>Fallback status</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8"/>
              </w:rPr>
              <w:t>Whether the result came from the requested advanced model</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8"/>
              </w:rPr>
              <w:t>Notes</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8"/>
              </w:rPr>
              <w:t>Human-readable reasons for Good, Defective, Review, or Fail behavior</w:t>
            </w:r>
          </w:p>
        </w:tc>
      </w:tr>
    </w:tbl>
    <w:p>
      <w:pPr>
        <w:spacing w:before="120" w:after="160"/>
        <w:ind w:left="173" w:right="173"/>
        <w:shd w:fill="FFF7E6"/>
        <w:pBdr>
          <w:left w:val="single" w:sz="24" w:space="8" w:color="A16207"/>
        </w:pBdr>
      </w:pPr>
      <w:r>
        <w:rPr>
          <w:rFonts w:ascii="Calibri" w:hAnsi="Calibri"/>
          <w:b/>
          <w:color w:val="A16207"/>
        </w:rPr>
        <w:t xml:space="preserve">Localization finding: </w:t>
      </w:r>
      <w:r>
        <w:rPr>
          <w:rFonts w:ascii="Calibri" w:hAnsi="Calibri"/>
          <w:color w:val="172033"/>
        </w:rPr>
        <w:t>The demonstrated mask does not cover the entire labelled bottle defect. This is not hidden: the IoU, Dice, and coverage values quantify the gap and justify continued localization refinement.</w:t>
      </w:r>
    </w:p>
    <w:p>
      <w:pPr>
        <w:pStyle w:val="Heading1"/>
      </w:pPr>
      <w:r>
        <w:t>11. Runtime Portability and Fallback Behavior</w:t>
      </w:r>
    </w:p>
    <w:p>
      <w:pPr>
        <w:pStyle w:val="Heading2"/>
      </w:pPr>
      <w:r>
        <w:t>11.1 Advanced engine selection</w:t>
      </w:r>
    </w:p>
    <w:p>
      <w:pPr>
        <w:pStyle w:val="ListNumber"/>
        <w:spacing w:after="80" w:line="276" w:lineRule="auto"/>
        <w:ind w:left="720" w:hanging="360"/>
      </w:pPr>
      <w:r>
        <w:rPr>
          <w:rFonts w:ascii="Calibri" w:hAnsi="Calibri"/>
          <w:color w:val="172033"/>
        </w:rPr>
        <w:t>Validate the image path and selected MVTec category.</w:t>
      </w:r>
    </w:p>
    <w:p>
      <w:pPr>
        <w:pStyle w:val="ListNumber"/>
        <w:spacing w:after="80" w:line="276" w:lineRule="auto"/>
        <w:ind w:left="720" w:hanging="360"/>
      </w:pPr>
      <w:r>
        <w:rPr>
          <w:rFonts w:ascii="Calibri" w:hAnsi="Calibri"/>
          <w:color w:val="172033"/>
        </w:rPr>
        <w:t>Read the category's model family, threshold, and artifact paths from the registry.</w:t>
      </w:r>
    </w:p>
    <w:p>
      <w:pPr>
        <w:pStyle w:val="ListNumber"/>
        <w:spacing w:after="80" w:line="276" w:lineRule="auto"/>
        <w:ind w:left="720" w:hanging="360"/>
      </w:pPr>
      <w:r>
        <w:rPr>
          <w:rFonts w:ascii="Calibri" w:hAnsi="Calibri"/>
          <w:color w:val="172033"/>
        </w:rPr>
        <w:t>Use the OpenVINO model when a complete `.xml` and `.bin` pair exists.</w:t>
      </w:r>
    </w:p>
    <w:p>
      <w:pPr>
        <w:pStyle w:val="ListNumber"/>
        <w:spacing w:after="80" w:line="276" w:lineRule="auto"/>
        <w:ind w:left="720" w:hanging="360"/>
      </w:pPr>
      <w:r>
        <w:rPr>
          <w:rFonts w:ascii="Calibri" w:hAnsi="Calibri"/>
          <w:color w:val="172033"/>
        </w:rPr>
        <w:t>Otherwise load the PaDiM/PatchCore `.ckpt` through Anomalib when present.</w:t>
      </w:r>
    </w:p>
    <w:p>
      <w:pPr>
        <w:pStyle w:val="ListNumber"/>
        <w:spacing w:after="80" w:line="276" w:lineRule="auto"/>
        <w:ind w:left="720" w:hanging="360"/>
      </w:pPr>
      <w:r>
        <w:rPr>
          <w:rFonts w:ascii="Calibri" w:hAnsi="Calibri"/>
          <w:color w:val="172033"/>
        </w:rPr>
        <w:t>Return score, map, mask, confidence, and engine metadata.</w:t>
      </w:r>
    </w:p>
    <w:p>
      <w:pPr>
        <w:pStyle w:val="ListNumber"/>
        <w:spacing w:after="80" w:line="276" w:lineRule="auto"/>
        <w:ind w:left="720" w:hanging="360"/>
      </w:pPr>
      <w:r>
        <w:rPr>
          <w:rFonts w:ascii="Calibri" w:hAnsi="Calibri"/>
          <w:color w:val="172033"/>
        </w:rPr>
        <w:t>If advanced inference raises `PadimInferenceError`, run the category portable baseline and set `fallback_used=true` with the reason.</w:t>
      </w:r>
    </w:p>
    <w:p>
      <w:pPr>
        <w:pStyle w:val="Heading2"/>
      </w:pPr>
      <w:r>
        <w:t>11.2 Source-control packaging</w:t>
      </w:r>
    </w:p>
    <w:tbl>
      <w:tblPr>
        <w:tblStyle w:val="TableGrid"/>
        <w:tblW w:type="dxa" w:w="9360"/>
        <w:jc w:val="left"/>
        <w:tblLayout w:type="fixed"/>
        <w:tblLook w:firstColumn="1" w:firstRow="1" w:lastColumn="0" w:lastRow="0" w:noHBand="0" w:noVBand="1" w:val="04A0"/>
        <w:tblInd w:type="dxa" w:w="120"/>
      </w:tblPr>
      <w:tblGrid>
        <w:gridCol w:w="2700"/>
        <w:gridCol w:w="1500"/>
        <w:gridCol w:w="5160"/>
      </w:tblGrid>
      <w:tr>
        <w:trPr>
          <w:tblHeader w:val="true"/>
        </w:trPr>
        <w:tc>
          <w:tcPr>
            <w:tcW w:type="dxa" w:w="2700"/>
            <w:shd w:fill="0F2942"/>
            <w:vAlign w:val="center"/>
            <w:tcMar>
              <w:top w:w="80" w:type="dxa"/>
              <w:start w:w="120" w:type="dxa"/>
              <w:bottom w:w="80" w:type="dxa"/>
              <w:end w:w="120" w:type="dxa"/>
            </w:tcMar>
          </w:tcPr>
          <w:p>
            <w:pPr>
              <w:spacing w:after="0"/>
            </w:pPr>
            <w:r/>
            <w:r>
              <w:rPr>
                <w:rFonts w:ascii="Calibri" w:hAnsi="Calibri"/>
                <w:b/>
                <w:color w:val="FFFFFF"/>
                <w:sz w:val="18"/>
              </w:rPr>
              <w:t>Artifact</w:t>
            </w:r>
          </w:p>
        </w:tc>
        <w:tc>
          <w:tcPr>
            <w:tcW w:type="dxa" w:w="1500"/>
            <w:shd w:fill="0F2942"/>
            <w:vAlign w:val="center"/>
            <w:tcMar>
              <w:top w:w="80" w:type="dxa"/>
              <w:start w:w="120" w:type="dxa"/>
              <w:bottom w:w="80" w:type="dxa"/>
              <w:end w:w="120" w:type="dxa"/>
            </w:tcMar>
          </w:tcPr>
          <w:p>
            <w:pPr>
              <w:spacing w:after="0"/>
            </w:pPr>
            <w:r/>
            <w:r>
              <w:rPr>
                <w:rFonts w:ascii="Calibri" w:hAnsi="Calibri"/>
                <w:b/>
                <w:color w:val="FFFFFF"/>
                <w:sz w:val="18"/>
              </w:rPr>
              <w:t>Branch state</w:t>
            </w:r>
          </w:p>
        </w:tc>
        <w:tc>
          <w:tcPr>
            <w:tcW w:type="dxa" w:w="5160"/>
            <w:shd w:fill="0F2942"/>
            <w:vAlign w:val="center"/>
            <w:tcMar>
              <w:top w:w="80" w:type="dxa"/>
              <w:start w:w="120" w:type="dxa"/>
              <w:bottom w:w="80" w:type="dxa"/>
              <w:end w:w="120" w:type="dxa"/>
            </w:tcMar>
          </w:tcPr>
          <w:p>
            <w:pPr>
              <w:spacing w:after="0"/>
            </w:pPr>
            <w:r/>
            <w:r>
              <w:rPr>
                <w:rFonts w:ascii="Calibri" w:hAnsi="Calibri"/>
                <w:b/>
                <w:color w:val="FFFFFF"/>
                <w:sz w:val="18"/>
              </w:rPr>
              <w:t>Runtime/documentation role</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Category metadata</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Committed</w:t>
            </w:r>
          </w:p>
        </w:tc>
        <w:tc>
          <w:tcPr>
            <w:tcW w:type="dxa" w:w="5160"/>
            <w:vAlign w:val="center"/>
            <w:tcMar>
              <w:top w:w="80" w:type="dxa"/>
              <w:start w:w="120" w:type="dxa"/>
              <w:bottom w:w="80" w:type="dxa"/>
              <w:end w:w="120" w:type="dxa"/>
            </w:tcMar>
          </w:tcPr>
          <w:p>
            <w:pPr>
              <w:spacing w:after="0" w:line="240" w:lineRule="auto"/>
            </w:pPr>
            <w:r/>
            <w:r>
              <w:rPr>
                <w:rFonts w:ascii="Calibri" w:hAnsi="Calibri"/>
                <w:color w:val="172033"/>
                <w:sz w:val="18"/>
              </w:rPr>
              <w:t>Metrics, thresholds, benchmark comparison, and provenance</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Category registry</w:t>
            </w:r>
          </w:p>
        </w:tc>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Committed</w:t>
            </w:r>
          </w:p>
        </w:tc>
        <w:tc>
          <w:tcPr>
            <w:tcW w:type="dxa" w:w="5160"/>
            <w:vAlign w:val="center"/>
            <w:shd w:fill="F3F5F8"/>
            <w:tcMar>
              <w:top w:w="80" w:type="dxa"/>
              <w:start w:w="120" w:type="dxa"/>
              <w:bottom w:w="80" w:type="dxa"/>
              <w:end w:w="120" w:type="dxa"/>
            </w:tcMar>
          </w:tcPr>
          <w:p>
            <w:pPr>
              <w:spacing w:after="0" w:line="240" w:lineRule="auto"/>
            </w:pPr>
            <w:r/>
            <w:r>
              <w:rPr>
                <w:rFonts w:ascii="Calibri" w:hAnsi="Calibri"/>
                <w:color w:val="172033"/>
                <w:sz w:val="18"/>
              </w:rPr>
              <w:t>Runtime model selection and artifact paths</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Cable OpenVINO IR</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Committed</w:t>
            </w:r>
          </w:p>
        </w:tc>
        <w:tc>
          <w:tcPr>
            <w:tcW w:type="dxa" w:w="5160"/>
            <w:vAlign w:val="center"/>
            <w:tcMar>
              <w:top w:w="80" w:type="dxa"/>
              <w:start w:w="120" w:type="dxa"/>
              <w:bottom w:w="80" w:type="dxa"/>
              <w:end w:w="120" w:type="dxa"/>
            </w:tcMar>
          </w:tcPr>
          <w:p>
            <w:pPr>
              <w:spacing w:after="0" w:line="240" w:lineRule="auto"/>
            </w:pPr>
            <w:r/>
            <w:r>
              <w:rPr>
                <w:rFonts w:ascii="Calibri" w:hAnsi="Calibri"/>
                <w:color w:val="172033"/>
                <w:sz w:val="18"/>
              </w:rPr>
              <w:t>Executable CPU advanced detector</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Cable calibrator</w:t>
            </w:r>
          </w:p>
        </w:tc>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Committed</w:t>
            </w:r>
          </w:p>
        </w:tc>
        <w:tc>
          <w:tcPr>
            <w:tcW w:type="dxa" w:w="5160"/>
            <w:vAlign w:val="center"/>
            <w:shd w:fill="F3F5F8"/>
            <w:tcMar>
              <w:top w:w="80" w:type="dxa"/>
              <w:start w:w="120" w:type="dxa"/>
              <w:bottom w:w="80" w:type="dxa"/>
              <w:end w:w="120" w:type="dxa"/>
            </w:tcMar>
          </w:tcPr>
          <w:p>
            <w:pPr>
              <w:spacing w:after="0" w:line="240" w:lineRule="auto"/>
            </w:pPr>
            <w:r/>
            <w:r>
              <w:rPr>
                <w:rFonts w:ascii="Calibri" w:hAnsi="Calibri"/>
                <w:color w:val="172033"/>
                <w:sz w:val="18"/>
              </w:rPr>
              <w:t>Portable spatial decision model</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8"/>
              </w:rPr>
              <w:t>PaDiM/PatchCore checkpoints</w:t>
            </w:r>
          </w:p>
        </w:tc>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Excluded</w:t>
            </w:r>
          </w:p>
        </w:tc>
        <w:tc>
          <w:tcPr>
            <w:tcW w:type="dxa" w:w="5160"/>
            <w:vAlign w:val="center"/>
            <w:tcMar>
              <w:top w:w="80" w:type="dxa"/>
              <w:start w:w="120" w:type="dxa"/>
              <w:bottom w:w="80" w:type="dxa"/>
              <w:end w:w="120" w:type="dxa"/>
            </w:tcMar>
          </w:tcPr>
          <w:p>
            <w:pPr>
              <w:spacing w:after="0" w:line="240" w:lineRule="auto"/>
            </w:pPr>
            <w:r/>
            <w:r>
              <w:rPr>
                <w:rFonts w:ascii="Calibri" w:hAnsi="Calibri"/>
                <w:color w:val="172033"/>
                <w:sz w:val="18"/>
              </w:rPr>
              <w:t>Heavy training artifacts regenerated or distributed separately</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8"/>
              </w:rPr>
              <w:t>Portable normal profiles</w:t>
            </w:r>
          </w:p>
        </w:tc>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Committed</w:t>
            </w:r>
          </w:p>
        </w:tc>
        <w:tc>
          <w:tcPr>
            <w:tcW w:type="dxa" w:w="5160"/>
            <w:vAlign w:val="center"/>
            <w:shd w:fill="F3F5F8"/>
            <w:tcMar>
              <w:top w:w="80" w:type="dxa"/>
              <w:start w:w="120" w:type="dxa"/>
              <w:bottom w:w="80" w:type="dxa"/>
              <w:end w:w="120" w:type="dxa"/>
            </w:tcMar>
          </w:tcPr>
          <w:p>
            <w:pPr>
              <w:spacing w:after="0" w:line="240" w:lineRule="auto"/>
            </w:pPr>
            <w:r/>
            <w:r>
              <w:rPr>
                <w:rFonts w:ascii="Calibri" w:hAnsi="Calibri"/>
                <w:color w:val="172033"/>
                <w:sz w:val="18"/>
              </w:rPr>
              <w:t>Fallback coverage for all categories</w:t>
            </w:r>
          </w:p>
        </w:tc>
      </w:tr>
    </w:tbl>
    <w:p>
      <w:pPr>
        <w:pStyle w:val="Heading2"/>
      </w:pPr>
      <w:r>
        <w:t>11.3 Why fallback is not silent</w:t>
      </w:r>
    </w:p>
    <w:p>
      <w:r>
        <w:rPr>
          <w:rFonts w:ascii="Calibri" w:hAnsi="Calibri"/>
          <w:color w:val="172033"/>
        </w:rPr>
        <w:t>A missing advanced checkpoint must not be reported as if PaDiM or PatchCore ran. The result records the actual engine, fallback flag, and failure reason. This protects demos and deployments from overstating the active model and lets administrators distinguish model-quality errors from packaging or infrastructure errors.</w:t>
      </w:r>
    </w:p>
    <w:p>
      <w:pPr>
        <w:spacing w:before="100" w:after="160" w:line="252" w:lineRule="auto"/>
        <w:ind w:left="259" w:right="259"/>
        <w:shd w:fill="EEF1F5"/>
      </w:pPr>
      <w:r>
        <w:rPr>
          <w:rFonts w:ascii="Consolas" w:hAnsi="Consolas"/>
          <w:color w:val="0F2942"/>
          <w:sz w:val="17"/>
        </w:rPr>
        <w:t>{</w:t>
        <w:br/>
        <w:t xml:space="preserve">  "active_inference_engine": "portable_baseline",</w:t>
        <w:br/>
        <w:t xml:space="preserve">  "fallback_used": true,</w:t>
        <w:br/>
        <w:t xml:space="preserve">  "fallback_reason": "PaDiM checkpoint not found: ..."</w:t>
        <w:br/>
        <w:t>}</w:t>
      </w:r>
    </w:p>
    <w:p>
      <w:pPr>
        <w:pStyle w:val="Heading1"/>
      </w:pPr>
      <w:r>
        <w:t>12. Testing and Reproducibility</w:t>
      </w:r>
    </w:p>
    <w:p>
      <w:pPr>
        <w:pStyle w:val="Heading2"/>
      </w:pPr>
      <w:r>
        <w:t>12.1 Focused automated tests</w:t>
      </w:r>
    </w:p>
    <w:p>
      <w:r>
        <w:rPr>
          <w:rFonts w:ascii="Calibri" w:hAnsi="Calibri"/>
          <w:color w:val="172033"/>
        </w:rPr>
        <w:t>The focused command validates heatmap behavior, mask overlap metrics, k-fold helpers, portable artifact availability, advanced prediction contracts, OpenVINO spatial features, explainability, and explicit fallback semantics. Fourteen tests passed. One controlled skip covers an environment-dependent artifact case and is not a failed assertion.</w:t>
      </w:r>
    </w:p>
    <w:p>
      <w:pPr>
        <w:keepNext/>
        <w:jc w:val="center"/>
      </w:pPr>
      <w:r>
        <w:drawing>
          <wp:inline xmlns:a="http://schemas.openxmlformats.org/drawingml/2006/main" xmlns:pic="http://schemas.openxmlformats.org/drawingml/2006/picture">
            <wp:extent cx="6080760" cy="2026920"/>
            <wp:docPr id="10" name="Picture 10" descr="Focused Milestone 2 automated test result"/>
            <wp:cNvGraphicFramePr>
              <a:graphicFrameLocks noChangeAspect="1"/>
            </wp:cNvGraphicFramePr>
            <a:graphic>
              <a:graphicData uri="http://schemas.openxmlformats.org/drawingml/2006/picture">
                <pic:pic>
                  <pic:nvPicPr>
                    <pic:cNvPr id="0" name="milestone2_pytest.png"/>
                    <pic:cNvPicPr/>
                  </pic:nvPicPr>
                  <pic:blipFill>
                    <a:blip r:embed="rId20"/>
                    <a:stretch>
                      <a:fillRect/>
                    </a:stretch>
                  </pic:blipFill>
                  <pic:spPr>
                    <a:xfrm>
                      <a:off x="0" y="0"/>
                      <a:ext cx="6080760" cy="2026920"/>
                    </a:xfrm>
                    <a:prstGeom prst="rect"/>
                  </pic:spPr>
                </pic:pic>
              </a:graphicData>
            </a:graphic>
          </wp:inline>
        </w:drawing>
      </w:r>
    </w:p>
    <w:p>
      <w:pPr>
        <w:pStyle w:val="Caption"/>
        <w:spacing w:before="60" w:after="140"/>
        <w:jc w:val="center"/>
      </w:pPr>
      <w:r>
        <w:rPr>
          <w:rFonts w:ascii="Calibri" w:hAnsi="Calibri"/>
          <w:b/>
          <w:color w:val="0F2942"/>
          <w:sz w:val="18"/>
        </w:rPr>
        <w:t>Figure 10. Focused Milestone 2 automated test result</w:t>
      </w:r>
      <w:r>
        <w:rPr>
          <w:rFonts w:ascii="Calibri" w:hAnsi="Calibri"/>
          <w:i/>
          <w:color w:val="5F6B7A"/>
          <w:sz w:val="16"/>
        </w:rPr>
        <w:br/>
        <w:t>Source: Focused automated test command output.</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val="true"/>
        </w:trPr>
        <w:tc>
          <w:tcPr>
            <w:tcW w:type="dxa" w:w="3100"/>
            <w:shd w:fill="0F2942"/>
            <w:vAlign w:val="center"/>
            <w:tcMar>
              <w:top w:w="80" w:type="dxa"/>
              <w:start w:w="120" w:type="dxa"/>
              <w:bottom w:w="80" w:type="dxa"/>
              <w:end w:w="120" w:type="dxa"/>
            </w:tcMar>
          </w:tcPr>
          <w:p>
            <w:pPr>
              <w:spacing w:after="0"/>
            </w:pPr>
            <w:r/>
            <w:r>
              <w:rPr>
                <w:rFonts w:ascii="Calibri" w:hAnsi="Calibri"/>
                <w:b/>
                <w:color w:val="FFFFFF"/>
                <w:sz w:val="17"/>
              </w:rPr>
              <w:t>Test area</w:t>
            </w:r>
          </w:p>
        </w:tc>
        <w:tc>
          <w:tcPr>
            <w:tcW w:type="dxa" w:w="6260"/>
            <w:shd w:fill="0F2942"/>
            <w:vAlign w:val="center"/>
            <w:tcMar>
              <w:top w:w="80" w:type="dxa"/>
              <w:start w:w="120" w:type="dxa"/>
              <w:bottom w:w="80" w:type="dxa"/>
              <w:end w:w="120" w:type="dxa"/>
            </w:tcMar>
          </w:tcPr>
          <w:p>
            <w:pPr>
              <w:spacing w:after="0"/>
            </w:pPr>
            <w:r/>
            <w:r>
              <w:rPr>
                <w:rFonts w:ascii="Calibri" w:hAnsi="Calibri"/>
                <w:b/>
                <w:color w:val="FFFFFF"/>
                <w:sz w:val="17"/>
              </w:rPr>
              <w:t>Behavior protected</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Heatmap normalization</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7"/>
              </w:rPr>
              <w:t>Finite, correctly shaped anomaly visualizations</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Zero-map behavior</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7"/>
              </w:rPr>
              <w:t>Good images do not receive a false blue heatmap tint</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Mask metrics</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7"/>
              </w:rPr>
              <w:t>IoU, Dice, and overlay behavior</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K-fold utilities</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7"/>
              </w:rPr>
              <w:t>Stable threshold and metric aggregation helpers</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Portable runtime</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7"/>
              </w:rPr>
              <w:t>Every category has baseline artifacts when advanced files are absent</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OpenVINO features</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7"/>
              </w:rPr>
              <w:t>Fixed-length finite spatial feature vector</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Prediction contract</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7"/>
              </w:rPr>
              <w:t>Detection confidence remains separate from subtype confidence</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Explainability</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Decision basis, threshold, and spatial evidence are described</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Fallback</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7"/>
              </w:rPr>
              <w:t>Missing advanced artifact is recorded rather than hidden</w:t>
            </w:r>
          </w:p>
        </w:tc>
      </w:tr>
    </w:tbl>
    <w:p>
      <w:pPr>
        <w:pStyle w:val="Heading2"/>
      </w:pPr>
      <w:r>
        <w:t>12.2 Notebook reproduction</w:t>
      </w:r>
    </w:p>
    <w:p>
      <w:pPr>
        <w:spacing w:before="100" w:after="160" w:line="252" w:lineRule="auto"/>
        <w:ind w:left="259" w:right="259"/>
        <w:shd w:fill="EEF1F5"/>
      </w:pPr>
      <w:r>
        <w:rPr>
          <w:rFonts w:ascii="Consolas" w:hAnsi="Consolas"/>
          <w:color w:val="0F2942"/>
          <w:sz w:val="17"/>
        </w:rPr>
        <w:t>python -m pip install -r requirements-ai.txt</w:t>
        <w:br/>
        <w:t>$env:MVTEC_DATASET_ROOT = 'C:\path\to\mvtec_anomaly_detection'</w:t>
        <w:br/>
        <w:t>jupyter nbconvert --to notebook --execute --inplace notebooks/03_advanced_anomaly_detectors.ipynb</w:t>
        <w:br/>
        <w:t>jupyter nbconvert --to notebook --execute --inplace notebooks/05_localization_and_explainability.ipynb</w:t>
        <w:br/>
        <w:t>jupyter nbconvert --to notebook --execute --inplace notebooks/07_training_benchmarking_and_calibration.ipynb</w:t>
      </w:r>
    </w:p>
    <w:p>
      <w:r>
        <w:rPr>
          <w:rFonts w:ascii="Calibri" w:hAnsi="Calibri"/>
          <w:color w:val="172033"/>
        </w:rPr>
        <w:t>The notebooks read real MVTec data and committed metadata, show evidence inline, and do not write screenshot, CSV, JSON report, or chart files to external result folders. Heavy training is performed intentionally through scripts rather than rerun every time the presentation notebooks execute.</w:t>
      </w:r>
    </w:p>
    <w:p>
      <w:pPr>
        <w:pStyle w:val="Heading1"/>
      </w:pPr>
      <w:r>
        <w:t>13. Risks, Limitations, and Mitigations</w:t>
      </w:r>
    </w:p>
    <w:tbl>
      <w:tblPr>
        <w:tblStyle w:val="TableGrid"/>
        <w:tblW w:type="dxa" w:w="9360"/>
        <w:jc w:val="left"/>
        <w:tblLayout w:type="fixed"/>
        <w:tblLook w:firstColumn="1" w:firstRow="1" w:lastColumn="0" w:lastRow="0" w:noHBand="0" w:noVBand="1" w:val="04A0"/>
        <w:tblInd w:type="dxa" w:w="120"/>
      </w:tblPr>
      <w:tblGrid>
        <w:gridCol w:w="2100"/>
        <w:gridCol w:w="3100"/>
        <w:gridCol w:w="4160"/>
      </w:tblGrid>
      <w:tr>
        <w:trPr>
          <w:tblHeader w:val="true"/>
        </w:trPr>
        <w:tc>
          <w:tcPr>
            <w:tcW w:type="dxa" w:w="2100"/>
            <w:shd w:fill="0F2942"/>
            <w:vAlign w:val="center"/>
            <w:tcMar>
              <w:top w:w="80" w:type="dxa"/>
              <w:start w:w="120" w:type="dxa"/>
              <w:bottom w:w="80" w:type="dxa"/>
              <w:end w:w="120" w:type="dxa"/>
            </w:tcMar>
          </w:tcPr>
          <w:p>
            <w:pPr>
              <w:spacing w:after="0"/>
            </w:pPr>
            <w:r/>
            <w:r>
              <w:rPr>
                <w:rFonts w:ascii="Calibri" w:hAnsi="Calibri"/>
                <w:b/>
                <w:color w:val="FFFFFF"/>
                <w:sz w:val="16"/>
              </w:rPr>
              <w:t>Risk</w:t>
            </w:r>
          </w:p>
        </w:tc>
        <w:tc>
          <w:tcPr>
            <w:tcW w:type="dxa" w:w="3100"/>
            <w:shd w:fill="0F2942"/>
            <w:vAlign w:val="center"/>
            <w:tcMar>
              <w:top w:w="80" w:type="dxa"/>
              <w:start w:w="120" w:type="dxa"/>
              <w:bottom w:w="80" w:type="dxa"/>
              <w:end w:w="120" w:type="dxa"/>
            </w:tcMar>
          </w:tcPr>
          <w:p>
            <w:pPr>
              <w:spacing w:after="0"/>
            </w:pPr>
            <w:r/>
            <w:r>
              <w:rPr>
                <w:rFonts w:ascii="Calibri" w:hAnsi="Calibri"/>
                <w:b/>
                <w:color w:val="FFFFFF"/>
                <w:sz w:val="16"/>
              </w:rPr>
              <w:t>Impact</w:t>
            </w:r>
          </w:p>
        </w:tc>
        <w:tc>
          <w:tcPr>
            <w:tcW w:type="dxa" w:w="4160"/>
            <w:shd w:fill="0F2942"/>
            <w:vAlign w:val="center"/>
            <w:tcMar>
              <w:top w:w="80" w:type="dxa"/>
              <w:start w:w="120" w:type="dxa"/>
              <w:bottom w:w="80" w:type="dxa"/>
              <w:end w:w="120" w:type="dxa"/>
            </w:tcMar>
          </w:tcPr>
          <w:p>
            <w:pPr>
              <w:spacing w:after="0"/>
            </w:pPr>
            <w:r/>
            <w:r>
              <w:rPr>
                <w:rFonts w:ascii="Calibri" w:hAnsi="Calibri"/>
                <w:b/>
                <w:color w:val="FFFFFF"/>
                <w:sz w:val="16"/>
              </w:rPr>
              <w:t>Mitigation</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Missing heavy checkpoints</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6"/>
              </w:rPr>
              <w:t>Most promoted advanced models cannot run from this branch alone</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6"/>
              </w:rPr>
              <w:t>Distribute artifacts separately or export additional OpenVINO models; retain explicit baseline fallback</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Single advanced deployment</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6"/>
              </w:rPr>
              <w:t>Only cable has committed OpenVINO IR</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6"/>
              </w:rPr>
              <w:t>Prioritize export/parity checks for the next most valuable categories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Pixel F1 variation</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6"/>
              </w:rPr>
              <w:t>Exact masks may under-cover or over-cover defects</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6"/>
              </w:rPr>
              <w:t>Tune pixel thresholds and evaluate IoU/Dice per category and subtype</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Validation provenance</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Metrics use labelled MVTec test folders</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6"/>
              </w:rPr>
              <w:t>Describe as project validation and run factory-specific acceptance testing later</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Category selection error</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6"/>
              </w:rPr>
              <w:t>Wrong category uses wrong normal representation</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6"/>
              </w:rPr>
              <w:t>Require category input and reject unsupported/mismatched records</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 confidence</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6"/>
              </w:rPr>
              <w:t>Distance-based confidence is not a safety probability</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6"/>
              </w:rPr>
              <w:t>Keep score and threshold visible and calibrate with production data</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Lighting and pose shift</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6"/>
              </w:rPr>
              <w:t>Factory conditions may alter anomaly maps</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6"/>
              </w:rPr>
              <w:t>Control acquisition and collect line-specific normal data</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Runtime latency</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Patch memory and first model load can be costly</w:t>
            </w:r>
          </w:p>
        </w:tc>
        <w:tc>
          <w:tcPr>
            <w:tcW w:type="dxa" w:w="4160"/>
            <w:vAlign w:val="center"/>
            <w:shd w:fill="F3F5F8"/>
            <w:tcMar>
              <w:top w:w="80" w:type="dxa"/>
              <w:start w:w="120" w:type="dxa"/>
              <w:bottom w:w="80" w:type="dxa"/>
              <w:end w:w="120" w:type="dxa"/>
            </w:tcMar>
          </w:tcPr>
          <w:p>
            <w:pPr>
              <w:spacing w:after="0" w:line="240" w:lineRule="auto"/>
            </w:pPr>
            <w:r/>
            <w:r>
              <w:rPr>
                <w:rFonts w:ascii="Calibri" w:hAnsi="Calibri"/>
                <w:color w:val="172033"/>
                <w:sz w:val="16"/>
              </w:rPr>
              <w:t>Use cached compiled OpenVINO runtime and warm service instances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Dataset license</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6"/>
              </w:rPr>
              <w:t>MVTec data cannot be assumed commercially redistributable</w:t>
            </w:r>
          </w:p>
        </w:tc>
        <w:tc>
          <w:tcPr>
            <w:tcW w:type="dxa" w:w="4160"/>
            <w:vAlign w:val="center"/>
            <w:tcMar>
              <w:top w:w="80" w:type="dxa"/>
              <w:start w:w="120" w:type="dxa"/>
              <w:bottom w:w="80" w:type="dxa"/>
              <w:end w:w="120" w:type="dxa"/>
            </w:tcMar>
          </w:tcPr>
          <w:p>
            <w:pPr>
              <w:spacing w:after="0" w:line="240" w:lineRule="auto"/>
            </w:pPr>
            <w:r/>
            <w:r>
              <w:rPr>
                <w:rFonts w:ascii="Calibri" w:hAnsi="Calibri"/>
                <w:color w:val="172033"/>
                <w:sz w:val="16"/>
              </w:rPr>
              <w:t>Keep dataset outside source control and review license conditions</w:t>
            </w:r>
          </w:p>
        </w:tc>
      </w:tr>
    </w:tbl>
    <w:p>
      <w:pPr>
        <w:pStyle w:val="Heading2"/>
      </w:pPr>
      <w:r>
        <w:t>13.1 Engineering controls already implemented</w:t>
      </w:r>
    </w:p>
    <w:p>
      <w:pPr>
        <w:pStyle w:val="ListBullet"/>
        <w:spacing w:after="80" w:line="276" w:lineRule="auto"/>
        <w:ind w:left="720" w:hanging="360"/>
      </w:pPr>
      <w:r>
        <w:rPr>
          <w:rFonts w:ascii="Calibri" w:hAnsi="Calibri"/>
          <w:color w:val="172033"/>
        </w:rPr>
        <w:t>Registry validation rejects unsupported categories.</w:t>
      </w:r>
    </w:p>
    <w:p>
      <w:pPr>
        <w:pStyle w:val="ListBullet"/>
        <w:spacing w:after="80" w:line="276" w:lineRule="auto"/>
        <w:ind w:left="720" w:hanging="360"/>
      </w:pPr>
      <w:r>
        <w:rPr>
          <w:rFonts w:ascii="Calibri" w:hAnsi="Calibri"/>
          <w:color w:val="172033"/>
        </w:rPr>
        <w:t>OpenVINO requires a complete XML/BIN pair before runtime readiness is reported.</w:t>
      </w:r>
    </w:p>
    <w:p>
      <w:pPr>
        <w:pStyle w:val="ListBullet"/>
        <w:spacing w:after="80" w:line="276" w:lineRule="auto"/>
        <w:ind w:left="720" w:hanging="360"/>
      </w:pPr>
      <w:r>
        <w:rPr>
          <w:rFonts w:ascii="Calibri" w:hAnsi="Calibri"/>
          <w:color w:val="172033"/>
        </w:rPr>
        <w:t>Checkpoint-loading and prediction errors use a dedicated `PadimInferenceError`.</w:t>
      </w:r>
    </w:p>
    <w:p>
      <w:pPr>
        <w:pStyle w:val="ListBullet"/>
        <w:spacing w:after="80" w:line="276" w:lineRule="auto"/>
        <w:ind w:left="720" w:hanging="360"/>
      </w:pPr>
      <w:r>
        <w:rPr>
          <w:rFonts w:ascii="Calibri" w:hAnsi="Calibri"/>
          <w:color w:val="172033"/>
        </w:rPr>
        <w:t>Runtime outputs identify the actual engine and fallback state.</w:t>
      </w:r>
    </w:p>
    <w:p>
      <w:pPr>
        <w:pStyle w:val="ListBullet"/>
        <w:spacing w:after="80" w:line="276" w:lineRule="auto"/>
        <w:ind w:left="720" w:hanging="360"/>
      </w:pPr>
      <w:r>
        <w:rPr>
          <w:rFonts w:ascii="Calibri" w:hAnsi="Calibri"/>
          <w:color w:val="172033"/>
        </w:rPr>
        <w:t>Anomaly maps and masks remain available for manual QA review.</w:t>
      </w:r>
    </w:p>
    <w:p>
      <w:pPr>
        <w:pStyle w:val="ListBullet"/>
        <w:spacing w:after="80" w:line="276" w:lineRule="auto"/>
        <w:ind w:left="720" w:hanging="360"/>
      </w:pPr>
      <w:r>
        <w:rPr>
          <w:rFonts w:ascii="Calibri" w:hAnsi="Calibri"/>
          <w:color w:val="172033"/>
        </w:rPr>
        <w:t>Threshold provenance and benchmark results remain attached to model metadata.</w:t>
      </w:r>
    </w:p>
    <w:p>
      <w:pPr>
        <w:pStyle w:val="ListBullet"/>
        <w:spacing w:after="80" w:line="276" w:lineRule="auto"/>
        <w:ind w:left="720" w:hanging="360"/>
      </w:pPr>
      <w:r>
        <w:rPr>
          <w:rFonts w:ascii="Calibri" w:hAnsi="Calibri"/>
          <w:color w:val="172033"/>
        </w:rPr>
        <w:t>Weak pixel-level results and incomplete checkpoint packaging are explicitly documented.</w:t>
      </w:r>
    </w:p>
    <w:p>
      <w:pPr>
        <w:pStyle w:val="Heading1"/>
      </w:pPr>
      <w:r>
        <w:t>14. Milestone Completion and Handover</w:t>
      </w:r>
    </w:p>
    <w:p>
      <w:pPr>
        <w:pStyle w:val="Heading2"/>
      </w:pPr>
      <w:r>
        <w:t>14.1 Completed deliverables</w:t>
      </w:r>
    </w:p>
    <w:tbl>
      <w:tblPr>
        <w:tblStyle w:val="TableGrid"/>
        <w:tblW w:type="dxa" w:w="9360"/>
        <w:jc w:val="left"/>
        <w:tblLayout w:type="fixed"/>
        <w:tblLook w:firstColumn="1" w:firstRow="1" w:lastColumn="0" w:lastRow="0" w:noHBand="0" w:noVBand="1" w:val="04A0"/>
        <w:tblInd w:type="dxa" w:w="120"/>
      </w:tblPr>
      <w:tblGrid>
        <w:gridCol w:w="2450"/>
        <w:gridCol w:w="5860"/>
        <w:gridCol w:w="1050"/>
      </w:tblGrid>
      <w:tr>
        <w:trPr>
          <w:tblHeader w:val="true"/>
        </w:trPr>
        <w:tc>
          <w:tcPr>
            <w:tcW w:type="dxa" w:w="2450"/>
            <w:shd w:fill="0F2942"/>
            <w:vAlign w:val="center"/>
            <w:tcMar>
              <w:top w:w="80" w:type="dxa"/>
              <w:start w:w="120" w:type="dxa"/>
              <w:bottom w:w="80" w:type="dxa"/>
              <w:end w:w="120" w:type="dxa"/>
            </w:tcMar>
          </w:tcPr>
          <w:p>
            <w:pPr>
              <w:spacing w:after="0"/>
            </w:pPr>
            <w:r/>
            <w:r>
              <w:rPr>
                <w:rFonts w:ascii="Calibri" w:hAnsi="Calibri"/>
                <w:b/>
                <w:color w:val="FFFFFF"/>
                <w:sz w:val="17"/>
              </w:rPr>
              <w:t>Deliverable</w:t>
            </w:r>
          </w:p>
        </w:tc>
        <w:tc>
          <w:tcPr>
            <w:tcW w:type="dxa" w:w="5860"/>
            <w:shd w:fill="0F2942"/>
            <w:vAlign w:val="center"/>
            <w:tcMar>
              <w:top w:w="80" w:type="dxa"/>
              <w:start w:w="120" w:type="dxa"/>
              <w:bottom w:w="80" w:type="dxa"/>
              <w:end w:w="120" w:type="dxa"/>
            </w:tcMar>
          </w:tcPr>
          <w:p>
            <w:pPr>
              <w:spacing w:after="0"/>
            </w:pPr>
            <w:r/>
            <w:r>
              <w:rPr>
                <w:rFonts w:ascii="Calibri" w:hAnsi="Calibri"/>
                <w:b/>
                <w:color w:val="FFFFFF"/>
                <w:sz w:val="17"/>
              </w:rPr>
              <w:t>Evidence</w:t>
            </w:r>
          </w:p>
        </w:tc>
        <w:tc>
          <w:tcPr>
            <w:tcW w:type="dxa" w:w="105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Advanced model definitions</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PaDiM and PatchCore through Anomalib</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registry</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15 promoted model selections and thresholds</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Candidate benchmarking</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Stored comparisons for cable, grid, hazelnut, and screw</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evaluation</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Image/pixel metrics for all 15 categories</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Threshold calibration</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14 category holdout records plus bottle legacy metrics</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runtime</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 PatchCore OpenVINO and spatial calibrator</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Localization</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Map, mask, heatmap, overlap, area, and critical-zone evidence</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Fallback behavior</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Explicit advanced-to-portable runtime path</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7"/>
              </w:rPr>
              <w:t>Notebook evidence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7"/>
              </w:rPr>
              <w:t>Three executed Milestone 2 notebooks with inline output</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testing</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7"/>
              </w:rPr>
              <w:t>14 passed and 1 controlled skip</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Complete</w:t>
            </w:r>
          </w:p>
        </w:tc>
      </w:tr>
    </w:tbl>
    <w:p>
      <w:pPr>
        <w:pStyle w:val="Heading2"/>
      </w:pPr>
      <w:r>
        <w:t>14.2 Handover to Milestone 3</w:t>
      </w:r>
    </w:p>
    <w:p>
      <w:r>
        <w:rPr>
          <w:rFonts w:ascii="Calibri" w:hAnsi="Calibri"/>
          <w:color w:val="172033"/>
        </w:rPr>
        <w:t>Milestone 2 hands forward a category-aware binary anomaly decision, detection confidence, anomaly score, localized mask, heatmap, area ratio, centroid, critical-zone status, engine identity, and fallback provenance. Milestone 3 adds defect subtype classification and severity/QA decision policy to this evidence. It must keep detection confidence separate from subtype confidence and must not invent a subtype when the classifier artifact is missing or uncertain.</w:t>
      </w:r>
    </w:p>
    <w:p>
      <w:pPr>
        <w:pStyle w:val="Heading2"/>
      </w:pPr>
      <w:r>
        <w:t>14.3 Final outcome</w:t>
      </w:r>
    </w:p>
    <w:p>
      <w:pPr>
        <w:spacing w:before="120" w:after="160"/>
        <w:ind w:left="173" w:right="173"/>
        <w:shd w:fill="EAF7EF"/>
        <w:pBdr>
          <w:left w:val="single" w:sz="24" w:space="8" w:color="15803D"/>
        </w:pBdr>
      </w:pPr>
      <w:r>
        <w:rPr>
          <w:rFonts w:ascii="Calibri" w:hAnsi="Calibri"/>
          <w:b/>
          <w:color w:val="15803D"/>
        </w:rPr>
        <w:t xml:space="preserve">Milestone conclusion: </w:t>
      </w:r>
      <w:r>
        <w:rPr>
          <w:rFonts w:ascii="Calibri" w:hAnsi="Calibri"/>
          <w:color w:val="172033"/>
        </w:rPr>
        <w:t>VisionInspect AI now has a measured advanced anomaly-detection layer across all 15 MVTec categories, category-specific model promotion, calibrated decisions, explainable localization, one executable advanced OpenVINO path, and a transparent portable fallback. The remaining packaging and pixel-overlap limitations are quantified and carried into later milestones.</w:t>
      </w:r>
    </w:p>
    <w:p>
      <w:pPr>
        <w:pStyle w:val="Heading1"/>
        <w:pageBreakBefore/>
      </w:pPr>
      <w:r>
        <w:t>References</w:t>
      </w:r>
    </w:p>
    <w:p>
      <w:r>
        <w:rPr>
          <w:rFonts w:ascii="Calibri" w:hAnsi="Calibri"/>
          <w:color w:val="172033"/>
        </w:rPr>
        <w:t>[1] T. Defard, A. Setkov, A. Loesch, and R. Audigier, 'PaDiM: a Patch Distribution Modeling Framework for Anomaly Detection and Localization,' ICPR Workshops, 2021. https://arxiv.org/abs/2011.08785</w:t>
      </w:r>
    </w:p>
    <w:p>
      <w:r>
        <w:rPr>
          <w:rFonts w:ascii="Calibri" w:hAnsi="Calibri"/>
          <w:color w:val="172033"/>
        </w:rPr>
        <w:t>[2] K. Roth, L. Pemula, J. Zepeda, B. Scholkopf, T. Brox, and P. Gehler, 'Towards Total Recall in Industrial Anomaly Detection,' CVPR, 2022, pp. 14318-14328. https://openaccess.thecvf.com/content/CVPR2022/html/Roth_Towards_Total_Recall_in_Industrial_Anomaly_Detection_CVPR_2022_paper.html</w:t>
      </w:r>
    </w:p>
    <w:p>
      <w:r>
        <w:rPr>
          <w:rFonts w:ascii="Calibri" w:hAnsi="Calibri"/>
          <w:color w:val="172033"/>
        </w:rPr>
        <w:t>[3] Anomalib documentation, Engine, model training, prediction, post-processing, and OpenVINO export. https://anomalib.readthedocs.io/</w:t>
      </w:r>
    </w:p>
    <w:p>
      <w:r>
        <w:rPr>
          <w:rFonts w:ascii="Calibri" w:hAnsi="Calibri"/>
          <w:color w:val="172033"/>
        </w:rPr>
        <w:t>[4] OpenVINO documentation, model preparation and Intermediate Representation. https://docs.openvino.ai/2025/documentation.html</w:t>
      </w:r>
    </w:p>
    <w:p>
      <w:r>
        <w:rPr>
          <w:rFonts w:ascii="Calibri" w:hAnsi="Calibri"/>
          <w:color w:val="172033"/>
        </w:rPr>
        <w:t>[5] P. Bergmann, M. Fauser, D. Sattlegger, and C. Steger, 'MVTec AD - A Comprehensive Real-World Dataset for Unsupervised Anomaly Detection,' CVPR, 2019. https://www.mvtec.com/research-teaching/datasets/mvtec</w:t>
      </w:r>
    </w:p>
    <w:p>
      <w:r>
        <w:rPr>
          <w:rFonts w:ascii="Calibri" w:hAnsi="Calibri"/>
          <w:color w:val="172033"/>
        </w:rPr>
        <w:t>[6] VisionInspect AI Member 4 source repository, branch Himanshu-parhi-ai/ml, files under ml/, models/, notebooks/, scripts/, and tests/.</w:t>
      </w:r>
    </w:p>
    <w:p>
      <w:r>
        <w:rPr>
          <w:rFonts w:ascii="Calibri" w:hAnsi="Calibri"/>
          <w:color w:val="172033"/>
        </w:rPr>
        <w:t>[7] VisionInspect AI executed notebooks 03, 05, and 07 plus category model metadata.</w:t>
      </w:r>
    </w:p>
    <w:p>
      <w:pPr>
        <w:pStyle w:val="Heading1"/>
        <w:pageBreakBefore/>
      </w:pPr>
      <w:r>
        <w:t>Appendix A. Code and Artifact Inventory</w:t>
      </w:r>
    </w:p>
    <w:tbl>
      <w:tblPr>
        <w:tblStyle w:val="TableGrid"/>
        <w:tblW w:type="dxa" w:w="9360"/>
        <w:jc w:val="left"/>
        <w:tblLayout w:type="fixed"/>
        <w:tblLook w:firstColumn="1" w:firstRow="1" w:lastColumn="0" w:lastRow="0" w:noHBand="0" w:noVBand="1" w:val="04A0"/>
        <w:tblInd w:type="dxa" w:w="120"/>
      </w:tblPr>
      <w:tblGrid>
        <w:gridCol w:w="1400"/>
        <w:gridCol w:w="4100"/>
        <w:gridCol w:w="3860"/>
      </w:tblGrid>
      <w:tr>
        <w:trPr>
          <w:tblHeader w:val="true"/>
        </w:trPr>
        <w:tc>
          <w:tcPr>
            <w:tcW w:type="dxa" w:w="1400"/>
            <w:shd w:fill="0F2942"/>
            <w:vAlign w:val="center"/>
            <w:tcMar>
              <w:top w:w="80" w:type="dxa"/>
              <w:start w:w="120" w:type="dxa"/>
              <w:bottom w:w="80" w:type="dxa"/>
              <w:end w:w="120" w:type="dxa"/>
            </w:tcMar>
          </w:tcPr>
          <w:p>
            <w:pPr>
              <w:spacing w:after="0"/>
            </w:pPr>
            <w:r/>
            <w:r>
              <w:rPr>
                <w:rFonts w:ascii="Calibri" w:hAnsi="Calibri"/>
                <w:b/>
                <w:color w:val="FFFFFF"/>
                <w:sz w:val="15"/>
              </w:rPr>
              <w:t>Type</w:t>
            </w:r>
          </w:p>
        </w:tc>
        <w:tc>
          <w:tcPr>
            <w:tcW w:type="dxa" w:w="4100"/>
            <w:shd w:fill="0F2942"/>
            <w:vAlign w:val="center"/>
            <w:tcMar>
              <w:top w:w="80" w:type="dxa"/>
              <w:start w:w="120" w:type="dxa"/>
              <w:bottom w:w="80" w:type="dxa"/>
              <w:end w:w="120" w:type="dxa"/>
            </w:tcMar>
          </w:tcPr>
          <w:p>
            <w:pPr>
              <w:spacing w:after="0"/>
            </w:pPr>
            <w:r/>
            <w:r>
              <w:rPr>
                <w:rFonts w:ascii="Calibri" w:hAnsi="Calibri"/>
                <w:b/>
                <w:color w:val="FFFFFF"/>
                <w:sz w:val="15"/>
              </w:rPr>
              <w:t>Path</w:t>
            </w:r>
          </w:p>
        </w:tc>
        <w:tc>
          <w:tcPr>
            <w:tcW w:type="dxa" w:w="3860"/>
            <w:shd w:fill="0F2942"/>
            <w:vAlign w:val="center"/>
            <w:tcMar>
              <w:top w:w="80" w:type="dxa"/>
              <w:start w:w="120" w:type="dxa"/>
              <w:bottom w:w="80" w:type="dxa"/>
              <w:end w:w="120" w:type="dxa"/>
            </w:tcMar>
          </w:tcPr>
          <w:p>
            <w:pPr>
              <w:spacing w:after="0"/>
            </w:pPr>
            <w:r/>
            <w:r>
              <w:rPr>
                <w:rFonts w:ascii="Calibri" w:hAnsi="Calibri"/>
                <w:b/>
                <w:color w:val="FFFFFF"/>
                <w:sz w:val="15"/>
              </w:rPr>
              <w:t>Milestone 2 responsibility</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ml/anomalib_trainer.py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Build advanced datamodule, model, preprocessor, and engine</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ml/padim_detector.py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Anomalib/OpenVINO prediction and spatial calibration</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ml/model_registry.py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Category model selection and artifact readiness</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ml/inference.py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Advanced selection, fallback, and output contract</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ml/heatmap.py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Heatmaps, overlays, IoU, and Dice</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scripts/train_category_models.py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Train category models</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scripts/benchmark_category_models.py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Compare advanced candidates</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scripts/promote_category_benchmarks.py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Promote selected candidate</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scripts/calibrate_category_thresholds.py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Calibrate score/spatial decisions</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scripts/export_openvino.py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Export checkpoints to OpenVINO IR</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models/category_model_registry.json</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Selected model and threshold per category</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models/categories/*/model_metadata.json</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Metrics, calibration, and benchmark provenance</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models/exported/cable/weights/openvino/model.xml + model.bin</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Executable cable advanced model</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models/categories/cable/openvino_calibrator.npz</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Portable cable spatial calibrator</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Notebook</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notebooks/03_advanced_anomaly_detectors.ipynb</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Registry, metrics, and advanced runtime evidence</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Notebook</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notebooks/05_localization_and_explainability.ipynb</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Ground-truth localization evidence</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Notebook</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notebooks/07_training_benchmarking_and_calibration.ipynb</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Scripts, benchmarks, and calibration evidence</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tests/test_heatmap.py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Heatmap and localization behavior</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tests/test_kfold_validation.py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Validation helpers</w:t>
            </w:r>
          </w:p>
        </w:tc>
      </w:tr>
      <w:tr>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1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tests/test_portable_runtime.py</w:t>
            </w:r>
          </w:p>
        </w:tc>
        <w:tc>
          <w:tcPr>
            <w:tcW w:type="dxa" w:w="386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 and fallback portability</w:t>
            </w:r>
          </w:p>
        </w:tc>
      </w:tr>
      <w:tr>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100"/>
            <w:vAlign w:val="center"/>
            <w:tcMar>
              <w:top w:w="80" w:type="dxa"/>
              <w:start w:w="120" w:type="dxa"/>
              <w:bottom w:w="80" w:type="dxa"/>
              <w:end w:w="120" w:type="dxa"/>
            </w:tcMar>
          </w:tcPr>
          <w:p>
            <w:pPr>
              <w:spacing w:after="0" w:line="240" w:lineRule="auto"/>
            </w:pPr>
            <w:r/>
            <w:r>
              <w:rPr>
                <w:rFonts w:ascii="Calibri" w:hAnsi="Calibri"/>
                <w:color w:val="172033"/>
                <w:sz w:val="15"/>
              </w:rPr>
              <w:t>tests/test_prediction.py</w:t>
            </w:r>
          </w:p>
        </w:tc>
        <w:tc>
          <w:tcPr>
            <w:tcW w:type="dxa" w:w="3860"/>
            <w:vAlign w:val="center"/>
            <w:tcMar>
              <w:top w:w="80" w:type="dxa"/>
              <w:start w:w="120" w:type="dxa"/>
              <w:bottom w:w="80" w:type="dxa"/>
              <w:end w:w="120" w:type="dxa"/>
            </w:tcMar>
          </w:tcPr>
          <w:p>
            <w:pPr>
              <w:spacing w:after="0" w:line="240" w:lineRule="auto"/>
            </w:pPr>
            <w:r/>
            <w:r>
              <w:rPr>
                <w:rFonts w:ascii="Calibri" w:hAnsi="Calibri"/>
                <w:color w:val="172033"/>
                <w:sz w:val="15"/>
              </w:rPr>
              <w:t>Advanced runtime and explainability contract</w:t>
            </w:r>
          </w:p>
        </w:tc>
      </w:tr>
    </w:tbl>
    <w:p>
      <w:pPr>
        <w:pStyle w:val="Heading1"/>
        <w:pageBreakBefore/>
      </w:pPr>
      <w:r>
        <w:t>Appendix B. Evidence Index</w:t>
      </w:r>
    </w:p>
    <w:tbl>
      <w:tblPr>
        <w:tblStyle w:val="TableGrid"/>
        <w:tblW w:type="dxa" w:w="9360"/>
        <w:jc w:val="left"/>
        <w:tblLayout w:type="fixed"/>
        <w:tblLook w:firstColumn="1" w:firstRow="1" w:lastColumn="0" w:lastRow="0" w:noHBand="0" w:noVBand="1" w:val="04A0"/>
        <w:tblInd w:type="dxa" w:w="120"/>
      </w:tblPr>
      <w:tblGrid>
        <w:gridCol w:w="3000"/>
        <w:gridCol w:w="2400"/>
        <w:gridCol w:w="3960"/>
      </w:tblGrid>
      <w:tr>
        <w:trPr>
          <w:tblHeader w:val="true"/>
        </w:trPr>
        <w:tc>
          <w:tcPr>
            <w:tcW w:type="dxa" w:w="3000"/>
            <w:shd w:fill="0E7490"/>
            <w:vAlign w:val="center"/>
            <w:tcMar>
              <w:top w:w="80" w:type="dxa"/>
              <w:start w:w="120" w:type="dxa"/>
              <w:bottom w:w="80" w:type="dxa"/>
              <w:end w:w="120" w:type="dxa"/>
            </w:tcMar>
          </w:tcPr>
          <w:p>
            <w:pPr>
              <w:spacing w:after="0"/>
            </w:pPr>
            <w:r/>
            <w:r>
              <w:rPr>
                <w:rFonts w:ascii="Calibri" w:hAnsi="Calibri"/>
                <w:b/>
                <w:color w:val="FFFFFF"/>
                <w:sz w:val="17"/>
              </w:rPr>
              <w:t>Evidence</w:t>
            </w:r>
          </w:p>
        </w:tc>
        <w:tc>
          <w:tcPr>
            <w:tcW w:type="dxa" w:w="2400"/>
            <w:shd w:fill="0E7490"/>
            <w:vAlign w:val="center"/>
            <w:tcMar>
              <w:top w:w="80" w:type="dxa"/>
              <w:start w:w="120" w:type="dxa"/>
              <w:bottom w:w="80" w:type="dxa"/>
              <w:end w:w="120" w:type="dxa"/>
            </w:tcMar>
          </w:tcPr>
          <w:p>
            <w:pPr>
              <w:spacing w:after="0"/>
            </w:pPr>
            <w:r/>
            <w:r>
              <w:rPr>
                <w:rFonts w:ascii="Calibri" w:hAnsi="Calibri"/>
                <w:b/>
                <w:color w:val="FFFFFF"/>
                <w:sz w:val="17"/>
              </w:rPr>
              <w:t>Source</w:t>
            </w:r>
          </w:p>
        </w:tc>
        <w:tc>
          <w:tcPr>
            <w:tcW w:type="dxa" w:w="3960"/>
            <w:shd w:fill="0E7490"/>
            <w:vAlign w:val="center"/>
            <w:tcMar>
              <w:top w:w="80" w:type="dxa"/>
              <w:start w:w="120" w:type="dxa"/>
              <w:bottom w:w="80" w:type="dxa"/>
              <w:end w:w="120" w:type="dxa"/>
            </w:tcMar>
          </w:tcPr>
          <w:p>
            <w:pPr>
              <w:spacing w:after="0"/>
            </w:pPr>
            <w:r/>
            <w:r>
              <w:rPr>
                <w:rFonts w:ascii="Calibri" w:hAnsi="Calibri"/>
                <w:b/>
                <w:color w:val="FFFFFF"/>
                <w:sz w:val="17"/>
              </w:rPr>
              <w:t>What it proves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Model-selection diagram</w:t>
            </w:r>
          </w:p>
        </w:tc>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Registry + metadata</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12 PaDiM and 3 PatchCore selections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metric chart</w:t>
            </w:r>
          </w:p>
        </w:tc>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03</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All-category image and pixel evaluation</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Candidate benchmark chart/table</w:t>
            </w:r>
          </w:p>
        </w:tc>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Notebook 07 metadata</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Why selected candidates were promoted</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Calibration diagram/table</w:t>
            </w:r>
          </w:p>
        </w:tc>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07 + script</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Threshold development and holdout protocol</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Cable confusion matrix</w:t>
            </w:r>
          </w:p>
        </w:tc>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Cable metadata</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Spatial-calibrator out-of-fold behavior</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Advanced runtime panel</w:t>
            </w:r>
          </w:p>
        </w:tc>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03</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OpenVINO score, anomaly map, and localized heatmap</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Raw inference table</w:t>
            </w:r>
          </w:p>
        </w:tc>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Notebook 03</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Backend-ready advanced result fields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Localization panel</w:t>
            </w:r>
          </w:p>
        </w:tc>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05</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Input, map, heatmap, predicted mask, and ground truth</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Overlap/geometry table</w:t>
            </w:r>
          </w:p>
        </w:tc>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Notebook 05</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IoU, Dice, coverage, area, centroid, and critical zone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test output</w:t>
            </w:r>
          </w:p>
        </w:tc>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Pytest</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14 passed and 1 controlled skip</w:t>
            </w:r>
          </w:p>
        </w:tc>
      </w:tr>
    </w:tbl>
    <w:p>
      <w:pPr>
        <w:jc w:val="center"/>
      </w:pPr>
      <w:r>
        <w:rPr>
          <w:rFonts w:ascii="Calibri" w:hAnsi="Calibri"/>
          <w:color w:val="5F6B7A"/>
          <w:sz w:val="20"/>
        </w:rPr>
        <w:t>End of Milestone 2 documentation.</w:t>
      </w:r>
    </w:p>
    <w:sectPr w:rsidR="00FC693F" w:rsidRPr="0006063C" w:rsidSect="00034616">
      <w:headerReference w:type="default" r:id="rId9"/>
      <w:footerReference w:type="default" r:id="rId10"/>
      <w:pgSz w:w="12240" w:h="15840"/>
      <w:pgMar w:top="1123" w:right="1224" w:bottom="1123" w:left="1224"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Himanshu Sekhar Parhi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7DEE8"/>
      </w:pBdr>
    </w:pPr>
    <w:r>
      <w:rPr>
        <w:rFonts w:ascii="Calibri" w:hAnsi="Calibri"/>
        <w:b/>
        <w:color w:val="5F6B7A"/>
        <w:sz w:val="17"/>
      </w:rPr>
      <w:t>VISIONINSPECT AI  |  AI/ML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0F29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bCs/>
      <w:color w:val="0F294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100"/>
    </w:pPr>
    <w:rPr>
      <w:rFonts w:ascii="Calibri" w:hAnsi="Calibri"/>
      <w: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 Milestone 2: Advanced Anomaly Detection, Localization, and Calibration</dc:title>
  <dc:subject>AI/ML Milestone 2 documentation</dc:subject>
  <dc:creator>Himanshu Sekhar Parhi</dc:creator>
  <cp:keywords>VisionInspect AI, PaDiM, PatchCore, OpenVINO, anomaly localization, calibration</cp:keywords>
  <dc:description>generated by python-docx</dc:description>
  <cp:lastModifiedBy/>
  <cp:revision>1</cp:revision>
  <dcterms:created xsi:type="dcterms:W3CDTF">2013-12-23T23:15:00Z</dcterms:created>
  <dcterms:modified xsi:type="dcterms:W3CDTF">2013-12-23T23:15:00Z</dcterms:modified>
  <cp:category/>
</cp:coreProperties>
</file>