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b/>
          <w:color w:val="0066CC"/>
          <w:sz w:val="64"/>
        </w:rPr>
        <w:t>VisionInspect AI</w:t>
      </w:r>
    </w:p>
    <w:p>
      <w:pPr>
        <w:spacing w:after="480"/>
        <w:jc w:val="center"/>
      </w:pPr>
      <w:r>
        <w:rPr>
          <w:color w:val="5A5A5A"/>
          <w:sz w:val="28"/>
        </w:rPr>
        <w:t>Milestone 2 Documentation: Image Processing, PaDiM Anomaly Detection &amp; Visual Heatmap Localization</w:t>
      </w:r>
    </w:p>
    <w:p>
      <w:r>
        <w:br w:type="page"/>
      </w:r>
    </w:p>
    <w:p>
      <w:pPr>
        <w:pStyle w:val="Heading1"/>
        <w:keepNext/>
        <w:spacing w:before="360" w:after="160"/>
      </w:pPr>
      <w:r>
        <w:rPr>
          <w:rFonts w:ascii="Segoe UI" w:hAnsi="Segoe UI"/>
          <w:b/>
          <w:color w:val="0066CC"/>
          <w:sz w:val="32"/>
        </w:rPr>
        <w:t>1. Executive Summary</w:t>
      </w:r>
    </w:p>
    <w:p>
      <w:r>
        <w:t>Milestone 2 (Weeks 3 &amp; 4) focuses on core computer vision image processing, unsupervised anomaly detection, and visual defect localization. Using Patch Distribution Modeling (PaDiM), the platform learns normal product feature distributions without requiring labeled defect training data.</w:t>
      </w:r>
    </w:p>
    <w:p>
      <w:pPr>
        <w:pStyle w:val="Heading1"/>
        <w:keepNext/>
        <w:spacing w:before="360" w:after="160"/>
      </w:pPr>
      <w:r>
        <w:rPr>
          <w:rFonts w:ascii="Segoe UI" w:hAnsi="Segoe UI"/>
          <w:b/>
          <w:color w:val="0066CC"/>
          <w:sz w:val="32"/>
        </w:rPr>
        <w:t>2. PaDiM Anomaly Detection Architecture</w:t>
      </w:r>
    </w:p>
    <w:p>
      <w:r>
        <w:t>PaDiM extracts patch-level feature embeddings from pre-trained ResNet18 layers (Layer1, Layer2, Layer3). For each pixel position (i, j), feature vectors across normal training images are modeled as a multivariate Gaussian distribution N(μ_{i,j}, Σ_{i,j}). During live inference, the anomaly score map is computed via Mahalanobis distance between test patch embeddings and fitted normal distributions.</w:t>
      </w:r>
    </w:p>
    <w:p>
      <w:pPr>
        <w:pStyle w:val="Heading1"/>
        <w:keepNext/>
        <w:spacing w:before="360" w:after="160"/>
      </w:pPr>
      <w:r>
        <w:rPr>
          <w:rFonts w:ascii="Segoe UI" w:hAnsi="Segoe UI"/>
          <w:b/>
          <w:color w:val="0066CC"/>
          <w:sz w:val="32"/>
        </w:rPr>
        <w:t>3. Peak-Boosted Anomaly Scoring Algorithm</w:t>
      </w:r>
    </w:p>
    <w:p>
      <w:r>
        <w:t>Standard top-1% average scoring dilutes fine, localized industrial defects (such as thin cracks, hairline scratches, severed leads, and broken teeth). To solve this issue, VisionInspect AI implements a Peak-Boosted Anomaly Score formula (`inference.py` &amp; `calibrate_thresholds.py`):</w:t>
      </w:r>
    </w:p>
    <w:p>
      <w:r>
        <w:t>Anomaly Score = 0.60 * Top_0.1%_Peak_Intensity + 0.40 * Top_1.0%_Mean_Intensity</w:t>
      </w:r>
    </w:p>
    <w:p>
      <w:r>
        <w:t>This formula heavily weights sharp localized anomaly peaks (60%) while maintaining overall surface consistency context (40%), resulting in high sensitivity for small defects.</w:t>
      </w:r>
    </w:p>
    <w:p>
      <w:pPr>
        <w:pStyle w:val="Heading1"/>
        <w:keepNext/>
        <w:spacing w:before="360" w:after="160"/>
      </w:pPr>
      <w:r>
        <w:rPr>
          <w:rFonts w:ascii="Segoe UI" w:hAnsi="Segoe UI"/>
          <w:b/>
          <w:color w:val="0066CC"/>
          <w:sz w:val="32"/>
        </w:rPr>
        <w:t>4. Defect Localization &amp; JET Heatmap Overlay</w:t>
      </w:r>
    </w:p>
    <w:p>
      <w:r>
        <w:t>1. Connected Component Contour Analysis (`localization.py`): Applies Gaussian smoothing and adaptive thresholding to identify connected defect pixel regions.</w:t>
        <w:br/>
        <w:t>2. Bounding Box &amp; Centroid Extraction: Measures physical defect area, bounding rectangle coordinates, and location relative to component surface.</w:t>
        <w:br/>
        <w:t>3. JET Colormap Heatmap Generation: Renders high-contrast colormap overlays blending original image content (60%) with anomaly intensity heatmaps (40%).</w:t>
      </w:r>
    </w:p>
    <w:tbl>
      <w:tblPr>
        <w:tblW w:type="auto" w:w="0"/>
        <w:jc w:val="center"/>
        <w:tblLook w:firstColumn="1" w:firstRow="1" w:lastColumn="0" w:lastRow="0" w:noHBand="0" w:noVBand="1" w:val="04A0"/>
      </w:tblPr>
      <w:tblGrid>
        <w:gridCol w:w="9936"/>
      </w:tblGrid>
      <w:tr>
        <w:tc>
          <w:tcPr>
            <w:tcW w:type="dxa" w:w="9936"/>
            <w:shd w:fill="F0F4F8"/>
            <w:tcMar>
              <w:top w:w="140" w:type="dxa"/>
              <w:bottom w:w="140" w:type="dxa"/>
              <w:left w:w="200" w:type="dxa"/>
              <w:right w:w="200" w:type="dxa"/>
            </w:tcMar>
            <w:tcBorders>
              <w:top w:val="none"/>
              <w:left w:val="single" w:sz="24" w:space="0" w:color="0078D4"/>
              <w:bottom w:val="none"/>
              <w:right w:val="none"/>
            </w:tcBorders>
          </w:tcPr>
          <w:p>
            <w:pPr>
              <w:spacing w:before="40" w:after="40"/>
            </w:pPr>
            <w:r>
              <w:rPr>
                <w:rFonts w:ascii="Segoe UI" w:hAnsi="Segoe UI"/>
                <w:b/>
                <w:color w:val="0050A0"/>
                <w:sz w:val="20"/>
              </w:rPr>
              <w:t xml:space="preserve">[MILESTONE 2 COMPLETE] </w:t>
            </w:r>
            <w:r>
              <w:rPr>
                <w:rFonts w:ascii="Segoe UI" w:hAnsi="Segoe UI"/>
                <w:color w:val="282828"/>
                <w:sz w:val="19"/>
              </w:rPr>
              <w:t>PaDiM anomaly detection models for all 15 MVTec AD categories have been trained, saved to models/padim_{cat}.pth, and benchmarked under 850 ms inference latency.</w:t>
            </w:r>
          </w:p>
        </w:tc>
      </w:tr>
    </w:tbl>
    <w:p>
      <w:pPr>
        <w:spacing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323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