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ZilaLens</w:t>
      </w:r>
    </w:p>
    <w:p>
      <w:pPr>
        <w:jc w:val="center"/>
      </w:pPr>
      <w:r>
        <w:rPr>
          <w:b/>
          <w:color w:val="168C8C"/>
          <w:sz w:val="30"/>
        </w:rPr>
        <w:t>Women’s Financial Inclusion and Empowerment Across Indian Districts, NFHS-4 (2015-16) to NFHS-5 (2019-21)</w:t>
      </w:r>
    </w:p>
    <w:p>
      <w:pPr>
        <w:jc w:val="center"/>
      </w:pPr>
      <w:r>
        <w:rPr>
          <w:b/>
          <w:sz w:val="24"/>
        </w:rPr>
        <w:t>Kanishk Gupta</w:t>
      </w:r>
    </w:p>
    <w:p>
      <w:pPr>
        <w:jc w:val="center"/>
      </w:pPr>
      <w:r>
        <w:rPr>
          <w:color w:val="168C8C"/>
        </w:rPr>
        <w:t>https://github.com/GKanishk16</w:t>
      </w:r>
    </w:p>
    <w:p>
      <w:pPr>
        <w:jc w:val="center"/>
      </w:pPr>
      <w:r>
        <w:rPr>
          <w:b/>
          <w:color w:val="C47F17"/>
        </w:rPr>
        <w:t>CONCEPT NOTE DRAFT | PROVISIONAL UP DISTRICTS IDENTIFIED</w:t>
      </w:r>
    </w:p>
    <w:p>
      <w:r>
        <w:t>Proposed 12-month CSR or donor-funded pilot in Shrawasti, Lalitpur, Bahraich, Balrampur and Sitapur, subject to field validation and boundary review. These are the five lowest-ranked districts on a four-indicator NFHS-5 descriptive composite, not a finance index.</w:t>
      </w:r>
    </w:p>
    <w:p>
      <w:r>
        <w:br w:type="page"/>
      </w:r>
    </w:p>
    <w:p>
      <w:pPr>
        <w:pStyle w:val="Heading1"/>
      </w:pPr>
      <w:r>
        <w:t>1. Problem and rationale</w:t>
      </w:r>
    </w:p>
    <w:p>
      <w:r>
        <w:t>Public financial inclusion programmes have expanded formal access, while a woman’s account ownership does not by itself show whether she can use the account regularly, privately, and with control over transactions. ZilaLens proposes a district-focused pilot that will pair quantitative district evidence with field validation before final geographies are chosen. The project name combines “Zila”, Hindi for district, with a district lens on women’s financial inclusion.</w:t>
      </w:r>
    </w:p>
    <w:p>
      <w:r>
        <w:t>The NFHS-4 factsheet compilation contains 59,241 district-indicator rows; the user-supplied NFHS-5 workbook contributes 75,649 rows. In the NFHS-5 four-indicator mean-rank composite, the five lowest-ranked Uttar Pradesh districts are Shrawasti, Lalitpur, Bahraich, Balrampur and Sitapur. These are provisional planning candidates; field validation, local partner capacity and boundary review must inform final selection. (Sources: data/raw/nfhs_district-wise.csv; data/raw/NFHS_5_India_Districts_Factsheet_Data.xls; outputs/tables/up_district_rankings.csv.)</w:t>
      </w:r>
    </w:p>
    <w:p>
      <w:pPr>
        <w:pStyle w:val="Heading1"/>
      </w:pPr>
      <w:r>
        <w:t>2. Goal and objectives</w:t>
      </w:r>
    </w:p>
    <w:p>
      <w:pPr>
        <w:pStyle w:val="ListBullet"/>
      </w:pPr>
      <w:r>
        <w:t>Goal: support women to access and use suitable financial services as part of stronger livelihood resilience.</w:t>
      </w:r>
    </w:p>
    <w:p>
      <w:pPr>
        <w:pStyle w:val="ListBullet"/>
      </w:pPr>
      <w:r>
        <w:t>Objective 1: identify local account ownership, use, control, phone access, and service barriers through district data and field validation.</w:t>
      </w:r>
    </w:p>
    <w:p>
      <w:pPr>
        <w:pStyle w:val="ListBullet"/>
      </w:pPr>
      <w:r>
        <w:t>Objective 2: improve practical use, digital safety, and access to responsive service points in selected districts.</w:t>
      </w:r>
    </w:p>
    <w:p>
      <w:pPr>
        <w:pStyle w:val="ListBullet"/>
      </w:pPr>
      <w:r>
        <w:t>Objective 3: build a simple monitoring system that tracks women’s independent use and service quality, not enrolment alone.</w:t>
      </w:r>
    </w:p>
    <w:p>
      <w:pPr>
        <w:pStyle w:val="Heading1"/>
      </w:pPr>
      <w:r>
        <w:t>3. Intervention and results framework</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pPr>
              <w:spacing w:after="40"/>
            </w:pPr>
            <w:r>
              <w:rPr>
                <w:b/>
                <w:color w:val="FFFFFF"/>
                <w:sz w:val="17"/>
              </w:rPr>
              <w:t>Workstream</w:t>
            </w:r>
          </w:p>
        </w:tc>
        <w:tc>
          <w:tcPr>
            <w:tcW w:type="dxa" w:w="3312"/>
            <w:shd w:fill="17365D"/>
          </w:tcPr>
          <w:p>
            <w:pPr>
              <w:spacing w:after="40"/>
            </w:pPr>
            <w:r>
              <w:rPr>
                <w:b/>
                <w:color w:val="FFFFFF"/>
                <w:sz w:val="17"/>
              </w:rPr>
              <w:t>Activities</w:t>
            </w:r>
          </w:p>
        </w:tc>
        <w:tc>
          <w:tcPr>
            <w:tcW w:type="dxa" w:w="3312"/>
            <w:shd w:fill="17365D"/>
          </w:tcPr>
          <w:p>
            <w:pPr>
              <w:spacing w:after="40"/>
            </w:pPr>
            <w:r>
              <w:rPr>
                <w:b/>
                <w:color w:val="FFFFFF"/>
                <w:sz w:val="17"/>
              </w:rPr>
              <w:t>Proposed measures</w:t>
            </w:r>
          </w:p>
        </w:tc>
      </w:tr>
      <w:tr>
        <w:tc>
          <w:tcPr>
            <w:tcW w:type="dxa" w:w="3312"/>
            <w:vAlign w:val="top"/>
          </w:tcPr>
          <w:p>
            <w:pPr>
              <w:spacing w:after="40"/>
            </w:pPr>
            <w:r>
              <w:rPr>
                <w:sz w:val="17"/>
              </w:rPr>
              <w:t>Local service access</w:t>
            </w:r>
          </w:p>
        </w:tc>
        <w:tc>
          <w:tcPr>
            <w:tcW w:type="dxa" w:w="3312"/>
            <w:vAlign w:val="top"/>
          </w:tcPr>
          <w:p>
            <w:pPr>
              <w:spacing w:after="40"/>
            </w:pPr>
            <w:r>
              <w:rPr>
                <w:sz w:val="17"/>
              </w:rPr>
              <w:t>Map banks/BC points, hours, network, grievance route</w:t>
            </w:r>
          </w:p>
        </w:tc>
        <w:tc>
          <w:tcPr>
            <w:tcW w:type="dxa" w:w="3312"/>
            <w:vAlign w:val="top"/>
          </w:tcPr>
          <w:p>
            <w:pPr>
              <w:spacing w:after="40"/>
            </w:pPr>
            <w:r>
              <w:rPr>
                <w:sz w:val="17"/>
              </w:rPr>
              <w:t>Functional service points; issue resolution</w:t>
            </w:r>
          </w:p>
        </w:tc>
      </w:tr>
      <w:tr>
        <w:tc>
          <w:tcPr>
            <w:tcW w:type="dxa" w:w="3312"/>
            <w:vAlign w:val="top"/>
          </w:tcPr>
          <w:p>
            <w:pPr>
              <w:spacing w:after="40"/>
            </w:pPr>
            <w:r>
              <w:rPr>
                <w:sz w:val="17"/>
              </w:rPr>
              <w:t>Women’s financial capability</w:t>
            </w:r>
          </w:p>
        </w:tc>
        <w:tc>
          <w:tcPr>
            <w:tcW w:type="dxa" w:w="3312"/>
            <w:vAlign w:val="top"/>
          </w:tcPr>
          <w:p>
            <w:pPr>
              <w:spacing w:after="40"/>
            </w:pPr>
            <w:r>
              <w:rPr>
                <w:sz w:val="17"/>
              </w:rPr>
              <w:t>Small-group practice on balances, deposits, withdrawals, transfers and safety</w:t>
            </w:r>
          </w:p>
        </w:tc>
        <w:tc>
          <w:tcPr>
            <w:tcW w:type="dxa" w:w="3312"/>
            <w:vAlign w:val="top"/>
          </w:tcPr>
          <w:p>
            <w:pPr>
              <w:spacing w:after="40"/>
            </w:pPr>
            <w:r>
              <w:rPr>
                <w:sz w:val="17"/>
              </w:rPr>
              <w:t>Independent task completion; knowledge check</w:t>
            </w:r>
          </w:p>
        </w:tc>
      </w:tr>
      <w:tr>
        <w:tc>
          <w:tcPr>
            <w:tcW w:type="dxa" w:w="3312"/>
            <w:vAlign w:val="top"/>
          </w:tcPr>
          <w:p>
            <w:pPr>
              <w:spacing w:after="40"/>
            </w:pPr>
            <w:r>
              <w:rPr>
                <w:sz w:val="17"/>
              </w:rPr>
              <w:t>Peer and referral support</w:t>
            </w:r>
          </w:p>
        </w:tc>
        <w:tc>
          <w:tcPr>
            <w:tcW w:type="dxa" w:w="3312"/>
            <w:vAlign w:val="top"/>
          </w:tcPr>
          <w:p>
            <w:pPr>
              <w:spacing w:after="40"/>
            </w:pPr>
            <w:r>
              <w:rPr>
                <w:sz w:val="17"/>
              </w:rPr>
              <w:t>Train local resource persons; refer service failures and fraud concerns</w:t>
            </w:r>
          </w:p>
        </w:tc>
        <w:tc>
          <w:tcPr>
            <w:tcW w:type="dxa" w:w="3312"/>
            <w:vAlign w:val="top"/>
          </w:tcPr>
          <w:p>
            <w:pPr>
              <w:spacing w:after="40"/>
            </w:pPr>
            <w:r>
              <w:rPr>
                <w:sz w:val="17"/>
              </w:rPr>
              <w:t>Referral completion; participant feedback</w:t>
            </w:r>
          </w:p>
        </w:tc>
      </w:tr>
      <w:tr>
        <w:tc>
          <w:tcPr>
            <w:tcW w:type="dxa" w:w="3312"/>
            <w:vAlign w:val="top"/>
          </w:tcPr>
          <w:p>
            <w:pPr>
              <w:spacing w:after="40"/>
            </w:pPr>
            <w:r>
              <w:rPr>
                <w:sz w:val="17"/>
              </w:rPr>
              <w:t>Monitoring and learning</w:t>
            </w:r>
          </w:p>
        </w:tc>
        <w:tc>
          <w:tcPr>
            <w:tcW w:type="dxa" w:w="3312"/>
            <w:vAlign w:val="top"/>
          </w:tcPr>
          <w:p>
            <w:pPr>
              <w:spacing w:after="40"/>
            </w:pPr>
            <w:r>
              <w:rPr>
                <w:sz w:val="17"/>
              </w:rPr>
              <w:t>Baseline, quarterly checks, endline and adaptation</w:t>
            </w:r>
          </w:p>
        </w:tc>
        <w:tc>
          <w:tcPr>
            <w:tcW w:type="dxa" w:w="3312"/>
            <w:vAlign w:val="top"/>
          </w:tcPr>
          <w:p>
            <w:pPr>
              <w:spacing w:after="40"/>
            </w:pPr>
            <w:r>
              <w:rPr>
                <w:sz w:val="17"/>
              </w:rPr>
              <w:t>Account use, control and satisfaction measures</w:t>
            </w:r>
          </w:p>
        </w:tc>
      </w:tr>
    </w:tbl>
    <w:p>
      <w:r>
        <w:br w:type="page"/>
      </w:r>
    </w:p>
    <w:p>
      <w:pPr>
        <w:pStyle w:val="Heading1"/>
      </w:pPr>
      <w:r>
        <w:t>4. Implementation approach</w:t>
      </w:r>
    </w:p>
    <w:p>
      <w:r>
        <w:t>A local implementation partner would work with district administration, banks, BC networks, women’s collectives, and community organizations. The first two months would confirm district selection, partner capacity, safeguarding, and a service-point map. Months 3–9 would deliver community sessions and assisted practice. Months 10–12 would consolidate referrals, repeat measures, and document adaptations. No direct account opening targets should replace informed choice or service quality.</w:t>
      </w:r>
    </w:p>
    <w:p>
      <w:pPr>
        <w:pStyle w:val="Heading1"/>
      </w:pPr>
      <w:r>
        <w:t>5. Indicative budget</w:t>
      </w:r>
    </w:p>
    <w:p>
      <w:r>
        <w:t>Planning assumption: 4 districts for 12 months; values below are illustrative estimates in Indian rupees and require local costing and donor approval.</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pPr>
              <w:spacing w:after="40"/>
            </w:pPr>
            <w:r>
              <w:rPr>
                <w:b/>
                <w:color w:val="FFFFFF"/>
                <w:sz w:val="17"/>
              </w:rPr>
              <w:t>Cost line</w:t>
            </w:r>
          </w:p>
        </w:tc>
        <w:tc>
          <w:tcPr>
            <w:tcW w:type="dxa" w:w="3312"/>
            <w:shd w:fill="17365D"/>
          </w:tcPr>
          <w:p>
            <w:pPr>
              <w:spacing w:after="40"/>
            </w:pPr>
            <w:r>
              <w:rPr>
                <w:b/>
                <w:color w:val="FFFFFF"/>
                <w:sz w:val="17"/>
              </w:rPr>
              <w:t>Calculation assumption</w:t>
            </w:r>
          </w:p>
        </w:tc>
        <w:tc>
          <w:tcPr>
            <w:tcW w:type="dxa" w:w="3312"/>
            <w:shd w:fill="17365D"/>
          </w:tcPr>
          <w:p>
            <w:pPr>
              <w:spacing w:after="40"/>
            </w:pPr>
            <w:r>
              <w:rPr>
                <w:b/>
                <w:color w:val="FFFFFF"/>
                <w:sz w:val="17"/>
              </w:rPr>
              <w:t>Indicative amount (₹ lakh)</w:t>
            </w:r>
          </w:p>
        </w:tc>
      </w:tr>
      <w:tr>
        <w:tc>
          <w:tcPr>
            <w:tcW w:type="dxa" w:w="3312"/>
            <w:vAlign w:val="top"/>
          </w:tcPr>
          <w:p>
            <w:pPr>
              <w:spacing w:after="40"/>
            </w:pPr>
            <w:r>
              <w:rPr>
                <w:sz w:val="17"/>
              </w:rPr>
              <w:t>District facilitators</w:t>
            </w:r>
          </w:p>
        </w:tc>
        <w:tc>
          <w:tcPr>
            <w:tcW w:type="dxa" w:w="3312"/>
            <w:vAlign w:val="top"/>
          </w:tcPr>
          <w:p>
            <w:pPr>
              <w:spacing w:after="40"/>
            </w:pPr>
            <w:r>
              <w:rPr>
                <w:sz w:val="17"/>
              </w:rPr>
              <w:t>8 facilitators × 12 months × ₹45,000/month</w:t>
            </w:r>
          </w:p>
        </w:tc>
        <w:tc>
          <w:tcPr>
            <w:tcW w:type="dxa" w:w="3312"/>
            <w:vAlign w:val="top"/>
          </w:tcPr>
          <w:p>
            <w:pPr>
              <w:spacing w:after="40"/>
            </w:pPr>
            <w:r>
              <w:rPr>
                <w:sz w:val="17"/>
              </w:rPr>
              <w:t>43.2</w:t>
            </w:r>
          </w:p>
        </w:tc>
      </w:tr>
      <w:tr>
        <w:tc>
          <w:tcPr>
            <w:tcW w:type="dxa" w:w="3312"/>
            <w:vAlign w:val="top"/>
          </w:tcPr>
          <w:p>
            <w:pPr>
              <w:spacing w:after="40"/>
            </w:pPr>
            <w:r>
              <w:rPr>
                <w:sz w:val="17"/>
              </w:rPr>
              <w:t>Training and materials</w:t>
            </w:r>
          </w:p>
        </w:tc>
        <w:tc>
          <w:tcPr>
            <w:tcW w:type="dxa" w:w="3312"/>
            <w:vAlign w:val="top"/>
          </w:tcPr>
          <w:p>
            <w:pPr>
              <w:spacing w:after="40"/>
            </w:pPr>
            <w:r>
              <w:rPr>
                <w:sz w:val="17"/>
              </w:rPr>
              <w:t>40 sessions × ₹35,000</w:t>
            </w:r>
          </w:p>
        </w:tc>
        <w:tc>
          <w:tcPr>
            <w:tcW w:type="dxa" w:w="3312"/>
            <w:vAlign w:val="top"/>
          </w:tcPr>
          <w:p>
            <w:pPr>
              <w:spacing w:after="40"/>
            </w:pPr>
            <w:r>
              <w:rPr>
                <w:sz w:val="17"/>
              </w:rPr>
              <w:t>14.0</w:t>
            </w:r>
          </w:p>
        </w:tc>
      </w:tr>
      <w:tr>
        <w:tc>
          <w:tcPr>
            <w:tcW w:type="dxa" w:w="3312"/>
            <w:vAlign w:val="top"/>
          </w:tcPr>
          <w:p>
            <w:pPr>
              <w:spacing w:after="40"/>
            </w:pPr>
            <w:r>
              <w:rPr>
                <w:sz w:val="17"/>
              </w:rPr>
              <w:t>Travel and field supervision</w:t>
            </w:r>
          </w:p>
        </w:tc>
        <w:tc>
          <w:tcPr>
            <w:tcW w:type="dxa" w:w="3312"/>
            <w:vAlign w:val="top"/>
          </w:tcPr>
          <w:p>
            <w:pPr>
              <w:spacing w:after="40"/>
            </w:pPr>
            <w:r>
              <w:rPr>
                <w:sz w:val="17"/>
              </w:rPr>
              <w:t>4 districts × ₹2.5 lakh/month × 12 months</w:t>
            </w:r>
          </w:p>
        </w:tc>
        <w:tc>
          <w:tcPr>
            <w:tcW w:type="dxa" w:w="3312"/>
            <w:vAlign w:val="top"/>
          </w:tcPr>
          <w:p>
            <w:pPr>
              <w:spacing w:after="40"/>
            </w:pPr>
            <w:r>
              <w:rPr>
                <w:sz w:val="17"/>
              </w:rPr>
              <w:t>120.0</w:t>
            </w:r>
          </w:p>
        </w:tc>
      </w:tr>
      <w:tr>
        <w:tc>
          <w:tcPr>
            <w:tcW w:type="dxa" w:w="3312"/>
            <w:vAlign w:val="top"/>
          </w:tcPr>
          <w:p>
            <w:pPr>
              <w:spacing w:after="40"/>
            </w:pPr>
            <w:r>
              <w:rPr>
                <w:sz w:val="17"/>
              </w:rPr>
              <w:t>Baseline and endline</w:t>
            </w:r>
          </w:p>
        </w:tc>
        <w:tc>
          <w:tcPr>
            <w:tcW w:type="dxa" w:w="3312"/>
            <w:vAlign w:val="top"/>
          </w:tcPr>
          <w:p>
            <w:pPr>
              <w:spacing w:after="40"/>
            </w:pPr>
            <w:r>
              <w:rPr>
                <w:sz w:val="17"/>
              </w:rPr>
              <w:t>Survey design, fieldwork, analysis</w:t>
            </w:r>
          </w:p>
        </w:tc>
        <w:tc>
          <w:tcPr>
            <w:tcW w:type="dxa" w:w="3312"/>
            <w:vAlign w:val="top"/>
          </w:tcPr>
          <w:p>
            <w:pPr>
              <w:spacing w:after="40"/>
            </w:pPr>
            <w:r>
              <w:rPr>
                <w:sz w:val="17"/>
              </w:rPr>
              <w:t>35.0</w:t>
            </w:r>
          </w:p>
        </w:tc>
      </w:tr>
      <w:tr>
        <w:tc>
          <w:tcPr>
            <w:tcW w:type="dxa" w:w="3312"/>
            <w:vAlign w:val="top"/>
          </w:tcPr>
          <w:p>
            <w:pPr>
              <w:spacing w:after="40"/>
            </w:pPr>
            <w:r>
              <w:rPr>
                <w:sz w:val="17"/>
              </w:rPr>
              <w:t>Digital safety and referral support</w:t>
            </w:r>
          </w:p>
        </w:tc>
        <w:tc>
          <w:tcPr>
            <w:tcW w:type="dxa" w:w="3312"/>
            <w:vAlign w:val="top"/>
          </w:tcPr>
          <w:p>
            <w:pPr>
              <w:spacing w:after="40"/>
            </w:pPr>
            <w:r>
              <w:rPr>
                <w:sz w:val="17"/>
              </w:rPr>
              <w:t>Materials, helpdesk linkage, escalation</w:t>
            </w:r>
          </w:p>
        </w:tc>
        <w:tc>
          <w:tcPr>
            <w:tcW w:type="dxa" w:w="3312"/>
            <w:vAlign w:val="top"/>
          </w:tcPr>
          <w:p>
            <w:pPr>
              <w:spacing w:after="40"/>
            </w:pPr>
            <w:r>
              <w:rPr>
                <w:sz w:val="17"/>
              </w:rPr>
              <w:t>12.0</w:t>
            </w:r>
          </w:p>
        </w:tc>
      </w:tr>
      <w:tr>
        <w:tc>
          <w:tcPr>
            <w:tcW w:type="dxa" w:w="3312"/>
            <w:vAlign w:val="top"/>
          </w:tcPr>
          <w:p>
            <w:pPr>
              <w:spacing w:after="40"/>
            </w:pPr>
            <w:r>
              <w:rPr>
                <w:sz w:val="17"/>
              </w:rPr>
              <w:t>Programme management and audit</w:t>
            </w:r>
          </w:p>
        </w:tc>
        <w:tc>
          <w:tcPr>
            <w:tcW w:type="dxa" w:w="3312"/>
            <w:vAlign w:val="top"/>
          </w:tcPr>
          <w:p>
            <w:pPr>
              <w:spacing w:after="40"/>
            </w:pPr>
            <w:r>
              <w:rPr>
                <w:sz w:val="17"/>
              </w:rPr>
              <w:t>Central coordination, safeguarding, audit</w:t>
            </w:r>
          </w:p>
        </w:tc>
        <w:tc>
          <w:tcPr>
            <w:tcW w:type="dxa" w:w="3312"/>
            <w:vAlign w:val="top"/>
          </w:tcPr>
          <w:p>
            <w:pPr>
              <w:spacing w:after="40"/>
            </w:pPr>
            <w:r>
              <w:rPr>
                <w:sz w:val="17"/>
              </w:rPr>
              <w:t>24.0</w:t>
            </w:r>
          </w:p>
        </w:tc>
      </w:tr>
      <w:tr>
        <w:tc>
          <w:tcPr>
            <w:tcW w:type="dxa" w:w="3312"/>
            <w:vAlign w:val="top"/>
          </w:tcPr>
          <w:p>
            <w:pPr>
              <w:spacing w:after="40"/>
            </w:pPr>
            <w:r>
              <w:rPr>
                <w:sz w:val="17"/>
              </w:rPr>
              <w:t>Subtotal</w:t>
            </w:r>
          </w:p>
        </w:tc>
        <w:tc>
          <w:tcPr>
            <w:tcW w:type="dxa" w:w="3312"/>
            <w:vAlign w:val="top"/>
          </w:tcPr>
          <w:p>
            <w:pPr>
              <w:spacing w:after="40"/>
            </w:pPr>
            <w:r>
              <w:rPr>
                <w:sz w:val="17"/>
              </w:rPr>
            </w:r>
          </w:p>
        </w:tc>
        <w:tc>
          <w:tcPr>
            <w:tcW w:type="dxa" w:w="3312"/>
            <w:vAlign w:val="top"/>
          </w:tcPr>
          <w:p>
            <w:pPr>
              <w:spacing w:after="40"/>
            </w:pPr>
            <w:r>
              <w:rPr>
                <w:sz w:val="17"/>
              </w:rPr>
              <w:t>248.2</w:t>
            </w:r>
          </w:p>
        </w:tc>
      </w:tr>
      <w:tr>
        <w:tc>
          <w:tcPr>
            <w:tcW w:type="dxa" w:w="3312"/>
            <w:vAlign w:val="top"/>
          </w:tcPr>
          <w:p>
            <w:pPr>
              <w:spacing w:after="40"/>
            </w:pPr>
            <w:r>
              <w:rPr>
                <w:sz w:val="17"/>
              </w:rPr>
              <w:t>Contingency</w:t>
            </w:r>
          </w:p>
        </w:tc>
        <w:tc>
          <w:tcPr>
            <w:tcW w:type="dxa" w:w="3312"/>
            <w:vAlign w:val="top"/>
          </w:tcPr>
          <w:p>
            <w:pPr>
              <w:spacing w:after="40"/>
            </w:pPr>
            <w:r>
              <w:rPr>
                <w:sz w:val="17"/>
              </w:rPr>
              <w:t>5% of subtotal; planning assumption</w:t>
            </w:r>
          </w:p>
        </w:tc>
        <w:tc>
          <w:tcPr>
            <w:tcW w:type="dxa" w:w="3312"/>
            <w:vAlign w:val="top"/>
          </w:tcPr>
          <w:p>
            <w:pPr>
              <w:spacing w:after="40"/>
            </w:pPr>
            <w:r>
              <w:rPr>
                <w:sz w:val="17"/>
              </w:rPr>
              <w:t>12.4</w:t>
            </w:r>
          </w:p>
        </w:tc>
      </w:tr>
      <w:tr>
        <w:tc>
          <w:tcPr>
            <w:tcW w:type="dxa" w:w="3312"/>
            <w:vAlign w:val="top"/>
          </w:tcPr>
          <w:p>
            <w:pPr>
              <w:spacing w:after="40"/>
            </w:pPr>
            <w:r>
              <w:rPr>
                <w:sz w:val="17"/>
              </w:rPr>
              <w:t>Total</w:t>
            </w:r>
          </w:p>
        </w:tc>
        <w:tc>
          <w:tcPr>
            <w:tcW w:type="dxa" w:w="3312"/>
            <w:vAlign w:val="top"/>
          </w:tcPr>
          <w:p>
            <w:pPr>
              <w:spacing w:after="40"/>
            </w:pPr>
            <w:r>
              <w:rPr>
                <w:sz w:val="17"/>
              </w:rPr>
            </w:r>
          </w:p>
        </w:tc>
        <w:tc>
          <w:tcPr>
            <w:tcW w:type="dxa" w:w="3312"/>
            <w:vAlign w:val="top"/>
          </w:tcPr>
          <w:p>
            <w:pPr>
              <w:spacing w:after="40"/>
            </w:pPr>
            <w:r>
              <w:rPr>
                <w:sz w:val="17"/>
              </w:rPr>
              <w:t>260.6</w:t>
            </w:r>
          </w:p>
        </w:tc>
      </w:tr>
    </w:tbl>
    <w:p>
      <w:pPr>
        <w:pStyle w:val="Heading1"/>
      </w:pPr>
      <w:r>
        <w:t>6. Risks and mitigation</w:t>
      </w:r>
    </w:p>
    <w:tbl>
      <w:tblPr>
        <w:tblStyle w:val="LightShading-Accent1"/>
        <w:tblW w:type="auto" w:w="0"/>
        <w:jc w:val="center"/>
        <w:tblLook w:firstColumn="1" w:firstRow="1" w:lastColumn="0" w:lastRow="0" w:noHBand="0" w:noVBand="1" w:val="04A0"/>
      </w:tblPr>
      <w:tblGrid>
        <w:gridCol w:w="4968"/>
        <w:gridCol w:w="4968"/>
      </w:tblGrid>
      <w:tr>
        <w:tc>
          <w:tcPr>
            <w:tcW w:type="dxa" w:w="4968"/>
            <w:shd w:fill="17365D"/>
          </w:tcPr>
          <w:p>
            <w:pPr>
              <w:spacing w:after="40"/>
            </w:pPr>
            <w:r>
              <w:rPr>
                <w:b/>
                <w:color w:val="FFFFFF"/>
                <w:sz w:val="17"/>
              </w:rPr>
              <w:t>Risk</w:t>
            </w:r>
          </w:p>
        </w:tc>
        <w:tc>
          <w:tcPr>
            <w:tcW w:type="dxa" w:w="4968"/>
            <w:shd w:fill="17365D"/>
          </w:tcPr>
          <w:p>
            <w:pPr>
              <w:spacing w:after="40"/>
            </w:pPr>
            <w:r>
              <w:rPr>
                <w:b/>
                <w:color w:val="FFFFFF"/>
                <w:sz w:val="17"/>
              </w:rPr>
              <w:t>Mitigation</w:t>
            </w:r>
          </w:p>
        </w:tc>
      </w:tr>
      <w:tr>
        <w:tc>
          <w:tcPr>
            <w:tcW w:type="dxa" w:w="4968"/>
            <w:vAlign w:val="top"/>
          </w:tcPr>
          <w:p>
            <w:pPr>
              <w:spacing w:after="40"/>
            </w:pPr>
            <w:r>
              <w:rPr>
                <w:sz w:val="17"/>
              </w:rPr>
              <w:t>Composite omits financial inclusion measures</w:t>
            </w:r>
          </w:p>
        </w:tc>
        <w:tc>
          <w:tcPr>
            <w:tcW w:type="dxa" w:w="4968"/>
            <w:vAlign w:val="top"/>
          </w:tcPr>
          <w:p>
            <w:pPr>
              <w:spacing w:after="40"/>
            </w:pPr>
            <w:r>
              <w:rPr>
                <w:sz w:val="17"/>
              </w:rPr>
              <w:t>Use the ranking only for initial screening; collect account-use and mobile-use evidence before final selection.</w:t>
            </w:r>
          </w:p>
        </w:tc>
      </w:tr>
      <w:tr>
        <w:tc>
          <w:tcPr>
            <w:tcW w:type="dxa" w:w="4968"/>
            <w:vAlign w:val="top"/>
          </w:tcPr>
          <w:p>
            <w:pPr>
              <w:spacing w:after="40"/>
            </w:pPr>
            <w:r>
              <w:rPr>
                <w:sz w:val="17"/>
              </w:rPr>
              <w:t>Women’s account-use interviews lack privacy</w:t>
            </w:r>
          </w:p>
        </w:tc>
        <w:tc>
          <w:tcPr>
            <w:tcW w:type="dxa" w:w="4968"/>
            <w:vAlign w:val="top"/>
          </w:tcPr>
          <w:p>
            <w:pPr>
              <w:spacing w:after="40"/>
            </w:pPr>
            <w:r>
              <w:rPr>
                <w:sz w:val="17"/>
              </w:rPr>
              <w:t>Use trained women enumerators, consent, private interviews and skip options.</w:t>
            </w:r>
          </w:p>
        </w:tc>
      </w:tr>
      <w:tr>
        <w:tc>
          <w:tcPr>
            <w:tcW w:type="dxa" w:w="4968"/>
            <w:vAlign w:val="top"/>
          </w:tcPr>
          <w:p>
            <w:pPr>
              <w:spacing w:after="40"/>
            </w:pPr>
            <w:r>
              <w:rPr>
                <w:sz w:val="17"/>
              </w:rPr>
              <w:t>BC/service point gaps or network outages</w:t>
            </w:r>
          </w:p>
        </w:tc>
        <w:tc>
          <w:tcPr>
            <w:tcW w:type="dxa" w:w="4968"/>
            <w:vAlign w:val="top"/>
          </w:tcPr>
          <w:p>
            <w:pPr>
              <w:spacing w:after="40"/>
            </w:pPr>
            <w:r>
              <w:rPr>
                <w:sz w:val="17"/>
              </w:rPr>
              <w:t>Map service availability; coordinate escalation with bank and telecom partners.</w:t>
            </w:r>
          </w:p>
        </w:tc>
      </w:tr>
      <w:tr>
        <w:tc>
          <w:tcPr>
            <w:tcW w:type="dxa" w:w="4968"/>
            <w:vAlign w:val="top"/>
          </w:tcPr>
          <w:p>
            <w:pPr>
              <w:spacing w:after="40"/>
            </w:pPr>
            <w:r>
              <w:rPr>
                <w:sz w:val="17"/>
              </w:rPr>
              <w:t>Digital fraud or harm</w:t>
            </w:r>
          </w:p>
        </w:tc>
        <w:tc>
          <w:tcPr>
            <w:tcW w:type="dxa" w:w="4968"/>
            <w:vAlign w:val="top"/>
          </w:tcPr>
          <w:p>
            <w:pPr>
              <w:spacing w:after="40"/>
            </w:pPr>
            <w:r>
              <w:rPr>
                <w:sz w:val="17"/>
              </w:rPr>
              <w:t>Teach safety, avoid requesting credentials, and provide verified reporting channels.</w:t>
            </w:r>
          </w:p>
        </w:tc>
      </w:tr>
      <w:tr>
        <w:tc>
          <w:tcPr>
            <w:tcW w:type="dxa" w:w="4968"/>
            <w:vAlign w:val="top"/>
          </w:tcPr>
          <w:p>
            <w:pPr>
              <w:spacing w:after="40"/>
            </w:pPr>
            <w:r>
              <w:rPr>
                <w:sz w:val="17"/>
              </w:rPr>
              <w:t>Programme measures reward account opening only</w:t>
            </w:r>
          </w:p>
        </w:tc>
        <w:tc>
          <w:tcPr>
            <w:tcW w:type="dxa" w:w="4968"/>
            <w:vAlign w:val="top"/>
          </w:tcPr>
          <w:p>
            <w:pPr>
              <w:spacing w:after="40"/>
            </w:pPr>
            <w:r>
              <w:rPr>
                <w:sz w:val="17"/>
              </w:rPr>
              <w:t>Track active use, control, problem resolution and participant experience.</w:t>
            </w:r>
          </w:p>
        </w:tc>
      </w:tr>
    </w:tbl>
    <w:p>
      <w:r>
        <w:br w:type="page"/>
      </w:r>
    </w:p>
    <w:p>
      <w:pPr>
        <w:pStyle w:val="Heading1"/>
      </w:pPr>
      <w:r>
        <w:t>7. Monitoring, evaluation and learning</w:t>
      </w:r>
    </w:p>
    <w:p>
      <w:r>
        <w:t>The attached logframe identifies outcome and service measures. Numeric baselines and targets will be set after district selection, sample design and power considerations. The proposed field tool validates independent account use and the gap between access and use. Pre/post comparisons would describe programme-associated change only; stronger causal claims would require a separately designed evaluation.</w:t>
      </w:r>
    </w:p>
    <w:p>
      <w:pPr>
        <w:pStyle w:val="Heading1"/>
      </w:pPr>
      <w:r>
        <w:t>8. SDG alignment</w:t>
      </w:r>
    </w:p>
    <w:p>
      <w:pPr>
        <w:pStyle w:val="ListBullet"/>
      </w:pPr>
      <w:r>
        <w:t>SDG 1: strengthen household capacity to manage financial shocks.</w:t>
      </w:r>
    </w:p>
    <w:p>
      <w:pPr>
        <w:pStyle w:val="ListBullet"/>
      </w:pPr>
      <w:r>
        <w:t>SDG 5: support women’s agency and control over financial decisions.</w:t>
      </w:r>
    </w:p>
    <w:p>
      <w:pPr>
        <w:pStyle w:val="ListBullet"/>
      </w:pPr>
      <w:r>
        <w:t>SDG 8: improve access to useful financial services that can support livelihoods.</w:t>
      </w:r>
    </w:p>
    <w:p>
      <w:pPr>
        <w:pStyle w:val="ListBullet"/>
      </w:pPr>
      <w:r>
        <w:t>SDG 10: prioritize underserved districts and monitor unequal access.</w:t>
      </w:r>
    </w:p>
    <w:p>
      <w:r>
        <w:t>Prepared by Kanishk Gupta | PGDM (Research &amp; Business Analytics), Lal Bahadur Shastri Institute of Management, Delhi | https://github.com/GKanishk16</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ZilaLens | Kanishk Gupta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C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ZilaLens — Concept Note</dc:title>
  <dc:subject>Women’s Financial Inclusion and Empowerment Across Indian Districts, NFHS-4 (2015-16) to NFHS-5 (2019-21)</dc:subject>
  <dc:creator>Kanishk Gupta</dc:creator>
  <cp:keywords>NFHS-4, NFHS-5, district, financial inclusion</cp:keywords>
  <dc:description>generated by python-docx</dc:description>
  <cp:lastModifiedBy/>
  <cp:revision>1</cp:revision>
  <dcterms:created xsi:type="dcterms:W3CDTF">2013-12-23T23:15:00Z</dcterms:created>
  <dcterms:modified xsi:type="dcterms:W3CDTF">2013-12-23T23:15:00Z</dcterms:modified>
  <cp:category/>
</cp:coreProperties>
</file>