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ZilaLens</w:t>
      </w:r>
    </w:p>
    <w:p>
      <w:pPr>
        <w:jc w:val="center"/>
      </w:pPr>
      <w:r>
        <w:rPr>
          <w:b/>
          <w:color w:val="168C8C"/>
          <w:sz w:val="30"/>
        </w:rPr>
        <w:t>Women’s Financial Inclusion and Empowerment Across Indian Districts, NFHS-4 (2015-16) to NFHS-5 (2019-21)</w:t>
      </w:r>
    </w:p>
    <w:p>
      <w:pPr>
        <w:jc w:val="center"/>
      </w:pPr>
      <w:r>
        <w:rPr>
          <w:b/>
          <w:sz w:val="24"/>
        </w:rPr>
        <w:t>Kanishk Gupta</w:t>
      </w:r>
    </w:p>
    <w:p>
      <w:pPr>
        <w:jc w:val="center"/>
      </w:pPr>
      <w:r>
        <w:rPr>
          <w:color w:val="168C8C"/>
        </w:rPr>
        <w:t>https://github.com/GKanishk16</w:t>
      </w:r>
    </w:p>
    <w:p>
      <w:pPr>
        <w:jc w:val="center"/>
      </w:pPr>
      <w:r>
        <w:rPr>
          <w:b/>
          <w:color w:val="C47F17"/>
        </w:rPr>
        <w:t>INTERIM RESEARCH REPORT | DATA-DEPENDENT FINDINGS PENDING</w:t>
      </w:r>
    </w:p>
    <w:p>
      <w:pPr>
        <w:pStyle w:val="Subtitle"/>
      </w:pPr>
      <w:r>
        <w:t>Interim edition • 18 October 2026</w:t>
      </w:r>
    </w:p>
    <w:p>
      <w:pPr>
        <w:pStyle w:val="IntenseQuote"/>
      </w:pPr>
      <w:r>
        <w:t>This report records the available evidence and analysis status. NFHS-5 district data are required before the two-round findings can be completed.</w:t>
      </w:r>
    </w:p>
    <w:p>
      <w:r>
        <w:br w:type="page"/>
      </w:r>
    </w:p>
    <w:p>
      <w:pPr>
        <w:pStyle w:val="Title"/>
      </w:pPr>
      <w:r>
        <w:t>Contents</w:t>
      </w:r>
    </w:p>
    <w:p>
      <w:pPr>
        <w:pStyle w:val="ListBullet"/>
      </w:pPr>
      <w:r>
        <w:t>Executive summary</w:t>
      </w:r>
    </w:p>
    <w:p>
      <w:pPr>
        <w:pStyle w:val="ListBullet"/>
      </w:pPr>
      <w:r>
        <w:t>Background and research questions</w:t>
      </w:r>
    </w:p>
    <w:p>
      <w:pPr>
        <w:pStyle w:val="ListBullet"/>
      </w:pPr>
      <w:r>
        <w:t>Data and methods</w:t>
      </w:r>
    </w:p>
    <w:p>
      <w:pPr>
        <w:pStyle w:val="ListBullet"/>
      </w:pPr>
      <w:r>
        <w:t>District harmonisation and quality</w:t>
      </w:r>
    </w:p>
    <w:p>
      <w:pPr>
        <w:pStyle w:val="ListBullet"/>
      </w:pPr>
      <w:r>
        <w:t>RQ1 Change in financial inclusion</w:t>
      </w:r>
    </w:p>
    <w:p>
      <w:pPr>
        <w:pStyle w:val="ListBullet"/>
      </w:pPr>
      <w:r>
        <w:t>RQ2 Fast improvers and district typologies</w:t>
      </w:r>
    </w:p>
    <w:p>
      <w:pPr>
        <w:pStyle w:val="ListBullet"/>
      </w:pPr>
      <w:r>
        <w:t>RQ3 Aspirational Districts comparison</w:t>
      </w:r>
    </w:p>
    <w:p>
      <w:pPr>
        <w:pStyle w:val="ListBullet"/>
      </w:pPr>
      <w:r>
        <w:t>RQ4 Uttar Pradesh deep dive</w:t>
      </w:r>
    </w:p>
    <w:p>
      <w:pPr>
        <w:pStyle w:val="ListBullet"/>
      </w:pPr>
      <w:r>
        <w:t>RQ5 Policy evidence</w:t>
      </w:r>
    </w:p>
    <w:p>
      <w:pPr>
        <w:pStyle w:val="ListBullet"/>
      </w:pPr>
      <w:r>
        <w:t>Discussion and recommendations</w:t>
      </w:r>
    </w:p>
    <w:p>
      <w:pPr>
        <w:pStyle w:val="ListBullet"/>
      </w:pPr>
      <w:r>
        <w:t>Limitations</w:t>
      </w:r>
    </w:p>
    <w:p>
      <w:pPr>
        <w:pStyle w:val="ListBullet"/>
      </w:pPr>
      <w:r>
        <w:t>References</w:t>
      </w:r>
    </w:p>
    <w:p>
      <w:pPr>
        <w:pStyle w:val="ListBullet"/>
      </w:pPr>
      <w:r>
        <w:t>Annexes</w:t>
      </w:r>
    </w:p>
    <w:p>
      <w:r>
        <w:br w:type="page"/>
      </w:r>
    </w:p>
    <w:p>
      <w:pPr>
        <w:pStyle w:val="Title"/>
      </w:pPr>
      <w:r>
        <w:t>Executive summary</w:t>
      </w:r>
    </w:p>
    <w:p>
      <w:r>
        <w:t>ZilaLens compares women’s financial inclusion and related empowerment indicators across Indian districts between NFHS-4 (2015-16) and NFHS-5 (2019-21). “Zila” means district in Hindi; the project views women’s financial inclusion through a district lens.</w:t>
      </w:r>
    </w:p>
    <w:p>
      <w:r>
        <w:t>The NFHS-4 source file was downloaded and parsed. Its repository documentation describes 93 district-level indicators; the CSV contains 59,241 rows. (Source: HindustanTimesLabs/nfhs-data, README.md and nfhs_district-wise.csv.)</w:t>
      </w:r>
    </w:p>
    <w:p>
      <w:r>
        <w:t>The official data.gov.in NFHS-5 workbook resource returned HTTP 403 in this environment. No round-to-round change, index, ranking, cluster, subgroup comparison, or UP change finding is reported. The exact workbook and destination are recorded in README.md and docs/DATA_SOURCES.md.</w:t>
      </w:r>
    </w:p>
    <w:p>
      <w:r>
        <w:t>A NITI Aayog list of 112 Aspirational Districts and two public policy documents were acquired. Exact-name matching identifies 96 listed districts in the NFHS-4 data; 16 names remain unmatched and require geography review. (Source files: aspirational_112.pdf and nfhs_district-wise.csv.)</w:t>
      </w:r>
    </w:p>
    <w:p>
      <w:r>
        <w:t>Interim outputs include a reproducible data pipeline, NFHS-4 maps, a bilingual field-validation form, a theory of change, a draft logframe, and a preliminary policy review. These are not substitutes for the pending comparative findings.</w:t>
      </w:r>
    </w:p>
    <w:p>
      <w:r>
        <w:br w:type="page"/>
      </w:r>
    </w:p>
    <w:p>
      <w:pPr>
        <w:pStyle w:val="Heading1"/>
      </w:pPr>
      <w:r>
        <w:t>Background and research questions</w:t>
      </w:r>
    </w:p>
    <w:p>
      <w:r>
        <w:t>Women’s bank account ownership does not by itself establish active use, control over transactions, or the ability to use digital services safely. The proposed comparison focuses on indicators that are present in both NFHS rounds and retains their source definitions.</w:t>
      </w:r>
    </w:p>
    <w:p>
      <w:r>
        <w:t>The research questions cover district change, fast improvers and lagging districts, descriptive differences between Aspirational and comparable non-aspirational districts, Uttar Pradesh district patterns, and policy drivers and barriers.</w:t>
      </w:r>
    </w:p>
    <w:p>
      <w:r>
        <w:t>NFHS district estimates are survey estimates. District boundaries and names changed between rounds, so comparisons require an explicit crosswalk. This interim report distinguishes direct source observations, computed project status, and unanswered questions.</w:t>
      </w:r>
    </w:p>
    <w:p>
      <w:r>
        <w:br w:type="page"/>
      </w:r>
    </w:p>
    <w:p>
      <w:pPr>
        <w:pStyle w:val="Heading1"/>
      </w:pPr>
      <w:r>
        <w:t>Data and methods</w:t>
      </w:r>
    </w:p>
    <w:p>
      <w:r>
        <w:t>NFHS-4 district factsheet data were downloaded from HindustanTimesLabs/nfhs-data. The source file contains district, state, census codes, total/rural/urban estimates, indicator number, indicator name, and category. (Source: data/raw/nfhs_district-wise.csv.)</w:t>
      </w:r>
    </w:p>
    <w:p>
      <w:r>
        <w:t>The NFHS-5 catalog resource is an Excel workbook titled “India Districts Factsheets of National Family Health Survey (NFHS) - 5, 2019-2021.” Its direct URL returned HTTP 403 on 18 October 2026. The planned local path is data/raw/NFHS_5_India_Districts_Factsheet_Data.xls.</w:t>
      </w:r>
    </w:p>
    <w:p>
      <w:r>
        <w:t>The pipeline reshapes round data to district, state, round, indicator, and value. It creates normalized name identifiers and records fuzzy name suggestions without applying them. Manual overrides must be documented before any parent/child crosswalk is treated as final.</w:t>
      </w:r>
    </w:p>
    <w:p>
      <w:r>
        <w:t>When both rounds are available, changes will be reported in percentage points and as relative change. Index construction will use common indicators, min-max scaling, equal weights, and sensitivity checks. Any Aspirational District comparison will be described as non-causal.</w:t>
      </w:r>
    </w:p>
    <w:p>
      <w:r>
        <w:br w:type="page"/>
      </w:r>
    </w:p>
    <w:p>
      <w:pPr>
        <w:pStyle w:val="Heading1"/>
      </w:pPr>
      <w:r>
        <w:t>District harmonisation and data quality</w:t>
      </w:r>
    </w:p>
    <w:p>
      <w:r>
        <w:t>The NFHS-4 file has 59,241 district-indicator rows and 93 district-level indicators according to its source README. The parsed panel currently contains NFHS-4 only. (Source: HindustanTimesLabs/nfhs-data, README.md and nfhs_district-wise.csv.)</w:t>
      </w:r>
    </w:p>
    <w:p>
      <w:r>
        <w:t>The crosswalk currently records normalized-name identifiers and presence by round. It does not yet resolve district splits or mergers. The 2022 NITI 112-district list is an independent source list; exact-name matching finds 96 of its district names in the NFHS-4 source. (Sources: data/processed/district_crosswalk.csv; data/processed/aspirational_districts_112.csv.)</w:t>
      </w:r>
    </w:p>
    <w:p>
      <w:r>
        <w:t>The current GeoJSON contains 645 features. Baseline maps join 563 NFHS-4 district estimates by normalized district and state name. (Source: data/raw/india_districts.geojson; map join counts in figure notes.) This geography is illustrative and not confirmed as boundary-equivalent to the survey rounds.</w:t>
      </w:r>
    </w:p>
    <w:p>
      <w:r>
        <w:br w:type="page"/>
      </w:r>
    </w:p>
    <w:p>
      <w:pPr>
        <w:pStyle w:val="Heading1"/>
      </w:pPr>
      <w:r>
        <w:t>RQ1 Change in financial inclusion</w:t>
      </w:r>
    </w:p>
    <w:p>
      <w:r>
        <w:t>No two-round changes are available yet. The NFHS-5 workbook is required to identify indicators shared by both rounds and calculate changes using source estimates.</w:t>
      </w:r>
    </w:p>
    <w:p>
      <w:r>
        <w:t>The NFHS-4 compilation includes women’s literacy, 10 or more years of schooling, marriage before age 18, clean cooking fuel, and improved sanitation. The requested bank account and mobile phone measures do not appear under the expected wording in the current compilation. Exact indicator comparability will be recorded after NFHS-5 parsing.</w:t>
      </w:r>
    </w:p>
    <w:p>
      <w:r>
        <w:t>No national, state, or district change statistic is presented here. This prevents a one-round level from being misread as a trend.</w:t>
      </w:r>
    </w:p>
    <w:p>
      <w:r>
        <w:br w:type="page"/>
      </w:r>
    </w:p>
    <w:p>
      <w:pPr>
        <w:pStyle w:val="Heading1"/>
      </w:pPr>
      <w:r>
        <w:t>RQ2 Fast improvers and typologies</w:t>
      </w:r>
    </w:p>
    <w:p>
      <w:r>
        <w:t>Fastest improvers, lagging districts, and clusters are pending. They require a reviewed district crosswalk and paired values for common indicators.</w:t>
      </w:r>
    </w:p>
    <w:p>
      <w:r>
        <w:t>The analysis code is prepared to calculate district-level absolute and percentage changes, rank districts, and compare baseline level with change. Cluster count selection will use silhouette score when there are sufficient complete district cases.</w:t>
      </w:r>
    </w:p>
    <w:p>
      <w:r>
        <w:t>No cluster names or rank labels are assigned without computed inputs.</w:t>
      </w:r>
    </w:p>
    <w:p>
      <w:r>
        <w:br w:type="page"/>
      </w:r>
    </w:p>
    <w:p>
      <w:pPr>
        <w:pStyle w:val="Heading1"/>
      </w:pPr>
      <w:r>
        <w:t>RQ3 Aspirational Districts comparison</w:t>
      </w:r>
    </w:p>
    <w:p>
      <w:r>
        <w:t>The requested design is a descriptive difference-in-differences comparison, not a causal evaluation. It will report average changes for Aspirational Districts and other districts, a baseline-matched comparison, and bootstrap intervals.</w:t>
      </w:r>
    </w:p>
    <w:p>
      <w:r>
        <w:t>The NITI Aayog PDF provides the requested 112-district roster. It was published in 2022 and is used here as the project’s specified cohort. The exact-match roster coverage is 96 of 112 NFHS-4 district names; unmatched names require boundary and naming review. (Sources: data/raw/docs/aspirational_112.pdf; data/processed/aspirational_districts_112.csv.)</w:t>
      </w:r>
    </w:p>
    <w:p>
      <w:r>
        <w:t>No comparison estimate or confidence interval is reported without NFHS-5 values and an approved cohort crosswalk. Selection into the programme limits comparability even after baseline matching.</w:t>
      </w:r>
    </w:p>
    <w:p>
      <w:r>
        <w:br w:type="page"/>
      </w:r>
    </w:p>
    <w:p>
      <w:pPr>
        <w:pStyle w:val="Heading1"/>
      </w:pPr>
      <w:r>
        <w:t>RQ4 Uttar Pradesh deep dive</w:t>
      </w:r>
    </w:p>
    <w:p>
      <w:r>
        <w:t>The UP change ranking is pending NFHS-5. Ghaziabad and Gautam Buddha Nagar will be highlighted against state and national averages only after comparable round estimates are computed.</w:t>
      </w:r>
    </w:p>
    <w:p>
      <w:r>
        <w:t>The project includes interim NFHS-4 district maps for women’s literacy and improved sanitation. These maps are baseline context and do not answer the change question. Figure 1. NFHS-4 women literacy estimates by district. Source: NFHS-4 factsheet compilation; 563 geometry matches; see outputs/maps/women_literate_nfhs4.png.</w:t>
      </w:r>
    </w:p>
    <w:p>
      <w:r>
        <w:t>The final deep dive will show all UP districts, clearly distinguish boundary-matched from unmatched geographies, and cite each statistic to the relevant source table.</w:t>
      </w:r>
    </w:p>
    <w:p>
      <w:r>
        <w:drawing>
          <wp:inline xmlns:a="http://schemas.openxmlformats.org/drawingml/2006/main" xmlns:pic="http://schemas.openxmlformats.org/drawingml/2006/picture">
            <wp:extent cx="5120640" cy="5578644"/>
            <wp:docPr id="1" name="Picture 1"/>
            <wp:cNvGraphicFramePr>
              <a:graphicFrameLocks noChangeAspect="1"/>
            </wp:cNvGraphicFramePr>
            <a:graphic>
              <a:graphicData uri="http://schemas.openxmlformats.org/drawingml/2006/picture">
                <pic:pic>
                  <pic:nvPicPr>
                    <pic:cNvPr id="0" name="women_literate_nfhs4.png"/>
                    <pic:cNvPicPr/>
                  </pic:nvPicPr>
                  <pic:blipFill>
                    <a:blip r:embed="rId10"/>
                    <a:stretch>
                      <a:fillRect/>
                    </a:stretch>
                  </pic:blipFill>
                  <pic:spPr>
                    <a:xfrm>
                      <a:off x="0" y="0"/>
                      <a:ext cx="5120640" cy="5578644"/>
                    </a:xfrm>
                    <a:prstGeom prst="rect"/>
                  </pic:spPr>
                </pic:pic>
              </a:graphicData>
            </a:graphic>
          </wp:inline>
        </w:drawing>
      </w:r>
    </w:p>
    <w:p>
      <w:pPr>
        <w:jc w:val="center"/>
      </w:pPr>
      <w:r>
        <w:t>Figure 1. NFHS-4 women literacy baseline by district. Source and n are stated on the map.</w:t>
      </w:r>
    </w:p>
    <w:p>
      <w:r>
        <w:br w:type="page"/>
      </w:r>
    </w:p>
    <w:p>
      <w:pPr>
        <w:pStyle w:val="Heading1"/>
      </w:pPr>
      <w:r>
        <w:t>RQ5 Public policy evidence</w:t>
      </w:r>
    </w:p>
    <w:p>
      <w:r>
        <w:t>The review covers the PMJDY Mission Document/Brochure and the NITI Aayog/UNDP Aspirational Districts Programme appraisal. Seven paraphrased passages with physical page references are recorded in the coding workbook.</w:t>
      </w:r>
    </w:p>
    <w:p>
      <w:r>
        <w:t>The PMJDY brochure describes expansion of branches and Bank Mitra service points (physical p. 18), transaction interoperability and access (p. 20), and unreliable telecom networks in tribal and hilly areas (p. 30). These are policy design statements, not district outcome estimates.</w:t>
      </w:r>
    </w:p>
    <w:p>
      <w:r>
        <w:t>The ADP appraisal discusses district technical and administrative capacity (physical p. 15), the programme’s convergence, collaboration and competition model (p. 20), and its use of pre-pandemic observations in its own analysis (p. 28). (Sources: data/raw/docs/pmjdy_brochure.pdf; data/raw/docs/adp_appraisal.pdf.)</w:t>
      </w:r>
    </w:p>
    <w:p>
      <w:r>
        <w:br w:type="page"/>
      </w:r>
    </w:p>
    <w:p>
      <w:pPr>
        <w:pStyle w:val="Heading1"/>
      </w:pPr>
      <w:r>
        <w:t>Discussion and recommendations</w:t>
      </w:r>
    </w:p>
    <w:p>
      <w:r>
        <w:t>The available sources point to a useful distinction between access infrastructure and actual use. The proposed field instrument asks about personal account use, transaction frequency, decision control, phone access, service reliability, and support needs.</w:t>
      </w:r>
    </w:p>
    <w:p>
      <w:r>
        <w:t>For programme planning, first confirm the district-level pattern; then validate whether low reported use reflects account access, service reliability, skills, safety, or household decision constraints. Avoid selecting districts from a name-only comparison.</w:t>
      </w:r>
    </w:p>
    <w:p>
      <w:r>
        <w:t>Build the final intervention around local service mapping, practical assisted account use, digital safety, grievance referral, and routine monitoring. Treat these as design options pending district validation, not proven effects.</w:t>
      </w:r>
    </w:p>
    <w:p>
      <w:r>
        <w:br w:type="page"/>
      </w:r>
    </w:p>
    <w:p>
      <w:pPr>
        <w:pStyle w:val="Heading1"/>
      </w:pPr>
      <w:r>
        <w:t>Limitations</w:t>
      </w:r>
    </w:p>
    <w:p>
      <w:r>
        <w:t>NFHS-5 access: the official catalog workbook returned HTTP 403. Until it is placed in data/raw, the trend questions remain unanswered.</w:t>
      </w:r>
    </w:p>
    <w:p>
      <w:r>
        <w:t>Aspirational District selection: districts were selected because of pre-existing deprivation and differ from other districts. Descriptive differences and baseline matching cannot remove all selection bias; results will not be interpreted causally.</w:t>
      </w:r>
    </w:p>
    <w:p>
      <w:r>
        <w:t>Boundary changes: NFHS-4 and NFHS-5 districts may have different boundaries. Parent/child mappings can affect estimates and require a documented crosswalk.</w:t>
      </w:r>
    </w:p>
    <w:p>
      <w:r>
        <w:t>Survey sampling error: district estimates are subject to sampling variability. The available factsheet estimates do not provide a complete basis for conventional significance testing of all district changes.</w:t>
      </w:r>
    </w:p>
    <w:p>
      <w:r>
        <w:t>NFHS-5 fieldwork occurred during the COVID-19 period (2019-21), which may affect timing and interpretation. Policy documents also reflect their publication period and do not measure current local service quality.</w:t>
      </w:r>
    </w:p>
    <w:p>
      <w:r>
        <w:br w:type="page"/>
      </w:r>
    </w:p>
    <w:p>
      <w:pPr>
        <w:pStyle w:val="Heading1"/>
      </w:pPr>
      <w:r>
        <w:t>References</w:t>
      </w:r>
    </w:p>
    <w:p>
      <w:r>
        <w:t>International Institute for Population Sciences (IIPS) and Ministry of Health and Family Welfare (MoHFW). National Family Health Survey-4 district factsheet data, 2015-16. Dataset compilation by HindustanTimesLabs, data/raw/nfhs_district-wise.csv; https://github.com/HindustanTimesLabs/nfhs-data.</w:t>
      </w:r>
    </w:p>
    <w:p>
      <w:r>
        <w:t>NITI Aayog. List of 112 Aspirational Districts. 2022. data/raw/docs/aspirational_112.pdf; https://www.niti.gov.in/sites/default/files/2022-09/List-of-Aspirational-Districts.pdf.</w:t>
      </w:r>
    </w:p>
    <w:p>
      <w:r>
        <w:t>Department of Financial Services, Ministry of Finance. PMJDY Mission Document/Brochure. data/raw/docs/pmjdy_brochure.pdf; https://pmjdy.gov.in/files/E-Documents/PMJDY_BROCHURE_ENG.pdf.</w:t>
      </w:r>
    </w:p>
    <w:p>
      <w:r>
        <w:t>NITI Aayog and United Nations Development Programme. Aspirational Districts Programme: An Appraisal. data/raw/docs/adp_appraisal.pdf; https://www.niti.gov.in/sites/default/files/2023-03/Aspirational-Districts-Programme-An-Appraisal.pdf.</w:t>
      </w:r>
    </w:p>
    <w:p>
      <w:r>
        <w:t>HindustanTimesLabs. India district boundaries GeoJSON. data/raw/india_districts.geojson; https://github.com/HindustanTimesLabs/shapefiles/tree/master/india.</w:t>
      </w:r>
    </w:p>
    <w:p>
      <w:r>
        <w:br w:type="page"/>
      </w:r>
    </w:p>
    <w:p>
      <w:pPr>
        <w:pStyle w:val="Heading1"/>
      </w:pPr>
      <w:r>
        <w:t>Annexes</w:t>
      </w:r>
    </w:p>
    <w:p>
      <w:r>
        <w:t>Crosswalk method: normalized exact names form provisional identifiers. Candidate fuzzy matches are suggestions only. Every approved name or parent/child mapping must be written to data/processed/district_name_overrides.csv and documented in data/processed/district_crosswalk.csv.</w:t>
      </w:r>
    </w:p>
    <w:p>
      <w:r>
        <w:t>Indicator definitions available in NFHS-4 include “Women who are literate (%)”, “Women with 10 or more years of schooling (%)”, “Women age 20-24 years married before age 18 years (%)”, “Households using clean fuel for cooking”, and “Households using improved sanitation facility”. (Source: data/raw/nfhs_district-wise.csv.)</w:t>
      </w:r>
    </w:p>
    <w:p>
      <w:r>
        <w:t>The logframe, theory of change, bilingual field tool, and sampling plan are included as separate editable outputs. Baselines and targets that depend on selected districts are labeled pending.</w:t>
      </w:r>
    </w:p>
    <w:p>
      <w:r>
        <w:t>Table 1. Core source indicator definitions currently identified in NFHS-4. Source: HindustanTimesLabs nfhs_district-wise.csv.</w:t>
      </w:r>
    </w:p>
    <w:tbl>
      <w:tblPr>
        <w:tblStyle w:val="LightShading-Accent1"/>
        <w:tblW w:type="auto" w:w="0"/>
        <w:jc w:val="center"/>
        <w:tblLook w:firstColumn="1" w:firstRow="1" w:lastColumn="0" w:lastRow="0" w:noHBand="0" w:noVBand="1" w:val="04A0"/>
      </w:tblPr>
      <w:tblGrid>
        <w:gridCol w:w="3312"/>
        <w:gridCol w:w="3312"/>
        <w:gridCol w:w="3312"/>
      </w:tblGrid>
      <w:tr>
        <w:tc>
          <w:tcPr>
            <w:tcW w:type="dxa" w:w="3312"/>
            <w:shd w:fill="17365D"/>
          </w:tcPr>
          <w:p>
            <w:pPr>
              <w:spacing w:after="40"/>
            </w:pPr>
            <w:r>
              <w:rPr>
                <w:b/>
                <w:color w:val="FFFFFF"/>
                <w:sz w:val="17"/>
              </w:rPr>
              <w:t>Indicator</w:t>
            </w:r>
          </w:p>
        </w:tc>
        <w:tc>
          <w:tcPr>
            <w:tcW w:type="dxa" w:w="3312"/>
            <w:shd w:fill="17365D"/>
          </w:tcPr>
          <w:p>
            <w:pPr>
              <w:spacing w:after="40"/>
            </w:pPr>
            <w:r>
              <w:rPr>
                <w:b/>
                <w:color w:val="FFFFFF"/>
                <w:sz w:val="17"/>
              </w:rPr>
              <w:t>NFHS-4 source name</w:t>
            </w:r>
          </w:p>
        </w:tc>
        <w:tc>
          <w:tcPr>
            <w:tcW w:type="dxa" w:w="3312"/>
            <w:shd w:fill="17365D"/>
          </w:tcPr>
          <w:p>
            <w:pPr>
              <w:spacing w:after="40"/>
            </w:pPr>
            <w:r>
              <w:rPr>
                <w:b/>
                <w:color w:val="FFFFFF"/>
                <w:sz w:val="17"/>
              </w:rPr>
              <w:t>Round status</w:t>
            </w:r>
          </w:p>
        </w:tc>
      </w:tr>
      <w:tr>
        <w:tc>
          <w:tcPr>
            <w:tcW w:type="dxa" w:w="3312"/>
            <w:vAlign w:val="top"/>
          </w:tcPr>
          <w:p>
            <w:pPr>
              <w:spacing w:after="40"/>
            </w:pPr>
            <w:r>
              <w:rPr>
                <w:sz w:val="17"/>
              </w:rPr>
              <w:t>Literacy</w:t>
            </w:r>
          </w:p>
        </w:tc>
        <w:tc>
          <w:tcPr>
            <w:tcW w:type="dxa" w:w="3312"/>
            <w:vAlign w:val="top"/>
          </w:tcPr>
          <w:p>
            <w:pPr>
              <w:spacing w:after="40"/>
            </w:pPr>
            <w:r>
              <w:rPr>
                <w:sz w:val="17"/>
              </w:rPr>
              <w:t>Women who are literate (%)</w:t>
            </w:r>
          </w:p>
        </w:tc>
        <w:tc>
          <w:tcPr>
            <w:tcW w:type="dxa" w:w="3312"/>
            <w:vAlign w:val="top"/>
          </w:tcPr>
          <w:p>
            <w:pPr>
              <w:spacing w:after="40"/>
            </w:pPr>
            <w:r>
              <w:rPr>
                <w:sz w:val="17"/>
              </w:rPr>
              <w:t>NFHS-5 common definition pending</w:t>
            </w:r>
          </w:p>
        </w:tc>
      </w:tr>
      <w:tr>
        <w:tc>
          <w:tcPr>
            <w:tcW w:type="dxa" w:w="3312"/>
            <w:vAlign w:val="top"/>
          </w:tcPr>
          <w:p>
            <w:pPr>
              <w:spacing w:after="40"/>
            </w:pPr>
            <w:r>
              <w:rPr>
                <w:sz w:val="17"/>
              </w:rPr>
              <w:t>Schooling</w:t>
            </w:r>
          </w:p>
        </w:tc>
        <w:tc>
          <w:tcPr>
            <w:tcW w:type="dxa" w:w="3312"/>
            <w:vAlign w:val="top"/>
          </w:tcPr>
          <w:p>
            <w:pPr>
              <w:spacing w:after="40"/>
            </w:pPr>
            <w:r>
              <w:rPr>
                <w:sz w:val="17"/>
              </w:rPr>
              <w:t>Women with 10 or more years of schooling (%)</w:t>
            </w:r>
          </w:p>
        </w:tc>
        <w:tc>
          <w:tcPr>
            <w:tcW w:type="dxa" w:w="3312"/>
            <w:vAlign w:val="top"/>
          </w:tcPr>
          <w:p>
            <w:pPr>
              <w:spacing w:after="40"/>
            </w:pPr>
            <w:r>
              <w:rPr>
                <w:sz w:val="17"/>
              </w:rPr>
              <w:t>NFHS-5 common definition pending</w:t>
            </w:r>
          </w:p>
        </w:tc>
      </w:tr>
      <w:tr>
        <w:tc>
          <w:tcPr>
            <w:tcW w:type="dxa" w:w="3312"/>
            <w:vAlign w:val="top"/>
          </w:tcPr>
          <w:p>
            <w:pPr>
              <w:spacing w:after="40"/>
            </w:pPr>
            <w:r>
              <w:rPr>
                <w:sz w:val="17"/>
              </w:rPr>
              <w:t>Early marriage</w:t>
            </w:r>
          </w:p>
        </w:tc>
        <w:tc>
          <w:tcPr>
            <w:tcW w:type="dxa" w:w="3312"/>
            <w:vAlign w:val="top"/>
          </w:tcPr>
          <w:p>
            <w:pPr>
              <w:spacing w:after="40"/>
            </w:pPr>
            <w:r>
              <w:rPr>
                <w:sz w:val="17"/>
              </w:rPr>
              <w:t>Women age 20-24 years married before age 18 years (%)</w:t>
            </w:r>
          </w:p>
        </w:tc>
        <w:tc>
          <w:tcPr>
            <w:tcW w:type="dxa" w:w="3312"/>
            <w:vAlign w:val="top"/>
          </w:tcPr>
          <w:p>
            <w:pPr>
              <w:spacing w:after="40"/>
            </w:pPr>
            <w:r>
              <w:rPr>
                <w:sz w:val="17"/>
              </w:rPr>
              <w:t>NFHS-5 common definition pending</w:t>
            </w:r>
          </w:p>
        </w:tc>
      </w:tr>
      <w:tr>
        <w:tc>
          <w:tcPr>
            <w:tcW w:type="dxa" w:w="3312"/>
            <w:vAlign w:val="top"/>
          </w:tcPr>
          <w:p>
            <w:pPr>
              <w:spacing w:after="40"/>
            </w:pPr>
            <w:r>
              <w:rPr>
                <w:sz w:val="17"/>
              </w:rPr>
              <w:t>Cooking fuel</w:t>
            </w:r>
          </w:p>
        </w:tc>
        <w:tc>
          <w:tcPr>
            <w:tcW w:type="dxa" w:w="3312"/>
            <w:vAlign w:val="top"/>
          </w:tcPr>
          <w:p>
            <w:pPr>
              <w:spacing w:after="40"/>
            </w:pPr>
            <w:r>
              <w:rPr>
                <w:sz w:val="17"/>
              </w:rPr>
              <w:t>Households using clean fuel for cooking</w:t>
            </w:r>
          </w:p>
        </w:tc>
        <w:tc>
          <w:tcPr>
            <w:tcW w:type="dxa" w:w="3312"/>
            <w:vAlign w:val="top"/>
          </w:tcPr>
          <w:p>
            <w:pPr>
              <w:spacing w:after="40"/>
            </w:pPr>
            <w:r>
              <w:rPr>
                <w:sz w:val="17"/>
              </w:rPr>
              <w:t>NFHS-5 common definition pending</w:t>
            </w:r>
          </w:p>
        </w:tc>
      </w:tr>
      <w:tr>
        <w:tc>
          <w:tcPr>
            <w:tcW w:type="dxa" w:w="3312"/>
            <w:vAlign w:val="top"/>
          </w:tcPr>
          <w:p>
            <w:pPr>
              <w:spacing w:after="40"/>
            </w:pPr>
            <w:r>
              <w:rPr>
                <w:sz w:val="17"/>
              </w:rPr>
              <w:t>Sanitation</w:t>
            </w:r>
          </w:p>
        </w:tc>
        <w:tc>
          <w:tcPr>
            <w:tcW w:type="dxa" w:w="3312"/>
            <w:vAlign w:val="top"/>
          </w:tcPr>
          <w:p>
            <w:pPr>
              <w:spacing w:after="40"/>
            </w:pPr>
            <w:r>
              <w:rPr>
                <w:sz w:val="17"/>
              </w:rPr>
              <w:t>Households using improved sanitation facility</w:t>
            </w:r>
          </w:p>
        </w:tc>
        <w:tc>
          <w:tcPr>
            <w:tcW w:type="dxa" w:w="3312"/>
            <w:vAlign w:val="top"/>
          </w:tcPr>
          <w:p>
            <w:pPr>
              <w:spacing w:after="40"/>
            </w:pPr>
            <w:r>
              <w:rPr>
                <w:sz w:val="17"/>
              </w:rPr>
              <w:t>NFHS-5 common definition pending</w:t>
            </w:r>
          </w:p>
        </w:tc>
      </w:tr>
    </w:tbl>
    <w:sectPr w:rsidR="00FC693F" w:rsidRPr="0006063C" w:rsidSect="00034616">
      <w:footerReference w:type="default" r:id="rId9"/>
      <w:pgSz w:w="12240" w:h="15840"/>
      <w:pgMar w:top="1008" w:right="1152" w:bottom="936"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ZilaLens | Kanishk Gupta     </w:t>
    </w: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ptos" w:hAnsi="Aptos"/>
      <w:color w:val="263238"/>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7365D"/>
      <w:sz w:val="3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168C8C"/>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17365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ZilaLens — Research Report</dc:title>
  <dc:subject>Women’s Financial Inclusion and Empowerment Across Indian Districts, NFHS-4 (2015-16) to NFHS-5 (2019-21)</dc:subject>
  <dc:creator>Kanishk Gupta</dc:creator>
  <cp:keywords>NFHS-4, NFHS-5, district, financial inclusion</cp:keywords>
  <dc:description>generated by python-docx</dc:description>
  <cp:lastModifiedBy/>
  <cp:revision>1</cp:revision>
  <dcterms:created xsi:type="dcterms:W3CDTF">2013-12-23T23:15:00Z</dcterms:created>
  <dcterms:modified xsi:type="dcterms:W3CDTF">2013-12-23T23:15:00Z</dcterms:modified>
  <cp:category/>
</cp:coreProperties>
</file>