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ZilaLens</w:t>
      </w:r>
    </w:p>
    <w:p>
      <w:pPr>
        <w:jc w:val="center"/>
      </w:pPr>
      <w:r>
        <w:rPr>
          <w:b/>
          <w:color w:val="168C8C"/>
          <w:sz w:val="30"/>
        </w:rPr>
        <w:t>Women’s Financial Inclusion and Empowerment Across Indian Districts, NFHS-4 (2015-16) to NFHS-5 (2019-21)</w:t>
      </w:r>
    </w:p>
    <w:p>
      <w:pPr>
        <w:jc w:val="center"/>
      </w:pPr>
      <w:r>
        <w:rPr>
          <w:b/>
          <w:sz w:val="24"/>
        </w:rPr>
        <w:t>Kanishk Gupta</w:t>
      </w:r>
    </w:p>
    <w:p>
      <w:pPr>
        <w:jc w:val="center"/>
      </w:pPr>
      <w:r>
        <w:rPr>
          <w:color w:val="168C8C"/>
        </w:rPr>
        <w:t>https://github.com/GKanishk16</w:t>
      </w:r>
    </w:p>
    <w:p>
      <w:pPr>
        <w:jc w:val="center"/>
      </w:pPr>
      <w:r>
        <w:rPr>
          <w:b/>
          <w:color w:val="C47F17"/>
        </w:rPr>
        <w:t>KEY DESCRIPTIVE FINDINGS | FINANCE MEASURES UNAVAILABLE</w:t>
      </w:r>
    </w:p>
    <w:p>
      <w:pPr>
        <w:pStyle w:val="Heading1"/>
      </w:pPr>
      <w:r>
        <w:t>Four comparable indicators show improvement across 555 district matches</w:t>
      </w:r>
    </w:p>
    <w:p>
      <w:r>
        <w:t>From NFHS-4 to NFHS-5, average changes were +6.5 percentage points in women’s literacy, +6.3 in 10+ years of schooling, −3.8 in marriage before age 18, and +15.9 in clean cooking fuel. Changes are descriptive, not causal. Source: outputs/tables/district_changes.csv; n=555 per indicator.</w:t>
      </w:r>
    </w:p>
    <w:p>
      <w:pPr>
        <w:pStyle w:val="Heading2"/>
      </w:pPr>
      <w:r>
        <w:t>What is verified so far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7365D"/>
          </w:tcPr>
          <w:p>
            <w:pPr>
              <w:spacing w:after="40"/>
            </w:pPr>
            <w:r>
              <w:rPr>
                <w:b/>
                <w:color w:val="FFFFFF"/>
                <w:sz w:val="17"/>
              </w:rPr>
              <w:t>Data readiness measure</w:t>
            </w:r>
          </w:p>
        </w:tc>
        <w:tc>
          <w:tcPr>
            <w:tcW w:type="dxa" w:w="3312"/>
            <w:shd w:fill="17365D"/>
          </w:tcPr>
          <w:p>
            <w:pPr>
              <w:spacing w:after="40"/>
            </w:pPr>
            <w:r>
              <w:rPr>
                <w:b/>
                <w:color w:val="FFFFFF"/>
                <w:sz w:val="17"/>
              </w:rPr>
              <w:t>Value</w:t>
            </w:r>
          </w:p>
        </w:tc>
        <w:tc>
          <w:tcPr>
            <w:tcW w:type="dxa" w:w="3312"/>
            <w:shd w:fill="17365D"/>
          </w:tcPr>
          <w:p>
            <w:pPr>
              <w:spacing w:after="40"/>
            </w:pPr>
            <w:r>
              <w:rPr>
                <w:b/>
                <w:color w:val="FFFFFF"/>
                <w:sz w:val="17"/>
              </w:rPr>
              <w:t>Source</w:t>
            </w:r>
          </w:p>
        </w:tc>
      </w:tr>
      <w:tr>
        <w:tc>
          <w:tcPr>
            <w:tcW w:type="dxa" w:w="3312"/>
            <w:vAlign w:val="top"/>
          </w:tcPr>
          <w:p>
            <w:pPr>
              <w:spacing w:after="40"/>
            </w:pPr>
            <w:r>
              <w:rPr>
                <w:sz w:val="17"/>
              </w:rPr>
              <w:t>Name-matched districts</w:t>
            </w:r>
          </w:p>
        </w:tc>
        <w:tc>
          <w:tcPr>
            <w:tcW w:type="dxa" w:w="3312"/>
            <w:vAlign w:val="top"/>
          </w:tcPr>
          <w:p>
            <w:pPr>
              <w:spacing w:after="40"/>
            </w:pPr>
            <w:r>
              <w:rPr>
                <w:sz w:val="17"/>
              </w:rPr>
              <w:t>555</w:t>
            </w:r>
          </w:p>
        </w:tc>
        <w:tc>
          <w:tcPr>
            <w:tcW w:type="dxa" w:w="3312"/>
            <w:vAlign w:val="top"/>
          </w:tcPr>
          <w:p>
            <w:pPr>
              <w:spacing w:after="40"/>
            </w:pPr>
            <w:r>
              <w:rPr>
                <w:sz w:val="17"/>
              </w:rPr>
              <w:t>Harvard Appendix A screen; district_crosswalk.csv</w:t>
            </w:r>
          </w:p>
        </w:tc>
      </w:tr>
      <w:tr>
        <w:tc>
          <w:tcPr>
            <w:tcW w:type="dxa" w:w="3312"/>
            <w:vAlign w:val="top"/>
          </w:tcPr>
          <w:p>
            <w:pPr>
              <w:spacing w:after="40"/>
            </w:pPr>
            <w:r>
              <w:rPr>
                <w:sz w:val="17"/>
              </w:rPr>
              <w:t>UP districts ranked</w:t>
            </w:r>
          </w:p>
        </w:tc>
        <w:tc>
          <w:tcPr>
            <w:tcW w:type="dxa" w:w="3312"/>
            <w:vAlign w:val="top"/>
          </w:tcPr>
          <w:p>
            <w:pPr>
              <w:spacing w:after="40"/>
            </w:pPr>
            <w:r>
              <w:rPr>
                <w:sz w:val="17"/>
              </w:rPr>
              <w:t>75</w:t>
            </w:r>
          </w:p>
        </w:tc>
        <w:tc>
          <w:tcPr>
            <w:tcW w:type="dxa" w:w="3312"/>
            <w:vAlign w:val="top"/>
          </w:tcPr>
          <w:p>
            <w:pPr>
              <w:spacing w:after="40"/>
            </w:pPr>
            <w:r>
              <w:rPr>
                <w:sz w:val="17"/>
              </w:rPr>
              <w:t>NFHS-5 four-indicator mean rank</w:t>
            </w:r>
          </w:p>
        </w:tc>
      </w:tr>
      <w:tr>
        <w:tc>
          <w:tcPr>
            <w:tcW w:type="dxa" w:w="3312"/>
            <w:vAlign w:val="top"/>
          </w:tcPr>
          <w:p>
            <w:pPr>
              <w:spacing w:after="40"/>
            </w:pPr>
            <w:r>
              <w:rPr>
                <w:sz w:val="17"/>
              </w:rPr>
              <w:t>ADP literacy difference</w:t>
            </w:r>
          </w:p>
        </w:tc>
        <w:tc>
          <w:tcPr>
            <w:tcW w:type="dxa" w:w="3312"/>
            <w:vAlign w:val="top"/>
          </w:tcPr>
          <w:p>
            <w:pPr>
              <w:spacing w:after="40"/>
            </w:pPr>
            <w:r>
              <w:rPr>
                <w:sz w:val="17"/>
              </w:rPr>
              <w:t>+1.99 pp</w:t>
            </w:r>
          </w:p>
        </w:tc>
        <w:tc>
          <w:tcPr>
            <w:tcW w:type="dxa" w:w="3312"/>
            <w:vAlign w:val="top"/>
          </w:tcPr>
          <w:p>
            <w:pPr>
              <w:spacing w:after="40"/>
            </w:pPr>
            <w:r>
              <w:rPr>
                <w:sz w:val="17"/>
              </w:rPr>
              <w:t>Descriptive; 95% bootstrap interval +0.76 to +3.14</w:t>
            </w:r>
          </w:p>
        </w:tc>
      </w:tr>
    </w:tbl>
    <w:p>
      <w:r>
        <w:t>The 130 changed/new geographies in Harvard Appendix A are excluded because a complete parent crosswalk is not available. Bank-account-use and mobile-phone indicators are absent from both factsheets, so no finance-linked index is reported.</w:t>
      </w:r>
    </w:p>
    <w:p>
      <w:r>
        <w:br w:type="page"/>
      </w:r>
    </w:p>
    <w:p>
      <w:pPr>
        <w:pStyle w:val="Heading1"/>
      </w:pPr>
      <w:r>
        <w:t>Three actions for a responsible district programme</w:t>
      </w:r>
    </w:p>
    <w:p>
      <w:pPr>
        <w:pStyle w:val="ListBullet"/>
      </w:pPr>
      <w:r>
        <w:t>Use the 555 matched district results only with the stated boundary and indicator caveats; do not treat them as causal estimates.</w:t>
      </w:r>
    </w:p>
    <w:p>
      <w:pPr>
        <w:pStyle w:val="ListBullet"/>
      </w:pPr>
      <w:r>
        <w:t>Treat Shrawasti, Lalitpur, Bahraich, Balrampur and Sitapur as provisional UP candidates from the four-indicator rank composite; validate financial access and service barriers before funding decisions.</w:t>
      </w:r>
    </w:p>
    <w:p>
      <w:pPr>
        <w:pStyle w:val="ListBullet"/>
      </w:pPr>
      <w:r>
        <w:t>Measure independent use, transaction control, phone access and service reliability alongside account ownership.</w:t>
      </w:r>
    </w:p>
    <w:p>
      <w:r>
        <w:drawing>
          <wp:inline xmlns:a="http://schemas.openxmlformats.org/drawingml/2006/main" xmlns:pic="http://schemas.openxmlformats.org/drawingml/2006/picture">
            <wp:extent cx="4937760" cy="5379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men_literate_nfhs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5379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Interim map: NFHS-4 women literacy baseline only; 563 district geometries matched. It does not show change. Source and boundary note appear on the map.</w:t>
      </w:r>
    </w:p>
    <w:p>
      <w:pPr>
        <w:jc w:val="right"/>
      </w:pPr>
      <w:r>
        <w:t>Kanishk Gupta | https://github.com/GKanishk16</w:t>
      </w:r>
    </w:p>
    <w:sectPr w:rsidR="00FC693F" w:rsidRPr="0006063C" w:rsidSect="00034616">
      <w:footerReference w:type="default" r:id="rId9"/>
      <w:pgSz w:w="12240" w:h="15840"/>
      <w:pgMar w:top="648" w:right="1152" w:bottom="64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ZilaLens | Kanishk Gupta     </w:t>
    </w: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color w:val="26323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68C8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ZilaLens — Policy Brief</dc:title>
  <dc:subject>Women’s Financial Inclusion and Empowerment Across Indian Districts, NFHS-4 (2015-16) to NFHS-5 (2019-21)</dc:subject>
  <dc:creator>Kanishk Gupta</dc:creator>
  <cp:keywords>NFHS-4, NFHS-5, district, financial inclusion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