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8847D" w14:textId="77777777" w:rsidR="006A0D24" w:rsidRDefault="006A0D24" w:rsidP="00D00514">
      <w:pPr>
        <w:jc w:val="both"/>
        <w:rPr>
          <w:rFonts w:ascii="Times New Roman" w:hAnsi="Times New Roman" w:cs="Times New Roman"/>
          <w:b/>
          <w:sz w:val="24"/>
          <w:szCs w:val="24"/>
        </w:rPr>
      </w:pPr>
      <w:r w:rsidRPr="006A0D24">
        <w:rPr>
          <w:rFonts w:ascii="Times New Roman" w:hAnsi="Times New Roman" w:cs="Times New Roman"/>
          <w:b/>
          <w:sz w:val="24"/>
          <w:szCs w:val="24"/>
        </w:rPr>
        <w:t xml:space="preserve">New benchmarks to design clinical trials with advanced or metastatic liposarcoma or synovial sarcoma patients: an EORTC Soft Tissue and Bone Sarcoma Group (STBSG) meta-analysis based on a literature review for soft-tissue sarcomas </w:t>
      </w:r>
    </w:p>
    <w:p w14:paraId="472C2128" w14:textId="5EEC45A4" w:rsidR="00D00514" w:rsidRPr="0099368B" w:rsidRDefault="00D00514" w:rsidP="00D00514">
      <w:pPr>
        <w:jc w:val="both"/>
        <w:rPr>
          <w:rFonts w:ascii="Times New Roman" w:hAnsi="Times New Roman" w:cs="Times New Roman"/>
          <w:bCs/>
          <w:sz w:val="20"/>
          <w:szCs w:val="20"/>
        </w:rPr>
      </w:pPr>
      <w:r w:rsidRPr="0099368B">
        <w:rPr>
          <w:rFonts w:ascii="Times New Roman" w:hAnsi="Times New Roman" w:cs="Times New Roman"/>
          <w:bCs/>
          <w:sz w:val="20"/>
          <w:szCs w:val="20"/>
        </w:rPr>
        <w:t xml:space="preserve">Georgios Kantidakis, Saskia </w:t>
      </w:r>
      <w:proofErr w:type="spellStart"/>
      <w:r w:rsidRPr="0099368B">
        <w:rPr>
          <w:rFonts w:ascii="Times New Roman" w:hAnsi="Times New Roman" w:cs="Times New Roman"/>
          <w:bCs/>
          <w:sz w:val="20"/>
          <w:szCs w:val="20"/>
        </w:rPr>
        <w:t>Litière</w:t>
      </w:r>
      <w:proofErr w:type="spellEnd"/>
      <w:r w:rsidRPr="0099368B">
        <w:rPr>
          <w:rFonts w:ascii="Times New Roman" w:hAnsi="Times New Roman" w:cs="Times New Roman"/>
          <w:bCs/>
          <w:sz w:val="20"/>
          <w:szCs w:val="20"/>
        </w:rPr>
        <w:t>, Anouk Neven, Marie Vinche</w:t>
      </w:r>
      <w:r w:rsidR="00E62CBD">
        <w:rPr>
          <w:rFonts w:ascii="Times New Roman" w:hAnsi="Times New Roman" w:cs="Times New Roman"/>
          <w:bCs/>
          <w:sz w:val="20"/>
          <w:szCs w:val="20"/>
        </w:rPr>
        <w:t xml:space="preserve">s, Ian Judson, Jean-Yves </w:t>
      </w:r>
      <w:proofErr w:type="spellStart"/>
      <w:r w:rsidR="00E62CBD">
        <w:rPr>
          <w:rFonts w:ascii="Times New Roman" w:hAnsi="Times New Roman" w:cs="Times New Roman"/>
          <w:bCs/>
          <w:sz w:val="20"/>
          <w:szCs w:val="20"/>
        </w:rPr>
        <w:t>Blay</w:t>
      </w:r>
      <w:proofErr w:type="spellEnd"/>
      <w:r w:rsidRPr="0099368B">
        <w:rPr>
          <w:rFonts w:ascii="Times New Roman" w:hAnsi="Times New Roman" w:cs="Times New Roman"/>
          <w:bCs/>
          <w:sz w:val="20"/>
          <w:szCs w:val="20"/>
        </w:rPr>
        <w:t xml:space="preserve">, </w:t>
      </w:r>
      <w:r w:rsidRPr="0099368B">
        <w:rPr>
          <w:rFonts w:ascii="Times New Roman" w:hAnsi="Times New Roman" w:cs="Times New Roman"/>
          <w:bCs/>
          <w:sz w:val="20"/>
          <w:szCs w:val="20"/>
          <w:lang w:val="en-US"/>
        </w:rPr>
        <w:t xml:space="preserve">Eva </w:t>
      </w:r>
      <w:proofErr w:type="spellStart"/>
      <w:r w:rsidRPr="0099368B">
        <w:rPr>
          <w:rFonts w:ascii="Times New Roman" w:hAnsi="Times New Roman" w:cs="Times New Roman"/>
          <w:bCs/>
          <w:sz w:val="20"/>
          <w:szCs w:val="20"/>
          <w:lang w:val="en-US"/>
        </w:rPr>
        <w:t>Wardelmann</w:t>
      </w:r>
      <w:proofErr w:type="spellEnd"/>
      <w:r w:rsidRPr="0099368B">
        <w:rPr>
          <w:rFonts w:ascii="Times New Roman" w:hAnsi="Times New Roman" w:cs="Times New Roman"/>
          <w:bCs/>
          <w:sz w:val="20"/>
          <w:szCs w:val="20"/>
        </w:rPr>
        <w:t xml:space="preserve">, </w:t>
      </w:r>
      <w:r w:rsidRPr="0099368B">
        <w:rPr>
          <w:rFonts w:ascii="Times New Roman" w:hAnsi="Times New Roman" w:cs="Times New Roman"/>
          <w:sz w:val="20"/>
          <w:szCs w:val="20"/>
          <w:lang w:val="en-US"/>
        </w:rPr>
        <w:t xml:space="preserve">Silvia Stacchiotti, Lorenzo D’Ambrosio, Sandrine </w:t>
      </w:r>
      <w:proofErr w:type="spellStart"/>
      <w:r w:rsidRPr="0099368B">
        <w:rPr>
          <w:rFonts w:ascii="Times New Roman" w:hAnsi="Times New Roman" w:cs="Times New Roman"/>
          <w:sz w:val="20"/>
          <w:szCs w:val="20"/>
          <w:lang w:val="en-US"/>
        </w:rPr>
        <w:t>Marréaud</w:t>
      </w:r>
      <w:proofErr w:type="spellEnd"/>
      <w:r w:rsidRPr="0099368B">
        <w:rPr>
          <w:rFonts w:ascii="Times New Roman" w:hAnsi="Times New Roman" w:cs="Times New Roman"/>
          <w:sz w:val="20"/>
          <w:szCs w:val="20"/>
          <w:lang w:val="en-US"/>
        </w:rPr>
        <w:t>, Winette</w:t>
      </w:r>
      <w:r>
        <w:rPr>
          <w:rFonts w:ascii="Times New Roman" w:hAnsi="Times New Roman" w:cs="Times New Roman"/>
          <w:sz w:val="20"/>
          <w:szCs w:val="20"/>
          <w:lang w:val="en-US"/>
        </w:rPr>
        <w:t xml:space="preserve"> T.A.</w:t>
      </w:r>
      <w:r w:rsidRPr="0099368B">
        <w:rPr>
          <w:rFonts w:ascii="Times New Roman" w:hAnsi="Times New Roman" w:cs="Times New Roman"/>
          <w:sz w:val="20"/>
          <w:szCs w:val="20"/>
          <w:lang w:val="en-US"/>
        </w:rPr>
        <w:t xml:space="preserve"> van der Graaf, Bernd Kasper,</w:t>
      </w:r>
      <w:r w:rsidRPr="0099368B">
        <w:rPr>
          <w:rFonts w:ascii="Times New Roman" w:hAnsi="Times New Roman" w:cs="Times New Roman"/>
          <w:bCs/>
          <w:sz w:val="20"/>
          <w:szCs w:val="20"/>
        </w:rPr>
        <w:t xml:space="preserve"> Marta Fiocco, Hans </w:t>
      </w:r>
      <w:proofErr w:type="spellStart"/>
      <w:r w:rsidRPr="0099368B">
        <w:rPr>
          <w:rFonts w:ascii="Times New Roman" w:hAnsi="Times New Roman" w:cs="Times New Roman"/>
          <w:bCs/>
          <w:sz w:val="20"/>
          <w:szCs w:val="20"/>
        </w:rPr>
        <w:t>Gelderblom</w:t>
      </w:r>
      <w:proofErr w:type="spellEnd"/>
    </w:p>
    <w:p w14:paraId="71A95EDD" w14:textId="09A93940" w:rsidR="003F5CA5" w:rsidRPr="0099368B" w:rsidRDefault="003F5CA5" w:rsidP="008926F9">
      <w:pPr>
        <w:jc w:val="both"/>
        <w:rPr>
          <w:rFonts w:ascii="Times New Roman" w:hAnsi="Times New Roman" w:cs="Times New Roman"/>
          <w:bCs/>
          <w:sz w:val="20"/>
          <w:szCs w:val="20"/>
        </w:rPr>
      </w:pPr>
    </w:p>
    <w:p w14:paraId="1293A585" w14:textId="56D6E0C6" w:rsidR="003F5CA5" w:rsidRPr="0099368B" w:rsidRDefault="003F5CA5" w:rsidP="008926F9">
      <w:pPr>
        <w:jc w:val="both"/>
        <w:rPr>
          <w:rFonts w:ascii="Times New Roman" w:hAnsi="Times New Roman" w:cs="Times New Roman"/>
          <w:bCs/>
          <w:sz w:val="20"/>
          <w:szCs w:val="20"/>
          <w:lang w:val="en-US"/>
        </w:rPr>
      </w:pPr>
    </w:p>
    <w:p w14:paraId="606BD702" w14:textId="77777777" w:rsidR="003F5CA5" w:rsidRPr="0099368B" w:rsidRDefault="003F5CA5" w:rsidP="008926F9">
      <w:pPr>
        <w:jc w:val="both"/>
        <w:rPr>
          <w:rFonts w:ascii="Times New Roman" w:hAnsi="Times New Roman" w:cs="Times New Roman"/>
          <w:bCs/>
          <w:sz w:val="20"/>
          <w:szCs w:val="20"/>
          <w:lang w:val="en-US"/>
        </w:rPr>
      </w:pPr>
    </w:p>
    <w:p w14:paraId="3D651683" w14:textId="6A1D67D2" w:rsidR="003F5CA5" w:rsidRPr="0099368B" w:rsidRDefault="003F5CA5" w:rsidP="008926F9">
      <w:pPr>
        <w:jc w:val="both"/>
        <w:rPr>
          <w:rFonts w:ascii="Times New Roman" w:hAnsi="Times New Roman" w:cs="Times New Roman"/>
          <w:bCs/>
          <w:sz w:val="20"/>
          <w:szCs w:val="20"/>
          <w:lang w:val="en-US"/>
        </w:rPr>
      </w:pPr>
    </w:p>
    <w:p w14:paraId="40830CB5" w14:textId="40B23F12" w:rsidR="00BF0A1A" w:rsidRDefault="00BF0A1A" w:rsidP="003F5CA5">
      <w:pPr>
        <w:jc w:val="center"/>
        <w:rPr>
          <w:rFonts w:ascii="Times New Roman" w:hAnsi="Times New Roman" w:cs="Times New Roman"/>
          <w:sz w:val="20"/>
          <w:szCs w:val="20"/>
          <w:u w:val="single"/>
        </w:rPr>
      </w:pPr>
    </w:p>
    <w:p w14:paraId="112A7813" w14:textId="77777777" w:rsidR="0099368B" w:rsidRPr="0099368B" w:rsidRDefault="0099368B" w:rsidP="003F5CA5">
      <w:pPr>
        <w:jc w:val="center"/>
        <w:rPr>
          <w:rFonts w:ascii="Times New Roman" w:hAnsi="Times New Roman" w:cs="Times New Roman"/>
          <w:sz w:val="20"/>
          <w:szCs w:val="20"/>
          <w:u w:val="single"/>
        </w:rPr>
      </w:pPr>
    </w:p>
    <w:p w14:paraId="6E0DE5EF" w14:textId="42E0AE14" w:rsidR="003F5CA5" w:rsidRPr="0099368B" w:rsidRDefault="00F240F0" w:rsidP="003F5CA5">
      <w:pPr>
        <w:jc w:val="center"/>
        <w:rPr>
          <w:rFonts w:ascii="Times New Roman" w:hAnsi="Times New Roman" w:cs="Times New Roman"/>
          <w:sz w:val="20"/>
          <w:szCs w:val="20"/>
          <w:u w:val="single"/>
        </w:rPr>
      </w:pPr>
      <w:r w:rsidRPr="0099368B">
        <w:rPr>
          <w:rFonts w:ascii="Times New Roman" w:hAnsi="Times New Roman" w:cs="Times New Roman"/>
          <w:sz w:val="20"/>
          <w:szCs w:val="20"/>
          <w:u w:val="single"/>
        </w:rPr>
        <w:t>APPENDIX</w:t>
      </w:r>
    </w:p>
    <w:p w14:paraId="0524C107" w14:textId="77777777" w:rsidR="003F5CA5" w:rsidRPr="0099368B" w:rsidRDefault="003F5CA5" w:rsidP="008926F9">
      <w:pPr>
        <w:jc w:val="both"/>
        <w:rPr>
          <w:rFonts w:ascii="Times New Roman" w:hAnsi="Times New Roman" w:cs="Times New Roman"/>
          <w:bCs/>
          <w:sz w:val="20"/>
          <w:szCs w:val="20"/>
          <w:lang w:val="en-US"/>
        </w:rPr>
      </w:pPr>
    </w:p>
    <w:p w14:paraId="284F4617" w14:textId="4A622A4B" w:rsidR="00D13B92" w:rsidRPr="0099368B" w:rsidRDefault="00D13B92">
      <w:pPr>
        <w:rPr>
          <w:rFonts w:ascii="Times New Roman" w:hAnsi="Times New Roman" w:cs="Times New Roman"/>
          <w:sz w:val="20"/>
          <w:szCs w:val="20"/>
          <w:lang w:val="en-US"/>
        </w:rPr>
      </w:pPr>
    </w:p>
    <w:p w14:paraId="32FD5318" w14:textId="3B697D03" w:rsidR="008926F9" w:rsidRPr="0099368B" w:rsidRDefault="008926F9">
      <w:pPr>
        <w:rPr>
          <w:rFonts w:ascii="Times New Roman" w:hAnsi="Times New Roman" w:cs="Times New Roman"/>
          <w:sz w:val="20"/>
          <w:szCs w:val="20"/>
          <w:lang w:val="en-US"/>
        </w:rPr>
      </w:pPr>
    </w:p>
    <w:p w14:paraId="58EDA5E5" w14:textId="308447CD" w:rsidR="008926F9" w:rsidRPr="0099368B" w:rsidRDefault="008926F9">
      <w:pPr>
        <w:rPr>
          <w:rFonts w:ascii="Times New Roman" w:hAnsi="Times New Roman" w:cs="Times New Roman"/>
          <w:sz w:val="20"/>
          <w:szCs w:val="20"/>
          <w:lang w:val="en-US"/>
        </w:rPr>
      </w:pPr>
    </w:p>
    <w:p w14:paraId="5DC36314" w14:textId="2BBCEDC7" w:rsidR="003F5CA5" w:rsidRPr="0099368B" w:rsidRDefault="003F5CA5">
      <w:pPr>
        <w:rPr>
          <w:rFonts w:ascii="Times New Roman" w:hAnsi="Times New Roman" w:cs="Times New Roman"/>
          <w:sz w:val="20"/>
          <w:szCs w:val="20"/>
          <w:lang w:val="en-US"/>
        </w:rPr>
      </w:pPr>
    </w:p>
    <w:p w14:paraId="09FABA45" w14:textId="72C8ADC6" w:rsidR="003F5CA5" w:rsidRPr="0099368B" w:rsidRDefault="003F5CA5">
      <w:pPr>
        <w:rPr>
          <w:rFonts w:ascii="Times New Roman" w:hAnsi="Times New Roman" w:cs="Times New Roman"/>
          <w:sz w:val="20"/>
          <w:szCs w:val="20"/>
          <w:lang w:val="en-US"/>
        </w:rPr>
      </w:pPr>
    </w:p>
    <w:p w14:paraId="17BF746D" w14:textId="26E237DD" w:rsidR="003F5CA5" w:rsidRPr="0099368B" w:rsidRDefault="003F5CA5">
      <w:pPr>
        <w:rPr>
          <w:rFonts w:ascii="Times New Roman" w:hAnsi="Times New Roman" w:cs="Times New Roman"/>
          <w:sz w:val="20"/>
          <w:szCs w:val="20"/>
          <w:lang w:val="en-US"/>
        </w:rPr>
      </w:pPr>
    </w:p>
    <w:p w14:paraId="4F85F0F3" w14:textId="6079880C" w:rsidR="003F5CA5" w:rsidRPr="0099368B" w:rsidRDefault="003F5CA5">
      <w:pPr>
        <w:rPr>
          <w:rFonts w:ascii="Times New Roman" w:hAnsi="Times New Roman" w:cs="Times New Roman"/>
          <w:sz w:val="20"/>
          <w:szCs w:val="20"/>
          <w:lang w:val="en-US"/>
        </w:rPr>
      </w:pPr>
    </w:p>
    <w:p w14:paraId="3165122C" w14:textId="0D76E559" w:rsidR="003F5CA5" w:rsidRPr="0099368B" w:rsidRDefault="003F5CA5">
      <w:pPr>
        <w:rPr>
          <w:rFonts w:ascii="Times New Roman" w:hAnsi="Times New Roman" w:cs="Times New Roman"/>
          <w:sz w:val="20"/>
          <w:szCs w:val="20"/>
          <w:lang w:val="en-US"/>
        </w:rPr>
      </w:pPr>
    </w:p>
    <w:p w14:paraId="25494620" w14:textId="0713F559" w:rsidR="003F5CA5" w:rsidRPr="0099368B" w:rsidRDefault="003F5CA5">
      <w:pPr>
        <w:rPr>
          <w:rFonts w:ascii="Times New Roman" w:hAnsi="Times New Roman" w:cs="Times New Roman"/>
          <w:sz w:val="20"/>
          <w:szCs w:val="20"/>
          <w:lang w:val="en-US"/>
        </w:rPr>
      </w:pPr>
    </w:p>
    <w:p w14:paraId="6A8A4DC8" w14:textId="29132CDB" w:rsidR="003F5CA5" w:rsidRPr="0099368B" w:rsidRDefault="003F5CA5">
      <w:pPr>
        <w:rPr>
          <w:rFonts w:ascii="Times New Roman" w:hAnsi="Times New Roman" w:cs="Times New Roman"/>
          <w:sz w:val="20"/>
          <w:szCs w:val="20"/>
          <w:lang w:val="en-US"/>
        </w:rPr>
      </w:pPr>
    </w:p>
    <w:p w14:paraId="5FAC8B39" w14:textId="7965F65A" w:rsidR="006B2FCB" w:rsidRPr="0099368B" w:rsidRDefault="006B2FCB">
      <w:pPr>
        <w:rPr>
          <w:rFonts w:ascii="Times New Roman" w:hAnsi="Times New Roman" w:cs="Times New Roman"/>
          <w:sz w:val="20"/>
          <w:szCs w:val="20"/>
          <w:lang w:val="en-US"/>
        </w:rPr>
      </w:pPr>
    </w:p>
    <w:p w14:paraId="2729901A" w14:textId="2E3E846A" w:rsidR="006B2FCB" w:rsidRDefault="006B2FCB">
      <w:pPr>
        <w:rPr>
          <w:rFonts w:ascii="Times New Roman" w:hAnsi="Times New Roman" w:cs="Times New Roman"/>
          <w:sz w:val="20"/>
          <w:szCs w:val="20"/>
          <w:lang w:val="en-US"/>
        </w:rPr>
      </w:pPr>
    </w:p>
    <w:p w14:paraId="2F6AB3F2" w14:textId="2B8611CC" w:rsidR="0099368B" w:rsidRDefault="0099368B">
      <w:pPr>
        <w:rPr>
          <w:rFonts w:ascii="Times New Roman" w:hAnsi="Times New Roman" w:cs="Times New Roman"/>
          <w:sz w:val="20"/>
          <w:szCs w:val="20"/>
          <w:lang w:val="en-US"/>
        </w:rPr>
      </w:pPr>
    </w:p>
    <w:p w14:paraId="51659281" w14:textId="7E0D14E2" w:rsidR="0099368B" w:rsidRDefault="0099368B">
      <w:pPr>
        <w:rPr>
          <w:rFonts w:ascii="Times New Roman" w:hAnsi="Times New Roman" w:cs="Times New Roman"/>
          <w:sz w:val="20"/>
          <w:szCs w:val="20"/>
          <w:lang w:val="en-US"/>
        </w:rPr>
      </w:pPr>
    </w:p>
    <w:p w14:paraId="086A7D9C" w14:textId="7D801DE2" w:rsidR="00CA29FA" w:rsidRPr="0099368B" w:rsidRDefault="00CA29FA">
      <w:pPr>
        <w:rPr>
          <w:rFonts w:ascii="Times New Roman" w:hAnsi="Times New Roman" w:cs="Times New Roman"/>
          <w:sz w:val="20"/>
          <w:szCs w:val="20"/>
          <w:lang w:val="en-US"/>
        </w:rPr>
      </w:pPr>
    </w:p>
    <w:p w14:paraId="63882FA7" w14:textId="431A739E" w:rsidR="003F5CA5" w:rsidRPr="0099368B" w:rsidRDefault="003F5CA5" w:rsidP="003F5CA5">
      <w:pPr>
        <w:rPr>
          <w:rFonts w:ascii="Times New Roman" w:hAnsi="Times New Roman" w:cs="Times New Roman"/>
          <w:sz w:val="20"/>
          <w:szCs w:val="20"/>
          <w:lang w:val="en-US"/>
        </w:rPr>
      </w:pPr>
      <w:r w:rsidRPr="0099368B">
        <w:rPr>
          <w:rFonts w:ascii="Times New Roman" w:hAnsi="Times New Roman" w:cs="Times New Roman"/>
          <w:sz w:val="20"/>
          <w:szCs w:val="20"/>
          <w:lang w:val="en-US"/>
        </w:rPr>
        <w:t>Correspondence to:</w:t>
      </w:r>
    </w:p>
    <w:p w14:paraId="5236FEB2" w14:textId="77777777" w:rsidR="0012001A" w:rsidRPr="0099368B" w:rsidRDefault="0012001A" w:rsidP="0012001A">
      <w:pPr>
        <w:jc w:val="both"/>
        <w:rPr>
          <w:rFonts w:ascii="Times New Roman" w:hAnsi="Times New Roman" w:cs="Times New Roman"/>
          <w:bCs/>
          <w:sz w:val="20"/>
          <w:szCs w:val="20"/>
        </w:rPr>
      </w:pPr>
      <w:r w:rsidRPr="0099368B">
        <w:rPr>
          <w:rFonts w:ascii="Times New Roman" w:hAnsi="Times New Roman" w:cs="Times New Roman"/>
          <w:bCs/>
          <w:sz w:val="20"/>
          <w:szCs w:val="20"/>
        </w:rPr>
        <w:t xml:space="preserve">Prof Hans </w:t>
      </w:r>
      <w:proofErr w:type="spellStart"/>
      <w:r w:rsidRPr="0099368B">
        <w:rPr>
          <w:rFonts w:ascii="Times New Roman" w:hAnsi="Times New Roman" w:cs="Times New Roman"/>
          <w:bCs/>
          <w:sz w:val="20"/>
          <w:szCs w:val="20"/>
        </w:rPr>
        <w:t>Gelderblom</w:t>
      </w:r>
      <w:proofErr w:type="spellEnd"/>
      <w:r w:rsidRPr="0099368B">
        <w:rPr>
          <w:rFonts w:ascii="Times New Roman" w:hAnsi="Times New Roman" w:cs="Times New Roman"/>
          <w:bCs/>
          <w:sz w:val="20"/>
          <w:szCs w:val="20"/>
        </w:rPr>
        <w:t xml:space="preserve">, </w:t>
      </w:r>
    </w:p>
    <w:p w14:paraId="7D755528" w14:textId="77777777" w:rsidR="0012001A" w:rsidRPr="0099368B" w:rsidRDefault="0012001A" w:rsidP="0012001A">
      <w:pPr>
        <w:jc w:val="both"/>
        <w:rPr>
          <w:rFonts w:ascii="Times New Roman" w:hAnsi="Times New Roman" w:cs="Times New Roman"/>
          <w:bCs/>
          <w:sz w:val="20"/>
          <w:szCs w:val="20"/>
        </w:rPr>
      </w:pPr>
      <w:r w:rsidRPr="0099368B">
        <w:rPr>
          <w:rFonts w:ascii="Times New Roman" w:hAnsi="Times New Roman" w:cs="Times New Roman"/>
          <w:bCs/>
          <w:sz w:val="20"/>
          <w:szCs w:val="20"/>
        </w:rPr>
        <w:t xml:space="preserve">Department of Medical Oncology, </w:t>
      </w:r>
    </w:p>
    <w:p w14:paraId="4B84E4FF" w14:textId="77777777" w:rsidR="0012001A" w:rsidRPr="0099368B" w:rsidRDefault="0012001A" w:rsidP="0012001A">
      <w:pPr>
        <w:jc w:val="both"/>
        <w:rPr>
          <w:rFonts w:ascii="Times New Roman" w:hAnsi="Times New Roman" w:cs="Times New Roman"/>
          <w:bCs/>
          <w:sz w:val="20"/>
          <w:szCs w:val="20"/>
          <w:lang w:val="en-US"/>
        </w:rPr>
      </w:pPr>
      <w:r w:rsidRPr="0099368B">
        <w:rPr>
          <w:rFonts w:ascii="Times New Roman" w:hAnsi="Times New Roman" w:cs="Times New Roman"/>
          <w:bCs/>
          <w:sz w:val="20"/>
          <w:szCs w:val="20"/>
          <w:lang w:val="en-US"/>
        </w:rPr>
        <w:t xml:space="preserve">Leiden University Medical Center, 2333 ZA, </w:t>
      </w:r>
    </w:p>
    <w:p w14:paraId="6918946C" w14:textId="1950CAE8" w:rsidR="0012001A" w:rsidRPr="0099368B" w:rsidRDefault="0012001A" w:rsidP="0012001A">
      <w:pPr>
        <w:jc w:val="both"/>
        <w:rPr>
          <w:rFonts w:ascii="Times New Roman" w:hAnsi="Times New Roman" w:cs="Times New Roman"/>
          <w:bCs/>
          <w:sz w:val="20"/>
          <w:szCs w:val="20"/>
          <w:lang w:val="nl-NL"/>
        </w:rPr>
      </w:pPr>
      <w:r w:rsidRPr="0099368B">
        <w:rPr>
          <w:rFonts w:ascii="Times New Roman" w:hAnsi="Times New Roman" w:cs="Times New Roman"/>
          <w:bCs/>
          <w:sz w:val="20"/>
          <w:szCs w:val="20"/>
          <w:lang w:val="nl-NL"/>
        </w:rPr>
        <w:t>Leiden, Netherlands</w:t>
      </w:r>
    </w:p>
    <w:p w14:paraId="63B4E83E" w14:textId="5584A527" w:rsidR="0099368B" w:rsidRPr="0099368B" w:rsidRDefault="00352035" w:rsidP="003F5CA5">
      <w:pPr>
        <w:rPr>
          <w:rFonts w:ascii="Times New Roman" w:hAnsi="Times New Roman" w:cs="Times New Roman"/>
          <w:bCs/>
          <w:color w:val="0563C1" w:themeColor="hyperlink"/>
          <w:sz w:val="20"/>
          <w:szCs w:val="20"/>
          <w:u w:val="single"/>
          <w:lang w:val="nl-NL"/>
        </w:rPr>
      </w:pPr>
      <w:hyperlink r:id="rId11" w:history="1">
        <w:r w:rsidR="0012001A" w:rsidRPr="0099368B">
          <w:rPr>
            <w:rStyle w:val="Hyperlink"/>
            <w:rFonts w:ascii="Times New Roman" w:hAnsi="Times New Roman" w:cs="Times New Roman"/>
            <w:bCs/>
            <w:sz w:val="20"/>
            <w:szCs w:val="20"/>
            <w:lang w:val="nl-NL"/>
          </w:rPr>
          <w:t>a.j.gelderblom@lumc.nl</w:t>
        </w:r>
      </w:hyperlink>
    </w:p>
    <w:sdt>
      <w:sdtPr>
        <w:rPr>
          <w:rFonts w:ascii="Times New Roman" w:eastAsiaTheme="minorHAnsi" w:hAnsi="Times New Roman" w:cs="Times New Roman"/>
          <w:color w:val="auto"/>
          <w:sz w:val="20"/>
          <w:szCs w:val="20"/>
          <w:lang w:val="en-GB"/>
        </w:rPr>
        <w:id w:val="907191838"/>
        <w:docPartObj>
          <w:docPartGallery w:val="Table of Contents"/>
          <w:docPartUnique/>
        </w:docPartObj>
      </w:sdtPr>
      <w:sdtEndPr>
        <w:rPr>
          <w:noProof/>
        </w:rPr>
      </w:sdtEndPr>
      <w:sdtContent>
        <w:p w14:paraId="05F043E9" w14:textId="77777777" w:rsidR="00A500D6" w:rsidRPr="00EC611C" w:rsidRDefault="00407330">
          <w:pPr>
            <w:pStyle w:val="TOCHeading"/>
            <w:rPr>
              <w:rFonts w:ascii="Times New Roman" w:hAnsi="Times New Roman" w:cs="Times New Roman"/>
              <w:sz w:val="20"/>
              <w:szCs w:val="20"/>
            </w:rPr>
          </w:pPr>
          <w:r w:rsidRPr="00EC611C">
            <w:rPr>
              <w:rFonts w:ascii="Times New Roman" w:hAnsi="Times New Roman" w:cs="Times New Roman"/>
              <w:sz w:val="20"/>
              <w:szCs w:val="20"/>
            </w:rPr>
            <w:t xml:space="preserve">Table of </w:t>
          </w:r>
          <w:r w:rsidR="00A500D6" w:rsidRPr="00EC611C">
            <w:rPr>
              <w:rFonts w:ascii="Times New Roman" w:hAnsi="Times New Roman" w:cs="Times New Roman"/>
              <w:sz w:val="20"/>
              <w:szCs w:val="20"/>
            </w:rPr>
            <w:t>Contents</w:t>
          </w:r>
        </w:p>
        <w:p w14:paraId="1086DE12" w14:textId="22B6E4C9" w:rsidR="009516F5" w:rsidRPr="009516F5" w:rsidRDefault="00A500D6">
          <w:pPr>
            <w:pStyle w:val="TOC1"/>
            <w:tabs>
              <w:tab w:val="left" w:pos="440"/>
              <w:tab w:val="right" w:leader="dot" w:pos="9016"/>
            </w:tabs>
            <w:rPr>
              <w:rFonts w:eastAsiaTheme="minorEastAsia"/>
              <w:noProof/>
              <w:lang w:eastAsia="en-GB"/>
            </w:rPr>
          </w:pPr>
          <w:r w:rsidRPr="0000797A">
            <w:rPr>
              <w:rFonts w:ascii="Times New Roman" w:hAnsi="Times New Roman" w:cs="Times New Roman"/>
              <w:sz w:val="20"/>
              <w:szCs w:val="20"/>
            </w:rPr>
            <w:fldChar w:fldCharType="begin"/>
          </w:r>
          <w:r w:rsidRPr="0000797A">
            <w:rPr>
              <w:rFonts w:ascii="Times New Roman" w:hAnsi="Times New Roman" w:cs="Times New Roman"/>
              <w:sz w:val="20"/>
              <w:szCs w:val="20"/>
            </w:rPr>
            <w:instrText xml:space="preserve"> TOC \o "1-3" \h \z \u </w:instrText>
          </w:r>
          <w:r w:rsidRPr="0000797A">
            <w:rPr>
              <w:rFonts w:ascii="Times New Roman" w:hAnsi="Times New Roman" w:cs="Times New Roman"/>
              <w:sz w:val="20"/>
              <w:szCs w:val="20"/>
            </w:rPr>
            <w:fldChar w:fldCharType="separate"/>
          </w:r>
          <w:hyperlink w:anchor="_Toc97281434" w:history="1">
            <w:r w:rsidR="009516F5" w:rsidRPr="009516F5">
              <w:rPr>
                <w:rStyle w:val="Hyperlink"/>
                <w:rFonts w:cs="Times New Roman"/>
                <w:noProof/>
              </w:rPr>
              <w:t>1</w:t>
            </w:r>
            <w:r w:rsidR="009516F5" w:rsidRPr="009516F5">
              <w:rPr>
                <w:rFonts w:eastAsiaTheme="minorEastAsia"/>
                <w:noProof/>
                <w:lang w:eastAsia="en-GB"/>
              </w:rPr>
              <w:tab/>
            </w:r>
            <w:r w:rsidR="009516F5" w:rsidRPr="009516F5">
              <w:rPr>
                <w:rStyle w:val="Hyperlink"/>
                <w:rFonts w:cs="Times New Roman"/>
                <w:noProof/>
              </w:rPr>
              <w:t xml:space="preserve">Details about the literature </w:t>
            </w:r>
            <w:bookmarkStart w:id="0" w:name="_GoBack"/>
            <w:bookmarkEnd w:id="0"/>
            <w:r w:rsidR="009516F5" w:rsidRPr="009516F5">
              <w:rPr>
                <w:rStyle w:val="Hyperlink"/>
                <w:rFonts w:cs="Times New Roman"/>
                <w:noProof/>
              </w:rPr>
              <w:t>review</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_Toc97281434 \h </w:instrText>
            </w:r>
            <w:r w:rsidR="009516F5" w:rsidRPr="009516F5">
              <w:rPr>
                <w:noProof/>
                <w:webHidden/>
              </w:rPr>
            </w:r>
            <w:r w:rsidR="009516F5" w:rsidRPr="009516F5">
              <w:rPr>
                <w:noProof/>
                <w:webHidden/>
              </w:rPr>
              <w:fldChar w:fldCharType="separate"/>
            </w:r>
            <w:r w:rsidR="009516F5" w:rsidRPr="009516F5">
              <w:rPr>
                <w:noProof/>
                <w:webHidden/>
              </w:rPr>
              <w:t>3</w:t>
            </w:r>
            <w:r w:rsidR="009516F5" w:rsidRPr="009516F5">
              <w:rPr>
                <w:noProof/>
                <w:webHidden/>
              </w:rPr>
              <w:fldChar w:fldCharType="end"/>
            </w:r>
          </w:hyperlink>
        </w:p>
        <w:p w14:paraId="21020E44" w14:textId="4858E7F3" w:rsidR="009516F5" w:rsidRPr="009516F5" w:rsidRDefault="00352035">
          <w:pPr>
            <w:pStyle w:val="TOC1"/>
            <w:tabs>
              <w:tab w:val="left" w:pos="440"/>
              <w:tab w:val="right" w:leader="dot" w:pos="9016"/>
            </w:tabs>
            <w:rPr>
              <w:rFonts w:eastAsiaTheme="minorEastAsia"/>
              <w:noProof/>
              <w:lang w:eastAsia="en-GB"/>
            </w:rPr>
          </w:pPr>
          <w:hyperlink w:anchor="_Toc97281435" w:history="1">
            <w:r w:rsidR="009516F5" w:rsidRPr="009516F5">
              <w:rPr>
                <w:rStyle w:val="Hyperlink"/>
                <w:rFonts w:cs="Times New Roman"/>
                <w:noProof/>
              </w:rPr>
              <w:t>2</w:t>
            </w:r>
            <w:r w:rsidR="009516F5" w:rsidRPr="009516F5">
              <w:rPr>
                <w:rFonts w:eastAsiaTheme="minorEastAsia"/>
                <w:noProof/>
                <w:lang w:eastAsia="en-GB"/>
              </w:rPr>
              <w:tab/>
            </w:r>
            <w:r w:rsidR="009516F5" w:rsidRPr="009516F5">
              <w:rPr>
                <w:rStyle w:val="Hyperlink"/>
                <w:rFonts w:cs="Times New Roman"/>
                <w:noProof/>
              </w:rPr>
              <w:t>Details about the liposarcoma (LPS) and the synovial sarcoma (SS) meta-analyses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_Toc97281435 \h </w:instrText>
            </w:r>
            <w:r w:rsidR="009516F5" w:rsidRPr="009516F5">
              <w:rPr>
                <w:noProof/>
                <w:webHidden/>
              </w:rPr>
            </w:r>
            <w:r w:rsidR="009516F5" w:rsidRPr="009516F5">
              <w:rPr>
                <w:noProof/>
                <w:webHidden/>
              </w:rPr>
              <w:fldChar w:fldCharType="separate"/>
            </w:r>
            <w:r w:rsidR="009516F5" w:rsidRPr="009516F5">
              <w:rPr>
                <w:noProof/>
                <w:webHidden/>
              </w:rPr>
              <w:t>5</w:t>
            </w:r>
            <w:r w:rsidR="009516F5" w:rsidRPr="009516F5">
              <w:rPr>
                <w:noProof/>
                <w:webHidden/>
              </w:rPr>
              <w:fldChar w:fldCharType="end"/>
            </w:r>
          </w:hyperlink>
        </w:p>
        <w:p w14:paraId="66EA033E" w14:textId="5DF88AEA" w:rsidR="009516F5" w:rsidRPr="009516F5" w:rsidRDefault="00352035">
          <w:pPr>
            <w:pStyle w:val="TOC2"/>
            <w:tabs>
              <w:tab w:val="left" w:pos="880"/>
              <w:tab w:val="right" w:leader="dot" w:pos="9016"/>
            </w:tabs>
            <w:rPr>
              <w:rFonts w:eastAsiaTheme="minorEastAsia"/>
              <w:noProof/>
              <w:lang w:eastAsia="en-GB"/>
            </w:rPr>
          </w:pPr>
          <w:hyperlink w:anchor="_Toc97281436" w:history="1">
            <w:r w:rsidR="009516F5" w:rsidRPr="009516F5">
              <w:rPr>
                <w:rStyle w:val="Hyperlink"/>
                <w:rFonts w:ascii="Times New Roman" w:eastAsia="Times New Roman" w:hAnsi="Times New Roman" w:cs="Times New Roman"/>
                <w:noProof/>
                <w:lang w:val="en-US"/>
              </w:rPr>
              <w:t>2.1</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Study characteristics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_Toc97281436 \h </w:instrText>
            </w:r>
            <w:r w:rsidR="009516F5" w:rsidRPr="009516F5">
              <w:rPr>
                <w:noProof/>
                <w:webHidden/>
              </w:rPr>
            </w:r>
            <w:r w:rsidR="009516F5" w:rsidRPr="009516F5">
              <w:rPr>
                <w:noProof/>
                <w:webHidden/>
              </w:rPr>
              <w:fldChar w:fldCharType="separate"/>
            </w:r>
            <w:r w:rsidR="009516F5" w:rsidRPr="009516F5">
              <w:rPr>
                <w:noProof/>
                <w:webHidden/>
              </w:rPr>
              <w:t>5</w:t>
            </w:r>
            <w:r w:rsidR="009516F5" w:rsidRPr="009516F5">
              <w:rPr>
                <w:noProof/>
                <w:webHidden/>
              </w:rPr>
              <w:fldChar w:fldCharType="end"/>
            </w:r>
          </w:hyperlink>
        </w:p>
        <w:p w14:paraId="3A8B58BC" w14:textId="3D8B9265" w:rsidR="009516F5" w:rsidRPr="009516F5" w:rsidRDefault="00352035">
          <w:pPr>
            <w:pStyle w:val="TOC3"/>
            <w:tabs>
              <w:tab w:val="left" w:pos="1320"/>
              <w:tab w:val="right" w:leader="dot" w:pos="9016"/>
            </w:tabs>
            <w:rPr>
              <w:rFonts w:eastAsiaTheme="minorEastAsia"/>
              <w:noProof/>
              <w:lang w:eastAsia="en-GB"/>
            </w:rPr>
          </w:pPr>
          <w:hyperlink w:anchor="_Toc97281437" w:history="1">
            <w:r w:rsidR="009516F5" w:rsidRPr="009516F5">
              <w:rPr>
                <w:rStyle w:val="Hyperlink"/>
                <w:rFonts w:ascii="Times New Roman" w:eastAsia="Times New Roman" w:hAnsi="Times New Roman" w:cs="Times New Roman"/>
                <w:noProof/>
                <w:lang w:val="en-US"/>
              </w:rPr>
              <w:t>2.1.1</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Studies for LPS meta-analyses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_Toc97281437 \h </w:instrText>
            </w:r>
            <w:r w:rsidR="009516F5" w:rsidRPr="009516F5">
              <w:rPr>
                <w:noProof/>
                <w:webHidden/>
              </w:rPr>
            </w:r>
            <w:r w:rsidR="009516F5" w:rsidRPr="009516F5">
              <w:rPr>
                <w:noProof/>
                <w:webHidden/>
              </w:rPr>
              <w:fldChar w:fldCharType="separate"/>
            </w:r>
            <w:r w:rsidR="009516F5" w:rsidRPr="009516F5">
              <w:rPr>
                <w:noProof/>
                <w:webHidden/>
              </w:rPr>
              <w:t>5</w:t>
            </w:r>
            <w:r w:rsidR="009516F5" w:rsidRPr="009516F5">
              <w:rPr>
                <w:noProof/>
                <w:webHidden/>
              </w:rPr>
              <w:fldChar w:fldCharType="end"/>
            </w:r>
          </w:hyperlink>
        </w:p>
        <w:p w14:paraId="0ED7FDC4" w14:textId="1A0BABC3" w:rsidR="009516F5" w:rsidRPr="009516F5" w:rsidRDefault="00352035">
          <w:pPr>
            <w:pStyle w:val="TOC3"/>
            <w:tabs>
              <w:tab w:val="left" w:pos="1320"/>
              <w:tab w:val="right" w:leader="dot" w:pos="9016"/>
            </w:tabs>
            <w:rPr>
              <w:rFonts w:eastAsiaTheme="minorEastAsia"/>
              <w:noProof/>
              <w:lang w:eastAsia="en-GB"/>
            </w:rPr>
          </w:pPr>
          <w:hyperlink w:anchor="_Toc97281438" w:history="1">
            <w:r w:rsidR="009516F5" w:rsidRPr="009516F5">
              <w:rPr>
                <w:rStyle w:val="Hyperlink"/>
                <w:rFonts w:ascii="Times New Roman" w:eastAsia="Times New Roman" w:hAnsi="Times New Roman" w:cs="Times New Roman"/>
                <w:noProof/>
                <w:lang w:val="en-US"/>
              </w:rPr>
              <w:t>2.1.2</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Studies for SS meta-analyses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_Toc97281438 \h </w:instrText>
            </w:r>
            <w:r w:rsidR="009516F5" w:rsidRPr="009516F5">
              <w:rPr>
                <w:noProof/>
                <w:webHidden/>
              </w:rPr>
            </w:r>
            <w:r w:rsidR="009516F5" w:rsidRPr="009516F5">
              <w:rPr>
                <w:noProof/>
                <w:webHidden/>
              </w:rPr>
              <w:fldChar w:fldCharType="separate"/>
            </w:r>
            <w:r w:rsidR="009516F5" w:rsidRPr="009516F5">
              <w:rPr>
                <w:noProof/>
                <w:webHidden/>
              </w:rPr>
              <w:t>8</w:t>
            </w:r>
            <w:r w:rsidR="009516F5" w:rsidRPr="009516F5">
              <w:rPr>
                <w:noProof/>
                <w:webHidden/>
              </w:rPr>
              <w:fldChar w:fldCharType="end"/>
            </w:r>
          </w:hyperlink>
        </w:p>
        <w:p w14:paraId="0F2EF709" w14:textId="133A1261" w:rsidR="009516F5" w:rsidRPr="009516F5" w:rsidRDefault="00352035">
          <w:pPr>
            <w:pStyle w:val="TOC2"/>
            <w:tabs>
              <w:tab w:val="left" w:pos="880"/>
              <w:tab w:val="right" w:leader="dot" w:pos="9016"/>
            </w:tabs>
            <w:rPr>
              <w:rFonts w:eastAsiaTheme="minorEastAsia"/>
              <w:noProof/>
              <w:lang w:eastAsia="en-GB"/>
            </w:rPr>
          </w:pPr>
          <w:hyperlink w:anchor="_Toc97281439" w:history="1">
            <w:r w:rsidR="009516F5" w:rsidRPr="009516F5">
              <w:rPr>
                <w:rStyle w:val="Hyperlink"/>
                <w:rFonts w:ascii="Times New Roman" w:eastAsia="Times New Roman" w:hAnsi="Times New Roman" w:cs="Times New Roman"/>
                <w:noProof/>
                <w:lang w:val="en-US"/>
              </w:rPr>
              <w:t>2.2</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Statistical considerations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_Toc97281439 \h </w:instrText>
            </w:r>
            <w:r w:rsidR="009516F5" w:rsidRPr="009516F5">
              <w:rPr>
                <w:noProof/>
                <w:webHidden/>
              </w:rPr>
            </w:r>
            <w:r w:rsidR="009516F5" w:rsidRPr="009516F5">
              <w:rPr>
                <w:noProof/>
                <w:webHidden/>
              </w:rPr>
              <w:fldChar w:fldCharType="separate"/>
            </w:r>
            <w:r w:rsidR="009516F5" w:rsidRPr="009516F5">
              <w:rPr>
                <w:noProof/>
                <w:webHidden/>
              </w:rPr>
              <w:t>12</w:t>
            </w:r>
            <w:r w:rsidR="009516F5" w:rsidRPr="009516F5">
              <w:rPr>
                <w:noProof/>
                <w:webHidden/>
              </w:rPr>
              <w:fldChar w:fldCharType="end"/>
            </w:r>
          </w:hyperlink>
        </w:p>
        <w:p w14:paraId="17C7DBE7" w14:textId="0C4E0376" w:rsidR="009516F5" w:rsidRPr="009516F5" w:rsidRDefault="00352035">
          <w:pPr>
            <w:pStyle w:val="TOC3"/>
            <w:tabs>
              <w:tab w:val="left" w:pos="1320"/>
              <w:tab w:val="right" w:leader="dot" w:pos="9016"/>
            </w:tabs>
            <w:rPr>
              <w:rFonts w:eastAsiaTheme="minorEastAsia"/>
              <w:noProof/>
              <w:lang w:eastAsia="en-GB"/>
            </w:rPr>
          </w:pPr>
          <w:hyperlink w:anchor="_Toc97281440" w:history="1">
            <w:r w:rsidR="009516F5" w:rsidRPr="009516F5">
              <w:rPr>
                <w:rStyle w:val="Hyperlink"/>
                <w:rFonts w:ascii="Times New Roman" w:eastAsia="Times New Roman" w:hAnsi="Times New Roman" w:cs="Times New Roman"/>
                <w:noProof/>
                <w:lang w:val="en-US"/>
              </w:rPr>
              <w:t>2.2.1</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Unit of the analyses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_Toc97281440 \h </w:instrText>
            </w:r>
            <w:r w:rsidR="009516F5" w:rsidRPr="009516F5">
              <w:rPr>
                <w:noProof/>
                <w:webHidden/>
              </w:rPr>
            </w:r>
            <w:r w:rsidR="009516F5" w:rsidRPr="009516F5">
              <w:rPr>
                <w:noProof/>
                <w:webHidden/>
              </w:rPr>
              <w:fldChar w:fldCharType="separate"/>
            </w:r>
            <w:r w:rsidR="009516F5" w:rsidRPr="009516F5">
              <w:rPr>
                <w:noProof/>
                <w:webHidden/>
              </w:rPr>
              <w:t>12</w:t>
            </w:r>
            <w:r w:rsidR="009516F5" w:rsidRPr="009516F5">
              <w:rPr>
                <w:noProof/>
                <w:webHidden/>
              </w:rPr>
              <w:fldChar w:fldCharType="end"/>
            </w:r>
          </w:hyperlink>
        </w:p>
        <w:p w14:paraId="694BF945" w14:textId="1CB7F82F" w:rsidR="009516F5" w:rsidRPr="009516F5" w:rsidRDefault="00352035">
          <w:pPr>
            <w:pStyle w:val="TOC3"/>
            <w:tabs>
              <w:tab w:val="left" w:pos="1320"/>
              <w:tab w:val="right" w:leader="dot" w:pos="9016"/>
            </w:tabs>
            <w:rPr>
              <w:rFonts w:eastAsiaTheme="minorEastAsia"/>
              <w:noProof/>
              <w:lang w:eastAsia="en-GB"/>
            </w:rPr>
          </w:pPr>
          <w:hyperlink w:anchor="_Toc97281441" w:history="1">
            <w:r w:rsidR="009516F5" w:rsidRPr="009516F5">
              <w:rPr>
                <w:rStyle w:val="Hyperlink"/>
                <w:rFonts w:ascii="Times New Roman" w:eastAsia="Times New Roman" w:hAnsi="Times New Roman" w:cs="Times New Roman"/>
                <w:noProof/>
                <w:lang w:val="en-US"/>
              </w:rPr>
              <w:t>2.2.2</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Meta-analysis methodology</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_Toc97281441 \h </w:instrText>
            </w:r>
            <w:r w:rsidR="009516F5" w:rsidRPr="009516F5">
              <w:rPr>
                <w:noProof/>
                <w:webHidden/>
              </w:rPr>
            </w:r>
            <w:r w:rsidR="009516F5" w:rsidRPr="009516F5">
              <w:rPr>
                <w:noProof/>
                <w:webHidden/>
              </w:rPr>
              <w:fldChar w:fldCharType="separate"/>
            </w:r>
            <w:r w:rsidR="009516F5" w:rsidRPr="009516F5">
              <w:rPr>
                <w:noProof/>
                <w:webHidden/>
              </w:rPr>
              <w:t>12</w:t>
            </w:r>
            <w:r w:rsidR="009516F5" w:rsidRPr="009516F5">
              <w:rPr>
                <w:noProof/>
                <w:webHidden/>
              </w:rPr>
              <w:fldChar w:fldCharType="end"/>
            </w:r>
          </w:hyperlink>
        </w:p>
        <w:p w14:paraId="22A6A96E" w14:textId="782757F2" w:rsidR="009516F5" w:rsidRPr="009516F5" w:rsidRDefault="00352035">
          <w:pPr>
            <w:pStyle w:val="TOC3"/>
            <w:tabs>
              <w:tab w:val="left" w:pos="1320"/>
              <w:tab w:val="right" w:leader="dot" w:pos="9016"/>
            </w:tabs>
            <w:rPr>
              <w:rFonts w:eastAsiaTheme="minorEastAsia"/>
              <w:noProof/>
              <w:lang w:eastAsia="en-GB"/>
            </w:rPr>
          </w:pPr>
          <w:hyperlink w:anchor="_Toc97281442" w:history="1">
            <w:r w:rsidR="009516F5" w:rsidRPr="009516F5">
              <w:rPr>
                <w:rStyle w:val="Hyperlink"/>
                <w:rFonts w:ascii="Times New Roman" w:eastAsia="Times New Roman" w:hAnsi="Times New Roman" w:cs="Times New Roman"/>
                <w:noProof/>
                <w:lang w:val="en-US"/>
              </w:rPr>
              <w:t>2.2.3</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Hypothesis generating analyses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_Toc97281442 \h </w:instrText>
            </w:r>
            <w:r w:rsidR="009516F5" w:rsidRPr="009516F5">
              <w:rPr>
                <w:noProof/>
                <w:webHidden/>
              </w:rPr>
            </w:r>
            <w:r w:rsidR="009516F5" w:rsidRPr="009516F5">
              <w:rPr>
                <w:noProof/>
                <w:webHidden/>
              </w:rPr>
              <w:fldChar w:fldCharType="separate"/>
            </w:r>
            <w:r w:rsidR="009516F5" w:rsidRPr="009516F5">
              <w:rPr>
                <w:noProof/>
                <w:webHidden/>
              </w:rPr>
              <w:t>13</w:t>
            </w:r>
            <w:r w:rsidR="009516F5" w:rsidRPr="009516F5">
              <w:rPr>
                <w:noProof/>
                <w:webHidden/>
              </w:rPr>
              <w:fldChar w:fldCharType="end"/>
            </w:r>
          </w:hyperlink>
        </w:p>
        <w:p w14:paraId="6EBEA0DF" w14:textId="78CD7463" w:rsidR="009516F5" w:rsidRPr="009516F5" w:rsidRDefault="00352035">
          <w:pPr>
            <w:pStyle w:val="TOC3"/>
            <w:tabs>
              <w:tab w:val="left" w:pos="1320"/>
              <w:tab w:val="right" w:leader="dot" w:pos="9016"/>
            </w:tabs>
            <w:rPr>
              <w:rFonts w:eastAsiaTheme="minorEastAsia"/>
              <w:noProof/>
              <w:lang w:eastAsia="en-GB"/>
            </w:rPr>
          </w:pPr>
          <w:hyperlink w:anchor="_Toc97281443" w:history="1">
            <w:r w:rsidR="009516F5" w:rsidRPr="009516F5">
              <w:rPr>
                <w:rStyle w:val="Hyperlink"/>
                <w:rFonts w:ascii="Times New Roman" w:eastAsia="Times New Roman" w:hAnsi="Times New Roman" w:cs="Times New Roman"/>
                <w:noProof/>
                <w:lang w:val="en-US"/>
              </w:rPr>
              <w:t>2.2.4</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Sensitivity meta-analysis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_Toc97281443 \h </w:instrText>
            </w:r>
            <w:r w:rsidR="009516F5" w:rsidRPr="009516F5">
              <w:rPr>
                <w:noProof/>
                <w:webHidden/>
              </w:rPr>
            </w:r>
            <w:r w:rsidR="009516F5" w:rsidRPr="009516F5">
              <w:rPr>
                <w:noProof/>
                <w:webHidden/>
              </w:rPr>
              <w:fldChar w:fldCharType="separate"/>
            </w:r>
            <w:r w:rsidR="009516F5" w:rsidRPr="009516F5">
              <w:rPr>
                <w:noProof/>
                <w:webHidden/>
              </w:rPr>
              <w:t>13</w:t>
            </w:r>
            <w:r w:rsidR="009516F5" w:rsidRPr="009516F5">
              <w:rPr>
                <w:noProof/>
                <w:webHidden/>
              </w:rPr>
              <w:fldChar w:fldCharType="end"/>
            </w:r>
          </w:hyperlink>
        </w:p>
        <w:p w14:paraId="222E88E5" w14:textId="40794464" w:rsidR="009516F5" w:rsidRPr="009516F5" w:rsidRDefault="00352035">
          <w:pPr>
            <w:pStyle w:val="TOC3"/>
            <w:tabs>
              <w:tab w:val="left" w:pos="1320"/>
              <w:tab w:val="right" w:leader="dot" w:pos="9016"/>
            </w:tabs>
            <w:rPr>
              <w:rFonts w:eastAsiaTheme="minorEastAsia"/>
              <w:noProof/>
              <w:lang w:eastAsia="en-GB"/>
            </w:rPr>
          </w:pPr>
          <w:hyperlink w:anchor="_Toc97281444" w:history="1">
            <w:r w:rsidR="009516F5" w:rsidRPr="009516F5">
              <w:rPr>
                <w:rStyle w:val="Hyperlink"/>
                <w:rFonts w:ascii="Times New Roman" w:eastAsia="Times New Roman" w:hAnsi="Times New Roman" w:cs="Times New Roman"/>
                <w:noProof/>
                <w:lang w:val="en-US"/>
              </w:rPr>
              <w:t>2.2.5</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Risk of bias assessment</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_Toc97281444 \h </w:instrText>
            </w:r>
            <w:r w:rsidR="009516F5" w:rsidRPr="009516F5">
              <w:rPr>
                <w:noProof/>
                <w:webHidden/>
              </w:rPr>
            </w:r>
            <w:r w:rsidR="009516F5" w:rsidRPr="009516F5">
              <w:rPr>
                <w:noProof/>
                <w:webHidden/>
              </w:rPr>
              <w:fldChar w:fldCharType="separate"/>
            </w:r>
            <w:r w:rsidR="009516F5" w:rsidRPr="009516F5">
              <w:rPr>
                <w:noProof/>
                <w:webHidden/>
              </w:rPr>
              <w:t>13</w:t>
            </w:r>
            <w:r w:rsidR="009516F5" w:rsidRPr="009516F5">
              <w:rPr>
                <w:noProof/>
                <w:webHidden/>
              </w:rPr>
              <w:fldChar w:fldCharType="end"/>
            </w:r>
          </w:hyperlink>
        </w:p>
        <w:p w14:paraId="6E4672A9" w14:textId="2CBE284D" w:rsidR="009516F5" w:rsidRPr="009516F5" w:rsidRDefault="00352035">
          <w:pPr>
            <w:pStyle w:val="TOC3"/>
            <w:tabs>
              <w:tab w:val="left" w:pos="1320"/>
              <w:tab w:val="right" w:leader="dot" w:pos="9016"/>
            </w:tabs>
            <w:rPr>
              <w:rFonts w:eastAsiaTheme="minorEastAsia"/>
              <w:noProof/>
              <w:lang w:eastAsia="en-GB"/>
            </w:rPr>
          </w:pPr>
          <w:hyperlink w:anchor="_Toc97281445" w:history="1">
            <w:r w:rsidR="009516F5" w:rsidRPr="009516F5">
              <w:rPr>
                <w:rStyle w:val="Hyperlink"/>
                <w:rFonts w:ascii="Times New Roman" w:eastAsia="Times New Roman" w:hAnsi="Times New Roman" w:cs="Times New Roman"/>
                <w:noProof/>
                <w:lang w:val="en-US"/>
              </w:rPr>
              <w:t>2.2.6</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Proportions and transformation function</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_Toc97281445 \h </w:instrText>
            </w:r>
            <w:r w:rsidR="009516F5" w:rsidRPr="009516F5">
              <w:rPr>
                <w:noProof/>
                <w:webHidden/>
              </w:rPr>
            </w:r>
            <w:r w:rsidR="009516F5" w:rsidRPr="009516F5">
              <w:rPr>
                <w:noProof/>
                <w:webHidden/>
              </w:rPr>
              <w:fldChar w:fldCharType="separate"/>
            </w:r>
            <w:r w:rsidR="009516F5" w:rsidRPr="009516F5">
              <w:rPr>
                <w:noProof/>
                <w:webHidden/>
              </w:rPr>
              <w:t>14</w:t>
            </w:r>
            <w:r w:rsidR="009516F5" w:rsidRPr="009516F5">
              <w:rPr>
                <w:noProof/>
                <w:webHidden/>
              </w:rPr>
              <w:fldChar w:fldCharType="end"/>
            </w:r>
          </w:hyperlink>
        </w:p>
        <w:p w14:paraId="1FA9A373" w14:textId="69538207" w:rsidR="009516F5" w:rsidRPr="009516F5" w:rsidRDefault="00352035">
          <w:pPr>
            <w:pStyle w:val="TOC2"/>
            <w:tabs>
              <w:tab w:val="left" w:pos="880"/>
              <w:tab w:val="right" w:leader="dot" w:pos="9016"/>
            </w:tabs>
            <w:rPr>
              <w:rFonts w:eastAsiaTheme="minorEastAsia"/>
              <w:noProof/>
              <w:lang w:eastAsia="en-GB"/>
            </w:rPr>
          </w:pPr>
          <w:hyperlink w:anchor="_Toc97281446" w:history="1">
            <w:r w:rsidR="009516F5" w:rsidRPr="009516F5">
              <w:rPr>
                <w:rStyle w:val="Hyperlink"/>
                <w:rFonts w:ascii="Times New Roman" w:eastAsia="Times New Roman" w:hAnsi="Times New Roman" w:cs="Times New Roman"/>
                <w:noProof/>
                <w:lang w:val="en-US"/>
              </w:rPr>
              <w:t>2.3</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Statistical inference for liposarcoma (LPS)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_Toc97281446 \h </w:instrText>
            </w:r>
            <w:r w:rsidR="009516F5" w:rsidRPr="009516F5">
              <w:rPr>
                <w:noProof/>
                <w:webHidden/>
              </w:rPr>
            </w:r>
            <w:r w:rsidR="009516F5" w:rsidRPr="009516F5">
              <w:rPr>
                <w:noProof/>
                <w:webHidden/>
              </w:rPr>
              <w:fldChar w:fldCharType="separate"/>
            </w:r>
            <w:r w:rsidR="009516F5" w:rsidRPr="009516F5">
              <w:rPr>
                <w:noProof/>
                <w:webHidden/>
              </w:rPr>
              <w:t>14</w:t>
            </w:r>
            <w:r w:rsidR="009516F5" w:rsidRPr="009516F5">
              <w:rPr>
                <w:noProof/>
                <w:webHidden/>
              </w:rPr>
              <w:fldChar w:fldCharType="end"/>
            </w:r>
          </w:hyperlink>
        </w:p>
        <w:p w14:paraId="49F0358A" w14:textId="01A50D9D" w:rsidR="009516F5" w:rsidRPr="009516F5" w:rsidRDefault="00352035">
          <w:pPr>
            <w:pStyle w:val="TOC3"/>
            <w:tabs>
              <w:tab w:val="left" w:pos="1320"/>
              <w:tab w:val="right" w:leader="dot" w:pos="9016"/>
            </w:tabs>
            <w:rPr>
              <w:rFonts w:eastAsiaTheme="minorEastAsia"/>
              <w:noProof/>
              <w:lang w:eastAsia="en-GB"/>
            </w:rPr>
          </w:pPr>
          <w:hyperlink w:anchor="_Toc97281447" w:history="1">
            <w:r w:rsidR="009516F5" w:rsidRPr="009516F5">
              <w:rPr>
                <w:rStyle w:val="Hyperlink"/>
                <w:rFonts w:ascii="Times New Roman" w:hAnsi="Times New Roman" w:cs="Times New Roman"/>
                <w:noProof/>
                <w:lang w:val="en-US"/>
              </w:rPr>
              <w:t>2.3.1</w:t>
            </w:r>
            <w:r w:rsidR="009516F5" w:rsidRPr="009516F5">
              <w:rPr>
                <w:rFonts w:eastAsiaTheme="minorEastAsia"/>
                <w:noProof/>
                <w:lang w:eastAsia="en-GB"/>
              </w:rPr>
              <w:tab/>
            </w:r>
            <w:r w:rsidR="009516F5" w:rsidRPr="009516F5">
              <w:rPr>
                <w:rStyle w:val="Hyperlink"/>
                <w:rFonts w:ascii="Times New Roman" w:hAnsi="Times New Roman" w:cs="Times New Roman"/>
                <w:noProof/>
                <w:lang w:val="en-US"/>
              </w:rPr>
              <w:t>Analysis for first-line patients at 3 months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_Toc97281447 \h </w:instrText>
            </w:r>
            <w:r w:rsidR="009516F5" w:rsidRPr="009516F5">
              <w:rPr>
                <w:noProof/>
                <w:webHidden/>
              </w:rPr>
            </w:r>
            <w:r w:rsidR="009516F5" w:rsidRPr="009516F5">
              <w:rPr>
                <w:noProof/>
                <w:webHidden/>
              </w:rPr>
              <w:fldChar w:fldCharType="separate"/>
            </w:r>
            <w:r w:rsidR="009516F5" w:rsidRPr="009516F5">
              <w:rPr>
                <w:noProof/>
                <w:webHidden/>
              </w:rPr>
              <w:t>14</w:t>
            </w:r>
            <w:r w:rsidR="009516F5" w:rsidRPr="009516F5">
              <w:rPr>
                <w:noProof/>
                <w:webHidden/>
              </w:rPr>
              <w:fldChar w:fldCharType="end"/>
            </w:r>
          </w:hyperlink>
        </w:p>
        <w:p w14:paraId="1F42C2E8" w14:textId="00154B24" w:rsidR="009516F5" w:rsidRPr="009516F5" w:rsidRDefault="00352035">
          <w:pPr>
            <w:pStyle w:val="TOC3"/>
            <w:tabs>
              <w:tab w:val="left" w:pos="1320"/>
              <w:tab w:val="right" w:leader="dot" w:pos="9016"/>
            </w:tabs>
            <w:rPr>
              <w:rFonts w:eastAsiaTheme="minorEastAsia"/>
              <w:noProof/>
              <w:lang w:eastAsia="en-GB"/>
            </w:rPr>
          </w:pPr>
          <w:hyperlink w:anchor="_Toc97281448" w:history="1">
            <w:r w:rsidR="009516F5" w:rsidRPr="009516F5">
              <w:rPr>
                <w:rStyle w:val="Hyperlink"/>
                <w:rFonts w:ascii="Times New Roman" w:hAnsi="Times New Roman" w:cs="Times New Roman"/>
                <w:noProof/>
                <w:lang w:val="en-US"/>
              </w:rPr>
              <w:t>2.3.2</w:t>
            </w:r>
            <w:r w:rsidR="009516F5" w:rsidRPr="009516F5">
              <w:rPr>
                <w:rFonts w:eastAsiaTheme="minorEastAsia"/>
                <w:noProof/>
                <w:lang w:eastAsia="en-GB"/>
              </w:rPr>
              <w:tab/>
            </w:r>
            <w:r w:rsidR="009516F5" w:rsidRPr="009516F5">
              <w:rPr>
                <w:rStyle w:val="Hyperlink"/>
                <w:rFonts w:ascii="Times New Roman" w:hAnsi="Times New Roman" w:cs="Times New Roman"/>
                <w:noProof/>
                <w:lang w:val="en-US"/>
              </w:rPr>
              <w:t>Analysis for first-line patients at 6 months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_Toc97281448 \h </w:instrText>
            </w:r>
            <w:r w:rsidR="009516F5" w:rsidRPr="009516F5">
              <w:rPr>
                <w:noProof/>
                <w:webHidden/>
              </w:rPr>
            </w:r>
            <w:r w:rsidR="009516F5" w:rsidRPr="009516F5">
              <w:rPr>
                <w:noProof/>
                <w:webHidden/>
              </w:rPr>
              <w:fldChar w:fldCharType="separate"/>
            </w:r>
            <w:r w:rsidR="009516F5" w:rsidRPr="009516F5">
              <w:rPr>
                <w:noProof/>
                <w:webHidden/>
              </w:rPr>
              <w:t>18</w:t>
            </w:r>
            <w:r w:rsidR="009516F5" w:rsidRPr="009516F5">
              <w:rPr>
                <w:noProof/>
                <w:webHidden/>
              </w:rPr>
              <w:fldChar w:fldCharType="end"/>
            </w:r>
          </w:hyperlink>
        </w:p>
        <w:p w14:paraId="5F3BF49A" w14:textId="6DC71E4D" w:rsidR="009516F5" w:rsidRPr="009516F5" w:rsidRDefault="00352035">
          <w:pPr>
            <w:pStyle w:val="TOC3"/>
            <w:tabs>
              <w:tab w:val="left" w:pos="1320"/>
              <w:tab w:val="right" w:leader="dot" w:pos="9016"/>
            </w:tabs>
            <w:rPr>
              <w:rFonts w:eastAsiaTheme="minorEastAsia"/>
              <w:noProof/>
              <w:lang w:eastAsia="en-GB"/>
            </w:rPr>
          </w:pPr>
          <w:hyperlink w:anchor="_Toc97281449" w:history="1">
            <w:r w:rsidR="009516F5" w:rsidRPr="009516F5">
              <w:rPr>
                <w:rStyle w:val="Hyperlink"/>
                <w:rFonts w:ascii="Times New Roman" w:hAnsi="Times New Roman" w:cs="Times New Roman"/>
                <w:noProof/>
                <w:lang w:val="en-US"/>
              </w:rPr>
              <w:t>2.3.3</w:t>
            </w:r>
            <w:r w:rsidR="009516F5" w:rsidRPr="009516F5">
              <w:rPr>
                <w:rFonts w:eastAsiaTheme="minorEastAsia"/>
                <w:noProof/>
                <w:lang w:eastAsia="en-GB"/>
              </w:rPr>
              <w:tab/>
            </w:r>
            <w:r w:rsidR="009516F5" w:rsidRPr="009516F5">
              <w:rPr>
                <w:rStyle w:val="Hyperlink"/>
                <w:rFonts w:ascii="Times New Roman" w:hAnsi="Times New Roman" w:cs="Times New Roman"/>
                <w:noProof/>
                <w:lang w:val="en-US"/>
              </w:rPr>
              <w:t>Analysis for pre-treated patients at 3 months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_Toc97281449 \h </w:instrText>
            </w:r>
            <w:r w:rsidR="009516F5" w:rsidRPr="009516F5">
              <w:rPr>
                <w:noProof/>
                <w:webHidden/>
              </w:rPr>
            </w:r>
            <w:r w:rsidR="009516F5" w:rsidRPr="009516F5">
              <w:rPr>
                <w:noProof/>
                <w:webHidden/>
              </w:rPr>
              <w:fldChar w:fldCharType="separate"/>
            </w:r>
            <w:r w:rsidR="009516F5" w:rsidRPr="009516F5">
              <w:rPr>
                <w:noProof/>
                <w:webHidden/>
              </w:rPr>
              <w:t>21</w:t>
            </w:r>
            <w:r w:rsidR="009516F5" w:rsidRPr="009516F5">
              <w:rPr>
                <w:noProof/>
                <w:webHidden/>
              </w:rPr>
              <w:fldChar w:fldCharType="end"/>
            </w:r>
          </w:hyperlink>
        </w:p>
        <w:p w14:paraId="1A23AC3D" w14:textId="3E859AAE" w:rsidR="009516F5" w:rsidRPr="009516F5" w:rsidRDefault="00352035">
          <w:pPr>
            <w:pStyle w:val="TOC3"/>
            <w:tabs>
              <w:tab w:val="left" w:pos="1320"/>
              <w:tab w:val="right" w:leader="dot" w:pos="9016"/>
            </w:tabs>
            <w:rPr>
              <w:rFonts w:eastAsiaTheme="minorEastAsia"/>
              <w:noProof/>
              <w:lang w:eastAsia="en-GB"/>
            </w:rPr>
          </w:pPr>
          <w:hyperlink w:anchor="_Toc97281450" w:history="1">
            <w:r w:rsidR="009516F5" w:rsidRPr="009516F5">
              <w:rPr>
                <w:rStyle w:val="Hyperlink"/>
                <w:rFonts w:ascii="Times New Roman" w:hAnsi="Times New Roman" w:cs="Times New Roman"/>
                <w:noProof/>
                <w:lang w:val="en-US"/>
              </w:rPr>
              <w:t>2.3.4</w:t>
            </w:r>
            <w:r w:rsidR="009516F5" w:rsidRPr="009516F5">
              <w:rPr>
                <w:rFonts w:eastAsiaTheme="minorEastAsia"/>
                <w:noProof/>
                <w:lang w:eastAsia="en-GB"/>
              </w:rPr>
              <w:tab/>
            </w:r>
            <w:r w:rsidR="009516F5" w:rsidRPr="009516F5">
              <w:rPr>
                <w:rStyle w:val="Hyperlink"/>
                <w:rFonts w:ascii="Times New Roman" w:hAnsi="Times New Roman" w:cs="Times New Roman"/>
                <w:noProof/>
                <w:lang w:val="en-US"/>
              </w:rPr>
              <w:t>Analysis for pre-treated patients at 6 months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_Toc97281450 \h </w:instrText>
            </w:r>
            <w:r w:rsidR="009516F5" w:rsidRPr="009516F5">
              <w:rPr>
                <w:noProof/>
                <w:webHidden/>
              </w:rPr>
            </w:r>
            <w:r w:rsidR="009516F5" w:rsidRPr="009516F5">
              <w:rPr>
                <w:noProof/>
                <w:webHidden/>
              </w:rPr>
              <w:fldChar w:fldCharType="separate"/>
            </w:r>
            <w:r w:rsidR="009516F5" w:rsidRPr="009516F5">
              <w:rPr>
                <w:noProof/>
                <w:webHidden/>
              </w:rPr>
              <w:t>24</w:t>
            </w:r>
            <w:r w:rsidR="009516F5" w:rsidRPr="009516F5">
              <w:rPr>
                <w:noProof/>
                <w:webHidden/>
              </w:rPr>
              <w:fldChar w:fldCharType="end"/>
            </w:r>
          </w:hyperlink>
        </w:p>
        <w:p w14:paraId="6593500A" w14:textId="4479B2C6" w:rsidR="009516F5" w:rsidRPr="009516F5" w:rsidRDefault="00352035">
          <w:pPr>
            <w:pStyle w:val="TOC2"/>
            <w:tabs>
              <w:tab w:val="left" w:pos="880"/>
              <w:tab w:val="right" w:leader="dot" w:pos="9016"/>
            </w:tabs>
            <w:rPr>
              <w:rFonts w:eastAsiaTheme="minorEastAsia"/>
              <w:noProof/>
              <w:lang w:eastAsia="en-GB"/>
            </w:rPr>
          </w:pPr>
          <w:hyperlink w:anchor="_Toc97281451" w:history="1">
            <w:r w:rsidR="009516F5" w:rsidRPr="009516F5">
              <w:rPr>
                <w:rStyle w:val="Hyperlink"/>
                <w:rFonts w:ascii="Times New Roman" w:eastAsia="Times New Roman" w:hAnsi="Times New Roman" w:cs="Times New Roman"/>
                <w:noProof/>
                <w:lang w:val="en-US"/>
              </w:rPr>
              <w:t>2.4</w:t>
            </w:r>
            <w:r w:rsidR="009516F5" w:rsidRPr="009516F5">
              <w:rPr>
                <w:rFonts w:eastAsiaTheme="minorEastAsia"/>
                <w:noProof/>
                <w:lang w:eastAsia="en-GB"/>
              </w:rPr>
              <w:tab/>
            </w:r>
            <w:r w:rsidR="009516F5" w:rsidRPr="009516F5">
              <w:rPr>
                <w:rStyle w:val="Hyperlink"/>
                <w:rFonts w:ascii="Times New Roman" w:eastAsia="Times New Roman" w:hAnsi="Times New Roman" w:cs="Times New Roman"/>
                <w:noProof/>
                <w:lang w:val="en-US"/>
              </w:rPr>
              <w:t>Statistical inference for synovial sarcoma (SS)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_Toc97281451 \h </w:instrText>
            </w:r>
            <w:r w:rsidR="009516F5" w:rsidRPr="009516F5">
              <w:rPr>
                <w:noProof/>
                <w:webHidden/>
              </w:rPr>
            </w:r>
            <w:r w:rsidR="009516F5" w:rsidRPr="009516F5">
              <w:rPr>
                <w:noProof/>
                <w:webHidden/>
              </w:rPr>
              <w:fldChar w:fldCharType="separate"/>
            </w:r>
            <w:r w:rsidR="009516F5" w:rsidRPr="009516F5">
              <w:rPr>
                <w:noProof/>
                <w:webHidden/>
              </w:rPr>
              <w:t>28</w:t>
            </w:r>
            <w:r w:rsidR="009516F5" w:rsidRPr="009516F5">
              <w:rPr>
                <w:noProof/>
                <w:webHidden/>
              </w:rPr>
              <w:fldChar w:fldCharType="end"/>
            </w:r>
          </w:hyperlink>
        </w:p>
        <w:p w14:paraId="5F726C18" w14:textId="05B99DFF" w:rsidR="009516F5" w:rsidRPr="009516F5" w:rsidRDefault="00352035">
          <w:pPr>
            <w:pStyle w:val="TOC3"/>
            <w:tabs>
              <w:tab w:val="left" w:pos="1320"/>
              <w:tab w:val="right" w:leader="dot" w:pos="9016"/>
            </w:tabs>
            <w:rPr>
              <w:rFonts w:eastAsiaTheme="minorEastAsia"/>
              <w:noProof/>
              <w:lang w:eastAsia="en-GB"/>
            </w:rPr>
          </w:pPr>
          <w:hyperlink w:anchor="_Toc97281452" w:history="1">
            <w:r w:rsidR="009516F5" w:rsidRPr="009516F5">
              <w:rPr>
                <w:rStyle w:val="Hyperlink"/>
                <w:rFonts w:ascii="Times New Roman" w:hAnsi="Times New Roman" w:cs="Times New Roman"/>
                <w:noProof/>
                <w:lang w:val="en-US"/>
              </w:rPr>
              <w:t>2.4.1</w:t>
            </w:r>
            <w:r w:rsidR="009516F5" w:rsidRPr="009516F5">
              <w:rPr>
                <w:rFonts w:eastAsiaTheme="minorEastAsia"/>
                <w:noProof/>
                <w:lang w:eastAsia="en-GB"/>
              </w:rPr>
              <w:tab/>
            </w:r>
            <w:r w:rsidR="009516F5" w:rsidRPr="009516F5">
              <w:rPr>
                <w:rStyle w:val="Hyperlink"/>
                <w:rFonts w:ascii="Times New Roman" w:hAnsi="Times New Roman" w:cs="Times New Roman"/>
                <w:noProof/>
                <w:lang w:val="en-US"/>
              </w:rPr>
              <w:t>Analysis for first-line patients at 3 months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_Toc97281452 \h </w:instrText>
            </w:r>
            <w:r w:rsidR="009516F5" w:rsidRPr="009516F5">
              <w:rPr>
                <w:noProof/>
                <w:webHidden/>
              </w:rPr>
            </w:r>
            <w:r w:rsidR="009516F5" w:rsidRPr="009516F5">
              <w:rPr>
                <w:noProof/>
                <w:webHidden/>
              </w:rPr>
              <w:fldChar w:fldCharType="separate"/>
            </w:r>
            <w:r w:rsidR="009516F5" w:rsidRPr="009516F5">
              <w:rPr>
                <w:noProof/>
                <w:webHidden/>
              </w:rPr>
              <w:t>28</w:t>
            </w:r>
            <w:r w:rsidR="009516F5" w:rsidRPr="009516F5">
              <w:rPr>
                <w:noProof/>
                <w:webHidden/>
              </w:rPr>
              <w:fldChar w:fldCharType="end"/>
            </w:r>
          </w:hyperlink>
        </w:p>
        <w:p w14:paraId="43A9B41A" w14:textId="15A3BCAC" w:rsidR="009516F5" w:rsidRPr="009516F5" w:rsidRDefault="00352035">
          <w:pPr>
            <w:pStyle w:val="TOC3"/>
            <w:tabs>
              <w:tab w:val="left" w:pos="1320"/>
              <w:tab w:val="right" w:leader="dot" w:pos="9016"/>
            </w:tabs>
            <w:rPr>
              <w:rFonts w:eastAsiaTheme="minorEastAsia"/>
              <w:noProof/>
              <w:lang w:eastAsia="en-GB"/>
            </w:rPr>
          </w:pPr>
          <w:hyperlink w:anchor="_Toc97281453" w:history="1">
            <w:r w:rsidR="009516F5" w:rsidRPr="009516F5">
              <w:rPr>
                <w:rStyle w:val="Hyperlink"/>
                <w:rFonts w:ascii="Times New Roman" w:hAnsi="Times New Roman" w:cs="Times New Roman"/>
                <w:noProof/>
                <w:lang w:val="en-US"/>
              </w:rPr>
              <w:t>2.4.2</w:t>
            </w:r>
            <w:r w:rsidR="009516F5" w:rsidRPr="009516F5">
              <w:rPr>
                <w:rFonts w:eastAsiaTheme="minorEastAsia"/>
                <w:noProof/>
                <w:lang w:eastAsia="en-GB"/>
              </w:rPr>
              <w:tab/>
            </w:r>
            <w:r w:rsidR="009516F5" w:rsidRPr="009516F5">
              <w:rPr>
                <w:rStyle w:val="Hyperlink"/>
                <w:rFonts w:ascii="Times New Roman" w:hAnsi="Times New Roman" w:cs="Times New Roman"/>
                <w:noProof/>
                <w:lang w:val="en-US"/>
              </w:rPr>
              <w:t>Analysis for first-line patients at 6 months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_Toc97281453 \h </w:instrText>
            </w:r>
            <w:r w:rsidR="009516F5" w:rsidRPr="009516F5">
              <w:rPr>
                <w:noProof/>
                <w:webHidden/>
              </w:rPr>
            </w:r>
            <w:r w:rsidR="009516F5" w:rsidRPr="009516F5">
              <w:rPr>
                <w:noProof/>
                <w:webHidden/>
              </w:rPr>
              <w:fldChar w:fldCharType="separate"/>
            </w:r>
            <w:r w:rsidR="009516F5" w:rsidRPr="009516F5">
              <w:rPr>
                <w:noProof/>
                <w:webHidden/>
              </w:rPr>
              <w:t>31</w:t>
            </w:r>
            <w:r w:rsidR="009516F5" w:rsidRPr="009516F5">
              <w:rPr>
                <w:noProof/>
                <w:webHidden/>
              </w:rPr>
              <w:fldChar w:fldCharType="end"/>
            </w:r>
          </w:hyperlink>
        </w:p>
        <w:p w14:paraId="606F2C0D" w14:textId="4AAEBB39" w:rsidR="009516F5" w:rsidRPr="009516F5" w:rsidRDefault="00352035">
          <w:pPr>
            <w:pStyle w:val="TOC3"/>
            <w:tabs>
              <w:tab w:val="left" w:pos="1320"/>
              <w:tab w:val="right" w:leader="dot" w:pos="9016"/>
            </w:tabs>
            <w:rPr>
              <w:rFonts w:eastAsiaTheme="minorEastAsia"/>
              <w:noProof/>
              <w:lang w:eastAsia="en-GB"/>
            </w:rPr>
          </w:pPr>
          <w:hyperlink w:anchor="_Toc97281454" w:history="1">
            <w:r w:rsidR="009516F5" w:rsidRPr="009516F5">
              <w:rPr>
                <w:rStyle w:val="Hyperlink"/>
                <w:rFonts w:ascii="Times New Roman" w:hAnsi="Times New Roman" w:cs="Times New Roman"/>
                <w:noProof/>
                <w:lang w:val="en-US"/>
              </w:rPr>
              <w:t>2.4.3</w:t>
            </w:r>
            <w:r w:rsidR="009516F5" w:rsidRPr="009516F5">
              <w:rPr>
                <w:rFonts w:eastAsiaTheme="minorEastAsia"/>
                <w:noProof/>
                <w:lang w:eastAsia="en-GB"/>
              </w:rPr>
              <w:tab/>
            </w:r>
            <w:r w:rsidR="009516F5" w:rsidRPr="009516F5">
              <w:rPr>
                <w:rStyle w:val="Hyperlink"/>
                <w:rFonts w:ascii="Times New Roman" w:hAnsi="Times New Roman" w:cs="Times New Roman"/>
                <w:noProof/>
                <w:lang w:val="en-US"/>
              </w:rPr>
              <w:t>Analysis for pre-treated patients at 3 months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_Toc97281454 \h </w:instrText>
            </w:r>
            <w:r w:rsidR="009516F5" w:rsidRPr="009516F5">
              <w:rPr>
                <w:noProof/>
                <w:webHidden/>
              </w:rPr>
            </w:r>
            <w:r w:rsidR="009516F5" w:rsidRPr="009516F5">
              <w:rPr>
                <w:noProof/>
                <w:webHidden/>
              </w:rPr>
              <w:fldChar w:fldCharType="separate"/>
            </w:r>
            <w:r w:rsidR="009516F5" w:rsidRPr="009516F5">
              <w:rPr>
                <w:noProof/>
                <w:webHidden/>
              </w:rPr>
              <w:t>33</w:t>
            </w:r>
            <w:r w:rsidR="009516F5" w:rsidRPr="009516F5">
              <w:rPr>
                <w:noProof/>
                <w:webHidden/>
              </w:rPr>
              <w:fldChar w:fldCharType="end"/>
            </w:r>
          </w:hyperlink>
        </w:p>
        <w:p w14:paraId="23F9CA10" w14:textId="6506E3F6" w:rsidR="009516F5" w:rsidRPr="009516F5" w:rsidRDefault="00352035">
          <w:pPr>
            <w:pStyle w:val="TOC3"/>
            <w:tabs>
              <w:tab w:val="left" w:pos="1320"/>
              <w:tab w:val="right" w:leader="dot" w:pos="9016"/>
            </w:tabs>
            <w:rPr>
              <w:rFonts w:eastAsiaTheme="minorEastAsia"/>
              <w:noProof/>
              <w:lang w:eastAsia="en-GB"/>
            </w:rPr>
          </w:pPr>
          <w:hyperlink w:anchor="_Toc97281455" w:history="1">
            <w:r w:rsidR="009516F5" w:rsidRPr="009516F5">
              <w:rPr>
                <w:rStyle w:val="Hyperlink"/>
                <w:rFonts w:ascii="Times New Roman" w:hAnsi="Times New Roman" w:cs="Times New Roman"/>
                <w:noProof/>
                <w:lang w:val="en-US"/>
              </w:rPr>
              <w:t>2.4.4</w:t>
            </w:r>
            <w:r w:rsidR="009516F5" w:rsidRPr="009516F5">
              <w:rPr>
                <w:rFonts w:eastAsiaTheme="minorEastAsia"/>
                <w:noProof/>
                <w:lang w:eastAsia="en-GB"/>
              </w:rPr>
              <w:tab/>
            </w:r>
            <w:r w:rsidR="009516F5" w:rsidRPr="009516F5">
              <w:rPr>
                <w:rStyle w:val="Hyperlink"/>
                <w:rFonts w:ascii="Times New Roman" w:hAnsi="Times New Roman" w:cs="Times New Roman"/>
                <w:noProof/>
                <w:lang w:val="en-US"/>
              </w:rPr>
              <w:t>Analysis for pre-treated patients at 6 months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_Toc97281455 \h </w:instrText>
            </w:r>
            <w:r w:rsidR="009516F5" w:rsidRPr="009516F5">
              <w:rPr>
                <w:noProof/>
                <w:webHidden/>
              </w:rPr>
            </w:r>
            <w:r w:rsidR="009516F5" w:rsidRPr="009516F5">
              <w:rPr>
                <w:noProof/>
                <w:webHidden/>
              </w:rPr>
              <w:fldChar w:fldCharType="separate"/>
            </w:r>
            <w:r w:rsidR="009516F5" w:rsidRPr="009516F5">
              <w:rPr>
                <w:noProof/>
                <w:webHidden/>
              </w:rPr>
              <w:t>35</w:t>
            </w:r>
            <w:r w:rsidR="009516F5" w:rsidRPr="009516F5">
              <w:rPr>
                <w:noProof/>
                <w:webHidden/>
              </w:rPr>
              <w:fldChar w:fldCharType="end"/>
            </w:r>
          </w:hyperlink>
        </w:p>
        <w:p w14:paraId="40C98B66" w14:textId="18C467AD" w:rsidR="009516F5" w:rsidRPr="009516F5" w:rsidRDefault="00352035">
          <w:pPr>
            <w:pStyle w:val="TOC1"/>
            <w:tabs>
              <w:tab w:val="left" w:pos="440"/>
              <w:tab w:val="right" w:leader="dot" w:pos="9016"/>
            </w:tabs>
            <w:rPr>
              <w:rFonts w:eastAsiaTheme="minorEastAsia"/>
              <w:noProof/>
              <w:lang w:eastAsia="en-GB"/>
            </w:rPr>
          </w:pPr>
          <w:hyperlink w:anchor="_Toc97281456" w:history="1">
            <w:r w:rsidR="009516F5" w:rsidRPr="009516F5">
              <w:rPr>
                <w:rStyle w:val="Hyperlink"/>
                <w:rFonts w:cs="Times New Roman"/>
                <w:noProof/>
              </w:rPr>
              <w:t>3</w:t>
            </w:r>
            <w:r w:rsidR="009516F5" w:rsidRPr="009516F5">
              <w:rPr>
                <w:rFonts w:eastAsiaTheme="minorEastAsia"/>
                <w:noProof/>
                <w:lang w:eastAsia="en-GB"/>
              </w:rPr>
              <w:tab/>
            </w:r>
            <w:r w:rsidR="009516F5" w:rsidRPr="009516F5">
              <w:rPr>
                <w:rStyle w:val="Hyperlink"/>
                <w:rFonts w:cs="Times New Roman"/>
                <w:noProof/>
              </w:rPr>
              <w:t>References</w:t>
            </w:r>
            <w:r w:rsidR="009516F5" w:rsidRPr="009516F5">
              <w:rPr>
                <w:noProof/>
                <w:webHidden/>
              </w:rPr>
              <w:tab/>
            </w:r>
            <w:r w:rsidR="009516F5" w:rsidRPr="009516F5">
              <w:rPr>
                <w:noProof/>
                <w:webHidden/>
              </w:rPr>
              <w:fldChar w:fldCharType="begin"/>
            </w:r>
            <w:r w:rsidR="009516F5" w:rsidRPr="009516F5">
              <w:rPr>
                <w:noProof/>
                <w:webHidden/>
              </w:rPr>
              <w:instrText xml:space="preserve"> PAGEREF _Toc97281456 \h </w:instrText>
            </w:r>
            <w:r w:rsidR="009516F5" w:rsidRPr="009516F5">
              <w:rPr>
                <w:noProof/>
                <w:webHidden/>
              </w:rPr>
            </w:r>
            <w:r w:rsidR="009516F5" w:rsidRPr="009516F5">
              <w:rPr>
                <w:noProof/>
                <w:webHidden/>
              </w:rPr>
              <w:fldChar w:fldCharType="separate"/>
            </w:r>
            <w:r w:rsidR="009516F5" w:rsidRPr="009516F5">
              <w:rPr>
                <w:noProof/>
                <w:webHidden/>
              </w:rPr>
              <w:t>39</w:t>
            </w:r>
            <w:r w:rsidR="009516F5" w:rsidRPr="009516F5">
              <w:rPr>
                <w:noProof/>
                <w:webHidden/>
              </w:rPr>
              <w:fldChar w:fldCharType="end"/>
            </w:r>
          </w:hyperlink>
        </w:p>
        <w:p w14:paraId="6D69F03F" w14:textId="602BEF44" w:rsidR="00A500D6" w:rsidRPr="0000797A" w:rsidRDefault="00A500D6">
          <w:pPr>
            <w:rPr>
              <w:rFonts w:ascii="Times New Roman" w:hAnsi="Times New Roman" w:cs="Times New Roman"/>
              <w:sz w:val="20"/>
              <w:szCs w:val="20"/>
            </w:rPr>
          </w:pPr>
          <w:r w:rsidRPr="0000797A">
            <w:rPr>
              <w:rFonts w:ascii="Times New Roman" w:hAnsi="Times New Roman" w:cs="Times New Roman"/>
              <w:noProof/>
              <w:sz w:val="20"/>
              <w:szCs w:val="20"/>
            </w:rPr>
            <w:fldChar w:fldCharType="end"/>
          </w:r>
        </w:p>
      </w:sdtContent>
    </w:sdt>
    <w:p w14:paraId="36C12B3D" w14:textId="2BA49E59" w:rsidR="00A500D6" w:rsidRPr="00090CE9" w:rsidRDefault="00A500D6" w:rsidP="00D1692D">
      <w:pPr>
        <w:rPr>
          <w:rStyle w:val="Hyperlink"/>
          <w:rFonts w:ascii="Times New Roman" w:hAnsi="Times New Roman" w:cs="Times New Roman"/>
          <w:sz w:val="24"/>
          <w:szCs w:val="24"/>
          <w:lang w:val="en-US"/>
        </w:rPr>
      </w:pPr>
    </w:p>
    <w:p w14:paraId="655B9858" w14:textId="63C43193" w:rsidR="00A500D6" w:rsidRDefault="00A500D6" w:rsidP="00D1692D">
      <w:pPr>
        <w:rPr>
          <w:rStyle w:val="Hyperlink"/>
          <w:rFonts w:ascii="Times New Roman" w:hAnsi="Times New Roman" w:cs="Times New Roman"/>
          <w:sz w:val="24"/>
          <w:szCs w:val="24"/>
          <w:lang w:val="en-US"/>
        </w:rPr>
      </w:pPr>
    </w:p>
    <w:p w14:paraId="78AEBE6C" w14:textId="62CC3642" w:rsidR="00E1157B" w:rsidRDefault="00E1157B" w:rsidP="00D1692D">
      <w:pPr>
        <w:rPr>
          <w:rStyle w:val="Hyperlink"/>
          <w:rFonts w:ascii="Times New Roman" w:hAnsi="Times New Roman" w:cs="Times New Roman"/>
          <w:sz w:val="24"/>
          <w:szCs w:val="24"/>
          <w:lang w:val="en-US"/>
        </w:rPr>
      </w:pPr>
    </w:p>
    <w:p w14:paraId="4F4A7A16" w14:textId="280DE0AD" w:rsidR="00E1157B" w:rsidRDefault="00E1157B" w:rsidP="00D1692D">
      <w:pPr>
        <w:rPr>
          <w:rStyle w:val="Hyperlink"/>
          <w:rFonts w:ascii="Times New Roman" w:hAnsi="Times New Roman" w:cs="Times New Roman"/>
          <w:sz w:val="24"/>
          <w:szCs w:val="24"/>
          <w:lang w:val="en-US"/>
        </w:rPr>
      </w:pPr>
    </w:p>
    <w:p w14:paraId="37711C46" w14:textId="34B91AB9" w:rsidR="00E1157B" w:rsidRDefault="00E1157B" w:rsidP="00D1692D">
      <w:pPr>
        <w:rPr>
          <w:rStyle w:val="Hyperlink"/>
          <w:rFonts w:ascii="Times New Roman" w:hAnsi="Times New Roman" w:cs="Times New Roman"/>
          <w:sz w:val="24"/>
          <w:szCs w:val="24"/>
          <w:lang w:val="en-US"/>
        </w:rPr>
      </w:pPr>
    </w:p>
    <w:p w14:paraId="3C430832" w14:textId="77777777" w:rsidR="008448CE" w:rsidRDefault="008448CE" w:rsidP="00D1692D">
      <w:pPr>
        <w:rPr>
          <w:rStyle w:val="Hyperlink"/>
          <w:rFonts w:ascii="Times New Roman" w:hAnsi="Times New Roman" w:cs="Times New Roman"/>
          <w:sz w:val="24"/>
          <w:szCs w:val="24"/>
          <w:lang w:val="en-US"/>
        </w:rPr>
      </w:pPr>
    </w:p>
    <w:p w14:paraId="7EF0C417" w14:textId="17A8A57B" w:rsidR="00E1157B" w:rsidRDefault="00E1157B" w:rsidP="00D1692D">
      <w:pPr>
        <w:rPr>
          <w:rStyle w:val="Hyperlink"/>
          <w:rFonts w:ascii="Times New Roman" w:hAnsi="Times New Roman" w:cs="Times New Roman"/>
          <w:sz w:val="24"/>
          <w:szCs w:val="24"/>
          <w:lang w:val="en-US"/>
        </w:rPr>
      </w:pPr>
    </w:p>
    <w:p w14:paraId="3BE11CFA" w14:textId="3F62ADF7" w:rsidR="00E1157B" w:rsidRDefault="00E1157B" w:rsidP="00D1692D">
      <w:pPr>
        <w:rPr>
          <w:rStyle w:val="Hyperlink"/>
          <w:rFonts w:ascii="Times New Roman" w:hAnsi="Times New Roman" w:cs="Times New Roman"/>
          <w:sz w:val="24"/>
          <w:szCs w:val="24"/>
          <w:lang w:val="en-US"/>
        </w:rPr>
      </w:pPr>
    </w:p>
    <w:p w14:paraId="47B8A782" w14:textId="751E5778" w:rsidR="00E1157B" w:rsidRDefault="00E1157B" w:rsidP="00D1692D">
      <w:pPr>
        <w:rPr>
          <w:rStyle w:val="Hyperlink"/>
          <w:rFonts w:ascii="Times New Roman" w:hAnsi="Times New Roman" w:cs="Times New Roman"/>
          <w:sz w:val="24"/>
          <w:szCs w:val="24"/>
          <w:lang w:val="en-US"/>
        </w:rPr>
      </w:pPr>
    </w:p>
    <w:p w14:paraId="280E8663" w14:textId="77777777" w:rsidR="0099368B" w:rsidRDefault="0099368B" w:rsidP="00D1692D">
      <w:pPr>
        <w:rPr>
          <w:rStyle w:val="Hyperlink"/>
          <w:rFonts w:ascii="Times New Roman" w:hAnsi="Times New Roman" w:cs="Times New Roman"/>
          <w:sz w:val="24"/>
          <w:szCs w:val="24"/>
          <w:lang w:val="en-US"/>
        </w:rPr>
      </w:pPr>
    </w:p>
    <w:p w14:paraId="168D00BB" w14:textId="77777777" w:rsidR="00E1157B" w:rsidRPr="00090CE9" w:rsidRDefault="00E1157B" w:rsidP="00D1692D">
      <w:pPr>
        <w:rPr>
          <w:rStyle w:val="Hyperlink"/>
          <w:rFonts w:ascii="Times New Roman" w:hAnsi="Times New Roman" w:cs="Times New Roman"/>
          <w:sz w:val="24"/>
          <w:szCs w:val="24"/>
          <w:lang w:val="en-US"/>
        </w:rPr>
      </w:pPr>
    </w:p>
    <w:p w14:paraId="04C2D021" w14:textId="129F4987" w:rsidR="00D1692D" w:rsidRPr="0099368B" w:rsidRDefault="00D1692D" w:rsidP="00006C52">
      <w:pPr>
        <w:pStyle w:val="Heading1"/>
        <w:rPr>
          <w:rStyle w:val="Hyperlink"/>
          <w:rFonts w:cs="Times New Roman"/>
          <w:color w:val="171717" w:themeColor="background2" w:themeShade="1A"/>
          <w:sz w:val="20"/>
          <w:szCs w:val="20"/>
          <w:u w:val="none"/>
        </w:rPr>
      </w:pPr>
      <w:bookmarkStart w:id="1" w:name="_Toc97281434"/>
      <w:r w:rsidRPr="0099368B">
        <w:rPr>
          <w:rStyle w:val="Hyperlink"/>
          <w:rFonts w:cs="Times New Roman"/>
          <w:color w:val="171717" w:themeColor="background2" w:themeShade="1A"/>
          <w:sz w:val="20"/>
          <w:szCs w:val="20"/>
          <w:u w:val="none"/>
        </w:rPr>
        <w:t>Details about the literature review</w:t>
      </w:r>
      <w:bookmarkEnd w:id="1"/>
    </w:p>
    <w:p w14:paraId="488265B8" w14:textId="754D3176" w:rsidR="006B2FCB" w:rsidRDefault="006B2FCB" w:rsidP="00090CE9"/>
    <w:p w14:paraId="547B60AF" w14:textId="77777777" w:rsidR="00C37A0E" w:rsidRPr="0099368B" w:rsidRDefault="00C37A0E" w:rsidP="00C37A0E">
      <w:pPr>
        <w:rPr>
          <w:rFonts w:ascii="Times New Roman" w:hAnsi="Times New Roman" w:cs="Times New Roman"/>
          <w:sz w:val="20"/>
          <w:szCs w:val="20"/>
          <w:lang w:val="en-US"/>
        </w:rPr>
      </w:pPr>
      <w:r w:rsidRPr="0099368B">
        <w:rPr>
          <w:rFonts w:ascii="Times New Roman" w:hAnsi="Times New Roman" w:cs="Times New Roman"/>
          <w:b/>
          <w:sz w:val="20"/>
          <w:szCs w:val="20"/>
          <w:lang w:val="en-US"/>
        </w:rPr>
        <w:t>Subject index terms</w:t>
      </w:r>
      <w:r w:rsidRPr="0099368B">
        <w:rPr>
          <w:rFonts w:ascii="Times New Roman" w:hAnsi="Times New Roman" w:cs="Times New Roman"/>
          <w:sz w:val="20"/>
          <w:szCs w:val="20"/>
          <w:lang w:val="en-US"/>
        </w:rPr>
        <w:t>:</w:t>
      </w:r>
    </w:p>
    <w:p w14:paraId="5EACA261" w14:textId="7ED8E582" w:rsidR="00C37A0E" w:rsidRPr="0099368B" w:rsidRDefault="00C37A0E" w:rsidP="00090CE9">
      <w:pPr>
        <w:rPr>
          <w:rFonts w:ascii="Times New Roman" w:hAnsi="Times New Roman" w:cs="Times New Roman"/>
          <w:sz w:val="20"/>
          <w:szCs w:val="20"/>
          <w:lang w:val="en-US"/>
        </w:rPr>
      </w:pPr>
      <w:r w:rsidRPr="0099368B">
        <w:rPr>
          <w:rFonts w:ascii="Times New Roman" w:hAnsi="Times New Roman" w:cs="Times New Roman"/>
          <w:sz w:val="20"/>
          <w:szCs w:val="20"/>
          <w:lang w:val="en-US"/>
        </w:rPr>
        <w:t xml:space="preserve">Soft-tissue sarcoma, phase II (2), phase III (3), </w:t>
      </w:r>
      <w:proofErr w:type="gramStart"/>
      <w:r w:rsidRPr="0099368B">
        <w:rPr>
          <w:rFonts w:ascii="Times New Roman" w:hAnsi="Times New Roman" w:cs="Times New Roman"/>
          <w:sz w:val="20"/>
          <w:szCs w:val="20"/>
          <w:lang w:val="en-US"/>
        </w:rPr>
        <w:t>phase IV (4), metastatic, advanced, clinical trial(s)</w:t>
      </w:r>
      <w:proofErr w:type="gramEnd"/>
      <w:r w:rsidRPr="0099368B">
        <w:rPr>
          <w:rFonts w:ascii="Times New Roman" w:hAnsi="Times New Roman" w:cs="Times New Roman"/>
          <w:sz w:val="20"/>
          <w:szCs w:val="20"/>
          <w:lang w:val="en-US"/>
        </w:rPr>
        <w:t>.</w:t>
      </w:r>
    </w:p>
    <w:p w14:paraId="150D1FB7" w14:textId="77777777" w:rsidR="00F62E30" w:rsidRPr="0099368B" w:rsidRDefault="00F62E30" w:rsidP="00F62E30">
      <w:pPr>
        <w:rPr>
          <w:rFonts w:ascii="Times New Roman" w:hAnsi="Times New Roman" w:cs="Times New Roman"/>
          <w:sz w:val="20"/>
          <w:szCs w:val="20"/>
        </w:rPr>
      </w:pPr>
      <w:r w:rsidRPr="0099368B">
        <w:rPr>
          <w:rFonts w:ascii="Times New Roman" w:hAnsi="Times New Roman" w:cs="Times New Roman"/>
          <w:b/>
          <w:sz w:val="20"/>
          <w:szCs w:val="20"/>
        </w:rPr>
        <w:t>Type of studies to be included/excluded</w:t>
      </w:r>
      <w:r w:rsidRPr="0099368B">
        <w:rPr>
          <w:rFonts w:ascii="Times New Roman" w:hAnsi="Times New Roman" w:cs="Times New Roman"/>
          <w:sz w:val="20"/>
          <w:szCs w:val="20"/>
        </w:rPr>
        <w:t xml:space="preserve">: </w:t>
      </w:r>
    </w:p>
    <w:p w14:paraId="338679F6" w14:textId="4E6F2118" w:rsidR="00F62E30" w:rsidRPr="0099368B" w:rsidRDefault="00F62E30" w:rsidP="00F62E30">
      <w:pPr>
        <w:rPr>
          <w:rFonts w:ascii="Times New Roman" w:hAnsi="Times New Roman" w:cs="Times New Roman"/>
          <w:sz w:val="20"/>
          <w:szCs w:val="20"/>
        </w:rPr>
      </w:pPr>
      <w:r w:rsidRPr="0099368B">
        <w:rPr>
          <w:rFonts w:ascii="Times New Roman" w:hAnsi="Times New Roman" w:cs="Times New Roman"/>
          <w:sz w:val="20"/>
          <w:szCs w:val="20"/>
        </w:rPr>
        <w:t>Eligible study designs include</w:t>
      </w:r>
      <w:r w:rsidR="004538C6" w:rsidRPr="0099368B">
        <w:rPr>
          <w:rFonts w:ascii="Times New Roman" w:hAnsi="Times New Roman" w:cs="Times New Roman"/>
          <w:sz w:val="20"/>
          <w:szCs w:val="20"/>
        </w:rPr>
        <w:t>d</w:t>
      </w:r>
      <w:r w:rsidRPr="0099368B">
        <w:rPr>
          <w:rFonts w:ascii="Times New Roman" w:hAnsi="Times New Roman" w:cs="Times New Roman"/>
          <w:sz w:val="20"/>
          <w:szCs w:val="20"/>
        </w:rPr>
        <w:t xml:space="preserve"> randomized controlled or non-randomized clinical trials of phase II or III as well as prospective real-life studies. </w:t>
      </w:r>
    </w:p>
    <w:p w14:paraId="7D5BF984" w14:textId="74E3A71E" w:rsidR="003D6B72" w:rsidRPr="0099368B" w:rsidRDefault="00F62E30" w:rsidP="00F62E30">
      <w:pPr>
        <w:rPr>
          <w:rFonts w:ascii="Times New Roman" w:hAnsi="Times New Roman" w:cs="Times New Roman"/>
          <w:sz w:val="20"/>
          <w:szCs w:val="20"/>
        </w:rPr>
      </w:pPr>
      <w:r w:rsidRPr="0099368B">
        <w:rPr>
          <w:rFonts w:ascii="Times New Roman" w:hAnsi="Times New Roman" w:cs="Times New Roman"/>
          <w:sz w:val="20"/>
          <w:szCs w:val="20"/>
        </w:rPr>
        <w:t>Case control studies, case series, review papers, clinical trials of phase I, reports, pooled analyses, sub-studies, and ecological studies w</w:t>
      </w:r>
      <w:r w:rsidR="004538C6" w:rsidRPr="0099368B">
        <w:rPr>
          <w:rFonts w:ascii="Times New Roman" w:hAnsi="Times New Roman" w:cs="Times New Roman"/>
          <w:sz w:val="20"/>
          <w:szCs w:val="20"/>
        </w:rPr>
        <w:t>ere</w:t>
      </w:r>
      <w:r w:rsidRPr="0099368B">
        <w:rPr>
          <w:rFonts w:ascii="Times New Roman" w:hAnsi="Times New Roman" w:cs="Times New Roman"/>
          <w:sz w:val="20"/>
          <w:szCs w:val="20"/>
        </w:rPr>
        <w:t xml:space="preserve"> </w:t>
      </w:r>
      <w:r w:rsidR="009F4EB8">
        <w:rPr>
          <w:rFonts w:ascii="Times New Roman" w:hAnsi="Times New Roman" w:cs="Times New Roman"/>
          <w:sz w:val="20"/>
          <w:szCs w:val="20"/>
        </w:rPr>
        <w:t>excluded</w:t>
      </w:r>
      <w:r w:rsidRPr="0099368B">
        <w:rPr>
          <w:rFonts w:ascii="Times New Roman" w:hAnsi="Times New Roman" w:cs="Times New Roman"/>
          <w:sz w:val="20"/>
          <w:szCs w:val="20"/>
        </w:rPr>
        <w:t xml:space="preserve">. </w:t>
      </w:r>
    </w:p>
    <w:p w14:paraId="558FC0A2" w14:textId="77777777" w:rsidR="00F62E30" w:rsidRPr="0099368B" w:rsidRDefault="00F62E30" w:rsidP="00F62E30">
      <w:pPr>
        <w:rPr>
          <w:rFonts w:ascii="Times New Roman" w:hAnsi="Times New Roman" w:cs="Times New Roman"/>
          <w:sz w:val="20"/>
          <w:szCs w:val="20"/>
        </w:rPr>
      </w:pPr>
      <w:r w:rsidRPr="0099368B">
        <w:rPr>
          <w:rFonts w:ascii="Times New Roman" w:hAnsi="Times New Roman" w:cs="Times New Roman"/>
          <w:b/>
          <w:sz w:val="20"/>
          <w:szCs w:val="20"/>
        </w:rPr>
        <w:t>Condition or domain being studied</w:t>
      </w:r>
      <w:r w:rsidRPr="0099368B">
        <w:rPr>
          <w:rFonts w:ascii="Times New Roman" w:hAnsi="Times New Roman" w:cs="Times New Roman"/>
          <w:sz w:val="20"/>
          <w:szCs w:val="20"/>
        </w:rPr>
        <w:t xml:space="preserve">: </w:t>
      </w:r>
    </w:p>
    <w:p w14:paraId="47340BC4" w14:textId="57C18C02" w:rsidR="000970EC" w:rsidRPr="0099368B" w:rsidRDefault="00F62E30" w:rsidP="00F62E30">
      <w:pPr>
        <w:rPr>
          <w:rFonts w:ascii="Times New Roman" w:hAnsi="Times New Roman" w:cs="Times New Roman"/>
          <w:sz w:val="20"/>
          <w:szCs w:val="20"/>
        </w:rPr>
      </w:pPr>
      <w:r w:rsidRPr="0099368B">
        <w:rPr>
          <w:rFonts w:ascii="Times New Roman" w:hAnsi="Times New Roman" w:cs="Times New Roman"/>
          <w:sz w:val="20"/>
          <w:szCs w:val="20"/>
        </w:rPr>
        <w:t>Systemic therapy (chemotherapy, targeted, immunotherapy or cell therapy) in advanced non-</w:t>
      </w:r>
      <w:proofErr w:type="spellStart"/>
      <w:r w:rsidRPr="0099368B">
        <w:rPr>
          <w:rFonts w:ascii="Times New Roman" w:hAnsi="Times New Roman" w:cs="Times New Roman"/>
          <w:sz w:val="20"/>
          <w:szCs w:val="20"/>
        </w:rPr>
        <w:t>resectable</w:t>
      </w:r>
      <w:proofErr w:type="spellEnd"/>
      <w:r w:rsidRPr="0099368B">
        <w:rPr>
          <w:rFonts w:ascii="Times New Roman" w:hAnsi="Times New Roman" w:cs="Times New Roman"/>
          <w:sz w:val="20"/>
          <w:szCs w:val="20"/>
        </w:rPr>
        <w:t xml:space="preserve"> or metastatic soft tissue sarcoma (STS) for first or later lines of treatment. </w:t>
      </w:r>
    </w:p>
    <w:p w14:paraId="528BB8C5" w14:textId="32B448C1" w:rsidR="000970EC" w:rsidRPr="0099368B" w:rsidRDefault="00F62E30" w:rsidP="00F62E30">
      <w:pPr>
        <w:rPr>
          <w:rFonts w:ascii="Times New Roman" w:hAnsi="Times New Roman" w:cs="Times New Roman"/>
          <w:sz w:val="20"/>
          <w:szCs w:val="20"/>
        </w:rPr>
      </w:pPr>
      <w:r w:rsidRPr="0099368B">
        <w:rPr>
          <w:rFonts w:ascii="Times New Roman" w:hAnsi="Times New Roman" w:cs="Times New Roman"/>
          <w:b/>
          <w:sz w:val="20"/>
          <w:szCs w:val="20"/>
        </w:rPr>
        <w:t>Participants/Population</w:t>
      </w:r>
      <w:r w:rsidRPr="0099368B">
        <w:rPr>
          <w:rFonts w:ascii="Times New Roman" w:hAnsi="Times New Roman" w:cs="Times New Roman"/>
          <w:sz w:val="20"/>
          <w:szCs w:val="20"/>
        </w:rPr>
        <w:t>:</w:t>
      </w:r>
    </w:p>
    <w:p w14:paraId="0F41CB32" w14:textId="7317B772" w:rsidR="00D96C19" w:rsidRPr="0099368B" w:rsidRDefault="00F62E30" w:rsidP="007A1BC9">
      <w:pPr>
        <w:rPr>
          <w:rFonts w:ascii="Times New Roman" w:hAnsi="Times New Roman" w:cs="Times New Roman"/>
          <w:sz w:val="20"/>
          <w:szCs w:val="20"/>
        </w:rPr>
      </w:pPr>
      <w:r w:rsidRPr="0099368B">
        <w:rPr>
          <w:rFonts w:ascii="Times New Roman" w:hAnsi="Times New Roman" w:cs="Times New Roman"/>
          <w:sz w:val="20"/>
          <w:szCs w:val="20"/>
        </w:rPr>
        <w:t xml:space="preserve">Population of the trials </w:t>
      </w:r>
      <w:r w:rsidR="004538C6" w:rsidRPr="0099368B">
        <w:rPr>
          <w:rFonts w:ascii="Times New Roman" w:hAnsi="Times New Roman" w:cs="Times New Roman"/>
          <w:sz w:val="20"/>
          <w:szCs w:val="20"/>
        </w:rPr>
        <w:t>were</w:t>
      </w:r>
      <w:r w:rsidRPr="0099368B">
        <w:rPr>
          <w:rFonts w:ascii="Times New Roman" w:hAnsi="Times New Roman" w:cs="Times New Roman"/>
          <w:sz w:val="20"/>
          <w:szCs w:val="20"/>
        </w:rPr>
        <w:t xml:space="preserve"> adults with a diagnosis of advanced or metastatic STS, non-operable who underwent systemic therapy (reported). </w:t>
      </w:r>
    </w:p>
    <w:p w14:paraId="247FE50F" w14:textId="7948770B" w:rsidR="009313C4" w:rsidRPr="0099368B" w:rsidRDefault="009313C4" w:rsidP="009313C4">
      <w:pPr>
        <w:rPr>
          <w:rFonts w:ascii="Times New Roman" w:hAnsi="Times New Roman" w:cs="Times New Roman"/>
          <w:sz w:val="20"/>
          <w:szCs w:val="20"/>
        </w:rPr>
      </w:pPr>
      <w:r w:rsidRPr="0099368B">
        <w:rPr>
          <w:rFonts w:ascii="Times New Roman" w:hAnsi="Times New Roman" w:cs="Times New Roman"/>
          <w:b/>
          <w:sz w:val="20"/>
          <w:szCs w:val="20"/>
        </w:rPr>
        <w:t>Electronic search strategy (according to PRISMA guidelines</w:t>
      </w:r>
      <w:r w:rsidR="00826352">
        <w:rPr>
          <w:rFonts w:ascii="Times New Roman" w:hAnsi="Times New Roman" w:cs="Times New Roman"/>
          <w:b/>
          <w:sz w:val="20"/>
          <w:szCs w:val="20"/>
        </w:rPr>
        <w:t xml:space="preserve"> </w:t>
      </w:r>
      <w:r w:rsidR="00826352">
        <w:rPr>
          <w:rFonts w:ascii="Times New Roman" w:hAnsi="Times New Roman" w:cs="Times New Roman"/>
          <w:b/>
          <w:sz w:val="20"/>
          <w:szCs w:val="20"/>
        </w:rPr>
        <w:fldChar w:fldCharType="begin" w:fldLock="1"/>
      </w:r>
      <w:r w:rsidR="00826352">
        <w:rPr>
          <w:rFonts w:ascii="Times New Roman" w:hAnsi="Times New Roman" w:cs="Times New Roman"/>
          <w:b/>
          <w:sz w:val="20"/>
          <w:szCs w:val="20"/>
        </w:rPr>
        <w:instrText>ADDIN CSL_CITATION {"citationItems":[{"id":"ITEM-1","itemData":{"DOI":"10.1016/j.jclinepi.2009.06.006","ISBN":"2006062298","ISSN":"18785921","abstract":"Systematic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 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 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meta-analyses.","author":[{"dropping-particle":"","family":"Liberati","given":"Alessandro","non-dropping-particle":"","parse-names":false,"suffix":""},{"dropping-particle":"","family":"Altman","given":"Douglas G","non-dropping-particle":"","parse-names":false,"suffix":""},{"dropping-particle":"","family":"Tetzlaff","given":"Jennifer","non-dropping-particle":"","parse-names":false,"suffix":""},{"dropping-particle":"","family":"Mulrow","given":"Cynthia","non-dropping-particle":"","parse-names":false,"suffix":""},{"dropping-particle":"","family":"Gøtzsche","given":"Peter C","non-dropping-particle":"","parse-names":false,"suffix":""},{"dropping-particle":"","family":"Ioannidis","given":"John P A","non-dropping-particle":"","parse-names":false,"suffix":""},{"dropping-particle":"","family":"Clarke","given":"Mike","non-dropping-particle":"","parse-names":false,"suffix":""},{"dropping-particle":"","family":"Devereaux","given":"P J","non-dropping-particle":"","parse-names":false,"suffix":""},{"dropping-particle":"","family":"Kleijnen","given":"Jos","non-dropping-particle":"","parse-names":false,"suffix":""},{"dropping-particle":"","family":"Moher","given":"David","non-dropping-particle":"","parse-names":false,"suffix":""}],"container-title":"Journal of clinical epidemiology","id":"ITEM-1","issue":"10","issued":{"date-parts":[["2009"]]},"page":"e1--e34","title":"The PRISMA statement for reporting systematic reviews and meta-analyses of studies that evaluate health care interventions: explanation and elaboration","type":"article-journal","volume":"62"},"uris":["http://www.mendeley.com/documents/?uuid=694d8110-397d-4882-af5c-8ca643275e13"]}],"mendeley":{"formattedCitation":"[1]","plainTextFormattedCitation":"[1]","previouslyFormattedCitation":"[1]"},"properties":{"noteIndex":0},"schema":"https://github.com/citation-style-language/schema/raw/master/csl-citation.json"}</w:instrText>
      </w:r>
      <w:r w:rsidR="00826352">
        <w:rPr>
          <w:rFonts w:ascii="Times New Roman" w:hAnsi="Times New Roman" w:cs="Times New Roman"/>
          <w:b/>
          <w:sz w:val="20"/>
          <w:szCs w:val="20"/>
        </w:rPr>
        <w:fldChar w:fldCharType="separate"/>
      </w:r>
      <w:r w:rsidR="00826352" w:rsidRPr="00826352">
        <w:rPr>
          <w:rFonts w:ascii="Times New Roman" w:hAnsi="Times New Roman" w:cs="Times New Roman"/>
          <w:noProof/>
          <w:sz w:val="20"/>
          <w:szCs w:val="20"/>
        </w:rPr>
        <w:t>[1]</w:t>
      </w:r>
      <w:r w:rsidR="00826352">
        <w:rPr>
          <w:rFonts w:ascii="Times New Roman" w:hAnsi="Times New Roman" w:cs="Times New Roman"/>
          <w:b/>
          <w:sz w:val="20"/>
          <w:szCs w:val="20"/>
        </w:rPr>
        <w:fldChar w:fldCharType="end"/>
      </w:r>
      <w:r w:rsidRPr="0099368B">
        <w:rPr>
          <w:rFonts w:ascii="Times New Roman" w:hAnsi="Times New Roman" w:cs="Times New Roman"/>
          <w:b/>
          <w:sz w:val="20"/>
          <w:szCs w:val="20"/>
        </w:rPr>
        <w:t>)</w:t>
      </w:r>
      <w:r w:rsidRPr="0099368B">
        <w:rPr>
          <w:rFonts w:ascii="Times New Roman" w:hAnsi="Times New Roman" w:cs="Times New Roman"/>
          <w:sz w:val="20"/>
          <w:szCs w:val="20"/>
        </w:rPr>
        <w:t xml:space="preserve">: </w:t>
      </w:r>
    </w:p>
    <w:p w14:paraId="598347AA" w14:textId="77777777" w:rsidR="009313C4" w:rsidRPr="0099368B" w:rsidRDefault="009313C4" w:rsidP="00842731">
      <w:pPr>
        <w:jc w:val="both"/>
        <w:rPr>
          <w:rFonts w:ascii="Times New Roman" w:hAnsi="Times New Roman" w:cs="Times New Roman"/>
          <w:sz w:val="20"/>
          <w:szCs w:val="20"/>
        </w:rPr>
      </w:pPr>
      <w:r w:rsidRPr="0099368B">
        <w:rPr>
          <w:rFonts w:ascii="Times New Roman" w:hAnsi="Times New Roman" w:cs="Times New Roman"/>
          <w:sz w:val="20"/>
          <w:szCs w:val="20"/>
        </w:rPr>
        <w:t>The search was restricted to publications in the period: 1 January 2003 – 31 December 2018 using the English language.</w:t>
      </w:r>
    </w:p>
    <w:p w14:paraId="575808CD" w14:textId="77777777" w:rsidR="009313C4" w:rsidRPr="0099368B" w:rsidRDefault="009313C4" w:rsidP="00842731">
      <w:pPr>
        <w:jc w:val="both"/>
        <w:rPr>
          <w:rFonts w:ascii="Times New Roman" w:hAnsi="Times New Roman" w:cs="Times New Roman"/>
          <w:sz w:val="20"/>
          <w:szCs w:val="20"/>
        </w:rPr>
      </w:pPr>
      <w:r w:rsidRPr="0099368B">
        <w:rPr>
          <w:rFonts w:ascii="Times New Roman" w:hAnsi="Times New Roman" w:cs="Times New Roman"/>
          <w:b/>
          <w:bCs/>
          <w:sz w:val="20"/>
          <w:szCs w:val="20"/>
        </w:rPr>
        <w:t>Electronic database search</w:t>
      </w:r>
      <w:r w:rsidRPr="0099368B">
        <w:rPr>
          <w:rFonts w:ascii="Times New Roman" w:hAnsi="Times New Roman" w:cs="Times New Roman"/>
          <w:sz w:val="20"/>
          <w:szCs w:val="20"/>
        </w:rPr>
        <w:t>: MEDLINE through PubMed database.</w:t>
      </w:r>
    </w:p>
    <w:p w14:paraId="675687F2" w14:textId="1A9ACD6B" w:rsidR="009313C4" w:rsidRPr="0099368B" w:rsidRDefault="009313C4" w:rsidP="00842731">
      <w:pPr>
        <w:jc w:val="both"/>
        <w:rPr>
          <w:rFonts w:ascii="Times New Roman" w:hAnsi="Times New Roman" w:cs="Times New Roman"/>
          <w:sz w:val="20"/>
          <w:szCs w:val="20"/>
        </w:rPr>
      </w:pPr>
      <w:r w:rsidRPr="0099368B">
        <w:rPr>
          <w:rFonts w:ascii="Times New Roman" w:hAnsi="Times New Roman" w:cs="Times New Roman"/>
          <w:sz w:val="20"/>
          <w:szCs w:val="20"/>
        </w:rPr>
        <w:t>The search was performed combining two separate searches to be as general as possible</w:t>
      </w:r>
      <w:r w:rsidR="00030CC5" w:rsidRPr="0099368B">
        <w:rPr>
          <w:rFonts w:ascii="Times New Roman" w:hAnsi="Times New Roman" w:cs="Times New Roman"/>
          <w:sz w:val="20"/>
          <w:szCs w:val="20"/>
        </w:rPr>
        <w:t>. T</w:t>
      </w:r>
      <w:r w:rsidRPr="0099368B">
        <w:rPr>
          <w:rFonts w:ascii="Times New Roman" w:hAnsi="Times New Roman" w:cs="Times New Roman"/>
          <w:sz w:val="20"/>
          <w:szCs w:val="20"/>
        </w:rPr>
        <w:t xml:space="preserve">he </w:t>
      </w:r>
      <w:proofErr w:type="spellStart"/>
      <w:r w:rsidRPr="0099368B">
        <w:rPr>
          <w:rFonts w:ascii="Times New Roman" w:hAnsi="Times New Roman" w:cs="Times New Roman"/>
          <w:sz w:val="20"/>
          <w:szCs w:val="20"/>
        </w:rPr>
        <w:t>MeSH</w:t>
      </w:r>
      <w:proofErr w:type="spellEnd"/>
      <w:r w:rsidRPr="0099368B">
        <w:rPr>
          <w:rFonts w:ascii="Times New Roman" w:hAnsi="Times New Roman" w:cs="Times New Roman"/>
          <w:sz w:val="20"/>
          <w:szCs w:val="20"/>
        </w:rPr>
        <w:t xml:space="preserve"> term sarcoma</w:t>
      </w:r>
      <w:r w:rsidR="00DA6B7F" w:rsidRPr="0099368B">
        <w:rPr>
          <w:rFonts w:ascii="Times New Roman" w:hAnsi="Times New Roman" w:cs="Times New Roman"/>
          <w:sz w:val="20"/>
          <w:szCs w:val="20"/>
        </w:rPr>
        <w:t xml:space="preserve"> was preferred</w:t>
      </w:r>
      <w:r w:rsidRPr="0099368B">
        <w:rPr>
          <w:rFonts w:ascii="Times New Roman" w:hAnsi="Times New Roman" w:cs="Times New Roman"/>
          <w:sz w:val="20"/>
          <w:szCs w:val="20"/>
        </w:rPr>
        <w:t xml:space="preserve"> to capture all sarcoma subtypes and based on </w:t>
      </w:r>
      <w:r w:rsidR="00DA6B7F" w:rsidRPr="0099368B">
        <w:rPr>
          <w:rFonts w:ascii="Times New Roman" w:hAnsi="Times New Roman" w:cs="Times New Roman"/>
          <w:sz w:val="20"/>
          <w:szCs w:val="20"/>
        </w:rPr>
        <w:t>the</w:t>
      </w:r>
      <w:r w:rsidRPr="0099368B">
        <w:rPr>
          <w:rFonts w:ascii="Times New Roman" w:hAnsi="Times New Roman" w:cs="Times New Roman"/>
          <w:sz w:val="20"/>
          <w:szCs w:val="20"/>
        </w:rPr>
        <w:t xml:space="preserve"> screening process papers regarding soft-tissue sarcomas</w:t>
      </w:r>
      <w:r w:rsidR="00DA6B7F" w:rsidRPr="0099368B">
        <w:rPr>
          <w:rFonts w:ascii="Times New Roman" w:hAnsi="Times New Roman" w:cs="Times New Roman"/>
          <w:sz w:val="20"/>
          <w:szCs w:val="20"/>
        </w:rPr>
        <w:t xml:space="preserve"> were selected</w:t>
      </w:r>
      <w:r w:rsidRPr="0099368B">
        <w:rPr>
          <w:rFonts w:ascii="Times New Roman" w:hAnsi="Times New Roman" w:cs="Times New Roman"/>
          <w:sz w:val="20"/>
          <w:szCs w:val="20"/>
        </w:rPr>
        <w:t>. The algorithms are presented below:</w:t>
      </w:r>
    </w:p>
    <w:p w14:paraId="7DAA4932" w14:textId="77777777" w:rsidR="009313C4" w:rsidRPr="0099368B" w:rsidRDefault="009313C4" w:rsidP="009313C4">
      <w:pPr>
        <w:rPr>
          <w:rFonts w:ascii="Times New Roman" w:hAnsi="Times New Roman" w:cs="Times New Roman"/>
          <w:sz w:val="20"/>
          <w:szCs w:val="20"/>
        </w:rPr>
      </w:pPr>
      <w:r w:rsidRPr="0099368B">
        <w:rPr>
          <w:rFonts w:ascii="Times New Roman" w:hAnsi="Times New Roman" w:cs="Times New Roman"/>
          <w:sz w:val="20"/>
          <w:szCs w:val="20"/>
        </w:rPr>
        <w:t>("sarcoma"[</w:t>
      </w:r>
      <w:proofErr w:type="spellStart"/>
      <w:r w:rsidRPr="0099368B">
        <w:rPr>
          <w:rFonts w:ascii="Times New Roman" w:hAnsi="Times New Roman" w:cs="Times New Roman"/>
          <w:sz w:val="20"/>
          <w:szCs w:val="20"/>
        </w:rPr>
        <w:t>MeSH</w:t>
      </w:r>
      <w:proofErr w:type="spellEnd"/>
      <w:r w:rsidRPr="0099368B">
        <w:rPr>
          <w:rFonts w:ascii="Times New Roman" w:hAnsi="Times New Roman" w:cs="Times New Roman"/>
          <w:sz w:val="20"/>
          <w:szCs w:val="20"/>
        </w:rPr>
        <w:t xml:space="preserve"> Terms] OR "sarcoma"[All Fields]) AND advanced [All Fields] AND (Clinical </w:t>
      </w:r>
      <w:proofErr w:type="gramStart"/>
      <w:r w:rsidRPr="0099368B">
        <w:rPr>
          <w:rFonts w:ascii="Times New Roman" w:hAnsi="Times New Roman" w:cs="Times New Roman"/>
          <w:sz w:val="20"/>
          <w:szCs w:val="20"/>
        </w:rPr>
        <w:t>Trial[</w:t>
      </w:r>
      <w:proofErr w:type="spellStart"/>
      <w:proofErr w:type="gramEnd"/>
      <w:r w:rsidRPr="0099368B">
        <w:rPr>
          <w:rFonts w:ascii="Times New Roman" w:hAnsi="Times New Roman" w:cs="Times New Roman"/>
          <w:sz w:val="20"/>
          <w:szCs w:val="20"/>
        </w:rPr>
        <w:t>ptyp</w:t>
      </w:r>
      <w:proofErr w:type="spellEnd"/>
      <w:r w:rsidRPr="0099368B">
        <w:rPr>
          <w:rFonts w:ascii="Times New Roman" w:hAnsi="Times New Roman" w:cs="Times New Roman"/>
          <w:sz w:val="20"/>
          <w:szCs w:val="20"/>
        </w:rPr>
        <w:t>] AND ("2003/01/01"[PDAT] : "2018/12/31"[PDAT]) AND "humans"[</w:t>
      </w:r>
      <w:proofErr w:type="spellStart"/>
      <w:r w:rsidRPr="0099368B">
        <w:rPr>
          <w:rFonts w:ascii="Times New Roman" w:hAnsi="Times New Roman" w:cs="Times New Roman"/>
          <w:sz w:val="20"/>
          <w:szCs w:val="20"/>
        </w:rPr>
        <w:t>MeSH</w:t>
      </w:r>
      <w:proofErr w:type="spellEnd"/>
      <w:r w:rsidRPr="0099368B">
        <w:rPr>
          <w:rFonts w:ascii="Times New Roman" w:hAnsi="Times New Roman" w:cs="Times New Roman"/>
          <w:sz w:val="20"/>
          <w:szCs w:val="20"/>
        </w:rPr>
        <w:t xml:space="preserve"> Terms] AND English[</w:t>
      </w:r>
      <w:proofErr w:type="spellStart"/>
      <w:r w:rsidRPr="0099368B">
        <w:rPr>
          <w:rFonts w:ascii="Times New Roman" w:hAnsi="Times New Roman" w:cs="Times New Roman"/>
          <w:sz w:val="20"/>
          <w:szCs w:val="20"/>
        </w:rPr>
        <w:t>lang</w:t>
      </w:r>
      <w:proofErr w:type="spellEnd"/>
      <w:r w:rsidRPr="0099368B">
        <w:rPr>
          <w:rFonts w:ascii="Times New Roman" w:hAnsi="Times New Roman" w:cs="Times New Roman"/>
          <w:sz w:val="20"/>
          <w:szCs w:val="20"/>
        </w:rPr>
        <w:t xml:space="preserve">]) </w:t>
      </w:r>
      <w:r w:rsidRPr="0099368B">
        <w:rPr>
          <w:rFonts w:ascii="Times New Roman" w:hAnsi="Times New Roman" w:cs="Times New Roman"/>
          <w:sz w:val="20"/>
          <w:szCs w:val="20"/>
        </w:rPr>
        <w:sym w:font="Wingdings" w:char="F0E0"/>
      </w:r>
      <w:r w:rsidRPr="0099368B">
        <w:rPr>
          <w:rFonts w:ascii="Times New Roman" w:hAnsi="Times New Roman" w:cs="Times New Roman"/>
          <w:sz w:val="20"/>
          <w:szCs w:val="20"/>
        </w:rPr>
        <w:t xml:space="preserve"> 419 potential articles were identified.</w:t>
      </w:r>
    </w:p>
    <w:p w14:paraId="08C6EDCA" w14:textId="77777777" w:rsidR="009313C4" w:rsidRPr="0099368B" w:rsidRDefault="009313C4" w:rsidP="009313C4">
      <w:pPr>
        <w:rPr>
          <w:rFonts w:ascii="Times New Roman" w:hAnsi="Times New Roman" w:cs="Times New Roman"/>
          <w:sz w:val="20"/>
          <w:szCs w:val="20"/>
        </w:rPr>
      </w:pPr>
      <w:r w:rsidRPr="0099368B">
        <w:rPr>
          <w:rFonts w:ascii="Times New Roman" w:hAnsi="Times New Roman" w:cs="Times New Roman"/>
          <w:sz w:val="20"/>
          <w:szCs w:val="20"/>
        </w:rPr>
        <w:t>("sarcoma"[</w:t>
      </w:r>
      <w:proofErr w:type="spellStart"/>
      <w:r w:rsidRPr="0099368B">
        <w:rPr>
          <w:rFonts w:ascii="Times New Roman" w:hAnsi="Times New Roman" w:cs="Times New Roman"/>
          <w:sz w:val="20"/>
          <w:szCs w:val="20"/>
        </w:rPr>
        <w:t>MeSH</w:t>
      </w:r>
      <w:proofErr w:type="spellEnd"/>
      <w:r w:rsidRPr="0099368B">
        <w:rPr>
          <w:rFonts w:ascii="Times New Roman" w:hAnsi="Times New Roman" w:cs="Times New Roman"/>
          <w:sz w:val="20"/>
          <w:szCs w:val="20"/>
        </w:rPr>
        <w:t xml:space="preserve"> Terms] OR "sarcoma"[All Fields]) AND ("secondary"[Subheading] OR "secondary"[All Fields] OR "metastatic"[All Fields]) AND (Clinical </w:t>
      </w:r>
      <w:proofErr w:type="gramStart"/>
      <w:r w:rsidRPr="0099368B">
        <w:rPr>
          <w:rFonts w:ascii="Times New Roman" w:hAnsi="Times New Roman" w:cs="Times New Roman"/>
          <w:sz w:val="20"/>
          <w:szCs w:val="20"/>
        </w:rPr>
        <w:t>Trial[</w:t>
      </w:r>
      <w:proofErr w:type="spellStart"/>
      <w:proofErr w:type="gramEnd"/>
      <w:r w:rsidRPr="0099368B">
        <w:rPr>
          <w:rFonts w:ascii="Times New Roman" w:hAnsi="Times New Roman" w:cs="Times New Roman"/>
          <w:sz w:val="20"/>
          <w:szCs w:val="20"/>
        </w:rPr>
        <w:t>ptyp</w:t>
      </w:r>
      <w:proofErr w:type="spellEnd"/>
      <w:r w:rsidRPr="0099368B">
        <w:rPr>
          <w:rFonts w:ascii="Times New Roman" w:hAnsi="Times New Roman" w:cs="Times New Roman"/>
          <w:sz w:val="20"/>
          <w:szCs w:val="20"/>
        </w:rPr>
        <w:t>] AND ("2003/01/01"[PDAT] : "2018/12/31"[PDAT]) AND "humans"[</w:t>
      </w:r>
      <w:proofErr w:type="spellStart"/>
      <w:r w:rsidRPr="0099368B">
        <w:rPr>
          <w:rFonts w:ascii="Times New Roman" w:hAnsi="Times New Roman" w:cs="Times New Roman"/>
          <w:sz w:val="20"/>
          <w:szCs w:val="20"/>
        </w:rPr>
        <w:t>MeSH</w:t>
      </w:r>
      <w:proofErr w:type="spellEnd"/>
      <w:r w:rsidRPr="0099368B">
        <w:rPr>
          <w:rFonts w:ascii="Times New Roman" w:hAnsi="Times New Roman" w:cs="Times New Roman"/>
          <w:sz w:val="20"/>
          <w:szCs w:val="20"/>
        </w:rPr>
        <w:t xml:space="preserve"> Terms] AND English[</w:t>
      </w:r>
      <w:proofErr w:type="spellStart"/>
      <w:r w:rsidRPr="0099368B">
        <w:rPr>
          <w:rFonts w:ascii="Times New Roman" w:hAnsi="Times New Roman" w:cs="Times New Roman"/>
          <w:sz w:val="20"/>
          <w:szCs w:val="20"/>
        </w:rPr>
        <w:t>lang</w:t>
      </w:r>
      <w:proofErr w:type="spellEnd"/>
      <w:r w:rsidRPr="0099368B">
        <w:rPr>
          <w:rFonts w:ascii="Times New Roman" w:hAnsi="Times New Roman" w:cs="Times New Roman"/>
          <w:sz w:val="20"/>
          <w:szCs w:val="20"/>
        </w:rPr>
        <w:t xml:space="preserve">]) </w:t>
      </w:r>
      <w:r w:rsidRPr="0099368B">
        <w:rPr>
          <w:rFonts w:ascii="Times New Roman" w:hAnsi="Times New Roman" w:cs="Times New Roman"/>
          <w:sz w:val="20"/>
          <w:szCs w:val="20"/>
        </w:rPr>
        <w:sym w:font="Wingdings" w:char="F0E0"/>
      </w:r>
      <w:r w:rsidRPr="0099368B">
        <w:rPr>
          <w:rFonts w:ascii="Times New Roman" w:hAnsi="Times New Roman" w:cs="Times New Roman"/>
          <w:sz w:val="20"/>
          <w:szCs w:val="20"/>
        </w:rPr>
        <w:t xml:space="preserve"> 512 potential articles were identified.</w:t>
      </w:r>
    </w:p>
    <w:p w14:paraId="529D2424" w14:textId="77777777" w:rsidR="009313C4" w:rsidRPr="0099368B" w:rsidRDefault="009313C4" w:rsidP="00842731">
      <w:pPr>
        <w:jc w:val="both"/>
        <w:rPr>
          <w:rFonts w:ascii="Times New Roman" w:hAnsi="Times New Roman" w:cs="Times New Roman"/>
          <w:sz w:val="20"/>
          <w:szCs w:val="20"/>
        </w:rPr>
      </w:pPr>
      <w:r w:rsidRPr="0099368B">
        <w:rPr>
          <w:rFonts w:ascii="Times New Roman" w:hAnsi="Times New Roman" w:cs="Times New Roman"/>
          <w:sz w:val="20"/>
          <w:szCs w:val="20"/>
        </w:rPr>
        <w:t xml:space="preserve">Combining both searches, the total number of potentially eligible papers was </w:t>
      </w:r>
      <w:r w:rsidRPr="0099368B">
        <w:rPr>
          <w:rFonts w:ascii="Times New Roman" w:hAnsi="Times New Roman" w:cs="Times New Roman"/>
          <w:b/>
          <w:sz w:val="20"/>
          <w:szCs w:val="20"/>
        </w:rPr>
        <w:t>745</w:t>
      </w:r>
      <w:r w:rsidRPr="0099368B">
        <w:rPr>
          <w:rFonts w:ascii="Times New Roman" w:hAnsi="Times New Roman" w:cs="Times New Roman"/>
          <w:sz w:val="20"/>
          <w:szCs w:val="20"/>
        </w:rPr>
        <w:t xml:space="preserve"> after removal of 186 duplicate results between the two searches. </w:t>
      </w:r>
    </w:p>
    <w:p w14:paraId="15E049B9" w14:textId="77777777" w:rsidR="000B0498" w:rsidRPr="0099368B" w:rsidRDefault="000B0498" w:rsidP="000B0498">
      <w:pPr>
        <w:rPr>
          <w:rFonts w:ascii="Times New Roman" w:hAnsi="Times New Roman" w:cs="Times New Roman"/>
          <w:sz w:val="20"/>
          <w:szCs w:val="20"/>
        </w:rPr>
      </w:pPr>
      <w:r w:rsidRPr="0099368B">
        <w:rPr>
          <w:rFonts w:ascii="Times New Roman" w:hAnsi="Times New Roman" w:cs="Times New Roman"/>
          <w:b/>
          <w:sz w:val="20"/>
          <w:szCs w:val="20"/>
        </w:rPr>
        <w:t>First screening step (title and abstract – without details)</w:t>
      </w:r>
    </w:p>
    <w:p w14:paraId="5878FDF8" w14:textId="77777777" w:rsidR="000B0498" w:rsidRPr="0099368B" w:rsidRDefault="000B0498" w:rsidP="000B0498">
      <w:pPr>
        <w:rPr>
          <w:rFonts w:ascii="Times New Roman" w:hAnsi="Times New Roman" w:cs="Times New Roman"/>
          <w:sz w:val="20"/>
          <w:szCs w:val="20"/>
        </w:rPr>
      </w:pPr>
      <w:r w:rsidRPr="0099368B">
        <w:rPr>
          <w:rFonts w:ascii="Times New Roman" w:hAnsi="Times New Roman" w:cs="Times New Roman"/>
          <w:b/>
          <w:sz w:val="20"/>
          <w:szCs w:val="20"/>
        </w:rPr>
        <w:t>Inclusion criteria</w:t>
      </w:r>
      <w:r w:rsidRPr="0099368B">
        <w:rPr>
          <w:rFonts w:ascii="Times New Roman" w:hAnsi="Times New Roman" w:cs="Times New Roman"/>
          <w:sz w:val="20"/>
          <w:szCs w:val="20"/>
        </w:rPr>
        <w:t xml:space="preserve">: </w:t>
      </w:r>
    </w:p>
    <w:p w14:paraId="34B4030A" w14:textId="77777777"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Diagnosis of a primary STS.</w:t>
      </w:r>
    </w:p>
    <w:p w14:paraId="78E55857" w14:textId="77777777"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Advanced or metastatic non-</w:t>
      </w:r>
      <w:proofErr w:type="spellStart"/>
      <w:r w:rsidRPr="0099368B">
        <w:rPr>
          <w:rFonts w:ascii="Times New Roman" w:hAnsi="Times New Roman" w:cs="Times New Roman"/>
          <w:sz w:val="20"/>
          <w:szCs w:val="20"/>
        </w:rPr>
        <w:t>resectable</w:t>
      </w:r>
      <w:proofErr w:type="spellEnd"/>
      <w:r w:rsidRPr="0099368B">
        <w:rPr>
          <w:rFonts w:ascii="Times New Roman" w:hAnsi="Times New Roman" w:cs="Times New Roman"/>
          <w:sz w:val="20"/>
          <w:szCs w:val="20"/>
        </w:rPr>
        <w:t xml:space="preserve"> disease.</w:t>
      </w:r>
    </w:p>
    <w:p w14:paraId="117B0D46" w14:textId="77777777"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 xml:space="preserve">Tumour characteristics:  </w:t>
      </w:r>
    </w:p>
    <w:p w14:paraId="38B90016" w14:textId="0A0320CB" w:rsidR="000B0498" w:rsidRPr="0099368B" w:rsidRDefault="000B0498" w:rsidP="000B0498">
      <w:pPr>
        <w:rPr>
          <w:rFonts w:ascii="Times New Roman" w:hAnsi="Times New Roman" w:cs="Times New Roman"/>
          <w:sz w:val="20"/>
          <w:szCs w:val="20"/>
        </w:rPr>
      </w:pPr>
      <w:r w:rsidRPr="0099368B">
        <w:rPr>
          <w:rFonts w:ascii="Times New Roman" w:hAnsi="Times New Roman" w:cs="Times New Roman"/>
          <w:sz w:val="20"/>
          <w:szCs w:val="20"/>
        </w:rPr>
        <w:lastRenderedPageBreak/>
        <w:t xml:space="preserve">Any STS histology including but not limited to </w:t>
      </w:r>
      <w:proofErr w:type="spellStart"/>
      <w:r w:rsidRPr="0099368B">
        <w:rPr>
          <w:rFonts w:ascii="Times New Roman" w:hAnsi="Times New Roman" w:cs="Times New Roman"/>
          <w:sz w:val="20"/>
          <w:szCs w:val="20"/>
        </w:rPr>
        <w:t>angiosarcoma</w:t>
      </w:r>
      <w:proofErr w:type="spellEnd"/>
      <w:r w:rsidRPr="0099368B">
        <w:rPr>
          <w:rFonts w:ascii="Times New Roman" w:hAnsi="Times New Roman" w:cs="Times New Roman"/>
          <w:sz w:val="20"/>
          <w:szCs w:val="20"/>
        </w:rPr>
        <w:t xml:space="preserve">, leiomyosarcoma, liposarcoma, synovial sarcoma, rhabdomyosarcoma, epithelioid sarcoma. Also, any anatomical site </w:t>
      </w:r>
      <w:r w:rsidR="00842731" w:rsidRPr="0099368B">
        <w:rPr>
          <w:rFonts w:ascii="Times New Roman" w:hAnsi="Times New Roman" w:cs="Times New Roman"/>
          <w:sz w:val="20"/>
          <w:szCs w:val="20"/>
        </w:rPr>
        <w:t>was</w:t>
      </w:r>
      <w:r w:rsidRPr="0099368B">
        <w:rPr>
          <w:rFonts w:ascii="Times New Roman" w:hAnsi="Times New Roman" w:cs="Times New Roman"/>
          <w:sz w:val="20"/>
          <w:szCs w:val="20"/>
        </w:rPr>
        <w:t xml:space="preserve"> eligible.</w:t>
      </w:r>
    </w:p>
    <w:p w14:paraId="2C4514AD" w14:textId="41666FC4"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Any systemic treatment (chemotherapy, target, immunotherapy or cell therapy) of adva</w:t>
      </w:r>
      <w:r w:rsidR="009516F5">
        <w:rPr>
          <w:rFonts w:ascii="Times New Roman" w:hAnsi="Times New Roman" w:cs="Times New Roman"/>
          <w:sz w:val="20"/>
          <w:szCs w:val="20"/>
        </w:rPr>
        <w:t>nced or metastatic STS in first-</w:t>
      </w:r>
      <w:r w:rsidRPr="0099368B">
        <w:rPr>
          <w:rFonts w:ascii="Times New Roman" w:hAnsi="Times New Roman" w:cs="Times New Roman"/>
          <w:sz w:val="20"/>
          <w:szCs w:val="20"/>
        </w:rPr>
        <w:t>line or pre-treated setting.</w:t>
      </w:r>
    </w:p>
    <w:p w14:paraId="7136EBAA" w14:textId="77777777"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Publications in the period 1 January 2003 – 31 December 2018.</w:t>
      </w:r>
    </w:p>
    <w:p w14:paraId="62FBC926" w14:textId="52C27827"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 xml:space="preserve">The language of the published paper </w:t>
      </w:r>
      <w:r w:rsidR="00842731" w:rsidRPr="0099368B">
        <w:rPr>
          <w:rFonts w:ascii="Times New Roman" w:hAnsi="Times New Roman" w:cs="Times New Roman"/>
          <w:sz w:val="20"/>
          <w:szCs w:val="20"/>
        </w:rPr>
        <w:t>was</w:t>
      </w:r>
      <w:r w:rsidRPr="0099368B">
        <w:rPr>
          <w:rFonts w:ascii="Times New Roman" w:hAnsi="Times New Roman" w:cs="Times New Roman"/>
          <w:sz w:val="20"/>
          <w:szCs w:val="20"/>
        </w:rPr>
        <w:t xml:space="preserve"> English.</w:t>
      </w:r>
    </w:p>
    <w:p w14:paraId="46403D18" w14:textId="77777777" w:rsidR="000B0498" w:rsidRPr="0099368B" w:rsidRDefault="000B0498" w:rsidP="000B0498">
      <w:pPr>
        <w:rPr>
          <w:rFonts w:ascii="Times New Roman" w:hAnsi="Times New Roman" w:cs="Times New Roman"/>
          <w:sz w:val="20"/>
          <w:szCs w:val="20"/>
        </w:rPr>
      </w:pPr>
    </w:p>
    <w:p w14:paraId="29748DC6" w14:textId="77777777" w:rsidR="000B0498" w:rsidRPr="0099368B" w:rsidRDefault="000B0498" w:rsidP="000B0498">
      <w:pPr>
        <w:rPr>
          <w:rFonts w:ascii="Times New Roman" w:hAnsi="Times New Roman" w:cs="Times New Roman"/>
          <w:sz w:val="20"/>
          <w:szCs w:val="20"/>
        </w:rPr>
      </w:pPr>
      <w:r w:rsidRPr="0099368B">
        <w:rPr>
          <w:rFonts w:ascii="Times New Roman" w:hAnsi="Times New Roman" w:cs="Times New Roman"/>
          <w:b/>
          <w:sz w:val="20"/>
          <w:szCs w:val="20"/>
        </w:rPr>
        <w:t>Exclusion criteria</w:t>
      </w:r>
      <w:r w:rsidRPr="0099368B">
        <w:rPr>
          <w:rFonts w:ascii="Times New Roman" w:hAnsi="Times New Roman" w:cs="Times New Roman"/>
          <w:sz w:val="20"/>
          <w:szCs w:val="20"/>
        </w:rPr>
        <w:t>:</w:t>
      </w:r>
    </w:p>
    <w:p w14:paraId="776FA66A" w14:textId="25C80A76"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Paediatric population.</w:t>
      </w:r>
    </w:p>
    <w:p w14:paraId="11502746" w14:textId="6D490815"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 xml:space="preserve">Surgery or radiotherapy for localized disease, limb perfusion, electro chemotherapy, supportive care interventions. </w:t>
      </w:r>
    </w:p>
    <w:p w14:paraId="4AFF5829" w14:textId="33376571"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 xml:space="preserve">Articles dedicated exclusively to GIST, bone sarcomas or other types of cancer. Note that papers that study STS </w:t>
      </w:r>
      <w:r w:rsidRPr="0099368B">
        <w:rPr>
          <w:rFonts w:ascii="Times New Roman" w:hAnsi="Times New Roman" w:cs="Times New Roman"/>
          <w:b/>
          <w:bCs/>
          <w:sz w:val="20"/>
          <w:szCs w:val="20"/>
        </w:rPr>
        <w:t>and</w:t>
      </w:r>
      <w:r w:rsidRPr="0099368B">
        <w:rPr>
          <w:rFonts w:ascii="Times New Roman" w:hAnsi="Times New Roman" w:cs="Times New Roman"/>
          <w:sz w:val="20"/>
          <w:szCs w:val="20"/>
        </w:rPr>
        <w:t xml:space="preserve"> other cancers</w:t>
      </w:r>
      <w:r w:rsidR="00842731" w:rsidRPr="0099368B">
        <w:rPr>
          <w:rFonts w:ascii="Times New Roman" w:hAnsi="Times New Roman" w:cs="Times New Roman"/>
          <w:sz w:val="20"/>
          <w:szCs w:val="20"/>
        </w:rPr>
        <w:t xml:space="preserve"> were included</w:t>
      </w:r>
      <w:r w:rsidRPr="0099368B">
        <w:rPr>
          <w:rFonts w:ascii="Times New Roman" w:hAnsi="Times New Roman" w:cs="Times New Roman"/>
          <w:sz w:val="20"/>
          <w:szCs w:val="20"/>
        </w:rPr>
        <w:t xml:space="preserve"> (for example STS and bone sarcomas).</w:t>
      </w:r>
    </w:p>
    <w:p w14:paraId="40E5EB6B" w14:textId="77777777"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Early phase trials (Phase I, Phase I-II).</w:t>
      </w:r>
    </w:p>
    <w:p w14:paraId="4F854F7F" w14:textId="77777777"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Diagnostic or biomarker trials.</w:t>
      </w:r>
    </w:p>
    <w:p w14:paraId="48479CFE" w14:textId="6FE6CD53"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No clinical data/trial (e.g. review papers, position papers without clinical data).</w:t>
      </w:r>
    </w:p>
    <w:p w14:paraId="7E5E9EA7" w14:textId="77777777"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Retrospective clinical data.</w:t>
      </w:r>
    </w:p>
    <w:p w14:paraId="0EF95978" w14:textId="77777777" w:rsidR="000B0498" w:rsidRPr="0099368B" w:rsidRDefault="000B0498" w:rsidP="000B049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 xml:space="preserve">Sub-analysis or pooled analysis papers. </w:t>
      </w:r>
    </w:p>
    <w:p w14:paraId="315016D8" w14:textId="1583C3AF" w:rsidR="004A16AB" w:rsidRPr="0099368B" w:rsidRDefault="000B0498" w:rsidP="004A16AB">
      <w:pPr>
        <w:jc w:val="both"/>
        <w:rPr>
          <w:rFonts w:ascii="Times New Roman" w:hAnsi="Times New Roman" w:cs="Times New Roman"/>
          <w:sz w:val="20"/>
          <w:szCs w:val="20"/>
        </w:rPr>
      </w:pPr>
      <w:r w:rsidRPr="0099368B">
        <w:rPr>
          <w:rFonts w:ascii="Times New Roman" w:hAnsi="Times New Roman" w:cs="Times New Roman"/>
          <w:sz w:val="20"/>
          <w:szCs w:val="20"/>
        </w:rPr>
        <w:t xml:space="preserve">For the last criterion, </w:t>
      </w:r>
      <w:r w:rsidR="00842731" w:rsidRPr="0099368B">
        <w:rPr>
          <w:rFonts w:ascii="Times New Roman" w:hAnsi="Times New Roman" w:cs="Times New Roman"/>
          <w:sz w:val="20"/>
          <w:szCs w:val="20"/>
        </w:rPr>
        <w:t>it was</w:t>
      </w:r>
      <w:r w:rsidRPr="0099368B">
        <w:rPr>
          <w:rFonts w:ascii="Times New Roman" w:hAnsi="Times New Roman" w:cs="Times New Roman"/>
          <w:sz w:val="20"/>
          <w:szCs w:val="20"/>
        </w:rPr>
        <w:t xml:space="preserve"> examined if the main study (in case of a subgroup analysis) or the pooled studies (in case of a pooled analysis) were included in the search. If any study was </w:t>
      </w:r>
      <w:r w:rsidR="0040620C" w:rsidRPr="0099368B">
        <w:rPr>
          <w:rFonts w:ascii="Times New Roman" w:hAnsi="Times New Roman" w:cs="Times New Roman"/>
          <w:sz w:val="20"/>
          <w:szCs w:val="20"/>
        </w:rPr>
        <w:t>missing</w:t>
      </w:r>
      <w:r w:rsidRPr="0099368B">
        <w:rPr>
          <w:rFonts w:ascii="Times New Roman" w:hAnsi="Times New Roman" w:cs="Times New Roman"/>
          <w:sz w:val="20"/>
          <w:szCs w:val="20"/>
        </w:rPr>
        <w:t xml:space="preserve">, it was added manually. </w:t>
      </w:r>
    </w:p>
    <w:p w14:paraId="5E0D0CEB" w14:textId="7D615FF6" w:rsidR="004A16AB" w:rsidRPr="0099368B" w:rsidRDefault="004A16AB" w:rsidP="004A16AB">
      <w:pPr>
        <w:jc w:val="both"/>
        <w:rPr>
          <w:rFonts w:ascii="Times New Roman" w:hAnsi="Times New Roman" w:cs="Times New Roman"/>
          <w:b/>
          <w:sz w:val="20"/>
          <w:szCs w:val="20"/>
        </w:rPr>
      </w:pPr>
      <w:r w:rsidRPr="0099368B">
        <w:rPr>
          <w:rFonts w:ascii="Times New Roman" w:hAnsi="Times New Roman" w:cs="Times New Roman"/>
          <w:b/>
          <w:sz w:val="20"/>
          <w:szCs w:val="20"/>
        </w:rPr>
        <w:t>Results of step 1 (reported according to PRISMA guidelines</w:t>
      </w:r>
      <w:r w:rsidR="00826352">
        <w:rPr>
          <w:rFonts w:ascii="Times New Roman" w:hAnsi="Times New Roman" w:cs="Times New Roman"/>
          <w:b/>
          <w:sz w:val="20"/>
          <w:szCs w:val="20"/>
        </w:rPr>
        <w:t xml:space="preserve"> </w:t>
      </w:r>
      <w:r w:rsidR="00826352">
        <w:rPr>
          <w:rFonts w:ascii="Times New Roman" w:hAnsi="Times New Roman" w:cs="Times New Roman"/>
          <w:b/>
          <w:sz w:val="20"/>
          <w:szCs w:val="20"/>
        </w:rPr>
        <w:fldChar w:fldCharType="begin" w:fldLock="1"/>
      </w:r>
      <w:r w:rsidR="00826352">
        <w:rPr>
          <w:rFonts w:ascii="Times New Roman" w:hAnsi="Times New Roman" w:cs="Times New Roman"/>
          <w:b/>
          <w:sz w:val="20"/>
          <w:szCs w:val="20"/>
        </w:rPr>
        <w:instrText>ADDIN CSL_CITATION {"citationItems":[{"id":"ITEM-1","itemData":{"DOI":"10.1016/j.jclinepi.2009.06.006","ISBN":"2006062298","ISSN":"18785921","abstract":"Systematic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 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 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meta-analyses.","author":[{"dropping-particle":"","family":"Liberati","given":"Alessandro","non-dropping-particle":"","parse-names":false,"suffix":""},{"dropping-particle":"","family":"Altman","given":"Douglas G","non-dropping-particle":"","parse-names":false,"suffix":""},{"dropping-particle":"","family":"Tetzlaff","given":"Jennifer","non-dropping-particle":"","parse-names":false,"suffix":""},{"dropping-particle":"","family":"Mulrow","given":"Cynthia","non-dropping-particle":"","parse-names":false,"suffix":""},{"dropping-particle":"","family":"Gøtzsche","given":"Peter C","non-dropping-particle":"","parse-names":false,"suffix":""},{"dropping-particle":"","family":"Ioannidis","given":"John P A","non-dropping-particle":"","parse-names":false,"suffix":""},{"dropping-particle":"","family":"Clarke","given":"Mike","non-dropping-particle":"","parse-names":false,"suffix":""},{"dropping-particle":"","family":"Devereaux","given":"P J","non-dropping-particle":"","parse-names":false,"suffix":""},{"dropping-particle":"","family":"Kleijnen","given":"Jos","non-dropping-particle":"","parse-names":false,"suffix":""},{"dropping-particle":"","family":"Moher","given":"David","non-dropping-particle":"","parse-names":false,"suffix":""}],"container-title":"Journal of clinical epidemiology","id":"ITEM-1","issue":"10","issued":{"date-parts":[["2009"]]},"page":"e1--e34","title":"The PRISMA statement for reporting systematic reviews and meta-analyses of studies that evaluate health care interventions: explanation and elaboration","type":"article-journal","volume":"62"},"uris":["http://www.mendeley.com/documents/?uuid=694d8110-397d-4882-af5c-8ca643275e13"]}],"mendeley":{"formattedCitation":"[1]","plainTextFormattedCitation":"[1]","previouslyFormattedCitation":"[1]"},"properties":{"noteIndex":0},"schema":"https://github.com/citation-style-language/schema/raw/master/csl-citation.json"}</w:instrText>
      </w:r>
      <w:r w:rsidR="00826352">
        <w:rPr>
          <w:rFonts w:ascii="Times New Roman" w:hAnsi="Times New Roman" w:cs="Times New Roman"/>
          <w:b/>
          <w:sz w:val="20"/>
          <w:szCs w:val="20"/>
        </w:rPr>
        <w:fldChar w:fldCharType="separate"/>
      </w:r>
      <w:r w:rsidR="00826352" w:rsidRPr="00826352">
        <w:rPr>
          <w:rFonts w:ascii="Times New Roman" w:hAnsi="Times New Roman" w:cs="Times New Roman"/>
          <w:noProof/>
          <w:sz w:val="20"/>
          <w:szCs w:val="20"/>
        </w:rPr>
        <w:t>[1]</w:t>
      </w:r>
      <w:r w:rsidR="00826352">
        <w:rPr>
          <w:rFonts w:ascii="Times New Roman" w:hAnsi="Times New Roman" w:cs="Times New Roman"/>
          <w:b/>
          <w:sz w:val="20"/>
          <w:szCs w:val="20"/>
        </w:rPr>
        <w:fldChar w:fldCharType="end"/>
      </w:r>
      <w:r w:rsidRPr="0099368B">
        <w:rPr>
          <w:rFonts w:ascii="Times New Roman" w:hAnsi="Times New Roman" w:cs="Times New Roman"/>
          <w:b/>
          <w:sz w:val="20"/>
          <w:szCs w:val="20"/>
        </w:rPr>
        <w:t xml:space="preserve">): </w:t>
      </w:r>
    </w:p>
    <w:p w14:paraId="35B58EB4" w14:textId="59E963B7" w:rsidR="004A16AB" w:rsidRPr="0099368B" w:rsidRDefault="004A16AB" w:rsidP="004A16AB">
      <w:pPr>
        <w:jc w:val="both"/>
        <w:rPr>
          <w:rFonts w:ascii="Times New Roman" w:hAnsi="Times New Roman" w:cs="Times New Roman"/>
          <w:sz w:val="20"/>
          <w:szCs w:val="20"/>
        </w:rPr>
      </w:pPr>
      <w:r w:rsidRPr="0099368B">
        <w:rPr>
          <w:rFonts w:ascii="Times New Roman" w:hAnsi="Times New Roman" w:cs="Times New Roman"/>
          <w:sz w:val="20"/>
          <w:szCs w:val="20"/>
        </w:rPr>
        <w:t>According to this screening step, 165 / 745 papers were deemed</w:t>
      </w:r>
      <w:r w:rsidR="00EB37BE" w:rsidRPr="0099368B">
        <w:rPr>
          <w:rFonts w:ascii="Times New Roman" w:hAnsi="Times New Roman" w:cs="Times New Roman"/>
          <w:sz w:val="20"/>
          <w:szCs w:val="20"/>
        </w:rPr>
        <w:t xml:space="preserve"> potentially</w:t>
      </w:r>
      <w:r w:rsidRPr="0099368B">
        <w:rPr>
          <w:rFonts w:ascii="Times New Roman" w:hAnsi="Times New Roman" w:cs="Times New Roman"/>
          <w:sz w:val="20"/>
          <w:szCs w:val="20"/>
        </w:rPr>
        <w:t xml:space="preserve"> eligible. In addition, one extra paper was added manually by ad-hoc checking of sub</w:t>
      </w:r>
      <w:r w:rsidR="00135B10" w:rsidRPr="0099368B">
        <w:rPr>
          <w:rFonts w:ascii="Times New Roman" w:hAnsi="Times New Roman" w:cs="Times New Roman"/>
          <w:sz w:val="20"/>
          <w:szCs w:val="20"/>
        </w:rPr>
        <w:t>-</w:t>
      </w:r>
      <w:r w:rsidRPr="0099368B">
        <w:rPr>
          <w:rFonts w:ascii="Times New Roman" w:hAnsi="Times New Roman" w:cs="Times New Roman"/>
          <w:sz w:val="20"/>
          <w:szCs w:val="20"/>
        </w:rPr>
        <w:t>studies</w:t>
      </w:r>
      <w:r w:rsidR="00135B10" w:rsidRPr="0099368B">
        <w:rPr>
          <w:rFonts w:ascii="Times New Roman" w:hAnsi="Times New Roman" w:cs="Times New Roman"/>
          <w:sz w:val="20"/>
          <w:szCs w:val="20"/>
        </w:rPr>
        <w:t>,</w:t>
      </w:r>
      <w:r w:rsidRPr="0099368B">
        <w:rPr>
          <w:rFonts w:ascii="Times New Roman" w:hAnsi="Times New Roman" w:cs="Times New Roman"/>
          <w:sz w:val="20"/>
          <w:szCs w:val="20"/>
        </w:rPr>
        <w:t xml:space="preserve"> pooled analyses (themselves excluded). Thus, </w:t>
      </w:r>
      <w:r w:rsidRPr="0099368B">
        <w:rPr>
          <w:rFonts w:ascii="Times New Roman" w:hAnsi="Times New Roman" w:cs="Times New Roman"/>
          <w:b/>
          <w:sz w:val="20"/>
          <w:szCs w:val="20"/>
        </w:rPr>
        <w:t>166</w:t>
      </w:r>
      <w:r w:rsidRPr="0099368B">
        <w:rPr>
          <w:rFonts w:ascii="Times New Roman" w:hAnsi="Times New Roman" w:cs="Times New Roman"/>
          <w:sz w:val="20"/>
          <w:szCs w:val="20"/>
        </w:rPr>
        <w:t xml:space="preserve"> potentially eligible articles w</w:t>
      </w:r>
      <w:r w:rsidR="00135B10" w:rsidRPr="0099368B">
        <w:rPr>
          <w:rFonts w:ascii="Times New Roman" w:hAnsi="Times New Roman" w:cs="Times New Roman"/>
          <w:sz w:val="20"/>
          <w:szCs w:val="20"/>
        </w:rPr>
        <w:t>ere</w:t>
      </w:r>
      <w:r w:rsidRPr="0099368B">
        <w:rPr>
          <w:rFonts w:ascii="Times New Roman" w:hAnsi="Times New Roman" w:cs="Times New Roman"/>
          <w:sz w:val="20"/>
          <w:szCs w:val="20"/>
        </w:rPr>
        <w:t xml:space="preserve"> examined during the second screening step. </w:t>
      </w:r>
      <w:r w:rsidR="00EB37BE" w:rsidRPr="0099368B">
        <w:rPr>
          <w:rFonts w:ascii="Times New Roman" w:hAnsi="Times New Roman" w:cs="Times New Roman"/>
          <w:sz w:val="20"/>
          <w:szCs w:val="20"/>
        </w:rPr>
        <w:t>Subsequently, t</w:t>
      </w:r>
      <w:r w:rsidRPr="0099368B">
        <w:rPr>
          <w:rFonts w:ascii="Times New Roman" w:hAnsi="Times New Roman" w:cs="Times New Roman"/>
          <w:sz w:val="20"/>
          <w:szCs w:val="20"/>
        </w:rPr>
        <w:t xml:space="preserve">o perform the second screening step the full-text of the articles was retrieved from PubMed (by MV and GK) or by EORTC HQ communication group (in cases where the full-text was not accessible) - buying the papers from the journals published.  </w:t>
      </w:r>
    </w:p>
    <w:p w14:paraId="239A58F8" w14:textId="77777777" w:rsidR="000B0498" w:rsidRPr="0099368B" w:rsidRDefault="000B0498" w:rsidP="000B0498">
      <w:pPr>
        <w:jc w:val="both"/>
        <w:rPr>
          <w:rFonts w:ascii="Times New Roman" w:hAnsi="Times New Roman" w:cs="Times New Roman"/>
          <w:sz w:val="20"/>
          <w:szCs w:val="20"/>
        </w:rPr>
      </w:pPr>
    </w:p>
    <w:p w14:paraId="5485C779" w14:textId="366E84B8" w:rsidR="003274D8" w:rsidRPr="0099368B" w:rsidRDefault="003274D8" w:rsidP="003274D8">
      <w:pPr>
        <w:rPr>
          <w:rFonts w:ascii="Times New Roman" w:hAnsi="Times New Roman" w:cs="Times New Roman"/>
          <w:b/>
          <w:sz w:val="20"/>
          <w:szCs w:val="20"/>
        </w:rPr>
      </w:pPr>
      <w:r w:rsidRPr="0099368B">
        <w:rPr>
          <w:rFonts w:ascii="Times New Roman" w:hAnsi="Times New Roman" w:cs="Times New Roman"/>
          <w:b/>
          <w:sz w:val="20"/>
          <w:szCs w:val="20"/>
        </w:rPr>
        <w:t>Screening step 2 (abstract – with details, paper – without details)</w:t>
      </w:r>
    </w:p>
    <w:p w14:paraId="48E6687A" w14:textId="77777777" w:rsidR="00EB37BE" w:rsidRPr="0099368B" w:rsidRDefault="00EB37BE" w:rsidP="003274D8">
      <w:pPr>
        <w:rPr>
          <w:rFonts w:ascii="Times New Roman" w:hAnsi="Times New Roman" w:cs="Times New Roman"/>
          <w:b/>
          <w:sz w:val="20"/>
          <w:szCs w:val="20"/>
        </w:rPr>
      </w:pPr>
    </w:p>
    <w:p w14:paraId="2B424081" w14:textId="77777777" w:rsidR="003274D8" w:rsidRPr="0099368B" w:rsidRDefault="003274D8" w:rsidP="003274D8">
      <w:pPr>
        <w:rPr>
          <w:rFonts w:ascii="Times New Roman" w:hAnsi="Times New Roman" w:cs="Times New Roman"/>
          <w:sz w:val="20"/>
          <w:szCs w:val="20"/>
        </w:rPr>
      </w:pPr>
      <w:r w:rsidRPr="0099368B">
        <w:rPr>
          <w:rFonts w:ascii="Times New Roman" w:hAnsi="Times New Roman" w:cs="Times New Roman"/>
          <w:b/>
          <w:sz w:val="20"/>
          <w:szCs w:val="20"/>
        </w:rPr>
        <w:t>Inclusion criteria</w:t>
      </w:r>
      <w:r w:rsidRPr="0099368B">
        <w:rPr>
          <w:rFonts w:ascii="Times New Roman" w:hAnsi="Times New Roman" w:cs="Times New Roman"/>
          <w:sz w:val="20"/>
          <w:szCs w:val="20"/>
        </w:rPr>
        <w:t xml:space="preserve">: </w:t>
      </w:r>
    </w:p>
    <w:p w14:paraId="5A3C003B" w14:textId="69A33D2B" w:rsidR="003274D8" w:rsidRPr="0099368B" w:rsidRDefault="003274D8" w:rsidP="003274D8">
      <w:pPr>
        <w:rPr>
          <w:rFonts w:ascii="Times New Roman" w:hAnsi="Times New Roman" w:cs="Times New Roman"/>
          <w:sz w:val="20"/>
          <w:szCs w:val="20"/>
        </w:rPr>
      </w:pPr>
      <w:r w:rsidRPr="0099368B">
        <w:rPr>
          <w:rFonts w:ascii="Times New Roman" w:hAnsi="Times New Roman" w:cs="Times New Roman"/>
          <w:sz w:val="20"/>
          <w:szCs w:val="20"/>
        </w:rPr>
        <w:t>The criteria of inclusion w</w:t>
      </w:r>
      <w:r w:rsidR="00135B10" w:rsidRPr="0099368B">
        <w:rPr>
          <w:rFonts w:ascii="Times New Roman" w:hAnsi="Times New Roman" w:cs="Times New Roman"/>
          <w:sz w:val="20"/>
          <w:szCs w:val="20"/>
        </w:rPr>
        <w:t>ere</w:t>
      </w:r>
      <w:r w:rsidRPr="0099368B">
        <w:rPr>
          <w:rFonts w:ascii="Times New Roman" w:hAnsi="Times New Roman" w:cs="Times New Roman"/>
          <w:sz w:val="20"/>
          <w:szCs w:val="20"/>
        </w:rPr>
        <w:t xml:space="preserve"> the same with the first screening phase.</w:t>
      </w:r>
    </w:p>
    <w:p w14:paraId="4AE1AC8D" w14:textId="77777777" w:rsidR="003274D8" w:rsidRPr="0099368B" w:rsidRDefault="003274D8" w:rsidP="003274D8">
      <w:pPr>
        <w:rPr>
          <w:rFonts w:ascii="Times New Roman" w:hAnsi="Times New Roman" w:cs="Times New Roman"/>
          <w:sz w:val="20"/>
          <w:szCs w:val="20"/>
        </w:rPr>
      </w:pPr>
      <w:r w:rsidRPr="0099368B">
        <w:rPr>
          <w:rFonts w:ascii="Times New Roman" w:hAnsi="Times New Roman" w:cs="Times New Roman"/>
          <w:b/>
          <w:sz w:val="20"/>
          <w:szCs w:val="20"/>
        </w:rPr>
        <w:t>Exclusion criteria</w:t>
      </w:r>
      <w:r w:rsidRPr="0099368B">
        <w:rPr>
          <w:rFonts w:ascii="Times New Roman" w:hAnsi="Times New Roman" w:cs="Times New Roman"/>
          <w:sz w:val="20"/>
          <w:szCs w:val="20"/>
        </w:rPr>
        <w:t>:</w:t>
      </w:r>
    </w:p>
    <w:p w14:paraId="4EA58440" w14:textId="2BAD6EC7" w:rsidR="003274D8" w:rsidRPr="0099368B" w:rsidRDefault="003274D8" w:rsidP="003274D8">
      <w:pPr>
        <w:rPr>
          <w:rFonts w:ascii="Times New Roman" w:hAnsi="Times New Roman" w:cs="Times New Roman"/>
          <w:sz w:val="20"/>
          <w:szCs w:val="20"/>
        </w:rPr>
      </w:pPr>
      <w:r w:rsidRPr="0099368B">
        <w:rPr>
          <w:rFonts w:ascii="Times New Roman" w:hAnsi="Times New Roman" w:cs="Times New Roman"/>
          <w:sz w:val="20"/>
          <w:szCs w:val="20"/>
        </w:rPr>
        <w:t xml:space="preserve">The additional exclusion criterion here </w:t>
      </w:r>
      <w:r w:rsidR="00135B10" w:rsidRPr="0099368B">
        <w:rPr>
          <w:rFonts w:ascii="Times New Roman" w:hAnsi="Times New Roman" w:cs="Times New Roman"/>
          <w:sz w:val="20"/>
          <w:szCs w:val="20"/>
        </w:rPr>
        <w:t>was</w:t>
      </w:r>
      <w:r w:rsidRPr="0099368B">
        <w:rPr>
          <w:rFonts w:ascii="Times New Roman" w:hAnsi="Times New Roman" w:cs="Times New Roman"/>
          <w:sz w:val="20"/>
          <w:szCs w:val="20"/>
        </w:rPr>
        <w:t>:</w:t>
      </w:r>
    </w:p>
    <w:p w14:paraId="3ECF5BB9" w14:textId="77777777" w:rsidR="003274D8" w:rsidRPr="0099368B" w:rsidRDefault="003274D8" w:rsidP="003274D8">
      <w:pPr>
        <w:rPr>
          <w:rFonts w:ascii="Times New Roman" w:hAnsi="Times New Roman" w:cs="Times New Roman"/>
          <w:sz w:val="20"/>
          <w:szCs w:val="20"/>
        </w:rPr>
      </w:pPr>
      <w:r w:rsidRPr="0099368B">
        <w:rPr>
          <w:rFonts w:ascii="Times New Roman" w:hAnsi="Times New Roman" w:cs="Times New Roman"/>
          <w:sz w:val="20"/>
          <w:szCs w:val="20"/>
        </w:rPr>
        <w:t xml:space="preserve">Papers of studies that </w:t>
      </w:r>
    </w:p>
    <w:p w14:paraId="33FEA532" w14:textId="4C828B24" w:rsidR="003274D8" w:rsidRPr="0099368B" w:rsidRDefault="003274D8" w:rsidP="003274D8">
      <w:pPr>
        <w:numPr>
          <w:ilvl w:val="0"/>
          <w:numId w:val="4"/>
        </w:numPr>
        <w:rPr>
          <w:rFonts w:ascii="Times New Roman" w:hAnsi="Times New Roman" w:cs="Times New Roman"/>
          <w:sz w:val="20"/>
          <w:szCs w:val="20"/>
        </w:rPr>
      </w:pPr>
      <w:r w:rsidRPr="0099368B">
        <w:rPr>
          <w:rFonts w:ascii="Times New Roman" w:hAnsi="Times New Roman" w:cs="Times New Roman"/>
          <w:sz w:val="20"/>
          <w:szCs w:val="20"/>
        </w:rPr>
        <w:t xml:space="preserve">Include other types of cancers than STS </w:t>
      </w:r>
      <w:r w:rsidRPr="0099368B">
        <w:rPr>
          <w:rFonts w:ascii="Times New Roman" w:hAnsi="Times New Roman" w:cs="Times New Roman"/>
          <w:b/>
          <w:bCs/>
          <w:sz w:val="20"/>
          <w:szCs w:val="20"/>
        </w:rPr>
        <w:t>and</w:t>
      </w:r>
      <w:r w:rsidRPr="0099368B">
        <w:rPr>
          <w:rFonts w:ascii="Times New Roman" w:hAnsi="Times New Roman" w:cs="Times New Roman"/>
          <w:sz w:val="20"/>
          <w:szCs w:val="20"/>
        </w:rPr>
        <w:t xml:space="preserve"> in which STS </w:t>
      </w:r>
      <w:r w:rsidR="00135B10" w:rsidRPr="0099368B">
        <w:rPr>
          <w:rFonts w:ascii="Times New Roman" w:hAnsi="Times New Roman" w:cs="Times New Roman"/>
          <w:sz w:val="20"/>
          <w:szCs w:val="20"/>
        </w:rPr>
        <w:t>were</w:t>
      </w:r>
      <w:r w:rsidRPr="0099368B">
        <w:rPr>
          <w:rFonts w:ascii="Times New Roman" w:hAnsi="Times New Roman" w:cs="Times New Roman"/>
          <w:sz w:val="20"/>
          <w:szCs w:val="20"/>
        </w:rPr>
        <w:t xml:space="preserve"> not analysed separately (pooled analysis for all types of cancer).</w:t>
      </w:r>
    </w:p>
    <w:p w14:paraId="4852B6D2" w14:textId="283C6411" w:rsidR="00E87436" w:rsidRPr="0099368B" w:rsidRDefault="00E87436" w:rsidP="00F62E30">
      <w:pPr>
        <w:rPr>
          <w:rFonts w:ascii="Times New Roman" w:hAnsi="Times New Roman" w:cs="Times New Roman"/>
          <w:sz w:val="20"/>
          <w:szCs w:val="20"/>
        </w:rPr>
      </w:pPr>
    </w:p>
    <w:p w14:paraId="11D0E0E4" w14:textId="677BDF51" w:rsidR="00923D65" w:rsidRPr="0099368B" w:rsidRDefault="00923D65" w:rsidP="00923D65">
      <w:pPr>
        <w:jc w:val="both"/>
        <w:rPr>
          <w:rFonts w:ascii="Times New Roman" w:hAnsi="Times New Roman" w:cs="Times New Roman"/>
          <w:b/>
          <w:sz w:val="20"/>
          <w:szCs w:val="20"/>
        </w:rPr>
      </w:pPr>
      <w:r w:rsidRPr="0099368B">
        <w:rPr>
          <w:rFonts w:ascii="Times New Roman" w:hAnsi="Times New Roman" w:cs="Times New Roman"/>
          <w:b/>
          <w:sz w:val="20"/>
          <w:szCs w:val="20"/>
        </w:rPr>
        <w:lastRenderedPageBreak/>
        <w:t xml:space="preserve">Results of step 2: </w:t>
      </w:r>
    </w:p>
    <w:p w14:paraId="46E19309" w14:textId="2BA07A71" w:rsidR="00090CE9" w:rsidRPr="0099368B" w:rsidRDefault="003545DA" w:rsidP="00090CE9">
      <w:pPr>
        <w:rPr>
          <w:rFonts w:ascii="Times New Roman" w:hAnsi="Times New Roman" w:cs="Times New Roman"/>
          <w:sz w:val="20"/>
          <w:szCs w:val="20"/>
        </w:rPr>
      </w:pPr>
      <w:r w:rsidRPr="0099368B">
        <w:rPr>
          <w:rFonts w:ascii="Times New Roman" w:hAnsi="Times New Roman" w:cs="Times New Roman"/>
          <w:sz w:val="20"/>
          <w:szCs w:val="20"/>
          <w:lang w:val="en-US"/>
        </w:rPr>
        <w:t>Seven papers were removed based on the additional exclusion criterion leading to 159 clinical trials in total.</w:t>
      </w:r>
    </w:p>
    <w:p w14:paraId="53D735A7" w14:textId="02321A2B" w:rsidR="00D1692D" w:rsidRPr="0099368B" w:rsidRDefault="00D1692D" w:rsidP="00D1692D">
      <w:pPr>
        <w:rPr>
          <w:rFonts w:ascii="Times New Roman" w:hAnsi="Times New Roman" w:cs="Times New Roman"/>
          <w:sz w:val="20"/>
          <w:szCs w:val="20"/>
        </w:rPr>
      </w:pPr>
    </w:p>
    <w:p w14:paraId="6EF0FB34" w14:textId="00ADF726" w:rsidR="00B87680" w:rsidRDefault="000970EC" w:rsidP="00D1692D">
      <w:pPr>
        <w:pStyle w:val="Heading1"/>
        <w:rPr>
          <w:rStyle w:val="Hyperlink"/>
          <w:rFonts w:cs="Times New Roman"/>
          <w:color w:val="171717" w:themeColor="background2" w:themeShade="1A"/>
          <w:sz w:val="20"/>
          <w:szCs w:val="20"/>
          <w:u w:val="none"/>
        </w:rPr>
      </w:pPr>
      <w:bookmarkStart w:id="2" w:name="_Hlk61440019"/>
      <w:bookmarkStart w:id="3" w:name="_Toc97281435"/>
      <w:r w:rsidRPr="0099368B">
        <w:rPr>
          <w:rStyle w:val="Hyperlink"/>
          <w:rFonts w:cs="Times New Roman"/>
          <w:color w:val="171717" w:themeColor="background2" w:themeShade="1A"/>
          <w:sz w:val="20"/>
          <w:szCs w:val="20"/>
          <w:u w:val="none"/>
        </w:rPr>
        <w:t>Details about the</w:t>
      </w:r>
      <w:r w:rsidR="009A38A9" w:rsidRPr="0099368B">
        <w:rPr>
          <w:rStyle w:val="Hyperlink"/>
          <w:rFonts w:cs="Times New Roman"/>
          <w:color w:val="171717" w:themeColor="background2" w:themeShade="1A"/>
          <w:sz w:val="20"/>
          <w:szCs w:val="20"/>
          <w:u w:val="none"/>
        </w:rPr>
        <w:t xml:space="preserve"> </w:t>
      </w:r>
      <w:r w:rsidR="00CA29FA">
        <w:rPr>
          <w:rStyle w:val="Hyperlink"/>
          <w:rFonts w:cs="Times New Roman"/>
          <w:color w:val="171717" w:themeColor="background2" w:themeShade="1A"/>
          <w:sz w:val="20"/>
          <w:szCs w:val="20"/>
          <w:u w:val="none"/>
        </w:rPr>
        <w:t>liposarcoma (LPS) and the synovial sarcoma (SS)</w:t>
      </w:r>
      <w:r w:rsidRPr="0099368B">
        <w:rPr>
          <w:rStyle w:val="Hyperlink"/>
          <w:rFonts w:cs="Times New Roman"/>
          <w:color w:val="171717" w:themeColor="background2" w:themeShade="1A"/>
          <w:sz w:val="20"/>
          <w:szCs w:val="20"/>
          <w:u w:val="none"/>
        </w:rPr>
        <w:t xml:space="preserve"> meta-analys</w:t>
      </w:r>
      <w:bookmarkEnd w:id="2"/>
      <w:r w:rsidR="00CA29FA">
        <w:rPr>
          <w:rStyle w:val="Hyperlink"/>
          <w:rFonts w:cs="Times New Roman"/>
          <w:color w:val="171717" w:themeColor="background2" w:themeShade="1A"/>
          <w:sz w:val="20"/>
          <w:szCs w:val="20"/>
          <w:u w:val="none"/>
        </w:rPr>
        <w:t>es</w:t>
      </w:r>
      <w:bookmarkEnd w:id="3"/>
    </w:p>
    <w:p w14:paraId="2CEF11D2" w14:textId="77777777" w:rsidR="0000797A" w:rsidRPr="0000797A" w:rsidRDefault="0000797A" w:rsidP="0000797A"/>
    <w:p w14:paraId="1CB0E4C4" w14:textId="484E11D3" w:rsidR="00001877" w:rsidRPr="00001877" w:rsidRDefault="00B87680" w:rsidP="00001877">
      <w:pPr>
        <w:keepNext/>
        <w:numPr>
          <w:ilvl w:val="1"/>
          <w:numId w:val="3"/>
        </w:numPr>
        <w:tabs>
          <w:tab w:val="num" w:pos="851"/>
        </w:tabs>
        <w:spacing w:before="120" w:after="120" w:line="240" w:lineRule="auto"/>
        <w:ind w:left="851" w:hanging="851"/>
        <w:outlineLvl w:val="1"/>
        <w:rPr>
          <w:rFonts w:ascii="Times New Roman" w:eastAsia="Times New Roman" w:hAnsi="Times New Roman" w:cs="Times New Roman"/>
          <w:b/>
          <w:sz w:val="20"/>
          <w:szCs w:val="20"/>
          <w:lang w:val="en-US"/>
        </w:rPr>
      </w:pPr>
      <w:bookmarkStart w:id="4" w:name="_Toc97281436"/>
      <w:r w:rsidRPr="0099368B">
        <w:rPr>
          <w:rFonts w:ascii="Times New Roman" w:eastAsia="Times New Roman" w:hAnsi="Times New Roman" w:cs="Times New Roman"/>
          <w:b/>
          <w:sz w:val="20"/>
          <w:szCs w:val="20"/>
          <w:lang w:val="en-US"/>
        </w:rPr>
        <w:t>Study characteristics</w:t>
      </w:r>
      <w:bookmarkEnd w:id="4"/>
    </w:p>
    <w:p w14:paraId="7664669E" w14:textId="795D5F8C" w:rsidR="00B05D3D" w:rsidRPr="0099368B" w:rsidRDefault="00B05D3D" w:rsidP="00B05D3D">
      <w:pPr>
        <w:pStyle w:val="Heading3"/>
        <w:rPr>
          <w:rFonts w:ascii="Times New Roman" w:eastAsia="Times New Roman" w:hAnsi="Times New Roman" w:cs="Times New Roman"/>
          <w:b/>
          <w:color w:val="auto"/>
          <w:sz w:val="20"/>
          <w:szCs w:val="20"/>
          <w:lang w:val="en-US"/>
        </w:rPr>
      </w:pPr>
      <w:bookmarkStart w:id="5" w:name="_Toc61094196"/>
      <w:bookmarkStart w:id="6" w:name="_Toc97281437"/>
      <w:bookmarkStart w:id="7" w:name="_Hlk61437396"/>
      <w:r w:rsidRPr="0099368B">
        <w:rPr>
          <w:rFonts w:ascii="Times New Roman" w:eastAsia="Times New Roman" w:hAnsi="Times New Roman" w:cs="Times New Roman"/>
          <w:b/>
          <w:color w:val="auto"/>
          <w:sz w:val="20"/>
          <w:szCs w:val="20"/>
          <w:lang w:val="en-US"/>
        </w:rPr>
        <w:t>Stud</w:t>
      </w:r>
      <w:bookmarkEnd w:id="5"/>
      <w:r w:rsidR="00CA29FA">
        <w:rPr>
          <w:rFonts w:ascii="Times New Roman" w:eastAsia="Times New Roman" w:hAnsi="Times New Roman" w:cs="Times New Roman"/>
          <w:b/>
          <w:color w:val="auto"/>
          <w:sz w:val="20"/>
          <w:szCs w:val="20"/>
          <w:lang w:val="en-US"/>
        </w:rPr>
        <w:t>ies for LPS</w:t>
      </w:r>
      <w:r w:rsidRPr="0099368B">
        <w:rPr>
          <w:rFonts w:ascii="Times New Roman" w:eastAsia="Times New Roman" w:hAnsi="Times New Roman" w:cs="Times New Roman"/>
          <w:b/>
          <w:color w:val="auto"/>
          <w:sz w:val="20"/>
          <w:szCs w:val="20"/>
          <w:lang w:val="en-US"/>
        </w:rPr>
        <w:t xml:space="preserve"> meta-analyses</w:t>
      </w:r>
      <w:bookmarkEnd w:id="6"/>
    </w:p>
    <w:p w14:paraId="424026C7" w14:textId="6C2B5113"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 xml:space="preserve">In this subsection we provide descriptive statistics regarding the </w:t>
      </w:r>
      <w:r w:rsidRPr="001B288F">
        <w:rPr>
          <w:rFonts w:ascii="Times New Roman" w:hAnsi="Times New Roman" w:cs="Times New Roman"/>
          <w:b/>
          <w:bCs/>
          <w:sz w:val="20"/>
          <w:szCs w:val="20"/>
        </w:rPr>
        <w:t>25 trials</w:t>
      </w:r>
      <w:r w:rsidRPr="001B288F">
        <w:rPr>
          <w:rFonts w:ascii="Times New Roman" w:hAnsi="Times New Roman" w:cs="Times New Roman"/>
          <w:sz w:val="20"/>
          <w:szCs w:val="20"/>
        </w:rPr>
        <w:t xml:space="preserve"> with LPS (PFS estimates at 3-6 months could not be retrieved for 10/35 trials) included in the meta-analysis, and the corresponding </w:t>
      </w:r>
      <w:r w:rsidRPr="001B288F">
        <w:rPr>
          <w:rFonts w:ascii="Times New Roman" w:hAnsi="Times New Roman" w:cs="Times New Roman"/>
          <w:b/>
          <w:bCs/>
          <w:sz w:val="20"/>
          <w:szCs w:val="20"/>
        </w:rPr>
        <w:t xml:space="preserve">34 rows </w:t>
      </w:r>
      <w:r w:rsidRPr="001B288F">
        <w:rPr>
          <w:rFonts w:ascii="Times New Roman" w:hAnsi="Times New Roman" w:cs="Times New Roman"/>
          <w:sz w:val="20"/>
          <w:szCs w:val="20"/>
        </w:rPr>
        <w:t xml:space="preserve">(one row per treatment arm and line) of the long-transformed version of the database. For instance, the phase II trial of </w:t>
      </w:r>
      <w:proofErr w:type="spellStart"/>
      <w:r w:rsidRPr="001B288F">
        <w:rPr>
          <w:rFonts w:ascii="Times New Roman" w:hAnsi="Times New Roman" w:cs="Times New Roman"/>
          <w:sz w:val="20"/>
          <w:szCs w:val="20"/>
        </w:rPr>
        <w:t>Maurel</w:t>
      </w:r>
      <w:proofErr w:type="spellEnd"/>
      <w:r w:rsidRPr="001B288F">
        <w:rPr>
          <w:rFonts w:ascii="Times New Roman" w:hAnsi="Times New Roman" w:cs="Times New Roman"/>
          <w:sz w:val="20"/>
          <w:szCs w:val="20"/>
        </w:rPr>
        <w:t xml:space="preserve"> et al. (2009) </w:t>
      </w:r>
      <w:r w:rsidRPr="001B288F">
        <w:rPr>
          <w:rFonts w:ascii="Times New Roman" w:hAnsi="Times New Roman" w:cs="Times New Roman"/>
          <w:sz w:val="20"/>
          <w:szCs w:val="20"/>
        </w:rPr>
        <w:fldChar w:fldCharType="begin" w:fldLock="1"/>
      </w:r>
      <w:r w:rsidR="00826352">
        <w:rPr>
          <w:rFonts w:ascii="Times New Roman" w:hAnsi="Times New Roman" w:cs="Times New Roman"/>
          <w:sz w:val="20"/>
          <w:szCs w:val="20"/>
        </w:rPr>
        <w:instrText>ADDIN CSL_CITATION {"citationItems":[{"id":"ITEM-1","itemData":{"DOI":"10.1200/JCO.2008.19.2930","ISSN":"0732183X","PMID":"19273704","abstract":"Purpose To assess the progression-free survival (PFS) and antitumor response to standard-dose doxorubicin compared with sequential dose-dense doxorubicin and ifosfamide in first-line treatment of advanced soft tissue sarcoma. Patients and Methods Patients with measurable advanced soft tissue sarcoma, Eastern Cooperative Oncology Group (ECOG) performance status (PS) &lt; 2, between the ages 18 and 65 years, and with adequate bone marrow, liver, and renal function were entered in the study. The stratifications were: ECOG PS (0 v 1), location of metastases, and potentially resectable disease. Patients were randomly assigned to either doxorubicin 75 mg/m2 given as a bolus injection every 3 weeks for 6 cycles (arm A) or doxorubicin at 30 mg/m 2 per day for 3 consecutive days once every 2 weeks for 3 cycles followed by ifosfamide at 12.5 g/m2 delivered by continuous infusion over 5 days once every 3 weeks for 3 cycles with filgastrim or pegfilgastrim support (arm B). Results Between December 2003 and September 2007, 132 patients were entered onto the study. Febrile neutropenia, asthenia, and mucositis were more frequent in the arm B. The interim preplanned analysis for futility allowed the premature closure. Objective responses were observed in 23.4% of assessable patients in arm A and 24.1% in arm B. PFS was 26 weeks in the arm A and 24 weeks in arm B (P = .88). Overall survival did not differ between the two therapeutic arms (P = .14). Conclusion Single-agent doxorubicin remains the standard treatment in fit patients with advanced soft tissue sarcoma. © 2009 by American Society of Clinical Oncology.","author":[{"dropping-particle":"","family":"Maurel","given":"Joan","non-dropping-particle":"","parse-names":false,"suffix":""},{"dropping-particle":"","family":"López-Pousa","given":"Antonio","non-dropping-particle":"","parse-names":false,"suffix":""},{"dropping-particle":"","family":"Las Peñas","given":"Ramón","non-dropping-particle":"De","parse-names":false,"suffix":""},{"dropping-particle":"","family":"Fra","given":"Joaquín","non-dropping-particle":"","parse-names":false,"suffix":""},{"dropping-particle":"","family":"Martín","given":"Javier","non-dropping-particle":"","parse-names":false,"suffix":""},{"dropping-particle":"","family":"Cruz","given":"Josefina","non-dropping-particle":"","parse-names":false,"suffix":""},{"dropping-particle":"","family":"Casado","given":"Antonio","non-dropping-particle":"","parse-names":false,"suffix":""},{"dropping-particle":"","family":"Poveda","given":"Andrós","non-dropping-particle":"","parse-names":false,"suffix":""},{"dropping-particle":"","family":"Martínez-Trufero","given":"Javier","non-dropping-particle":"","parse-names":false,"suffix":""},{"dropping-particle":"","family":"Balañá","given":"Carmen","non-dropping-particle":"","parse-names":false,"suffix":""},{"dropping-particle":"","family":"Gómez","given":"María Auxiliadora","non-dropping-particle":"","parse-names":false,"suffix":""},{"dropping-particle":"","family":"Cubedo","given":"Ricardo","non-dropping-particle":"","parse-names":false,"suffix":""},{"dropping-particle":"","family":"Gallego","given":"Oscar","non-dropping-particle":"","parse-names":false,"suffix":""},{"dropping-particle":"","family":"Rubio-Viqueira","given":"Belen","non-dropping-particle":"","parse-names":false,"suffix":""},{"dropping-particle":"","family":"Rubió","given":"Jordi","non-dropping-particle":"","parse-names":false,"suffix":""},{"dropping-particle":"","family":"Andrós","given":"Raquel","non-dropping-particle":"","parse-names":false,"suffix":""},{"dropping-particle":"","family":"Sevilla","given":"Isabel","non-dropping-particle":"","parse-names":false,"suffix":""},{"dropping-particle":"","family":"La Cruz","given":"Juan Jose","non-dropping-particle":"De","parse-names":false,"suffix":""},{"dropping-particle":"","family":"Muro","given":"Xavier García","non-dropping-particle":"Del","parse-names":false,"suffix":""},{"dropping-particle":"","family":"Buesa","given":"Jose María","non-dropping-particle":"","parse-names":false,"suffix":""}],"container-title":"Journal of Clinical Oncology","id":"ITEM-1","issue":"11","issued":{"date-parts":[["2009"]]},"page":"1893-1898","title":"Efficacy of sequential high-dose doxorubicin and ifosfamide compared with standard-dose doxorubicin in patients with advanced soft tissue sarcoma: An open-label randomized phase II study of the Spanish group for research on sarcomas","type":"article-journal","volume":"27"},"uris":["http://www.mendeley.com/documents/?uuid=ad84bd22-a935-4334-b35a-ac48bd4efc26"]}],"mendeley":{"formattedCitation":"[2]","plainTextFormattedCitation":"[2]","previouslyFormattedCitation":"[2]"},"properties":{"noteIndex":0},"schema":"https://github.com/citation-style-language/schema/raw/master/csl-citation.json"}</w:instrText>
      </w:r>
      <w:r w:rsidRPr="001B288F">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[2]</w:t>
      </w:r>
      <w:r w:rsidRPr="001B288F">
        <w:rPr>
          <w:rFonts w:ascii="Times New Roman" w:hAnsi="Times New Roman" w:cs="Times New Roman"/>
          <w:sz w:val="20"/>
          <w:szCs w:val="20"/>
        </w:rPr>
        <w:fldChar w:fldCharType="end"/>
      </w:r>
      <w:r w:rsidRPr="001B288F">
        <w:rPr>
          <w:rFonts w:ascii="Times New Roman" w:hAnsi="Times New Roman" w:cs="Times New Roman"/>
          <w:sz w:val="20"/>
          <w:szCs w:val="20"/>
        </w:rPr>
        <w:t xml:space="preserve"> included 2 treatment arms either doxorubicin monotherapy or doxorubicin in combination with Ifosfamide corresponding to 2 rows of the excel datab</w:t>
      </w:r>
      <w:r w:rsidR="009516F5">
        <w:rPr>
          <w:rFonts w:ascii="Times New Roman" w:hAnsi="Times New Roman" w:cs="Times New Roman"/>
          <w:sz w:val="20"/>
          <w:szCs w:val="20"/>
        </w:rPr>
        <w:t>ase (both regarding first-</w:t>
      </w:r>
      <w:r w:rsidRPr="001B288F">
        <w:rPr>
          <w:rFonts w:ascii="Times New Roman" w:hAnsi="Times New Roman" w:cs="Times New Roman"/>
          <w:sz w:val="20"/>
          <w:szCs w:val="20"/>
        </w:rPr>
        <w:t xml:space="preserve">line treatment). Note that the Bui-Nguyen study </w:t>
      </w:r>
      <w:r w:rsidRPr="001B288F">
        <w:rPr>
          <w:rFonts w:ascii="Times New Roman" w:hAnsi="Times New Roman" w:cs="Times New Roman"/>
          <w:sz w:val="20"/>
          <w:szCs w:val="20"/>
        </w:rPr>
        <w:fldChar w:fldCharType="begin" w:fldLock="1"/>
      </w:r>
      <w:r w:rsidR="00826352">
        <w:rPr>
          <w:rFonts w:ascii="Times New Roman" w:hAnsi="Times New Roman" w:cs="Times New Roman"/>
          <w:sz w:val="20"/>
          <w:szCs w:val="20"/>
        </w:rPr>
        <w:instrText>ADDIN CSL_CITATION {"citationItems":[{"id":"ITEM-1","itemData":{"DOI":"10.1016/j.ejca.2015.03.023","ISSN":"18790852","PMID":"25912752","abstract":"Purpose To evaluate whether trabectedin as first-line chemotherapy for advanced/metastatic soft tissue sarcoma prolongs progression-free survival (PFS), compared to doxorubicin and, in the phase IIb part here, to select the most appropriate trabectedin treatment schedule (3-hour or 24-hour infusion) in terms of safety, convenience and efficacy. Patients and methods In this randomised multicentre prospective dose-selection phase IIb superiority trial, 133 patients were randomised between doxorubicin (n = 43), trabectedin (3-hour infusion, T3h) (n = 47) and trabectedin (24-hour infusion, T24h) (n = 43). PFS was defined as time from random assignment until objective progression by response evaluation criteria in solid tumours (RECIST 1.1), a global deterioration of the health status requiring discontinuation of the treatment, or death from any cause. Results The study was terminated due to lack of superiority in both trabectedin treatment arms as compared to the doxorubicin control arm. Median PFS was 2.8 months in the T3h arm, 3.1 months in the T24h arm and 5.5 months in the doxorubicin arm. No significant improvements in PFS were observed in the trabectedin arms as compared to the doxorubicin arm (T24h versus doxorubicin: hazard ratio (HR) 1.13, 95% confidence interval (CI) 0.67-1.90, P =.675; T3h versus doxorubicin: HR 1.50, 95% CI 0.91-2.48, P =.944). Only one toxic death occurred in the T3h arm, but treatment had to be stopped due to toxicity in 7 (15.2%) (T3h), 8 (19.5%) (T24h) and 1 (2.5%) doxorubicin patients. Conclusion Doxorubicin continues to be the standard treatment in eligible patients with advanced/metastatic soft-tissue sarcoma (STS). Trabectedin 1.5 mg/m&lt;sup&gt;2&lt;/sup&gt;/24-hour infusion is the overall proven approach to delivering this agent in the second-line setting for patients with advanced or metastatic STS.","author":[{"dropping-particle":"","family":"Bui-Nguyen","given":"B.","non-dropping-particle":"","parse-names":false,"suffix":""},{"dropping-particle":"","family":"Butrynski","given":"J. E.","non-dropping-particle":"","parse-names":false,"suffix":""},{"dropping-particle":"","family":"Penel","given":"N.","non-dropping-particle":"","parse-names":false,"suffix":""},{"dropping-particle":"","family":"Blay","given":"J. Y.","non-dropping-particle":"","parse-names":false,"suffix":""},{"dropping-particle":"","family":"Isambert","given":"N.","non-dropping-particle":"","parse-names":false,"suffix":""},{"dropping-particle":"","family":"Milhem","given":"M.","non-dropping-particle":"","parse-names":false,"suffix":""},{"dropping-particle":"","family":"Kerst","given":"J. M.","non-dropping-particle":"","parse-names":false,"suffix":""},{"dropping-particle":"","family":"Reyners","given":"A. K.L.","non-dropping-particle":"","parse-names":false,"suffix":""},{"dropping-particle":"","family":"Litière","given":"S.","non-dropping-particle":"","parse-names":false,"suffix":""},{"dropping-particle":"","family":"Marréaud","given":"S.","non-dropping-particle":"","parse-names":false,"suffix":""},{"dropping-particle":"","family":"Collin","given":"F.","non-dropping-particle":"","parse-names":false,"suffix":""},{"dropping-particle":"","family":"Graaf","given":"W. T.A.","non-dropping-particle":"Van Der","parse-names":false,"suffix":""}],"container-title":"European Journal of Cancer","id":"ITEM-1","issue":"10","issued":{"date-parts":[["2015"]]},"page":"1312-1320","title":"A phase IIb multicentre study comparing the efficacy of trabectedin to doxorubicin in patients with advanced or metastatic untreated soft tissue sarcoma: The TRUSTS trial","type":"article-journal","volume":"51"},"uris":["http://www.mendeley.com/documents/?uuid=0ad51ccf-6924-476b-855d-718ad150e480","http://www.mendeley.com/documents/?uuid=1dc1d130-e1d2-4989-a1e1-68b3557fa6f0"]}],"mendeley":{"formattedCitation":"[3]","plainTextFormattedCitation":"[3]","previouslyFormattedCitation":"[3]"},"properties":{"noteIndex":0},"schema":"https://github.com/citation-style-language/schema/raw/master/csl-citation.json"}</w:instrText>
      </w:r>
      <w:r w:rsidRPr="001B288F">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[3]</w:t>
      </w:r>
      <w:r w:rsidRPr="001B288F">
        <w:rPr>
          <w:rFonts w:ascii="Times New Roman" w:hAnsi="Times New Roman" w:cs="Times New Roman"/>
          <w:sz w:val="20"/>
          <w:szCs w:val="20"/>
        </w:rPr>
        <w:fldChar w:fldCharType="end"/>
      </w:r>
      <w:r w:rsidRPr="001B288F">
        <w:rPr>
          <w:rFonts w:ascii="Times New Roman" w:hAnsi="Times New Roman" w:cs="Times New Roman"/>
          <w:sz w:val="20"/>
          <w:szCs w:val="20"/>
        </w:rPr>
        <w:t xml:space="preserve"> contained 3 treatment arms: Doxorubicin, Trabectedin 3h and Trabectedin 24h. The 3 hours regimen has been excluded from meta-analyses because of the limited number of LPS patients (n = 6). The </w:t>
      </w:r>
      <w:proofErr w:type="spellStart"/>
      <w:r w:rsidRPr="001B288F">
        <w:rPr>
          <w:rFonts w:ascii="Times New Roman" w:hAnsi="Times New Roman" w:cs="Times New Roman"/>
          <w:sz w:val="20"/>
          <w:szCs w:val="20"/>
        </w:rPr>
        <w:t>Gelderblom</w:t>
      </w:r>
      <w:proofErr w:type="spellEnd"/>
      <w:r w:rsidRPr="001B288F">
        <w:rPr>
          <w:rFonts w:ascii="Times New Roman" w:hAnsi="Times New Roman" w:cs="Times New Roman"/>
          <w:sz w:val="20"/>
          <w:szCs w:val="20"/>
        </w:rPr>
        <w:t xml:space="preserve"> study </w:t>
      </w:r>
      <w:r w:rsidRPr="001B288F">
        <w:rPr>
          <w:rFonts w:ascii="Times New Roman" w:hAnsi="Times New Roman" w:cs="Times New Roman"/>
          <w:sz w:val="20"/>
          <w:szCs w:val="20"/>
        </w:rPr>
        <w:fldChar w:fldCharType="begin" w:fldLock="1"/>
      </w:r>
      <w:r w:rsidR="00826352">
        <w:rPr>
          <w:rFonts w:ascii="Times New Roman" w:hAnsi="Times New Roman" w:cs="Times New Roman"/>
          <w:sz w:val="20"/>
          <w:szCs w:val="20"/>
        </w:rPr>
        <w:instrText>ADDIN CSL_CITATION {"citationItems":[{"id":"ITEM-1","itemData":{"DOI":"10.1016/j.ejca.2013.10.002","ISSN":"09598049","abstract":"Aim Brostallicin is a DNA minor groove binder that has shown activity in patients with soft tissue sarcoma (STS) failing first-line therapy. The present study assessed the safety and efficacy of first-line brostallicin in patients with advanced or metastatic STS &gt; 60 years or not fit enough to receive combination chemotherapy. A prospective explorative pharmacogenetic analysis was undertaken in parallel. Methods Patients were randomised in a 2:1 ratio between IV brostallicin 10 mg/m2 and doxorubicin 75 mg/m2 once every 3 weeks for a maximum of six cycles. Disease stabilisation at 26 weeks (primary end-point) was considered a 'success'. Further testing of brostallicin was warranted if ≥35 'successes' were observed in the first 72 eligible patients treated with brostallicin. In addition, patients were genotyped for glutathione S transferase (GST) polymorphisms. Results One hundred and eighteen patients were included (79 brostallicin and 39 doxorubicin). Brostallicin was well tolerated in comparison to doxorubicin with less grade 3-4 neutropenia (67% versus 95%), grade 2-3 systolic dysfunction (0% versus 11%), alopecia (17% versus 61%) and grade 2-3 mucositis (0% versus 18%). For brostallicin versus doxorubicin, 'successes' were observed in 5/77 versus 10/36, progression free survival at 1 year was 6.5% versus 15.6%, objective response rate was 3.9% versus 22.2% and overall survival at 1 year was 50.5% versus 57.9%, respectively. Only GSTA1 genotype was significantly associated with success rate of doxorubicin treatment. Conclusion Brostallicin cannot be recommended at this dose and schedule in this patient population as first-line therapy. GSTA1 genotype may be predictive for doxorubicin efficacy but warrants further study. © 2013 Elsevier Ltd. All rights reserved.","author":[{"dropping-particle":"","family":"Gelderblom","given":"H.","non-dropping-particle":"","parse-names":false,"suffix":""},{"dropping-particle":"","family":"Blay","given":"J. Y.","non-dropping-particle":"","parse-names":false,"suffix":""},{"dropping-particle":"","family":"Seddon","given":"B. M.","non-dropping-particle":"","parse-names":false,"suffix":""},{"dropping-particle":"","family":"Leahy","given":"M.","non-dropping-particle":"","parse-names":false,"suffix":""},{"dropping-particle":"","family":"Ray-Coquard","given":"I.","non-dropping-particle":"","parse-names":false,"suffix":""},{"dropping-particle":"","family":"Sleijfer","given":"S.","non-dropping-particle":"","parse-names":false,"suffix":""},{"dropping-particle":"","family":"Kerst","given":"J. M.","non-dropping-particle":"","parse-names":false,"suffix":""},{"dropping-particle":"","family":"Rutkowski","given":"P.","non-dropping-particle":"","parse-names":false,"suffix":""},{"dropping-particle":"","family":"Bauer","given":"S.","non-dropping-particle":"","parse-names":false,"suffix":""},{"dropping-particle":"","family":"Ouali","given":"M.","non-dropping-particle":"","parse-names":false,"suffix":""},{"dropping-particle":"","family":"Marreaud","given":"S.","non-dropping-particle":"","parse-names":false,"suffix":""},{"dropping-particle":"","family":"Straaten","given":"R. J.H.M.","non-dropping-particle":"Van Der","parse-names":false,"suffix":""},{"dropping-particle":"","family":"Guchelaar","given":"H. J.","non-dropping-particle":"","parse-names":false,"suffix":""},{"dropping-particle":"","family":"Weitman","given":"S. D.","non-dropping-particle":"","parse-names":false,"suffix":""},{"dropping-particle":"","family":"Hogendoorn","given":"P. C.W.","non-dropping-particle":"","parse-names":false,"suffix":""},{"dropping-particle":"","family":"Hohenberger","given":"P.","non-dropping-particle":"","parse-names":false,"suffix":""}],"container-title":"European Journal of Cancer","id":"ITEM-1","issue":"2","issued":{"date-parts":[["2014"]]},"page":"388-396","publisher":"Elsevier Ltd","title":"Brostallicin versus doxorubicin as first-line chemotherapy in patients with advanced or metastatic soft tissue sarcoma: An European Organisation for Research and Treatment of Cancer Soft Tissue and Bone Sarcoma Group randomised phase II and pharmacogeneti","type":"article-journal","volume":"50"},"uris":["http://www.mendeley.com/documents/?uuid=1faf87d3-9864-45ed-9862-0e291cacbe48"]}],"mendeley":{"formattedCitation":"[4]","plainTextFormattedCitation":"[4]","previouslyFormattedCitation":"[4]"},"properties":{"noteIndex":0},"schema":"https://github.com/citation-style-language/schema/raw/master/csl-citation.json"}</w:instrText>
      </w:r>
      <w:r w:rsidRPr="001B288F">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[4]</w:t>
      </w:r>
      <w:r w:rsidRPr="001B288F">
        <w:rPr>
          <w:rFonts w:ascii="Times New Roman" w:hAnsi="Times New Roman" w:cs="Times New Roman"/>
          <w:sz w:val="20"/>
          <w:szCs w:val="20"/>
        </w:rPr>
        <w:fldChar w:fldCharType="end"/>
      </w:r>
      <w:r w:rsidRPr="001B288F">
        <w:rPr>
          <w:rFonts w:ascii="Times New Roman" w:hAnsi="Times New Roman" w:cs="Times New Roman"/>
          <w:sz w:val="20"/>
          <w:szCs w:val="20"/>
        </w:rPr>
        <w:t xml:space="preserve"> contained 2 treatment arms: Doxorubicin and </w:t>
      </w:r>
      <w:proofErr w:type="spellStart"/>
      <w:r w:rsidRPr="001B288F">
        <w:rPr>
          <w:rFonts w:ascii="Times New Roman" w:hAnsi="Times New Roman" w:cs="Times New Roman"/>
          <w:sz w:val="20"/>
          <w:szCs w:val="20"/>
        </w:rPr>
        <w:t>Brostallicin</w:t>
      </w:r>
      <w:proofErr w:type="spellEnd"/>
      <w:r w:rsidRPr="001B288F">
        <w:rPr>
          <w:rFonts w:ascii="Times New Roman" w:hAnsi="Times New Roman" w:cs="Times New Roman"/>
          <w:sz w:val="20"/>
          <w:szCs w:val="20"/>
        </w:rPr>
        <w:t xml:space="preserve">. The Doxorubicin arm was excluded from the analysis because it did not reach the predetermined number of patients (n = 9).  The Kawai study </w:t>
      </w:r>
      <w:r w:rsidRPr="001B288F">
        <w:rPr>
          <w:rFonts w:ascii="Times New Roman" w:hAnsi="Times New Roman" w:cs="Times New Roman"/>
          <w:sz w:val="20"/>
          <w:szCs w:val="20"/>
        </w:rPr>
        <w:fldChar w:fldCharType="begin" w:fldLock="1"/>
      </w:r>
      <w:r w:rsidR="00826352">
        <w:rPr>
          <w:rFonts w:ascii="Times New Roman" w:hAnsi="Times New Roman" w:cs="Times New Roman"/>
          <w:sz w:val="20"/>
          <w:szCs w:val="20"/>
        </w:rPr>
        <w:instrText>ADDIN CSL_CITATION {"citationItems":[{"id":"ITEM-1","itemData":{"DOI":"10.1016/S1470-2045(15)70098-7","ISSN":"14745488","PMID":"25795406","abstract":"Background: Trabectedin binds to the minor groove of DNA and blocks DNA repair machinery. Preclinical data have shown that trabectedin also modulates the transcription of the oncogenic fusion proteins of translocation-related sarcomas. We aimed to assess the efficacy and safety of trabectedin as second-line therapy or later for patients with advanced translocation-related sarcoma. Methods: We did a multicentre randomised open-label study in Japan. Eligible patients had pathological diagnosis of translocation-related sarcoma, were aged 19 years or older, were unresponsive or intolerant to standard chemotherapy regimens, no more than four previous chemotherapy regimens, Eastern Cooperative Oncology Group performance status 0 or 1, adequate bone marrow reserve, renal and liver functions, and had measurable lesions. Patients were randomly assigned (1:1) by the minimisation method to receive either trabectedin (1.2 mg/m2 given via a central venous line over 24 h on day 1 of a 21 day treatment cycle) or best supportive care, which was adjusted centrally by pathological subtype. Investigators, patients, and the sponsor were unmasked to the treatment assignment. Progression-free survival and objective responses were assessed by a masked central radiology imaging review. Efficacy was assessed by masked central radiology imaging review. The primary endpoint was progression-free survival for the full analysis set population. Follow-up is ongoing for the patients under study treatment. The study is registered with Japan Pharmaceutical Information Center, number JapicCTI-121850. Findings: Between July 11, 2012, and Jan 20, 2014, 76 patients were enrolled and allocated to receive either trabectedin (n=39) or best supportive care (n=37). After central review to confirm pathological subtypes, 73 patients (37 in the trabectedin group and 36 in the best supportive care group) were included in the primary efficacy analysis. Median progression-free survival of the trabectedin group was 5.6 months (95% CI 4.1-7.5) and the best supportive care group was 0.9 months (0.7-1.0). The hazard ratio (HR) for progression-free survival of trabectedin versus best supportive care was 0.07 (90% CI 0.03-0.14 and 95% CI 0.03-0.16) by a Cox proportional hazards model (p&lt;0.0001). The most common drug-related adverse events for patients treated with trabectedin were nausea (32 [89%] of 36), decreased appetite (21 [58%]), decreased neutrophil count (30 [83%]), increased alanine aminotransferas…","author":[{"dropping-particle":"","family":"Kawai","given":"Akira","non-dropping-particle":"","parse-names":false,"suffix":""},{"dropping-particle":"","family":"Araki","given":"Nobuhito","non-dropping-particle":"","parse-names":false,"suffix":""},{"dropping-particle":"","family":"Sugiura","given":"Hideshi","non-dropping-particle":"","parse-names":false,"suffix":""},{"dropping-particle":"","family":"Ueda","given":"Takafumi","non-dropping-particle":"","parse-names":false,"suffix":""},{"dropping-particle":"","family":"Yonemoto","given":"Tsukasa","non-dropping-particle":"","parse-names":false,"suffix":""},{"dropping-particle":"","family":"Takahashi","given":"Mitsuru","non-dropping-particle":"","parse-names":false,"suffix":""},{"dropping-particle":"","family":"Morioka","given":"Hideo","non-dropping-particle":"","parse-names":false,"suffix":""},{"dropping-particle":"","family":"Hiraga","given":"Hiroaki","non-dropping-particle":"","parse-names":false,"suffix":""},{"dropping-particle":"","family":"Hiruma","given":"Toru","non-dropping-particle":"","parse-names":false,"suffix":""},{"dropping-particle":"","family":"Kunisada","given":"Toshiyuki","non-dropping-particle":"","parse-names":false,"suffix":""},{"dropping-particle":"","family":"Matsumine","given":"Akihiko","non-dropping-particle":"","parse-names":false,"suffix":""},{"dropping-particle":"","family":"Tanase","given":"Takanori","non-dropping-particle":"","parse-names":false,"suffix":""},{"dropping-particle":"","family":"Hasegawa","given":"Tadashi","non-dropping-particle":"","parse-names":false,"suffix":""},{"dropping-particle":"","family":"Takahashi","given":"Shunji","non-dropping-particle":"","parse-names":false,"suffix":""}],"container-title":"The Lancet Oncology","id":"ITEM-1","issue":"4","issued":{"date-parts":[["2015"]]},"page":"406-416","publisher":"Elsevier Ltd","title":"Trabectedin monotherapy after standard chemotherapy versus best supportive care in patients with advanced, translocation-related sarcoma: A randomised, open-label, phase 2 study","type":"article-journal","volume":"16"},"uris":["http://www.mendeley.com/documents/?uuid=dc3ddf07-35dd-4dd5-92ee-1c36c9f5de0c"]}],"mendeley":{"formattedCitation":"[5]","plainTextFormattedCitation":"[5]","previouslyFormattedCitation":"[5]"},"properties":{"noteIndex":0},"schema":"https://github.com/citation-style-language/schema/raw/master/csl-citation.json"}</w:instrText>
      </w:r>
      <w:r w:rsidRPr="001B288F">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[5]</w:t>
      </w:r>
      <w:r w:rsidRPr="001B288F">
        <w:rPr>
          <w:rFonts w:ascii="Times New Roman" w:hAnsi="Times New Roman" w:cs="Times New Roman"/>
          <w:sz w:val="20"/>
          <w:szCs w:val="20"/>
        </w:rPr>
        <w:fldChar w:fldCharType="end"/>
      </w:r>
      <w:r w:rsidRPr="001B288F">
        <w:rPr>
          <w:rFonts w:ascii="Times New Roman" w:hAnsi="Times New Roman" w:cs="Times New Roman"/>
          <w:sz w:val="20"/>
          <w:szCs w:val="20"/>
        </w:rPr>
        <w:t xml:space="preserve"> included a best supportive care arm which was excluded from the meta-analyses.   </w:t>
      </w:r>
    </w:p>
    <w:p w14:paraId="321C6527" w14:textId="77777777" w:rsidR="001B288F" w:rsidRPr="001B288F" w:rsidRDefault="001B288F" w:rsidP="001B288F">
      <w:pPr>
        <w:rPr>
          <w:rFonts w:ascii="Times New Roman" w:hAnsi="Times New Roman" w:cs="Times New Roman"/>
          <w:sz w:val="20"/>
          <w:szCs w:val="20"/>
        </w:rPr>
      </w:pPr>
    </w:p>
    <w:p w14:paraId="0661603D" w14:textId="77777777"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In the table below, year of study activation (year that first patient was recruited) is presented for the 25 trials in the STBSG database. Most common years of activation at trial level were 2011 and 2012 (24% and 16%).</w:t>
      </w:r>
    </w:p>
    <w:p w14:paraId="60B5BA2F" w14:textId="77777777" w:rsidR="001B288F" w:rsidRDefault="001B288F" w:rsidP="001B288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3"/>
        <w:gridCol w:w="3051"/>
        <w:gridCol w:w="2792"/>
      </w:tblGrid>
      <w:tr w:rsidR="001B288F" w:rsidRPr="001B288F" w14:paraId="29D18DBA" w14:textId="77777777" w:rsidTr="001B288F">
        <w:tc>
          <w:tcPr>
            <w:tcW w:w="3336" w:type="dxa"/>
          </w:tcPr>
          <w:p w14:paraId="36B4757E"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Year of study activation</w:t>
            </w:r>
          </w:p>
          <w:p w14:paraId="440C2323" w14:textId="77777777" w:rsidR="001B288F" w:rsidRPr="001B288F" w:rsidRDefault="001B288F" w:rsidP="001B288F">
            <w:pPr>
              <w:rPr>
                <w:rFonts w:ascii="Times New Roman" w:hAnsi="Times New Roman" w:cs="Times New Roman"/>
                <w:b/>
                <w:bCs/>
                <w:sz w:val="16"/>
                <w:szCs w:val="16"/>
              </w:rPr>
            </w:pPr>
          </w:p>
        </w:tc>
        <w:tc>
          <w:tcPr>
            <w:tcW w:w="3219" w:type="dxa"/>
          </w:tcPr>
          <w:p w14:paraId="20ACD0AE"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trial (%)</w:t>
            </w:r>
          </w:p>
        </w:tc>
        <w:tc>
          <w:tcPr>
            <w:tcW w:w="2933" w:type="dxa"/>
          </w:tcPr>
          <w:p w14:paraId="20CE6A52"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row (%)</w:t>
            </w:r>
          </w:p>
        </w:tc>
      </w:tr>
      <w:tr w:rsidR="001B288F" w:rsidRPr="001B288F" w14:paraId="7853EF6D" w14:textId="77777777" w:rsidTr="001B288F">
        <w:tc>
          <w:tcPr>
            <w:tcW w:w="3336" w:type="dxa"/>
          </w:tcPr>
          <w:p w14:paraId="6736EC6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2001</w:t>
            </w:r>
          </w:p>
        </w:tc>
        <w:tc>
          <w:tcPr>
            <w:tcW w:w="3219" w:type="dxa"/>
          </w:tcPr>
          <w:p w14:paraId="4118822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933" w:type="dxa"/>
          </w:tcPr>
          <w:p w14:paraId="64464F0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r>
      <w:tr w:rsidR="001B288F" w:rsidRPr="001B288F" w14:paraId="4520D710" w14:textId="77777777" w:rsidTr="001B288F">
        <w:tc>
          <w:tcPr>
            <w:tcW w:w="3336" w:type="dxa"/>
          </w:tcPr>
          <w:p w14:paraId="471527E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2003</w:t>
            </w:r>
          </w:p>
        </w:tc>
        <w:tc>
          <w:tcPr>
            <w:tcW w:w="3219" w:type="dxa"/>
          </w:tcPr>
          <w:p w14:paraId="11A893C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(8%)</w:t>
            </w:r>
          </w:p>
        </w:tc>
        <w:tc>
          <w:tcPr>
            <w:tcW w:w="2933" w:type="dxa"/>
          </w:tcPr>
          <w:p w14:paraId="0B39D80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(11.76%)</w:t>
            </w:r>
          </w:p>
        </w:tc>
      </w:tr>
      <w:tr w:rsidR="001B288F" w:rsidRPr="001B288F" w14:paraId="681C6E4C" w14:textId="77777777" w:rsidTr="001B288F">
        <w:tc>
          <w:tcPr>
            <w:tcW w:w="3336" w:type="dxa"/>
          </w:tcPr>
          <w:p w14:paraId="17E750D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2004</w:t>
            </w:r>
          </w:p>
        </w:tc>
        <w:tc>
          <w:tcPr>
            <w:tcW w:w="3219" w:type="dxa"/>
          </w:tcPr>
          <w:p w14:paraId="2014FB4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933" w:type="dxa"/>
          </w:tcPr>
          <w:p w14:paraId="5FF8D55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r>
      <w:tr w:rsidR="001B288F" w:rsidRPr="001B288F" w14:paraId="5E5EA92D" w14:textId="77777777" w:rsidTr="001B288F">
        <w:tc>
          <w:tcPr>
            <w:tcW w:w="3336" w:type="dxa"/>
          </w:tcPr>
          <w:p w14:paraId="25C04CB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2005</w:t>
            </w:r>
          </w:p>
        </w:tc>
        <w:tc>
          <w:tcPr>
            <w:tcW w:w="3219" w:type="dxa"/>
          </w:tcPr>
          <w:p w14:paraId="5D4B48D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933" w:type="dxa"/>
          </w:tcPr>
          <w:p w14:paraId="2C373E5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r>
      <w:tr w:rsidR="001B288F" w:rsidRPr="001B288F" w14:paraId="36BA65DF" w14:textId="77777777" w:rsidTr="001B288F">
        <w:tc>
          <w:tcPr>
            <w:tcW w:w="3336" w:type="dxa"/>
          </w:tcPr>
          <w:p w14:paraId="708D17E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2006</w:t>
            </w:r>
          </w:p>
        </w:tc>
        <w:tc>
          <w:tcPr>
            <w:tcW w:w="3219" w:type="dxa"/>
          </w:tcPr>
          <w:p w14:paraId="6FDC1DF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933" w:type="dxa"/>
          </w:tcPr>
          <w:p w14:paraId="6A75729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r>
      <w:tr w:rsidR="001B288F" w:rsidRPr="001B288F" w14:paraId="5B86022A" w14:textId="77777777" w:rsidTr="001B288F">
        <w:tc>
          <w:tcPr>
            <w:tcW w:w="3336" w:type="dxa"/>
          </w:tcPr>
          <w:p w14:paraId="27E2F36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2007</w:t>
            </w:r>
          </w:p>
        </w:tc>
        <w:tc>
          <w:tcPr>
            <w:tcW w:w="3219" w:type="dxa"/>
          </w:tcPr>
          <w:p w14:paraId="489FA22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(8%)</w:t>
            </w:r>
          </w:p>
        </w:tc>
        <w:tc>
          <w:tcPr>
            <w:tcW w:w="2933" w:type="dxa"/>
          </w:tcPr>
          <w:p w14:paraId="2F1BE0A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(5.88%)</w:t>
            </w:r>
          </w:p>
        </w:tc>
      </w:tr>
      <w:tr w:rsidR="001B288F" w:rsidRPr="001B288F" w14:paraId="536753D3" w14:textId="77777777" w:rsidTr="001B288F">
        <w:tc>
          <w:tcPr>
            <w:tcW w:w="3336" w:type="dxa"/>
          </w:tcPr>
          <w:p w14:paraId="3F0DF87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2008</w:t>
            </w:r>
          </w:p>
        </w:tc>
        <w:tc>
          <w:tcPr>
            <w:tcW w:w="3219" w:type="dxa"/>
          </w:tcPr>
          <w:p w14:paraId="160307E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(8%)</w:t>
            </w:r>
          </w:p>
        </w:tc>
        <w:tc>
          <w:tcPr>
            <w:tcW w:w="2933" w:type="dxa"/>
          </w:tcPr>
          <w:p w14:paraId="0D53657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(8.82%)</w:t>
            </w:r>
          </w:p>
        </w:tc>
      </w:tr>
      <w:tr w:rsidR="001B288F" w:rsidRPr="001B288F" w14:paraId="412E2E64" w14:textId="77777777" w:rsidTr="001B288F">
        <w:tc>
          <w:tcPr>
            <w:tcW w:w="3336" w:type="dxa"/>
          </w:tcPr>
          <w:p w14:paraId="3E07B33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2010</w:t>
            </w:r>
          </w:p>
        </w:tc>
        <w:tc>
          <w:tcPr>
            <w:tcW w:w="3219" w:type="dxa"/>
          </w:tcPr>
          <w:p w14:paraId="4872746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(12%)</w:t>
            </w:r>
          </w:p>
        </w:tc>
        <w:tc>
          <w:tcPr>
            <w:tcW w:w="2933" w:type="dxa"/>
          </w:tcPr>
          <w:p w14:paraId="69E9960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(11.76%)</w:t>
            </w:r>
          </w:p>
        </w:tc>
      </w:tr>
      <w:tr w:rsidR="001B288F" w:rsidRPr="001B288F" w14:paraId="54E2CB84" w14:textId="77777777" w:rsidTr="001B288F">
        <w:tc>
          <w:tcPr>
            <w:tcW w:w="3336" w:type="dxa"/>
          </w:tcPr>
          <w:p w14:paraId="23B6789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2011</w:t>
            </w:r>
          </w:p>
        </w:tc>
        <w:tc>
          <w:tcPr>
            <w:tcW w:w="3219" w:type="dxa"/>
          </w:tcPr>
          <w:p w14:paraId="2A3DE10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6 (24%)</w:t>
            </w:r>
          </w:p>
        </w:tc>
        <w:tc>
          <w:tcPr>
            <w:tcW w:w="2933" w:type="dxa"/>
          </w:tcPr>
          <w:p w14:paraId="22EF642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11 (32.35%)</w:t>
            </w:r>
          </w:p>
        </w:tc>
      </w:tr>
      <w:tr w:rsidR="001B288F" w:rsidRPr="001B288F" w14:paraId="0EAFA502" w14:textId="77777777" w:rsidTr="001B288F">
        <w:tc>
          <w:tcPr>
            <w:tcW w:w="3336" w:type="dxa"/>
          </w:tcPr>
          <w:p w14:paraId="1BA6777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2012</w:t>
            </w:r>
          </w:p>
        </w:tc>
        <w:tc>
          <w:tcPr>
            <w:tcW w:w="3219" w:type="dxa"/>
          </w:tcPr>
          <w:p w14:paraId="5C43163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(16%)</w:t>
            </w:r>
          </w:p>
        </w:tc>
        <w:tc>
          <w:tcPr>
            <w:tcW w:w="2933" w:type="dxa"/>
          </w:tcPr>
          <w:p w14:paraId="14B8C02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(11.76%)</w:t>
            </w:r>
          </w:p>
        </w:tc>
      </w:tr>
      <w:tr w:rsidR="001B288F" w:rsidRPr="001B288F" w14:paraId="36826EC2" w14:textId="77777777" w:rsidTr="001B288F">
        <w:tc>
          <w:tcPr>
            <w:tcW w:w="3336" w:type="dxa"/>
          </w:tcPr>
          <w:p w14:paraId="0359EA3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2013</w:t>
            </w:r>
          </w:p>
        </w:tc>
        <w:tc>
          <w:tcPr>
            <w:tcW w:w="3219" w:type="dxa"/>
          </w:tcPr>
          <w:p w14:paraId="2B7BD59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933" w:type="dxa"/>
          </w:tcPr>
          <w:p w14:paraId="48BDDAD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r>
      <w:tr w:rsidR="001B288F" w:rsidRPr="001B288F" w14:paraId="0B0E30D4" w14:textId="77777777" w:rsidTr="001B288F">
        <w:tc>
          <w:tcPr>
            <w:tcW w:w="3336" w:type="dxa"/>
          </w:tcPr>
          <w:p w14:paraId="44DFE8D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2015</w:t>
            </w:r>
          </w:p>
        </w:tc>
        <w:tc>
          <w:tcPr>
            <w:tcW w:w="3219" w:type="dxa"/>
          </w:tcPr>
          <w:p w14:paraId="5CF423D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933" w:type="dxa"/>
          </w:tcPr>
          <w:p w14:paraId="1D1007F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r>
      <w:tr w:rsidR="001B288F" w:rsidRPr="001B288F" w14:paraId="3AF8815C" w14:textId="77777777" w:rsidTr="001B288F">
        <w:tc>
          <w:tcPr>
            <w:tcW w:w="3336" w:type="dxa"/>
          </w:tcPr>
          <w:p w14:paraId="3A73DAE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3219" w:type="dxa"/>
          </w:tcPr>
          <w:p w14:paraId="09A2B2D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25 (100%)</w:t>
            </w:r>
          </w:p>
        </w:tc>
        <w:tc>
          <w:tcPr>
            <w:tcW w:w="2933" w:type="dxa"/>
          </w:tcPr>
          <w:p w14:paraId="41B43F9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34 (100%)</w:t>
            </w:r>
          </w:p>
        </w:tc>
      </w:tr>
    </w:tbl>
    <w:p w14:paraId="6A8789C6" w14:textId="77777777" w:rsidR="001B288F" w:rsidRPr="001B288F" w:rsidRDefault="001B288F" w:rsidP="001B288F">
      <w:pPr>
        <w:rPr>
          <w:rFonts w:ascii="Times New Roman" w:hAnsi="Times New Roman" w:cs="Times New Roman"/>
          <w:sz w:val="16"/>
          <w:szCs w:val="16"/>
        </w:rPr>
      </w:pPr>
    </w:p>
    <w:p w14:paraId="6CBD6B96" w14:textId="77777777" w:rsidR="001B288F" w:rsidRPr="001B288F" w:rsidRDefault="001B288F" w:rsidP="001B288F">
      <w:pPr>
        <w:rPr>
          <w:rFonts w:ascii="Times New Roman" w:hAnsi="Times New Roman" w:cs="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3031"/>
        <w:gridCol w:w="2769"/>
      </w:tblGrid>
      <w:tr w:rsidR="001B288F" w:rsidRPr="001B288F" w14:paraId="415F5268" w14:textId="77777777" w:rsidTr="001B288F">
        <w:tc>
          <w:tcPr>
            <w:tcW w:w="3378" w:type="dxa"/>
          </w:tcPr>
          <w:p w14:paraId="39D54098"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Year of study publication</w:t>
            </w:r>
          </w:p>
          <w:p w14:paraId="451BDEA9" w14:textId="77777777" w:rsidR="001B288F" w:rsidRPr="001B288F" w:rsidRDefault="001B288F" w:rsidP="001B288F">
            <w:pPr>
              <w:rPr>
                <w:rFonts w:ascii="Times New Roman" w:hAnsi="Times New Roman" w:cs="Times New Roman"/>
                <w:b/>
                <w:bCs/>
                <w:sz w:val="16"/>
                <w:szCs w:val="16"/>
              </w:rPr>
            </w:pPr>
          </w:p>
        </w:tc>
        <w:tc>
          <w:tcPr>
            <w:tcW w:w="3200" w:type="dxa"/>
          </w:tcPr>
          <w:p w14:paraId="5939D242"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trial (%)</w:t>
            </w:r>
          </w:p>
        </w:tc>
        <w:tc>
          <w:tcPr>
            <w:tcW w:w="2910" w:type="dxa"/>
          </w:tcPr>
          <w:p w14:paraId="1A441827"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row (%)</w:t>
            </w:r>
          </w:p>
        </w:tc>
      </w:tr>
      <w:tr w:rsidR="001B288F" w:rsidRPr="001B288F" w14:paraId="2C37B29A" w14:textId="77777777" w:rsidTr="001B288F">
        <w:tc>
          <w:tcPr>
            <w:tcW w:w="3378" w:type="dxa"/>
          </w:tcPr>
          <w:p w14:paraId="00E9292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lastRenderedPageBreak/>
              <w:t>2009</w:t>
            </w:r>
          </w:p>
        </w:tc>
        <w:tc>
          <w:tcPr>
            <w:tcW w:w="3200" w:type="dxa"/>
          </w:tcPr>
          <w:p w14:paraId="0BDBF6E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(12%)</w:t>
            </w:r>
          </w:p>
        </w:tc>
        <w:tc>
          <w:tcPr>
            <w:tcW w:w="2910" w:type="dxa"/>
          </w:tcPr>
          <w:p w14:paraId="109B2DC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(11.76%)</w:t>
            </w:r>
          </w:p>
        </w:tc>
      </w:tr>
      <w:tr w:rsidR="001B288F" w:rsidRPr="001B288F" w14:paraId="2453F085" w14:textId="77777777" w:rsidTr="001B288F">
        <w:tc>
          <w:tcPr>
            <w:tcW w:w="3378" w:type="dxa"/>
          </w:tcPr>
          <w:p w14:paraId="6FCB797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2011</w:t>
            </w:r>
          </w:p>
        </w:tc>
        <w:tc>
          <w:tcPr>
            <w:tcW w:w="3200" w:type="dxa"/>
          </w:tcPr>
          <w:p w14:paraId="6C00100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(8%)</w:t>
            </w:r>
          </w:p>
        </w:tc>
        <w:tc>
          <w:tcPr>
            <w:tcW w:w="2910" w:type="dxa"/>
          </w:tcPr>
          <w:p w14:paraId="5972CDF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(5.88%)</w:t>
            </w:r>
          </w:p>
        </w:tc>
      </w:tr>
      <w:tr w:rsidR="001B288F" w:rsidRPr="001B288F" w14:paraId="3F89E552" w14:textId="77777777" w:rsidTr="001B288F">
        <w:tc>
          <w:tcPr>
            <w:tcW w:w="3378" w:type="dxa"/>
          </w:tcPr>
          <w:p w14:paraId="433EE0D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2013</w:t>
            </w:r>
          </w:p>
        </w:tc>
        <w:tc>
          <w:tcPr>
            <w:tcW w:w="3200" w:type="dxa"/>
          </w:tcPr>
          <w:p w14:paraId="5E44F06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(12%)</w:t>
            </w:r>
          </w:p>
        </w:tc>
        <w:tc>
          <w:tcPr>
            <w:tcW w:w="2910" w:type="dxa"/>
          </w:tcPr>
          <w:p w14:paraId="15C8484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(8.82%)</w:t>
            </w:r>
          </w:p>
        </w:tc>
      </w:tr>
      <w:tr w:rsidR="001B288F" w:rsidRPr="001B288F" w14:paraId="18A3CD9B" w14:textId="77777777" w:rsidTr="001B288F">
        <w:tc>
          <w:tcPr>
            <w:tcW w:w="3378" w:type="dxa"/>
          </w:tcPr>
          <w:p w14:paraId="282F5B9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2014</w:t>
            </w:r>
          </w:p>
        </w:tc>
        <w:tc>
          <w:tcPr>
            <w:tcW w:w="3200" w:type="dxa"/>
          </w:tcPr>
          <w:p w14:paraId="3BD9CA2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(12%)</w:t>
            </w:r>
          </w:p>
        </w:tc>
        <w:tc>
          <w:tcPr>
            <w:tcW w:w="2910" w:type="dxa"/>
          </w:tcPr>
          <w:p w14:paraId="2D2C541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5 (14.71%)</w:t>
            </w:r>
          </w:p>
        </w:tc>
      </w:tr>
      <w:tr w:rsidR="001B288F" w:rsidRPr="001B288F" w14:paraId="1F219F77" w14:textId="77777777" w:rsidTr="001B288F">
        <w:tc>
          <w:tcPr>
            <w:tcW w:w="3378" w:type="dxa"/>
          </w:tcPr>
          <w:p w14:paraId="5F136A7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2015</w:t>
            </w:r>
          </w:p>
        </w:tc>
        <w:tc>
          <w:tcPr>
            <w:tcW w:w="3200" w:type="dxa"/>
          </w:tcPr>
          <w:p w14:paraId="06E7D85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(12%)</w:t>
            </w:r>
          </w:p>
        </w:tc>
        <w:tc>
          <w:tcPr>
            <w:tcW w:w="2910" w:type="dxa"/>
          </w:tcPr>
          <w:p w14:paraId="0763EA5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(11.76%)</w:t>
            </w:r>
          </w:p>
        </w:tc>
      </w:tr>
      <w:tr w:rsidR="001B288F" w:rsidRPr="001B288F" w14:paraId="16BFBC21" w14:textId="77777777" w:rsidTr="001B288F">
        <w:tc>
          <w:tcPr>
            <w:tcW w:w="3378" w:type="dxa"/>
          </w:tcPr>
          <w:p w14:paraId="67EF50E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2016</w:t>
            </w:r>
          </w:p>
        </w:tc>
        <w:tc>
          <w:tcPr>
            <w:tcW w:w="3200" w:type="dxa"/>
          </w:tcPr>
          <w:p w14:paraId="62FE878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5 (20%)</w:t>
            </w:r>
          </w:p>
        </w:tc>
        <w:tc>
          <w:tcPr>
            <w:tcW w:w="2910" w:type="dxa"/>
          </w:tcPr>
          <w:p w14:paraId="59A1297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8 (23.53%)</w:t>
            </w:r>
          </w:p>
        </w:tc>
      </w:tr>
      <w:tr w:rsidR="001B288F" w:rsidRPr="001B288F" w14:paraId="4BA7D9F2" w14:textId="77777777" w:rsidTr="001B288F">
        <w:tc>
          <w:tcPr>
            <w:tcW w:w="3378" w:type="dxa"/>
          </w:tcPr>
          <w:p w14:paraId="54A0FCE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2017</w:t>
            </w:r>
          </w:p>
        </w:tc>
        <w:tc>
          <w:tcPr>
            <w:tcW w:w="3200" w:type="dxa"/>
          </w:tcPr>
          <w:p w14:paraId="3F14001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6 (24%)</w:t>
            </w:r>
          </w:p>
        </w:tc>
        <w:tc>
          <w:tcPr>
            <w:tcW w:w="2910" w:type="dxa"/>
          </w:tcPr>
          <w:p w14:paraId="7D554793"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sz w:val="16"/>
                <w:szCs w:val="16"/>
              </w:rPr>
              <w:t>8 (23.53%)</w:t>
            </w:r>
          </w:p>
        </w:tc>
      </w:tr>
      <w:tr w:rsidR="001B288F" w:rsidRPr="001B288F" w14:paraId="1FD26A1B" w14:textId="77777777" w:rsidTr="001B288F">
        <w:tc>
          <w:tcPr>
            <w:tcW w:w="3378" w:type="dxa"/>
          </w:tcPr>
          <w:p w14:paraId="0161096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3200" w:type="dxa"/>
          </w:tcPr>
          <w:p w14:paraId="02B1C0B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25 (100%)</w:t>
            </w:r>
          </w:p>
        </w:tc>
        <w:tc>
          <w:tcPr>
            <w:tcW w:w="2910" w:type="dxa"/>
          </w:tcPr>
          <w:p w14:paraId="783B8E6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34 (100%)</w:t>
            </w:r>
          </w:p>
        </w:tc>
      </w:tr>
    </w:tbl>
    <w:p w14:paraId="663D5BF5" w14:textId="77777777" w:rsidR="001B288F" w:rsidRDefault="001B288F" w:rsidP="001B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3105"/>
        <w:gridCol w:w="2854"/>
      </w:tblGrid>
      <w:tr w:rsidR="001B288F" w:rsidRPr="001B288F" w14:paraId="16D60C49" w14:textId="77777777" w:rsidTr="001B288F">
        <w:tc>
          <w:tcPr>
            <w:tcW w:w="3224" w:type="dxa"/>
          </w:tcPr>
          <w:p w14:paraId="5AFDB126"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Phase</w:t>
            </w:r>
          </w:p>
          <w:p w14:paraId="5181F544" w14:textId="77777777" w:rsidR="001B288F" w:rsidRPr="001B288F" w:rsidRDefault="001B288F" w:rsidP="001B288F">
            <w:pPr>
              <w:rPr>
                <w:rFonts w:ascii="Times New Roman" w:hAnsi="Times New Roman" w:cs="Times New Roman"/>
                <w:b/>
                <w:bCs/>
                <w:sz w:val="16"/>
                <w:szCs w:val="16"/>
              </w:rPr>
            </w:pPr>
          </w:p>
        </w:tc>
        <w:tc>
          <w:tcPr>
            <w:tcW w:w="3270" w:type="dxa"/>
          </w:tcPr>
          <w:p w14:paraId="01AB1237"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trial (%)</w:t>
            </w:r>
          </w:p>
        </w:tc>
        <w:tc>
          <w:tcPr>
            <w:tcW w:w="2994" w:type="dxa"/>
          </w:tcPr>
          <w:p w14:paraId="1AE679A9"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row (%)</w:t>
            </w:r>
          </w:p>
        </w:tc>
      </w:tr>
      <w:tr w:rsidR="001B288F" w:rsidRPr="001B288F" w14:paraId="50DA14D1" w14:textId="77777777" w:rsidTr="001B288F">
        <w:tc>
          <w:tcPr>
            <w:tcW w:w="3224" w:type="dxa"/>
          </w:tcPr>
          <w:p w14:paraId="2CA2065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w:t>
            </w:r>
          </w:p>
        </w:tc>
        <w:tc>
          <w:tcPr>
            <w:tcW w:w="3270" w:type="dxa"/>
          </w:tcPr>
          <w:p w14:paraId="5EDB005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17 (68%)</w:t>
            </w:r>
          </w:p>
        </w:tc>
        <w:tc>
          <w:tcPr>
            <w:tcW w:w="2994" w:type="dxa"/>
          </w:tcPr>
          <w:p w14:paraId="12A7F7C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19 (55.88%)</w:t>
            </w:r>
          </w:p>
        </w:tc>
      </w:tr>
      <w:tr w:rsidR="001B288F" w:rsidRPr="001B288F" w14:paraId="43EE48F0" w14:textId="77777777" w:rsidTr="001B288F">
        <w:tc>
          <w:tcPr>
            <w:tcW w:w="3224" w:type="dxa"/>
          </w:tcPr>
          <w:p w14:paraId="595D693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 3</w:t>
            </w:r>
          </w:p>
        </w:tc>
        <w:tc>
          <w:tcPr>
            <w:tcW w:w="3270" w:type="dxa"/>
          </w:tcPr>
          <w:p w14:paraId="6F9B6F2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994" w:type="dxa"/>
          </w:tcPr>
          <w:p w14:paraId="3903054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(5.88%)</w:t>
            </w:r>
          </w:p>
        </w:tc>
      </w:tr>
      <w:tr w:rsidR="001B288F" w:rsidRPr="001B288F" w14:paraId="5505BEE9" w14:textId="77777777" w:rsidTr="001B288F">
        <w:tc>
          <w:tcPr>
            <w:tcW w:w="3224" w:type="dxa"/>
          </w:tcPr>
          <w:p w14:paraId="2770F85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w:t>
            </w:r>
          </w:p>
        </w:tc>
        <w:tc>
          <w:tcPr>
            <w:tcW w:w="3270" w:type="dxa"/>
          </w:tcPr>
          <w:p w14:paraId="33F4746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6 (24%)</w:t>
            </w:r>
          </w:p>
        </w:tc>
        <w:tc>
          <w:tcPr>
            <w:tcW w:w="2994" w:type="dxa"/>
          </w:tcPr>
          <w:p w14:paraId="4421855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12 (35.29%)</w:t>
            </w:r>
          </w:p>
        </w:tc>
      </w:tr>
      <w:tr w:rsidR="001B288F" w:rsidRPr="001B288F" w14:paraId="7200AFAB" w14:textId="77777777" w:rsidTr="001B288F">
        <w:tc>
          <w:tcPr>
            <w:tcW w:w="3224" w:type="dxa"/>
          </w:tcPr>
          <w:p w14:paraId="5879DC1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w:t>
            </w:r>
          </w:p>
        </w:tc>
        <w:tc>
          <w:tcPr>
            <w:tcW w:w="3270" w:type="dxa"/>
          </w:tcPr>
          <w:p w14:paraId="55FD4A5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994" w:type="dxa"/>
          </w:tcPr>
          <w:p w14:paraId="7119488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r>
      <w:tr w:rsidR="001B288F" w:rsidRPr="001B288F" w14:paraId="2460849A" w14:textId="77777777" w:rsidTr="001B288F">
        <w:tc>
          <w:tcPr>
            <w:tcW w:w="3224" w:type="dxa"/>
          </w:tcPr>
          <w:p w14:paraId="1F6035B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3270" w:type="dxa"/>
          </w:tcPr>
          <w:p w14:paraId="48F9C4C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25 (100%)</w:t>
            </w:r>
          </w:p>
        </w:tc>
        <w:tc>
          <w:tcPr>
            <w:tcW w:w="2994" w:type="dxa"/>
          </w:tcPr>
          <w:p w14:paraId="30FE3C6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34 (100%)</w:t>
            </w:r>
          </w:p>
        </w:tc>
      </w:tr>
    </w:tbl>
    <w:p w14:paraId="25CBD679" w14:textId="77777777" w:rsidR="001B288F" w:rsidRPr="001B288F" w:rsidRDefault="001B288F" w:rsidP="001B288F">
      <w:pPr>
        <w:rPr>
          <w:rFonts w:ascii="Times New Roman" w:hAnsi="Times New Roman" w:cs="Times New Roman"/>
          <w:sz w:val="16"/>
          <w:szCs w:val="16"/>
        </w:rPr>
      </w:pPr>
    </w:p>
    <w:p w14:paraId="17EFA139" w14:textId="77777777"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17 trials were phase 2 (68%) and 8 (32%) greater than 2. From the 34 lines in long format (one line per treatment combination), 19 were of phase 2 (55.88%) and 15 of greater than 2 (44.12%).</w:t>
      </w:r>
    </w:p>
    <w:p w14:paraId="5F08C333" w14:textId="77777777" w:rsidR="001B288F" w:rsidRDefault="001B288F" w:rsidP="001B288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9"/>
        <w:gridCol w:w="3034"/>
        <w:gridCol w:w="2773"/>
      </w:tblGrid>
      <w:tr w:rsidR="001B288F" w:rsidRPr="0001426A" w14:paraId="2D97BA82" w14:textId="77777777" w:rsidTr="001B288F">
        <w:tc>
          <w:tcPr>
            <w:tcW w:w="3371" w:type="dxa"/>
          </w:tcPr>
          <w:p w14:paraId="6E355DE8"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Study design</w:t>
            </w:r>
          </w:p>
          <w:p w14:paraId="10607A15" w14:textId="77777777" w:rsidR="001B288F" w:rsidRPr="001B288F" w:rsidRDefault="001B288F" w:rsidP="001B288F">
            <w:pPr>
              <w:rPr>
                <w:rFonts w:ascii="Times New Roman" w:hAnsi="Times New Roman" w:cs="Times New Roman"/>
                <w:b/>
                <w:bCs/>
                <w:sz w:val="16"/>
                <w:szCs w:val="16"/>
              </w:rPr>
            </w:pPr>
          </w:p>
        </w:tc>
        <w:tc>
          <w:tcPr>
            <w:tcW w:w="3203" w:type="dxa"/>
          </w:tcPr>
          <w:p w14:paraId="60382136"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trial (%)</w:t>
            </w:r>
          </w:p>
        </w:tc>
        <w:tc>
          <w:tcPr>
            <w:tcW w:w="2914" w:type="dxa"/>
          </w:tcPr>
          <w:p w14:paraId="645F0D8D"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row (%)</w:t>
            </w:r>
          </w:p>
        </w:tc>
      </w:tr>
      <w:tr w:rsidR="001B288F" w:rsidRPr="0001426A" w14:paraId="26A9197F" w14:textId="77777777" w:rsidTr="001B288F">
        <w:tc>
          <w:tcPr>
            <w:tcW w:w="3371" w:type="dxa"/>
          </w:tcPr>
          <w:p w14:paraId="30DAD05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randomized</w:t>
            </w:r>
          </w:p>
        </w:tc>
        <w:tc>
          <w:tcPr>
            <w:tcW w:w="3203" w:type="dxa"/>
          </w:tcPr>
          <w:p w14:paraId="5578500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11 (44%)</w:t>
            </w:r>
          </w:p>
        </w:tc>
        <w:tc>
          <w:tcPr>
            <w:tcW w:w="2914" w:type="dxa"/>
          </w:tcPr>
          <w:p w14:paraId="03A3315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19 (55.88%)</w:t>
            </w:r>
          </w:p>
        </w:tc>
      </w:tr>
      <w:tr w:rsidR="001B288F" w:rsidRPr="0001426A" w14:paraId="5325B519" w14:textId="77777777" w:rsidTr="001B288F">
        <w:tc>
          <w:tcPr>
            <w:tcW w:w="3371" w:type="dxa"/>
          </w:tcPr>
          <w:p w14:paraId="4043E1C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non-randomized</w:t>
            </w:r>
          </w:p>
        </w:tc>
        <w:tc>
          <w:tcPr>
            <w:tcW w:w="3203" w:type="dxa"/>
          </w:tcPr>
          <w:p w14:paraId="07392B1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14 (56%)</w:t>
            </w:r>
          </w:p>
        </w:tc>
        <w:tc>
          <w:tcPr>
            <w:tcW w:w="2914" w:type="dxa"/>
          </w:tcPr>
          <w:p w14:paraId="3736FA1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15 (44.12%)</w:t>
            </w:r>
          </w:p>
        </w:tc>
      </w:tr>
      <w:tr w:rsidR="001B288F" w:rsidRPr="0001426A" w14:paraId="25666CAD" w14:textId="77777777" w:rsidTr="001B288F">
        <w:tc>
          <w:tcPr>
            <w:tcW w:w="3371" w:type="dxa"/>
          </w:tcPr>
          <w:p w14:paraId="68A1715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3203" w:type="dxa"/>
          </w:tcPr>
          <w:p w14:paraId="14873BE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25 (100%)</w:t>
            </w:r>
          </w:p>
        </w:tc>
        <w:tc>
          <w:tcPr>
            <w:tcW w:w="2914" w:type="dxa"/>
          </w:tcPr>
          <w:p w14:paraId="2312DAF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34 (100%)</w:t>
            </w:r>
          </w:p>
        </w:tc>
      </w:tr>
    </w:tbl>
    <w:p w14:paraId="6563FEDD" w14:textId="77777777" w:rsidR="001B288F" w:rsidRDefault="001B288F" w:rsidP="001B288F">
      <w:pPr>
        <w:rPr>
          <w:sz w:val="24"/>
          <w:szCs w:val="24"/>
        </w:rPr>
      </w:pPr>
    </w:p>
    <w:p w14:paraId="48355234" w14:textId="485DA338" w:rsid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 xml:space="preserve">From the 34 excel lines </w:t>
      </w:r>
      <w:proofErr w:type="spellStart"/>
      <w:r w:rsidRPr="001B288F">
        <w:rPr>
          <w:rFonts w:ascii="Times New Roman" w:hAnsi="Times New Roman" w:cs="Times New Roman"/>
          <w:sz w:val="20"/>
          <w:szCs w:val="20"/>
        </w:rPr>
        <w:t>analyzed</w:t>
      </w:r>
      <w:proofErr w:type="spellEnd"/>
      <w:r w:rsidRPr="001B288F">
        <w:rPr>
          <w:rFonts w:ascii="Times New Roman" w:hAnsi="Times New Roman" w:cs="Times New Roman"/>
          <w:sz w:val="20"/>
          <w:szCs w:val="20"/>
        </w:rPr>
        <w:t xml:space="preserve">, 19 were randomized (55.88%) and 15 non-randomized (44.12%). </w:t>
      </w:r>
    </w:p>
    <w:p w14:paraId="4B4B6DEA" w14:textId="0556BD8E" w:rsidR="00E705FD" w:rsidRDefault="00E705FD" w:rsidP="001B288F">
      <w:pPr>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3032"/>
        <w:gridCol w:w="2771"/>
      </w:tblGrid>
      <w:tr w:rsidR="00E705FD" w:rsidRPr="00E705FD" w14:paraId="0BA8B5D2" w14:textId="77777777" w:rsidTr="00AE1FA6">
        <w:tc>
          <w:tcPr>
            <w:tcW w:w="3371" w:type="dxa"/>
          </w:tcPr>
          <w:p w14:paraId="53E4B7A2" w14:textId="77777777" w:rsidR="00E705FD" w:rsidRPr="00E705FD" w:rsidRDefault="00E705FD" w:rsidP="00E705FD">
            <w:pPr>
              <w:spacing w:before="60" w:after="120" w:line="240" w:lineRule="auto"/>
              <w:jc w:val="both"/>
              <w:rPr>
                <w:rFonts w:ascii="Times New Roman" w:eastAsia="Times New Roman" w:hAnsi="Times New Roman" w:cs="Times New Roman"/>
                <w:b/>
                <w:bCs/>
                <w:sz w:val="16"/>
                <w:szCs w:val="16"/>
                <w:lang w:val="en-US"/>
              </w:rPr>
            </w:pPr>
            <w:r w:rsidRPr="00E705FD">
              <w:rPr>
                <w:rFonts w:ascii="Times New Roman" w:eastAsia="Times New Roman" w:hAnsi="Times New Roman" w:cs="Times New Roman"/>
                <w:b/>
                <w:bCs/>
                <w:sz w:val="16"/>
                <w:szCs w:val="16"/>
                <w:lang w:val="en-US"/>
              </w:rPr>
              <w:t>Pathological review</w:t>
            </w:r>
          </w:p>
          <w:p w14:paraId="0865B04D" w14:textId="77777777" w:rsidR="00E705FD" w:rsidRPr="00E705FD" w:rsidRDefault="00E705FD" w:rsidP="00E705FD">
            <w:pPr>
              <w:spacing w:before="60" w:after="120" w:line="240" w:lineRule="auto"/>
              <w:jc w:val="both"/>
              <w:rPr>
                <w:rFonts w:ascii="Times New Roman" w:eastAsia="Times New Roman" w:hAnsi="Times New Roman" w:cs="Times New Roman"/>
                <w:b/>
                <w:bCs/>
                <w:sz w:val="16"/>
                <w:szCs w:val="16"/>
                <w:lang w:val="en-US"/>
              </w:rPr>
            </w:pPr>
          </w:p>
        </w:tc>
        <w:tc>
          <w:tcPr>
            <w:tcW w:w="3203" w:type="dxa"/>
          </w:tcPr>
          <w:p w14:paraId="40292369" w14:textId="77777777" w:rsidR="00E705FD" w:rsidRPr="00E705FD" w:rsidRDefault="00E705FD" w:rsidP="00E705FD">
            <w:pPr>
              <w:spacing w:before="60" w:after="120" w:line="240" w:lineRule="auto"/>
              <w:jc w:val="both"/>
              <w:rPr>
                <w:rFonts w:ascii="Times New Roman" w:eastAsia="Times New Roman" w:hAnsi="Times New Roman" w:cs="Times New Roman"/>
                <w:b/>
                <w:bCs/>
                <w:sz w:val="16"/>
                <w:szCs w:val="16"/>
                <w:lang w:val="en-US"/>
              </w:rPr>
            </w:pPr>
            <w:r w:rsidRPr="00E705FD">
              <w:rPr>
                <w:rFonts w:ascii="Times New Roman" w:eastAsia="Times New Roman" w:hAnsi="Times New Roman" w:cs="Times New Roman"/>
                <w:b/>
                <w:bCs/>
                <w:sz w:val="16"/>
                <w:szCs w:val="16"/>
                <w:lang w:val="en-US"/>
              </w:rPr>
              <w:t>N per trial (%)</w:t>
            </w:r>
          </w:p>
        </w:tc>
        <w:tc>
          <w:tcPr>
            <w:tcW w:w="2914" w:type="dxa"/>
          </w:tcPr>
          <w:p w14:paraId="054037C8" w14:textId="77777777" w:rsidR="00E705FD" w:rsidRPr="00E705FD" w:rsidRDefault="00E705FD" w:rsidP="00E705FD">
            <w:pPr>
              <w:spacing w:before="60" w:after="120" w:line="240" w:lineRule="auto"/>
              <w:jc w:val="both"/>
              <w:rPr>
                <w:rFonts w:ascii="Times New Roman" w:eastAsia="Times New Roman" w:hAnsi="Times New Roman" w:cs="Times New Roman"/>
                <w:b/>
                <w:bCs/>
                <w:sz w:val="16"/>
                <w:szCs w:val="16"/>
                <w:lang w:val="en-US"/>
              </w:rPr>
            </w:pPr>
            <w:r w:rsidRPr="00E705FD">
              <w:rPr>
                <w:rFonts w:ascii="Times New Roman" w:eastAsia="Times New Roman" w:hAnsi="Times New Roman" w:cs="Times New Roman"/>
                <w:b/>
                <w:bCs/>
                <w:sz w:val="16"/>
                <w:szCs w:val="16"/>
                <w:lang w:val="en-US"/>
              </w:rPr>
              <w:t>N per row (%)</w:t>
            </w:r>
          </w:p>
        </w:tc>
      </w:tr>
      <w:tr w:rsidR="00E705FD" w:rsidRPr="00E705FD" w14:paraId="38A853C8" w14:textId="77777777" w:rsidTr="00AE1FA6">
        <w:tc>
          <w:tcPr>
            <w:tcW w:w="3371" w:type="dxa"/>
          </w:tcPr>
          <w:p w14:paraId="6253FBAC"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local</w:t>
            </w:r>
          </w:p>
        </w:tc>
        <w:tc>
          <w:tcPr>
            <w:tcW w:w="3203" w:type="dxa"/>
          </w:tcPr>
          <w:p w14:paraId="4AEAF324"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9 (36%)</w:t>
            </w:r>
          </w:p>
        </w:tc>
        <w:tc>
          <w:tcPr>
            <w:tcW w:w="2914" w:type="dxa"/>
          </w:tcPr>
          <w:p w14:paraId="327E7702"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12 (35.29%)</w:t>
            </w:r>
          </w:p>
        </w:tc>
      </w:tr>
      <w:tr w:rsidR="00E705FD" w:rsidRPr="00E705FD" w14:paraId="7012812E" w14:textId="77777777" w:rsidTr="00AE1FA6">
        <w:tc>
          <w:tcPr>
            <w:tcW w:w="3371" w:type="dxa"/>
          </w:tcPr>
          <w:p w14:paraId="2CA2E125"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central</w:t>
            </w:r>
          </w:p>
        </w:tc>
        <w:tc>
          <w:tcPr>
            <w:tcW w:w="3203" w:type="dxa"/>
          </w:tcPr>
          <w:p w14:paraId="7FA418D6"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10 (40%)</w:t>
            </w:r>
          </w:p>
        </w:tc>
        <w:tc>
          <w:tcPr>
            <w:tcW w:w="2914" w:type="dxa"/>
          </w:tcPr>
          <w:p w14:paraId="5559C61F"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13 (38.24%)</w:t>
            </w:r>
          </w:p>
        </w:tc>
      </w:tr>
      <w:tr w:rsidR="00E705FD" w:rsidRPr="00E705FD" w14:paraId="76732198" w14:textId="77777777" w:rsidTr="00AE1FA6">
        <w:tc>
          <w:tcPr>
            <w:tcW w:w="3371" w:type="dxa"/>
          </w:tcPr>
          <w:p w14:paraId="10F2AD76"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unclear</w:t>
            </w:r>
          </w:p>
        </w:tc>
        <w:tc>
          <w:tcPr>
            <w:tcW w:w="3203" w:type="dxa"/>
          </w:tcPr>
          <w:p w14:paraId="48F54323"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6 (24%)</w:t>
            </w:r>
          </w:p>
        </w:tc>
        <w:tc>
          <w:tcPr>
            <w:tcW w:w="2914" w:type="dxa"/>
          </w:tcPr>
          <w:p w14:paraId="041D6332"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9 (26.47%)</w:t>
            </w:r>
          </w:p>
        </w:tc>
      </w:tr>
      <w:tr w:rsidR="00E705FD" w:rsidRPr="00E705FD" w14:paraId="012363E8" w14:textId="77777777" w:rsidTr="00AE1FA6">
        <w:tc>
          <w:tcPr>
            <w:tcW w:w="3371" w:type="dxa"/>
          </w:tcPr>
          <w:p w14:paraId="39DCB968"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Total</w:t>
            </w:r>
          </w:p>
        </w:tc>
        <w:tc>
          <w:tcPr>
            <w:tcW w:w="3203" w:type="dxa"/>
          </w:tcPr>
          <w:p w14:paraId="63C1A7EA"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25 (100%)</w:t>
            </w:r>
          </w:p>
        </w:tc>
        <w:tc>
          <w:tcPr>
            <w:tcW w:w="2914" w:type="dxa"/>
          </w:tcPr>
          <w:p w14:paraId="1753B3BF"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34 (100%)</w:t>
            </w:r>
          </w:p>
        </w:tc>
      </w:tr>
    </w:tbl>
    <w:p w14:paraId="45BC73A1" w14:textId="77777777" w:rsidR="00E705FD" w:rsidRPr="00E705FD" w:rsidRDefault="00E705FD" w:rsidP="00E705FD">
      <w:pPr>
        <w:spacing w:before="60" w:after="120" w:line="240" w:lineRule="auto"/>
        <w:jc w:val="both"/>
        <w:rPr>
          <w:rFonts w:ascii="Times New Roman" w:eastAsia="Times New Roman" w:hAnsi="Times New Roman" w:cs="Times New Roman"/>
          <w:sz w:val="20"/>
          <w:szCs w:val="20"/>
          <w:lang w:val="en-US"/>
        </w:rPr>
      </w:pPr>
    </w:p>
    <w:p w14:paraId="6BB29D04" w14:textId="0C2CDD50" w:rsidR="00E705FD" w:rsidRDefault="00E705FD" w:rsidP="00E705FD">
      <w:pPr>
        <w:spacing w:before="60" w:after="120" w:line="240" w:lineRule="auto"/>
        <w:jc w:val="both"/>
        <w:rPr>
          <w:rFonts w:ascii="Times New Roman" w:eastAsia="Times New Roman" w:hAnsi="Times New Roman" w:cs="Times New Roman"/>
          <w:sz w:val="20"/>
          <w:szCs w:val="20"/>
          <w:lang w:val="en-US"/>
        </w:rPr>
      </w:pPr>
      <w:r w:rsidRPr="00E705FD">
        <w:rPr>
          <w:rFonts w:ascii="Times New Roman" w:eastAsia="Times New Roman" w:hAnsi="Times New Roman" w:cs="Times New Roman"/>
          <w:sz w:val="20"/>
          <w:szCs w:val="20"/>
          <w:lang w:val="en-US"/>
        </w:rPr>
        <w:t xml:space="preserve">Pathological review was unclear (whether local or central) for 6 trials.  </w:t>
      </w:r>
    </w:p>
    <w:p w14:paraId="30331065" w14:textId="05822D47" w:rsidR="00E705FD" w:rsidRDefault="00E705FD" w:rsidP="00E705FD">
      <w:pPr>
        <w:spacing w:before="60" w:after="120" w:line="240" w:lineRule="auto"/>
        <w:jc w:val="both"/>
        <w:rPr>
          <w:rFonts w:ascii="Times New Roman" w:eastAsia="Times New Roman" w:hAnsi="Times New Roman" w:cs="Times New Roman"/>
          <w:sz w:val="20"/>
          <w:szCs w:val="20"/>
          <w:lang w:val="en-US"/>
        </w:rPr>
      </w:pPr>
    </w:p>
    <w:p w14:paraId="6E0F9FDB" w14:textId="08C39AF1" w:rsidR="00E705FD" w:rsidRDefault="00E705FD" w:rsidP="00E705FD">
      <w:pPr>
        <w:spacing w:before="60" w:after="120" w:line="240" w:lineRule="auto"/>
        <w:jc w:val="both"/>
        <w:rPr>
          <w:rFonts w:ascii="Times New Roman" w:eastAsia="Times New Roman" w:hAnsi="Times New Roman" w:cs="Times New Roman"/>
          <w:sz w:val="20"/>
          <w:szCs w:val="20"/>
          <w:lang w:val="en-US"/>
        </w:rPr>
      </w:pPr>
    </w:p>
    <w:p w14:paraId="531BBF81" w14:textId="77777777" w:rsidR="00E705FD" w:rsidRPr="00E705FD" w:rsidRDefault="00E705FD" w:rsidP="00E705FD">
      <w:pPr>
        <w:spacing w:before="60" w:after="120" w:line="240" w:lineRule="auto"/>
        <w:jc w:val="both"/>
        <w:rPr>
          <w:rFonts w:ascii="Times New Roman" w:eastAsia="Times New Roman" w:hAnsi="Times New Roman" w:cs="Times New Roman"/>
          <w:sz w:val="20"/>
          <w:szCs w:val="20"/>
          <w:lang w:val="en-US"/>
        </w:rPr>
      </w:pPr>
    </w:p>
    <w:p w14:paraId="124CCE58" w14:textId="3AA4290C" w:rsidR="001B288F" w:rsidRDefault="001B288F" w:rsidP="001B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2"/>
        <w:gridCol w:w="1763"/>
        <w:gridCol w:w="2561"/>
      </w:tblGrid>
      <w:tr w:rsidR="001B288F" w14:paraId="647FC85A" w14:textId="77777777" w:rsidTr="001B288F">
        <w:tc>
          <w:tcPr>
            <w:tcW w:w="4957" w:type="dxa"/>
          </w:tcPr>
          <w:p w14:paraId="2794C7FB"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 xml:space="preserve">Primary endpoint </w:t>
            </w:r>
          </w:p>
          <w:p w14:paraId="11C8C300" w14:textId="77777777" w:rsidR="001B288F" w:rsidRPr="001B288F" w:rsidRDefault="001B288F" w:rsidP="001B288F">
            <w:pPr>
              <w:rPr>
                <w:rFonts w:ascii="Times New Roman" w:hAnsi="Times New Roman" w:cs="Times New Roman"/>
                <w:b/>
                <w:bCs/>
                <w:sz w:val="16"/>
                <w:szCs w:val="16"/>
              </w:rPr>
            </w:pPr>
          </w:p>
        </w:tc>
        <w:tc>
          <w:tcPr>
            <w:tcW w:w="1842" w:type="dxa"/>
          </w:tcPr>
          <w:p w14:paraId="5DED902B"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trial (%)</w:t>
            </w:r>
          </w:p>
        </w:tc>
        <w:tc>
          <w:tcPr>
            <w:tcW w:w="2689" w:type="dxa"/>
          </w:tcPr>
          <w:p w14:paraId="7DC0B229"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row (%)</w:t>
            </w:r>
          </w:p>
        </w:tc>
      </w:tr>
      <w:tr w:rsidR="001B288F" w14:paraId="0F600A1B" w14:textId="77777777" w:rsidTr="001B288F">
        <w:tc>
          <w:tcPr>
            <w:tcW w:w="4957" w:type="dxa"/>
          </w:tcPr>
          <w:p w14:paraId="15360F7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Progression-Free Rate/Survival Rate at 3 months</w:t>
            </w:r>
          </w:p>
        </w:tc>
        <w:tc>
          <w:tcPr>
            <w:tcW w:w="1842" w:type="dxa"/>
          </w:tcPr>
          <w:p w14:paraId="55FC423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9 (36%)</w:t>
            </w:r>
          </w:p>
        </w:tc>
        <w:tc>
          <w:tcPr>
            <w:tcW w:w="2689" w:type="dxa"/>
          </w:tcPr>
          <w:p w14:paraId="498506B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10 (29.41%)</w:t>
            </w:r>
          </w:p>
        </w:tc>
      </w:tr>
      <w:tr w:rsidR="001B288F" w14:paraId="3A40FE44" w14:textId="77777777" w:rsidTr="001B288F">
        <w:tc>
          <w:tcPr>
            <w:tcW w:w="4957" w:type="dxa"/>
          </w:tcPr>
          <w:p w14:paraId="72705CF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Progression-Free Survival</w:t>
            </w:r>
          </w:p>
        </w:tc>
        <w:tc>
          <w:tcPr>
            <w:tcW w:w="1842" w:type="dxa"/>
          </w:tcPr>
          <w:p w14:paraId="5BAA46B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7 (28%)</w:t>
            </w:r>
          </w:p>
        </w:tc>
        <w:tc>
          <w:tcPr>
            <w:tcW w:w="2689" w:type="dxa"/>
          </w:tcPr>
          <w:p w14:paraId="2E66D68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10 (29.41%)</w:t>
            </w:r>
          </w:p>
        </w:tc>
      </w:tr>
      <w:tr w:rsidR="001B288F" w14:paraId="3F2081DB" w14:textId="77777777" w:rsidTr="001B288F">
        <w:tc>
          <w:tcPr>
            <w:tcW w:w="4957" w:type="dxa"/>
          </w:tcPr>
          <w:p w14:paraId="6A674EE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Overall Survival</w:t>
            </w:r>
          </w:p>
        </w:tc>
        <w:tc>
          <w:tcPr>
            <w:tcW w:w="1842" w:type="dxa"/>
          </w:tcPr>
          <w:p w14:paraId="184A790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(16%)</w:t>
            </w:r>
          </w:p>
        </w:tc>
        <w:tc>
          <w:tcPr>
            <w:tcW w:w="2689" w:type="dxa"/>
          </w:tcPr>
          <w:p w14:paraId="7C114F6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8 (23.53%)</w:t>
            </w:r>
          </w:p>
        </w:tc>
      </w:tr>
      <w:tr w:rsidR="001B288F" w14:paraId="120471E9" w14:textId="77777777" w:rsidTr="001B288F">
        <w:tc>
          <w:tcPr>
            <w:tcW w:w="4957" w:type="dxa"/>
          </w:tcPr>
          <w:p w14:paraId="5D227B3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Clinical Benefit Rate</w:t>
            </w:r>
          </w:p>
        </w:tc>
        <w:tc>
          <w:tcPr>
            <w:tcW w:w="1842" w:type="dxa"/>
          </w:tcPr>
          <w:p w14:paraId="0EDD997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(12%)</w:t>
            </w:r>
          </w:p>
        </w:tc>
        <w:tc>
          <w:tcPr>
            <w:tcW w:w="2689" w:type="dxa"/>
          </w:tcPr>
          <w:p w14:paraId="6656263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(8.82%)</w:t>
            </w:r>
          </w:p>
        </w:tc>
      </w:tr>
      <w:tr w:rsidR="001B288F" w14:paraId="1415F54F" w14:textId="77777777" w:rsidTr="001B288F">
        <w:tc>
          <w:tcPr>
            <w:tcW w:w="4957" w:type="dxa"/>
          </w:tcPr>
          <w:p w14:paraId="4F92A30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Progression-Free Rate/Survival Rate at 6 months</w:t>
            </w:r>
          </w:p>
        </w:tc>
        <w:tc>
          <w:tcPr>
            <w:tcW w:w="1842" w:type="dxa"/>
          </w:tcPr>
          <w:p w14:paraId="478523E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689" w:type="dxa"/>
          </w:tcPr>
          <w:p w14:paraId="59BF1F0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(5.88%)</w:t>
            </w:r>
          </w:p>
        </w:tc>
      </w:tr>
      <w:tr w:rsidR="001B288F" w14:paraId="7FA9D440" w14:textId="77777777" w:rsidTr="001B288F">
        <w:tc>
          <w:tcPr>
            <w:tcW w:w="4957" w:type="dxa"/>
          </w:tcPr>
          <w:p w14:paraId="2970A02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Response Rate</w:t>
            </w:r>
          </w:p>
        </w:tc>
        <w:tc>
          <w:tcPr>
            <w:tcW w:w="1842" w:type="dxa"/>
          </w:tcPr>
          <w:p w14:paraId="60BCEAC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(4%)</w:t>
            </w:r>
          </w:p>
        </w:tc>
        <w:tc>
          <w:tcPr>
            <w:tcW w:w="2689" w:type="dxa"/>
          </w:tcPr>
          <w:p w14:paraId="4A88DD9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r>
      <w:tr w:rsidR="001B288F" w14:paraId="4E0A0775" w14:textId="77777777" w:rsidTr="001B288F">
        <w:tc>
          <w:tcPr>
            <w:tcW w:w="4957" w:type="dxa"/>
          </w:tcPr>
          <w:p w14:paraId="314098C2" w14:textId="77777777" w:rsidR="001B288F" w:rsidRPr="001B288F" w:rsidRDefault="001B288F" w:rsidP="001B288F">
            <w:pPr>
              <w:rPr>
                <w:rFonts w:ascii="Times New Roman" w:hAnsi="Times New Roman" w:cs="Times New Roman"/>
                <w:sz w:val="16"/>
                <w:szCs w:val="16"/>
              </w:rPr>
            </w:pPr>
            <w:bookmarkStart w:id="8" w:name="_Hlk48301950"/>
            <w:r w:rsidRPr="001B288F">
              <w:rPr>
                <w:rFonts w:ascii="Times New Roman" w:hAnsi="Times New Roman" w:cs="Times New Roman"/>
                <w:sz w:val="16"/>
                <w:szCs w:val="16"/>
              </w:rPr>
              <w:t>Total</w:t>
            </w:r>
          </w:p>
        </w:tc>
        <w:tc>
          <w:tcPr>
            <w:tcW w:w="1842" w:type="dxa"/>
          </w:tcPr>
          <w:p w14:paraId="1631078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25 (100%)</w:t>
            </w:r>
          </w:p>
        </w:tc>
        <w:tc>
          <w:tcPr>
            <w:tcW w:w="2689" w:type="dxa"/>
          </w:tcPr>
          <w:p w14:paraId="71FB3AC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34 (100%)</w:t>
            </w:r>
          </w:p>
        </w:tc>
      </w:tr>
      <w:bookmarkEnd w:id="8"/>
    </w:tbl>
    <w:p w14:paraId="71CCEB64" w14:textId="77777777" w:rsidR="001B288F" w:rsidRDefault="001B288F" w:rsidP="001B288F"/>
    <w:p w14:paraId="5D6F5E00" w14:textId="77777777"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 xml:space="preserve">The most common primary endpoints per trial were Progression-Free Rate/Survival Rate at 3 months and Progression-Free Survival (9 and 7 times, respectively). </w:t>
      </w:r>
    </w:p>
    <w:p w14:paraId="14761DD0" w14:textId="77777777" w:rsidR="001B288F" w:rsidRDefault="001B288F" w:rsidP="001B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861"/>
        <w:gridCol w:w="1130"/>
        <w:gridCol w:w="1280"/>
        <w:gridCol w:w="1259"/>
        <w:gridCol w:w="1262"/>
        <w:gridCol w:w="1262"/>
      </w:tblGrid>
      <w:tr w:rsidR="001B288F" w14:paraId="019066D3" w14:textId="77777777" w:rsidTr="001B288F">
        <w:tc>
          <w:tcPr>
            <w:tcW w:w="2080" w:type="dxa"/>
          </w:tcPr>
          <w:p w14:paraId="1262790D" w14:textId="77777777" w:rsidR="001B288F" w:rsidRPr="001B288F" w:rsidRDefault="001B288F" w:rsidP="001B288F">
            <w:pPr>
              <w:jc w:val="center"/>
              <w:rPr>
                <w:rFonts w:ascii="Times New Roman" w:hAnsi="Times New Roman" w:cs="Times New Roman"/>
                <w:b/>
                <w:bCs/>
                <w:sz w:val="16"/>
                <w:szCs w:val="16"/>
              </w:rPr>
            </w:pPr>
            <w:r w:rsidRPr="001B288F">
              <w:rPr>
                <w:rFonts w:ascii="Times New Roman" w:hAnsi="Times New Roman" w:cs="Times New Roman"/>
                <w:b/>
                <w:bCs/>
                <w:sz w:val="16"/>
                <w:szCs w:val="16"/>
              </w:rPr>
              <w:t>Summary statistics for % of evaluable LPS patients</w:t>
            </w:r>
          </w:p>
          <w:p w14:paraId="66CA9BF2" w14:textId="77777777" w:rsidR="001B288F" w:rsidRPr="001B288F" w:rsidRDefault="001B288F" w:rsidP="001B288F">
            <w:pPr>
              <w:rPr>
                <w:rFonts w:ascii="Times New Roman" w:hAnsi="Times New Roman" w:cs="Times New Roman"/>
                <w:b/>
                <w:bCs/>
                <w:sz w:val="16"/>
                <w:szCs w:val="16"/>
              </w:rPr>
            </w:pPr>
          </w:p>
        </w:tc>
        <w:tc>
          <w:tcPr>
            <w:tcW w:w="892" w:type="dxa"/>
          </w:tcPr>
          <w:p w14:paraId="05CD83E9"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Min.</w:t>
            </w:r>
          </w:p>
        </w:tc>
        <w:tc>
          <w:tcPr>
            <w:tcW w:w="1191" w:type="dxa"/>
          </w:tcPr>
          <w:p w14:paraId="384A31D3"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1</w:t>
            </w:r>
            <w:r w:rsidRPr="001B288F">
              <w:rPr>
                <w:rFonts w:ascii="Times New Roman" w:hAnsi="Times New Roman" w:cs="Times New Roman"/>
                <w:b/>
                <w:bCs/>
                <w:sz w:val="16"/>
                <w:szCs w:val="16"/>
                <w:vertAlign w:val="superscript"/>
              </w:rPr>
              <w:t>st</w:t>
            </w:r>
            <w:r w:rsidRPr="001B288F">
              <w:rPr>
                <w:rFonts w:ascii="Times New Roman" w:hAnsi="Times New Roman" w:cs="Times New Roman"/>
                <w:b/>
                <w:bCs/>
                <w:sz w:val="16"/>
                <w:szCs w:val="16"/>
              </w:rPr>
              <w:t xml:space="preserve"> Qu.</w:t>
            </w:r>
          </w:p>
        </w:tc>
        <w:tc>
          <w:tcPr>
            <w:tcW w:w="1339" w:type="dxa"/>
          </w:tcPr>
          <w:p w14:paraId="11663DA1"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 xml:space="preserve">Median </w:t>
            </w:r>
          </w:p>
        </w:tc>
        <w:tc>
          <w:tcPr>
            <w:tcW w:w="1330" w:type="dxa"/>
          </w:tcPr>
          <w:p w14:paraId="1A56F207"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 xml:space="preserve">Mean </w:t>
            </w:r>
          </w:p>
        </w:tc>
        <w:tc>
          <w:tcPr>
            <w:tcW w:w="1328" w:type="dxa"/>
          </w:tcPr>
          <w:p w14:paraId="148FB449"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3</w:t>
            </w:r>
            <w:r w:rsidRPr="001B288F">
              <w:rPr>
                <w:rFonts w:ascii="Times New Roman" w:hAnsi="Times New Roman" w:cs="Times New Roman"/>
                <w:b/>
                <w:bCs/>
                <w:sz w:val="16"/>
                <w:szCs w:val="16"/>
                <w:vertAlign w:val="superscript"/>
              </w:rPr>
              <w:t>rd</w:t>
            </w:r>
            <w:r w:rsidRPr="001B288F">
              <w:rPr>
                <w:rFonts w:ascii="Times New Roman" w:hAnsi="Times New Roman" w:cs="Times New Roman"/>
                <w:b/>
                <w:bCs/>
                <w:sz w:val="16"/>
                <w:szCs w:val="16"/>
              </w:rPr>
              <w:t xml:space="preserve"> Qu.</w:t>
            </w:r>
          </w:p>
        </w:tc>
        <w:tc>
          <w:tcPr>
            <w:tcW w:w="1328" w:type="dxa"/>
          </w:tcPr>
          <w:p w14:paraId="680421C5"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Max.</w:t>
            </w:r>
          </w:p>
        </w:tc>
      </w:tr>
      <w:tr w:rsidR="001B288F" w14:paraId="20F9D8DE" w14:textId="77777777" w:rsidTr="001B288F">
        <w:tc>
          <w:tcPr>
            <w:tcW w:w="2080" w:type="dxa"/>
          </w:tcPr>
          <w:p w14:paraId="1BC5617B" w14:textId="3AE2028B"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Over total patients registered</w:t>
            </w:r>
          </w:p>
        </w:tc>
        <w:tc>
          <w:tcPr>
            <w:tcW w:w="892" w:type="dxa"/>
          </w:tcPr>
          <w:p w14:paraId="7E39615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4.28</w:t>
            </w:r>
          </w:p>
        </w:tc>
        <w:tc>
          <w:tcPr>
            <w:tcW w:w="1191" w:type="dxa"/>
          </w:tcPr>
          <w:p w14:paraId="7A57E15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9.22</w:t>
            </w:r>
          </w:p>
        </w:tc>
        <w:tc>
          <w:tcPr>
            <w:tcW w:w="1339" w:type="dxa"/>
          </w:tcPr>
          <w:p w14:paraId="186BC42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18.42</w:t>
            </w:r>
          </w:p>
        </w:tc>
        <w:tc>
          <w:tcPr>
            <w:tcW w:w="1330" w:type="dxa"/>
          </w:tcPr>
          <w:p w14:paraId="7951036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25.90</w:t>
            </w:r>
          </w:p>
        </w:tc>
        <w:tc>
          <w:tcPr>
            <w:tcW w:w="1328" w:type="dxa"/>
          </w:tcPr>
          <w:p w14:paraId="33FB79B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30.77</w:t>
            </w:r>
          </w:p>
        </w:tc>
        <w:tc>
          <w:tcPr>
            <w:tcW w:w="1328" w:type="dxa"/>
          </w:tcPr>
          <w:p w14:paraId="5178C3B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100.00</w:t>
            </w:r>
          </w:p>
        </w:tc>
      </w:tr>
      <w:tr w:rsidR="001B288F" w14:paraId="2F4034F6" w14:textId="77777777" w:rsidTr="001B288F">
        <w:tc>
          <w:tcPr>
            <w:tcW w:w="2080" w:type="dxa"/>
          </w:tcPr>
          <w:p w14:paraId="2C0180C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Over LPS patients registered</w:t>
            </w:r>
          </w:p>
        </w:tc>
        <w:tc>
          <w:tcPr>
            <w:tcW w:w="892" w:type="dxa"/>
          </w:tcPr>
          <w:p w14:paraId="50B5709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90.32</w:t>
            </w:r>
          </w:p>
        </w:tc>
        <w:tc>
          <w:tcPr>
            <w:tcW w:w="1191" w:type="dxa"/>
          </w:tcPr>
          <w:p w14:paraId="5BAD09B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98.33</w:t>
            </w:r>
          </w:p>
        </w:tc>
        <w:tc>
          <w:tcPr>
            <w:tcW w:w="1339" w:type="dxa"/>
          </w:tcPr>
          <w:p w14:paraId="185AF93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100.00</w:t>
            </w:r>
          </w:p>
        </w:tc>
        <w:tc>
          <w:tcPr>
            <w:tcW w:w="1330" w:type="dxa"/>
          </w:tcPr>
          <w:p w14:paraId="75187CB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98.46</w:t>
            </w:r>
          </w:p>
        </w:tc>
        <w:tc>
          <w:tcPr>
            <w:tcW w:w="1328" w:type="dxa"/>
          </w:tcPr>
          <w:p w14:paraId="477647D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100.00</w:t>
            </w:r>
          </w:p>
        </w:tc>
        <w:tc>
          <w:tcPr>
            <w:tcW w:w="1328" w:type="dxa"/>
          </w:tcPr>
          <w:p w14:paraId="1FAF9DA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100.00</w:t>
            </w:r>
          </w:p>
        </w:tc>
      </w:tr>
    </w:tbl>
    <w:p w14:paraId="4D3C8FAB" w14:textId="71222AFC"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 xml:space="preserve">Liposarcomas (evaluable patients only) represent on average 25.90% of the total sample size for soft-tissue sarcomas in these trials – a non-negligible percentage. Four of the 25 trials (Dickson 2013 and 2016, </w:t>
      </w:r>
      <w:proofErr w:type="spellStart"/>
      <w:r w:rsidRPr="001B288F">
        <w:rPr>
          <w:rFonts w:ascii="Times New Roman" w:hAnsi="Times New Roman" w:cs="Times New Roman"/>
          <w:sz w:val="20"/>
          <w:szCs w:val="20"/>
        </w:rPr>
        <w:t>Toulmonde</w:t>
      </w:r>
      <w:proofErr w:type="spellEnd"/>
      <w:r w:rsidRPr="001B288F">
        <w:rPr>
          <w:rFonts w:ascii="Times New Roman" w:hAnsi="Times New Roman" w:cs="Times New Roman"/>
          <w:sz w:val="20"/>
          <w:szCs w:val="20"/>
        </w:rPr>
        <w:t xml:space="preserve"> 2015 and Samuels 2017) were designed exclusively for LPS </w:t>
      </w:r>
      <w:r w:rsidRPr="001B288F">
        <w:rPr>
          <w:rFonts w:ascii="Times New Roman" w:hAnsi="Times New Roman" w:cs="Times New Roman"/>
          <w:sz w:val="20"/>
          <w:szCs w:val="20"/>
        </w:rPr>
        <w:fldChar w:fldCharType="begin" w:fldLock="1"/>
      </w:r>
      <w:r w:rsidR="00826352">
        <w:rPr>
          <w:rFonts w:ascii="Times New Roman" w:hAnsi="Times New Roman" w:cs="Times New Roman"/>
          <w:sz w:val="20"/>
          <w:szCs w:val="20"/>
        </w:rPr>
        <w:instrText>ADDIN CSL_CITATION {"citationItems":[{"id":"ITEM-1","itemData":{"DOI":"10.1200/JCO.2012.46.5476","ISSN":"15277755","PMID":"23569312","abstract":"Purpose: CDK4 is amplified in 90% of well-differentiated (WDLS) and dedifferentiated liposarcomas (DDLS). The selective cyclin-dependent kinase 4 (CDK4)/CDK6 inhibitor PD0332991 inhibits growth and induces senescence in cell lines and xenografts. In a phase I trial of PD0332991, several patients with WDLS or DDLS experienced prolonged stable disease. We performed an open-label phase II study to determine the safety and efficacy of PD0332991 in patients with advanced WDLS/DDLS. Patients and Methods: Patients age 18 years experiencing disease progression while receiving systemic therapy before enrollment received PD0332991 200 mg orally once per day for 14 consecutive days in 21-day cycles. All were required to have CDK4 amplification by fluorescence in situ hybridization and retinoblastoma protein (RB) expression by immunohistochemistry ( 1). The primary end point was progression-free survival (PFS) at 12 weeks, with 12-week PFS of 40% considered promising and 20% not promising. If nine of 28 patients were progression free at 12 weeks, PD0332991 would be considered active. Results: We screened 48 patients (44 of 48 had CDK4 amplification; 41 of 44 were RB positive). Of those, 30 were enrolled, and 29 were evaluable for the primary end point. Grade 3 to 4 events included anemia (17%), thrombocytopenia (30%), neutropenia (50%), and febrile neutropenia (3%). At 12 weeks, PFS was 66% (90% CI, 51% to 100%), significantly exceeding the primary end point. The median PFS was 18 weeks. There was one partial response. Conclusion: Treatment with the CDK4 inhibitor PD0332991 was associated with a favorable progression-free rate in patients with CDK4-amplified and RB-expressing WDLS/DDLS who had progressive disease despite systemic therapy.","author":[{"dropping-particle":"","family":"Dickson","given":"Mark A.","non-dropping-particle":"","parse-names":false,"suffix":""},{"dropping-particle":"","family":"Tap","given":"William D.","non-dropping-particle":"","parse-names":false,"suffix":""},{"dropping-particle":"","family":"Keohan","given":"Mary Louise","non-dropping-particle":"","parse-names":false,"suffix":""},{"dropping-particle":"","family":"D’Angelo","given":"Sandra P.","non-dropping-particle":"","parse-names":false,"suffix":""},{"dropping-particle":"","family":"Gounder","given":"Mrinal M.","non-dropping-particle":"","parse-names":false,"suffix":""},{"dropping-particle":"","family":"Antonescu","given":"Cristina R.","non-dropping-particle":"","parse-names":false,"suffix":""},{"dropping-particle":"","family":"Landa","given":"Jonathan","non-dropping-particle":"","parse-names":false,"suffix":""},{"dropping-particle":"","family":"Qin","given":"Li Xuan","non-dropping-particle":"","parse-names":false,"suffix":""},{"dropping-particle":"","family":"Rathbone","given":"Dustin D.","non-dropping-particle":"","parse-names":false,"suffix":""},{"dropping-particle":"","family":"Condy","given":"Mercedes M.","non-dropping-particle":"","parse-names":false,"suffix":""},{"dropping-particle":"","family":"Ustoyev","given":"Yelena","non-dropping-particle":"","parse-names":false,"suffix":""},{"dropping-particle":"","family":"Crago","given":"Aimee M.","non-dropping-particle":"","parse-names":false,"suffix":""},{"dropping-particle":"","family":"Singer","given":"Samuel","non-dropping-particle":"","parse-names":false,"suffix":""},{"dropping-particle":"","family":"Schwartz","given":"Gary K.","non-dropping-particle":"","parse-names":false,"suffix":""}],"container-title":"Journal of Clinical Oncology","id":"ITEM-1","issue":"16","issued":{"date-parts":[["2013"]]},"page":"2024-2028","title":"Phase II trial of the CDK4 inhibitor PD0332991 in patients with advanced CDK4-amplified well-differentiated or dedifferentiated liposarcoma","type":"article-journal","volume":"31"},"uris":["http://www.mendeley.com/documents/?uuid=e621da90-10c6-402b-aea4-cc01d4895b4d"]},{"id":"ITEM-2","itemData":{"DOI":"10.1001/jamaoncol.2016.0264","ISSN":"23742445","PMID":"27124835","abstract":"Importance; More than 90% of well-differentiated or dedifferentiated liposarcomas (WD/DDLS) have CDK4 amplification. The selective CDK4 and CDK6 inhibitor palbociclib inhibits growth and induces senescence in liposarcoma cell lines and xenografts. Our prior phase 2 study demonstrated that treatment with palbociclib (200mg daily for 14 days every 21 days) resulted in clinical benefit in WD/DDLS but moderate hematologic toxic effects. It is important to understand whether palbociclib at a new dose and schedule-125mg daily for 21 days every 28 days-results in clinical benefit and manageable toxic effects. Objective: To determine the progression-free survival (PFS) at 12 weeks of patients with WD/DDLS treated with palbociclib (PD0332991). Design, Setting, and Participants: In this phase 2, nonrandomized, open-label clinical trial conducted at the Memorial Sloan Kettering Cancer Center, 60 patients 18 years and older with advanced WD/DDLS and measurable disease by RECIST 1.1 were enrolled from December 2011 to January 2014 and followed to March 2015. Patients received oral palbociclib at 125mg daily for 21 days in 28-day cycles. Main Outcomes and Measures: Primary end pointwas PFS. Secondary end points included response rate and toxic effects. Results Overall, 30 patients were enrolled in the initial cohort and 30 more in an expansion cohort. Median (range) age was 61.5 (35-87) years; 31 patients (52%) were male; median (range) Eastern Cooperative Oncology Group score was 0 (0-1). Progression-free survival at 12 weeks was 57.2%(2-sided 95%CI, 42.4%-68.8%), and the median PFS was 17.9 weeks (2-sided 95%CI, 11.9-24.0 weeks). There was 1 complete response. Toxic effects were primarily hematologic and included neutropenia (grade 3, n = 20 [33%]; grade 4, n = 2 [3%]) but no neutropenic fever. Conclusions and Relevance In patients with advancedWD/DDLS, treatment with palbociclib was associated with a favorable PFS and occasional tumor response. This dose and schedule appears active and may have less toxic effects than 200mg for 14 days.","author":[{"dropping-particle":"","family":"Dickson","given":"Mark A.","non-dropping-particle":"","parse-names":false,"suffix":""},{"dropping-particle":"","family":"Schwartz","given":"Gary K.","non-dropping-particle":"","parse-names":false,"suffix":""},{"dropping-particle":"","family":"Louise Keohan","given":"Mary","non-dropping-particle":"","parse-names":false,"suffix":""},{"dropping-particle":"","family":"D'Angelo","given":"Sandra P.","non-dropping-particle":"","parse-names":false,"suffix":""},{"dropping-particle":"","family":"Gounder","given":"Mrinal M.","non-dropping-particle":"","parse-names":false,"suffix":""},{"dropping-particle":"","family":"Chi","given":"Ping","non-dropping-particle":"","parse-names":false,"suffix":""},{"dropping-particle":"","family":"Antonescu","given":"Cristina R.","non-dropping-particle":"","parse-names":false,"suffix":""},{"dropping-particle":"","family":"Landa","given":"Jonathan","non-dropping-particle":"","parse-names":false,"suffix":""},{"dropping-particle":"","family":"Qin","given":"Li Xuan","non-dropping-particle":"","parse-names":false,"suffix":""},{"dropping-particle":"","family":"Crago","given":"Aimee M.","non-dropping-particle":"","parse-names":false,"suffix":""},{"dropping-particle":"","family":"Singer","given":"Samuel","non-dropping-particle":"","parse-names":false,"suffix":""},{"dropping-particle":"","family":"Koff","given":"Andrew","non-dropping-particle":"","parse-names":false,"suffix":""},{"dropping-particle":"","family":"Tap","given":"William D.","non-dropping-particle":"","parse-names":false,"suffix":""}],"container-title":"JAMA oncology","id":"ITEM-2","issue":"7","issued":{"date-parts":[["2016"]]},"page":"937-940","title":"Phase 2 Trial of the CDK4 inhibitor Palbociclib (PD0332991) at 125 mg dose in Well-Differentiated or Dedifferentiated Liposarcoma","type":"article-journal","volume":"2"},"uris":["http://www.mendeley.com/documents/?uuid=fb991845-ab6e-4f5d-90a5-7c5048ec3f70"]},{"id":"ITEM-3","itemData":{"DOI":"10.1093/annonc/mdv195","ISSN":"15698041","PMID":"26041763","abstract":"Background: Preclinical data have suggested a therapeutic role of JUN pathway activation in dedifferentiated liposarcoma (DDLPS) tumorigenesis. Aplidin® is a drug inducing apoptosis through a strong, sustained activation of c-Jun NH2-terminal kinase. Methods: This phase II trial included patients with progressive advanced DDLPS. They received Aplidin® 5 mg/m2 days 1-15, 28-day cycle until disease progression or unacceptable toxicity. The primary end point was the 3-month nonprogression rate (PFS3) defined as the proportion of patients with nonprogressive disease at 3 months. A PFS3 of 40% considered as a reasonable objective to claim drug efficacy. Results: Between August 2012 and May 2013, 24 patients were included. Sixteen had received prior chemotherapy. Twenty-two were assessable for efficacy. The PFS3 was 9.1% [95% confidence interval (CI) 1.1-29.2]. Median progression-free and overall survivals were 1.6 months (95% CI 1.4-2.6) and 9.2 months (95% CI 6.6-). The most frequent adverse events of any grade were nausea, fatigue, anorexia, vomiting and diarrhea. Conclusion: Aplidin® did not meet the primary end point of this trial and do not deserve further investigation in DDLPS.","author":[{"dropping-particle":"","family":"Toulmonde","given":"M.","non-dropping-particle":"","parse-names":false,"suffix":""},{"dropping-particle":"","family":"Cesne","given":"A.","non-dropping-particle":"Le","parse-names":false,"suffix":""},{"dropping-particle":"","family":"Piperno-Neumann","given":"S.","non-dropping-particle":"","parse-names":false,"suffix":""},{"dropping-particle":"","family":"Penel","given":"N.","non-dropping-particle":"","parse-names":false,"suffix":""},{"dropping-particle":"","family":"Chevreau","given":"C.","non-dropping-particle":"","parse-names":false,"suffix":""},{"dropping-particle":"","family":"Duffaud","given":"F.","non-dropping-particle":"","parse-names":false,"suffix":""},{"dropping-particle":"","family":"Bellera","given":"C.","non-dropping-particle":"","parse-names":false,"suffix":""},{"dropping-particle":"","family":"Italiano","given":"Antoine","non-dropping-particle":"","parse-names":false,"suffix":""}],"container-title":"Annals of Oncology","id":"ITEM-3","issue":"7","issued":{"date-parts":[["2015"]]},"page":"1465-1470","title":"Aplidin in patients with advanced dedifferentiated liposarcomas: A French Sarcoma Group Single-Arm Phase II study","type":"article-journal","volume":"26"},"uris":["http://www.mendeley.com/documents/?uuid=07810660-1252-43a5-bf34-31b882bf8808"]},{"id":"ITEM-4","itemData":{"DOI":"10.1002/cncr.30926","ISSN":"10970142","PMID":"28832986","abstract":"BACKGROUND: This phase 2, single-arm, multicenter study was designed to determine the treatment activity and safety of single-agent pazopanib in patients with unresectable or metastatic liposarcoma. METHODS: Eligible patients had high-grade or intermediate-grade liposarcoma with measurable tumors that were unresectable or metastatic, documented disease progression, and had received any number of prior treatments, excluding previous treatment with a vascular endothelial growth factor inhibitor or a tyrosine kinase inhibitor. Patients received oral pazopanib 800 mg once daily for 28-day cycles. Tumor response was evaluated by local radiology assessments every 3 cycles. The primary endpoint was the progression-free rate (PFR) at 12 weeks (PFR12). RESULTS: Forty-one patients were enrolled. The PFR12 was 68.3% (95% confidence interval [CI], 51.9%-81.9%), which was significantly greater than the null hypothesis value of 40% (P =.0002). At 24 weeks, 39% of patients (95% CI, 24.2%-55.5%) remained progression free, and 44% experienced tumor control (partial response or stable disease). The median progression-free survival was 4.4 months (95% CI, 3.2-6.5 months), and the median overall survival was 12.6 months (95% CI, 8.5-16.2 months). The most common adverse events overall were nausea (39%), hypertension (36.6%), diarrhea (34.1%), and fatigue (29.3%), which were typically less than grade 3. There were 5 deaths on study (12.2%), 3 of which were from possible complications of therapy. CONCLUSIONS: The current study provides evidence of potential activity of pazopanib in the liposarcoma subset of patients with soft tissue sarcoma that was specifically excluded from the phase 3 PALETTE trial of other soft tissue sarcoma types. Cancer 2017;123:4640-4647. © 2017 American Cancer Society.","author":[{"dropping-particle":"","family":"Samuels","given":"Brian L.","non-dropping-particle":"","parse-names":false,"suffix":""},{"dropping-particle":"","family":"Chawla","given":"Sant P.","non-dropping-particle":"","parse-names":false,"suffix":""},{"dropping-particle":"","family":"Somaiah","given":"Neeta","non-dropping-particle":"","parse-names":false,"suffix":""},{"dropping-particle":"","family":"Staddon","given":"Arthur P.","non-dropping-particle":"","parse-names":false,"suffix":""},{"dropping-particle":"","family":"Skubitz","given":"Keith M.","non-dropping-particle":"","parse-names":false,"suffix":""},{"dropping-particle":"","family":"Milhem","given":"Mohammed M.","non-dropping-particle":"","parse-names":false,"suffix":""},{"dropping-particle":"","family":"Kaiser","given":"Pamela E.","non-dropping-particle":"","parse-names":false,"suffix":""},{"dropping-particle":"","family":"Portnoy","given":"David C.","non-dropping-particle":"","parse-names":false,"suffix":""},{"dropping-particle":"","family":"Priebat","given":"Dennis A.","non-dropping-particle":"","parse-names":false,"suffix":""},{"dropping-particle":"","family":"Walker","given":"Mark S.","non-dropping-particle":"","parse-names":false,"suffix":""},{"dropping-particle":"","family":"Stepanski","given":"Edward J.","non-dropping-particle":"","parse-names":false,"suffix":""}],"container-title":"Cancer","id":"ITEM-4","issue":"23","issued":{"date-parts":[["2017"]]},"page":"4640-4647","title":"Results of a prospective phase 2 study of pazopanib in patients with advanced intermediate-grade or high-grade liposarcoma","type":"article-journal","volume":"123"},"uris":["http://www.mendeley.com/documents/?uuid=98595ef4-e8f6-4553-8568-7bbf81f4d0ff"]}],"mendeley":{"formattedCitation":"[6–9]","plainTextFormattedCitation":"[6–9]","previouslyFormattedCitation":"[6–9]"},"properties":{"noteIndex":0},"schema":"https://github.com/citation-style-language/schema/raw/master/csl-citation.json"}</w:instrText>
      </w:r>
      <w:r w:rsidRPr="001B288F">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[6–9]</w:t>
      </w:r>
      <w:r w:rsidRPr="001B288F">
        <w:rPr>
          <w:rFonts w:ascii="Times New Roman" w:hAnsi="Times New Roman" w:cs="Times New Roman"/>
          <w:sz w:val="20"/>
          <w:szCs w:val="20"/>
        </w:rPr>
        <w:fldChar w:fldCharType="end"/>
      </w:r>
      <w:r w:rsidRPr="001B288F">
        <w:rPr>
          <w:rFonts w:ascii="Times New Roman" w:hAnsi="Times New Roman" w:cs="Times New Roman"/>
          <w:sz w:val="20"/>
          <w:szCs w:val="20"/>
        </w:rPr>
        <w:t>.</w:t>
      </w:r>
    </w:p>
    <w:p w14:paraId="276065D8" w14:textId="77777777" w:rsidR="001B288F" w:rsidRPr="001B288F" w:rsidRDefault="001B288F" w:rsidP="001B288F">
      <w:pPr>
        <w:rPr>
          <w:rFonts w:ascii="Times New Roman" w:hAnsi="Times New Roman" w:cs="Times New Roman"/>
          <w:sz w:val="20"/>
          <w:szCs w:val="20"/>
        </w:rPr>
      </w:pPr>
      <w:proofErr w:type="spellStart"/>
      <w:r w:rsidRPr="001B288F">
        <w:rPr>
          <w:rFonts w:ascii="Times New Roman" w:hAnsi="Times New Roman" w:cs="Times New Roman"/>
          <w:sz w:val="20"/>
          <w:szCs w:val="20"/>
        </w:rPr>
        <w:t>Followingly</w:t>
      </w:r>
      <w:proofErr w:type="spellEnd"/>
      <w:r w:rsidRPr="001B288F">
        <w:rPr>
          <w:rFonts w:ascii="Times New Roman" w:hAnsi="Times New Roman" w:cs="Times New Roman"/>
          <w:sz w:val="20"/>
          <w:szCs w:val="20"/>
        </w:rPr>
        <w:t xml:space="preserve">, we show a table regarding the 34 treatments considered per row for this review. </w:t>
      </w:r>
    </w:p>
    <w:p w14:paraId="382FD753" w14:textId="77777777" w:rsidR="001B288F" w:rsidRDefault="001B288F" w:rsidP="001B288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8"/>
        <w:gridCol w:w="2843"/>
        <w:gridCol w:w="2435"/>
      </w:tblGrid>
      <w:tr w:rsidR="001B288F" w14:paraId="53E03D98" w14:textId="77777777" w:rsidTr="001B288F">
        <w:tc>
          <w:tcPr>
            <w:tcW w:w="3953" w:type="dxa"/>
          </w:tcPr>
          <w:p w14:paraId="1E646C69"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Drugs or drug combinations used</w:t>
            </w:r>
          </w:p>
          <w:p w14:paraId="0D9FC925" w14:textId="77777777" w:rsidR="001B288F" w:rsidRPr="001B288F" w:rsidRDefault="001B288F" w:rsidP="001B288F">
            <w:pPr>
              <w:rPr>
                <w:rFonts w:ascii="Times New Roman" w:hAnsi="Times New Roman" w:cs="Times New Roman"/>
                <w:b/>
                <w:bCs/>
                <w:sz w:val="16"/>
                <w:szCs w:val="16"/>
              </w:rPr>
            </w:pPr>
          </w:p>
        </w:tc>
        <w:tc>
          <w:tcPr>
            <w:tcW w:w="3017" w:type="dxa"/>
          </w:tcPr>
          <w:p w14:paraId="45F4517B"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w:t>
            </w:r>
          </w:p>
        </w:tc>
        <w:tc>
          <w:tcPr>
            <w:tcW w:w="2518" w:type="dxa"/>
          </w:tcPr>
          <w:p w14:paraId="48E6A8A2" w14:textId="17293F7B" w:rsidR="001B288F" w:rsidRPr="001B288F" w:rsidRDefault="001B288F" w:rsidP="0000797A">
            <w:pPr>
              <w:rPr>
                <w:rFonts w:ascii="Times New Roman" w:hAnsi="Times New Roman" w:cs="Times New Roman"/>
                <w:b/>
                <w:bCs/>
                <w:sz w:val="16"/>
                <w:szCs w:val="16"/>
              </w:rPr>
            </w:pPr>
            <w:r w:rsidRPr="001B288F">
              <w:rPr>
                <w:rFonts w:ascii="Times New Roman" w:hAnsi="Times New Roman" w:cs="Times New Roman"/>
                <w:b/>
                <w:bCs/>
                <w:sz w:val="16"/>
                <w:szCs w:val="16"/>
              </w:rPr>
              <w:t>Recommended according to ESMO 2021 guidelines</w:t>
            </w:r>
            <w:r w:rsidR="0000797A">
              <w:rPr>
                <w:rFonts w:ascii="Times New Roman" w:hAnsi="Times New Roman" w:cs="Times New Roman"/>
                <w:b/>
                <w:bCs/>
                <w:sz w:val="16"/>
                <w:szCs w:val="16"/>
              </w:rPr>
              <w:t xml:space="preserve"> </w:t>
            </w:r>
            <w:r w:rsidR="0000797A">
              <w:rPr>
                <w:rFonts w:ascii="Times New Roman" w:hAnsi="Times New Roman" w:cs="Times New Roman"/>
                <w:b/>
                <w:bCs/>
                <w:sz w:val="16"/>
                <w:szCs w:val="16"/>
              </w:rPr>
              <w:fldChar w:fldCharType="begin" w:fldLock="1"/>
            </w:r>
            <w:r w:rsidR="0000797A">
              <w:rPr>
                <w:rFonts w:ascii="Times New Roman" w:hAnsi="Times New Roman" w:cs="Times New Roman"/>
                <w:b/>
                <w:bCs/>
                <w:sz w:val="16"/>
                <w:szCs w:val="16"/>
              </w:rPr>
              <w:instrText>ADDIN CSL_CITATION {"citationItems":[{"id":"ITEM-1","itemData":{"DOI":"10.1016/j.annonc.2021.07.006","ISSN":"15698041","PMID":"34303806","author":[{"dropping-particle":"","family":"Gronchi","given":"A.","non-dropping-particle":"","parse-names":false,"suffix":""},{"dropping-particle":"","family":"Miah","given":"A. B.","non-dropping-particle":"","parse-names":false,"suffix":""},{"dropping-particle":"","family":"Dei Tos","given":"A. P.","non-dropping-particle":"","parse-names":false,"suffix":""},{"dropping-particle":"","family":"Abecassis","given":"N.","non-dropping-particle":"","parse-names":false,"suffix":""},{"dropping-particle":"","family":"Bajpai","given":"J.","non-dropping-particle":"","parse-names":false,"suffix":""},{"dropping-particle":"","family":"Bauer","given":"S.","non-dropping-particle":"","parse-names":false,"suffix":""},{"dropping-particle":"","family":"Biagini","given":"R.","non-dropping-particle":"","parse-names":false,"suffix":""},{"dropping-particle":"","family":"Bielack","given":"S.","non-dropping-particle":"","parse-names":false,"suffix":""},{"dropping-particle":"","family":"Blay","given":"J. Y.","non-dropping-particle":"","parse-names":false,"suffix":""},{"dropping-particle":"","family":"Bolle","given":"S.","non-dropping-particle":"","parse-names":false,"suffix":""},{"dropping-particle":"","family":"Bonvalot","given":"S.","non-dropping-particle":"","parse-names":false,"suffix":""},{"dropping-particle":"","family":"Boukovinas","given":"I.","non-dropping-particle":"","parse-names":false,"suffix":""},{"dropping-particle":"","family":"Bovee","given":"J. V.M.G.","non-dropping-particle":"","parse-names":false,"suffix":""},{"dropping-particle":"","family":"Boye","given":"K.","non-dropping-particle":"","parse-names":false,"suffix":""},{"dropping-particle":"","family":"Brennan","given":"B.","non-dropping-particle":"","parse-names":false,"suffix":""},{"dropping-particle":"","family":"Brodowicz","given":"T.","non-dropping-particle":"","parse-names":false,"suffix":""},{"dropping-particle":"","family":"Buonadonna","given":"A.","non-dropping-particle":"","parse-names":false,"suffix":""},{"dropping-particle":"","family":"Álava","given":"E.","non-dropping-particle":"De","parse-names":false,"suffix":""},{"dropping-particle":"","family":"Muro","given":"X. G.","non-dropping-particle":"Del","parse-names":false,"suffix":""},{"dropping-particle":"","family":"Dufresne","given":"A.","non-dropping-particle":"","parse-names":false,"suffix":""},{"dropping-particle":"","family":"Eriksson","given":"M.","non-dropping-particle":"","parse-names":false,"suffix":""},{"dropping-particle":"","family":"Fagioli","given":"F.","non-dropping-particle":"","parse-names":false,"suffix":""},{"dropping-particle":"","family":"Fedenko","given":"A.","non-dropping-particle":"","parse-names":false,"suffix":""},{"dropping-particle":"","family":"Ferraresi","given":"V.","non-dropping-particle":"","parse-names":false,"suffix":""},{"dropping-particle":"","family":"Ferrari","given":"A.","non-dropping-particle":"","parse-names":false,"suffix":""},{"dropping-particle":"","family":"Frezza","given":"A. M.","non-dropping-particle":"","parse-names":false,"suffix":""},{"dropping-particle":"","family":"Gasperoni","given":"S.","non-dropping-particle":"","parse-names":false,"suffix":""},{"dropping-particle":"","family":"Gelderblom","given":"H.","non-dropping-particle":"","parse-names":false,"suffix":""},{"dropping-particle":"","family":"Gouin","given":"F.","non-dropping-particle":"","parse-names":false,"suffix":""},{"dropping-particle":"","family":"Grignani","given":"G.","non-dropping-particle":"","parse-names":false,"suffix":""},{"dropping-particle":"","family":"Haas","given":"R.","non-dropping-particle":"","parse-names":false,"suffix":""},{"dropping-particle":"","family":"Hassan","given":"A. B.","non-dropping-particle":"","parse-names":false,"suffix":""},{"dropping-particle":"","family":"Hecker-Nolting","given":"S.","non-dropping-particle":"","parse-names":false,"suffix":""},{"dropping-particle":"","family":"Hindi","given":"N.","non-dropping-particle":"","parse-names":false,"suffix":""},{"dropping-particle":"","family":"Hohenberger","given":"P.","non-dropping-particle":"","parse-names":false,"suffix":""},{"dropping-particle":"","family":"Joensuu","given":"H.","non-dropping-particle":"","parse-names":false,"suffix":""},{"dropping-particle":"","family":"Jones","given":"R. L.","non-dropping-particle":"","parse-names":false,"suffix":""},{"dropping-particle":"","family":"Jungels","given":"C.","non-dropping-particle":"","parse-names":false,"suffix":""},{"dropping-particle":"","family":"Jutte","given":"P.","non-dropping-particle":"","parse-names":false,"suffix":""},{"dropping-particle":"","family":"Kager","given":"L.","non-dropping-particle":"","parse-names":false,"suffix":""},{"dropping-particle":"","family":"Kasper","given":"B.","non-dropping-particle":"","parse-names":false,"suffix":""},{"dropping-particle":"","family":"Kawai","given":"A.","non-dropping-particle":"","parse-names":false,"suffix":""},{"dropping-particle":"","family":"Kopeckova","given":"K.","non-dropping-particle":"","parse-names":false,"suffix":""},{"dropping-particle":"","family":"Krákorová","given":"D. A.","non-dropping-particle":"","parse-names":false,"suffix":""},{"dropping-particle":"","family":"Cesne","given":"A.","non-dropping-particle":"Le","parse-names":false,"suffix":""},{"dropping-particle":"","family":"Grange","given":"F.","non-dropping-particle":"Le","parse-names":false,"suffix":""},{"dropping-particle":"","family":"Legius","given":"E.","non-dropping-particle":"","parse-names":false,"suffix":""},{"dropping-particle":"","family":"Leithner","given":"A.","non-dropping-particle":"","parse-names":false,"suffix":""},{"dropping-particle":"","family":"Lopez-Pousa","given":"A.","non-dropping-particle":"","parse-names":false,"suffix":""},{"dropping-particle":"","family":"Martin-Broto","given":"J.","non-dropping-particle":"","parse-names":false,"suffix":""},{"dropping-particle":"","family":"Merimsky","given":"O.","non-dropping-particle":"","parse-names":false,"suffix":""},{"dropping-particle":"","family":"Messiou","given":"C.","non-dropping-particle":"","parse-names":false,"suffix":""},{"dropping-particle":"","family":"Mir","given":"O.","non-dropping-particle":"","parse-names":false,"suffix":""},{"dropping-particle":"","family":"Montemurro","given":"M.","non-dropping-particle":"","parse-names":false,"suffix":""},{"dropping-particle":"","family":"Morland","given":"B.","non-dropping-particle":"","parse-names":false,"suffix":""},{"dropping-particle":"","family":"Morosi","given":"C.","non-dropping-particle":"","parse-names":false,"suffix":""},{"dropping-particle":"","family":"Palmerini","given":"E.","non-dropping-particle":"","parse-names":false,"suffix":""},{"dropping-particle":"","family":"Pantaleo","given":"M. A.","non-dropping-particle":"","parse-names":false,"suffix":""},{"dropping-particle":"","family":"Piana","given":"R.","non-dropping-particle":"","parse-names":false,"suffix":""},{"dropping-particle":"","family":"Piperno-Neumann","given":"S.","non-dropping-particle":"","parse-names":false,"suffix":""},{"dropping-particle":"","family":"Reichardt","given":"P.","non-dropping-particle":"","parse-names":false,"suffix":""},{"dropping-particle":"","family":"Rutkowski","given":"P.","non-dropping-particle":"","parse-names":false,"suffix":""},{"dropping-particle":"","family":"Safwat","given":"A. A.","non-dropping-particle":"","parse-names":false,"suffix":""},{"dropping-particle":"","family":"Sangalli","given":"C.","non-dropping-particle":"","parse-names":false,"suffix":""},{"dropping-particle":"","family":"Sbaraglia","given":"M.","non-dropping-particle":"","parse-names":false,"suffix":""},{"dropping-particle":"","family":"Scheipl","given":"S.","non-dropping-particle":"","parse-names":false,"suffix":""},{"dropping-particle":"","family":"Schöffski","given":"P.","non-dropping-particle":"","parse-names":false,"suffix":""},{"dropping-particle":"","family":"Sleijfer","given":"S.","non-dropping-particle":"","parse-names":false,"suffix":""},{"dropping-particle":"","family":"Strauss","given":"D.","non-dropping-particle":"","parse-names":false,"suffix":""},{"dropping-particle":"","family":"Strauss","given":"S.","non-dropping-particle":"","parse-names":false,"suffix":""},{"dropping-particle":"","family":"Sundby Hall","given":"K.","non-dropping-particle":"","parse-names":false,"suffix":""},{"dropping-particle":"","family":"Trama","given":"A.","non-dropping-particle":"","parse-names":false,"suffix":""},{"dropping-particle":"","family":"Unk","given":"M.","non-dropping-particle":"","parse-names":false,"suffix":""},{"dropping-particle":"","family":"Sande","given":"M. A.J.","non-dropping-particle":"van de","parse-names":false,"suffix":""},{"dropping-particle":"","family":"Graaf","given":"W. T.A.","non-dropping-particle":"van der","parse-names":false,"suffix":""},{"dropping-particle":"","family":"Houdt","given":"W. J.","non-dropping-particle":"van","parse-names":false,"suffix":""},{"dropping-particle":"","family":"Frebourg","given":"T.","non-dropping-particle":"","parse-names":false,"suffix":""},{"dropping-particle":"","family":"Casali","given":"P. G.","non-dropping-particle":"","parse-names":false,"suffix":""},{"dropping-particle":"","family":"Stacchiotti","given":"S.","non-dropping-particle":"","parse-names":false,"suffix":""}],"container-title":"Annals of Oncology","id":"ITEM-1","issue":"11","issued":{"date-parts":[["2021"]]},"page":"1348-1365","publisher":"Elsevier Ltd.","title":"Soft tissue and visceral sarcomas: ESMO–EURACAN–GENTURIS Clinical Practice Guidelines for diagnosis, treatment and follow-up","type":"article-journal","volume":"32"},"uris":["http://www.mendeley.com/documents/?uuid=b74eaccb-cf0e-3c33-a6c7-bc1da2bd5a9f"]}],"mendeley":{"formattedCitation":"[10]","plainTextFormattedCitation":"[10]","previouslyFormattedCitation":"[10]"},"properties":{"noteIndex":0},"schema":"https://github.com/citation-style-language/schema/raw/master/csl-citation.json"}</w:instrText>
            </w:r>
            <w:r w:rsidR="0000797A">
              <w:rPr>
                <w:rFonts w:ascii="Times New Roman" w:hAnsi="Times New Roman" w:cs="Times New Roman"/>
                <w:b/>
                <w:bCs/>
                <w:sz w:val="16"/>
                <w:szCs w:val="16"/>
              </w:rPr>
              <w:fldChar w:fldCharType="separate"/>
            </w:r>
            <w:r w:rsidR="0000797A" w:rsidRPr="0000797A">
              <w:rPr>
                <w:rFonts w:ascii="Times New Roman" w:hAnsi="Times New Roman" w:cs="Times New Roman"/>
                <w:bCs/>
                <w:noProof/>
                <w:sz w:val="16"/>
                <w:szCs w:val="16"/>
              </w:rPr>
              <w:t>[10]</w:t>
            </w:r>
            <w:r w:rsidR="0000797A">
              <w:rPr>
                <w:rFonts w:ascii="Times New Roman" w:hAnsi="Times New Roman" w:cs="Times New Roman"/>
                <w:b/>
                <w:bCs/>
                <w:sz w:val="16"/>
                <w:szCs w:val="16"/>
              </w:rPr>
              <w:fldChar w:fldCharType="end"/>
            </w:r>
            <w:r w:rsidRPr="001B288F">
              <w:rPr>
                <w:rFonts w:ascii="Times New Roman" w:hAnsi="Times New Roman" w:cs="Times New Roman"/>
                <w:b/>
                <w:bCs/>
                <w:sz w:val="16"/>
                <w:szCs w:val="16"/>
              </w:rPr>
              <w:t>?</w:t>
            </w:r>
          </w:p>
        </w:tc>
      </w:tr>
      <w:tr w:rsidR="001B288F" w14:paraId="0A9F7628" w14:textId="77777777" w:rsidTr="001B288F">
        <w:tc>
          <w:tcPr>
            <w:tcW w:w="3953" w:type="dxa"/>
          </w:tcPr>
          <w:p w14:paraId="5CA7DBE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Doxorubicin</w:t>
            </w:r>
          </w:p>
        </w:tc>
        <w:tc>
          <w:tcPr>
            <w:tcW w:w="3017" w:type="dxa"/>
          </w:tcPr>
          <w:p w14:paraId="2EAB945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5 (14.71%)</w:t>
            </w:r>
          </w:p>
        </w:tc>
        <w:tc>
          <w:tcPr>
            <w:tcW w:w="2518" w:type="dxa"/>
          </w:tcPr>
          <w:p w14:paraId="0766B7A2" w14:textId="6D927DF5" w:rsidR="001B288F" w:rsidRPr="001B288F" w:rsidRDefault="009516F5" w:rsidP="001B288F">
            <w:pPr>
              <w:rPr>
                <w:rFonts w:ascii="Times New Roman" w:hAnsi="Times New Roman" w:cs="Times New Roman"/>
                <w:sz w:val="16"/>
                <w:szCs w:val="16"/>
              </w:rPr>
            </w:pPr>
            <w:r>
              <w:rPr>
                <w:rFonts w:ascii="Times New Roman" w:hAnsi="Times New Roman" w:cs="Times New Roman"/>
                <w:sz w:val="16"/>
                <w:szCs w:val="16"/>
              </w:rPr>
              <w:t>Yes (for first-</w:t>
            </w:r>
            <w:r w:rsidR="001B288F" w:rsidRPr="001B288F">
              <w:rPr>
                <w:rFonts w:ascii="Times New Roman" w:hAnsi="Times New Roman" w:cs="Times New Roman"/>
                <w:sz w:val="16"/>
                <w:szCs w:val="16"/>
              </w:rPr>
              <w:t>line)</w:t>
            </w:r>
          </w:p>
        </w:tc>
      </w:tr>
      <w:tr w:rsidR="001B288F" w14:paraId="7CA223BD" w14:textId="77777777" w:rsidTr="001B288F">
        <w:tc>
          <w:tcPr>
            <w:tcW w:w="3953" w:type="dxa"/>
          </w:tcPr>
          <w:p w14:paraId="228487C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Trabectedin</w:t>
            </w:r>
          </w:p>
        </w:tc>
        <w:tc>
          <w:tcPr>
            <w:tcW w:w="3017" w:type="dxa"/>
          </w:tcPr>
          <w:p w14:paraId="51593CA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(11.76%)</w:t>
            </w:r>
          </w:p>
        </w:tc>
        <w:tc>
          <w:tcPr>
            <w:tcW w:w="2518" w:type="dxa"/>
          </w:tcPr>
          <w:p w14:paraId="67779878" w14:textId="6C317ACD" w:rsidR="001B288F" w:rsidRPr="001B288F" w:rsidRDefault="009516F5" w:rsidP="001B288F">
            <w:pPr>
              <w:rPr>
                <w:rFonts w:ascii="Times New Roman" w:hAnsi="Times New Roman" w:cs="Times New Roman"/>
                <w:sz w:val="16"/>
                <w:szCs w:val="16"/>
              </w:rPr>
            </w:pPr>
            <w:r>
              <w:rPr>
                <w:rFonts w:ascii="Times New Roman" w:hAnsi="Times New Roman" w:cs="Times New Roman"/>
                <w:sz w:val="16"/>
                <w:szCs w:val="16"/>
              </w:rPr>
              <w:t>No (for first-</w:t>
            </w:r>
            <w:r w:rsidR="001B288F" w:rsidRPr="001B288F">
              <w:rPr>
                <w:rFonts w:ascii="Times New Roman" w:hAnsi="Times New Roman" w:cs="Times New Roman"/>
                <w:sz w:val="16"/>
                <w:szCs w:val="16"/>
              </w:rPr>
              <w:t>line)</w:t>
            </w:r>
          </w:p>
          <w:p w14:paraId="7221255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Yes (for pre-treated)</w:t>
            </w:r>
          </w:p>
        </w:tc>
      </w:tr>
      <w:tr w:rsidR="001B288F" w14:paraId="4547E1E3" w14:textId="77777777" w:rsidTr="001B288F">
        <w:tc>
          <w:tcPr>
            <w:tcW w:w="3953" w:type="dxa"/>
          </w:tcPr>
          <w:p w14:paraId="7341FF3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Doxorubicin + Ifosfamide</w:t>
            </w:r>
          </w:p>
        </w:tc>
        <w:tc>
          <w:tcPr>
            <w:tcW w:w="3017" w:type="dxa"/>
          </w:tcPr>
          <w:p w14:paraId="45E9076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(8.82%)</w:t>
            </w:r>
          </w:p>
        </w:tc>
        <w:tc>
          <w:tcPr>
            <w:tcW w:w="2518" w:type="dxa"/>
          </w:tcPr>
          <w:p w14:paraId="17CD97DE" w14:textId="28C10E48"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 xml:space="preserve">Yes (for </w:t>
            </w:r>
            <w:r w:rsidR="009516F5">
              <w:rPr>
                <w:rFonts w:ascii="Times New Roman" w:hAnsi="Times New Roman" w:cs="Times New Roman"/>
                <w:sz w:val="16"/>
                <w:szCs w:val="16"/>
              </w:rPr>
              <w:t>first-</w:t>
            </w:r>
            <w:r w:rsidRPr="001B288F">
              <w:rPr>
                <w:rFonts w:ascii="Times New Roman" w:hAnsi="Times New Roman" w:cs="Times New Roman"/>
                <w:sz w:val="16"/>
                <w:szCs w:val="16"/>
              </w:rPr>
              <w:t>line)</w:t>
            </w:r>
          </w:p>
        </w:tc>
      </w:tr>
      <w:tr w:rsidR="001B288F" w14:paraId="23B50742" w14:textId="77777777" w:rsidTr="001B288F">
        <w:tc>
          <w:tcPr>
            <w:tcW w:w="3953" w:type="dxa"/>
          </w:tcPr>
          <w:p w14:paraId="71B18AD1"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Eribulin</w:t>
            </w:r>
            <w:proofErr w:type="spellEnd"/>
          </w:p>
        </w:tc>
        <w:tc>
          <w:tcPr>
            <w:tcW w:w="3017" w:type="dxa"/>
          </w:tcPr>
          <w:p w14:paraId="43276D7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(8.82%)</w:t>
            </w:r>
          </w:p>
        </w:tc>
        <w:tc>
          <w:tcPr>
            <w:tcW w:w="2518" w:type="dxa"/>
          </w:tcPr>
          <w:p w14:paraId="5A9F135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Yes (for pre-treated)</w:t>
            </w:r>
          </w:p>
        </w:tc>
      </w:tr>
      <w:tr w:rsidR="001B288F" w14:paraId="40394544" w14:textId="77777777" w:rsidTr="001B288F">
        <w:tc>
          <w:tcPr>
            <w:tcW w:w="3953" w:type="dxa"/>
          </w:tcPr>
          <w:p w14:paraId="72E439FA"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Palbociclib</w:t>
            </w:r>
            <w:proofErr w:type="spellEnd"/>
          </w:p>
        </w:tc>
        <w:tc>
          <w:tcPr>
            <w:tcW w:w="3017" w:type="dxa"/>
          </w:tcPr>
          <w:p w14:paraId="3891253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(8.82%)</w:t>
            </w:r>
          </w:p>
        </w:tc>
        <w:tc>
          <w:tcPr>
            <w:tcW w:w="2518" w:type="dxa"/>
          </w:tcPr>
          <w:p w14:paraId="334D1F9F" w14:textId="5BAF0C59" w:rsidR="001B288F" w:rsidRPr="001B288F" w:rsidRDefault="009516F5" w:rsidP="001B288F">
            <w:pPr>
              <w:rPr>
                <w:rFonts w:ascii="Times New Roman" w:hAnsi="Times New Roman" w:cs="Times New Roman"/>
                <w:sz w:val="16"/>
                <w:szCs w:val="16"/>
              </w:rPr>
            </w:pPr>
            <w:r>
              <w:rPr>
                <w:rFonts w:ascii="Times New Roman" w:hAnsi="Times New Roman" w:cs="Times New Roman"/>
                <w:sz w:val="16"/>
                <w:szCs w:val="16"/>
              </w:rPr>
              <w:t>No (for first-</w:t>
            </w:r>
            <w:r w:rsidR="001B288F" w:rsidRPr="001B288F">
              <w:rPr>
                <w:rFonts w:ascii="Times New Roman" w:hAnsi="Times New Roman" w:cs="Times New Roman"/>
                <w:sz w:val="16"/>
                <w:szCs w:val="16"/>
              </w:rPr>
              <w:t>line)</w:t>
            </w:r>
          </w:p>
          <w:p w14:paraId="30C2E78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14DF0BC5" w14:textId="77777777" w:rsidTr="001B288F">
        <w:tc>
          <w:tcPr>
            <w:tcW w:w="3953" w:type="dxa"/>
          </w:tcPr>
          <w:p w14:paraId="70231B04"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Dacarbazine</w:t>
            </w:r>
            <w:proofErr w:type="spellEnd"/>
          </w:p>
        </w:tc>
        <w:tc>
          <w:tcPr>
            <w:tcW w:w="3017" w:type="dxa"/>
          </w:tcPr>
          <w:p w14:paraId="0DD0561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(5.88%)</w:t>
            </w:r>
          </w:p>
        </w:tc>
        <w:tc>
          <w:tcPr>
            <w:tcW w:w="2518" w:type="dxa"/>
          </w:tcPr>
          <w:p w14:paraId="0C82E6D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25C9DD42" w14:textId="77777777" w:rsidTr="001B288F">
        <w:tc>
          <w:tcPr>
            <w:tcW w:w="3953" w:type="dxa"/>
          </w:tcPr>
          <w:p w14:paraId="4BD33E7C"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lastRenderedPageBreak/>
              <w:t>Pazopanib</w:t>
            </w:r>
            <w:proofErr w:type="spellEnd"/>
          </w:p>
        </w:tc>
        <w:tc>
          <w:tcPr>
            <w:tcW w:w="3017" w:type="dxa"/>
          </w:tcPr>
          <w:p w14:paraId="0211048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(5.88%)</w:t>
            </w:r>
          </w:p>
        </w:tc>
        <w:tc>
          <w:tcPr>
            <w:tcW w:w="2518" w:type="dxa"/>
          </w:tcPr>
          <w:p w14:paraId="61E83F1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34D770F2" w14:textId="77777777" w:rsidTr="001B288F">
        <w:tc>
          <w:tcPr>
            <w:tcW w:w="3953" w:type="dxa"/>
          </w:tcPr>
          <w:p w14:paraId="4C39ED6A"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Aplidin</w:t>
            </w:r>
            <w:proofErr w:type="spellEnd"/>
          </w:p>
        </w:tc>
        <w:tc>
          <w:tcPr>
            <w:tcW w:w="3017" w:type="dxa"/>
          </w:tcPr>
          <w:p w14:paraId="6555DD7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2A1CFB0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7E8B3E9D" w14:textId="77777777" w:rsidTr="001B288F">
        <w:tc>
          <w:tcPr>
            <w:tcW w:w="3953" w:type="dxa"/>
          </w:tcPr>
          <w:p w14:paraId="4814C43D"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Brostallicin</w:t>
            </w:r>
            <w:proofErr w:type="spellEnd"/>
          </w:p>
        </w:tc>
        <w:tc>
          <w:tcPr>
            <w:tcW w:w="3017" w:type="dxa"/>
          </w:tcPr>
          <w:p w14:paraId="5FB9273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5D220E4B" w14:textId="3C209105" w:rsidR="001B288F" w:rsidRPr="001B288F" w:rsidRDefault="009516F5" w:rsidP="001B288F">
            <w:pPr>
              <w:rPr>
                <w:rFonts w:ascii="Times New Roman" w:hAnsi="Times New Roman" w:cs="Times New Roman"/>
                <w:sz w:val="16"/>
                <w:szCs w:val="16"/>
              </w:rPr>
            </w:pPr>
            <w:r>
              <w:rPr>
                <w:rFonts w:ascii="Times New Roman" w:hAnsi="Times New Roman" w:cs="Times New Roman"/>
                <w:sz w:val="16"/>
                <w:szCs w:val="16"/>
              </w:rPr>
              <w:t>No (for first-</w:t>
            </w:r>
            <w:r w:rsidR="001B288F" w:rsidRPr="001B288F">
              <w:rPr>
                <w:rFonts w:ascii="Times New Roman" w:hAnsi="Times New Roman" w:cs="Times New Roman"/>
                <w:sz w:val="16"/>
                <w:szCs w:val="16"/>
              </w:rPr>
              <w:t>line)</w:t>
            </w:r>
          </w:p>
        </w:tc>
      </w:tr>
      <w:tr w:rsidR="001B288F" w14:paraId="3BDCD401" w14:textId="77777777" w:rsidTr="001B288F">
        <w:tc>
          <w:tcPr>
            <w:tcW w:w="3953" w:type="dxa"/>
          </w:tcPr>
          <w:p w14:paraId="3EEE1867"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Cixutumumab</w:t>
            </w:r>
            <w:proofErr w:type="spellEnd"/>
          </w:p>
        </w:tc>
        <w:tc>
          <w:tcPr>
            <w:tcW w:w="3017" w:type="dxa"/>
          </w:tcPr>
          <w:p w14:paraId="4F2AFB9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3F019C7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0D2CBBF5" w14:textId="77777777" w:rsidTr="001B288F">
        <w:tc>
          <w:tcPr>
            <w:tcW w:w="3953" w:type="dxa"/>
          </w:tcPr>
          <w:p w14:paraId="21BE027B"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Dasatinib</w:t>
            </w:r>
            <w:proofErr w:type="spellEnd"/>
          </w:p>
        </w:tc>
        <w:tc>
          <w:tcPr>
            <w:tcW w:w="3017" w:type="dxa"/>
          </w:tcPr>
          <w:p w14:paraId="1171F38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5B98BA3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716A0870" w14:textId="77777777" w:rsidTr="001B288F">
        <w:tc>
          <w:tcPr>
            <w:tcW w:w="3953" w:type="dxa"/>
          </w:tcPr>
          <w:p w14:paraId="08334FAB" w14:textId="77777777" w:rsidR="001B288F" w:rsidRPr="001B288F" w:rsidRDefault="001B288F" w:rsidP="001B288F">
            <w:pPr>
              <w:tabs>
                <w:tab w:val="left" w:pos="1316"/>
              </w:tabs>
              <w:rPr>
                <w:rFonts w:ascii="Times New Roman" w:hAnsi="Times New Roman" w:cs="Times New Roman"/>
                <w:sz w:val="16"/>
                <w:szCs w:val="16"/>
              </w:rPr>
            </w:pPr>
            <w:r w:rsidRPr="001B288F">
              <w:rPr>
                <w:rFonts w:ascii="Times New Roman" w:hAnsi="Times New Roman" w:cs="Times New Roman"/>
                <w:sz w:val="16"/>
                <w:szCs w:val="16"/>
              </w:rPr>
              <w:t>Docetaxel + Gemcitabine</w:t>
            </w:r>
          </w:p>
        </w:tc>
        <w:tc>
          <w:tcPr>
            <w:tcW w:w="3017" w:type="dxa"/>
          </w:tcPr>
          <w:p w14:paraId="3384064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6AF26DC5" w14:textId="0F678621" w:rsidR="001B288F" w:rsidRPr="001B288F" w:rsidRDefault="009516F5" w:rsidP="001B288F">
            <w:pPr>
              <w:rPr>
                <w:rFonts w:ascii="Times New Roman" w:hAnsi="Times New Roman" w:cs="Times New Roman"/>
                <w:sz w:val="16"/>
                <w:szCs w:val="16"/>
              </w:rPr>
            </w:pPr>
            <w:r>
              <w:rPr>
                <w:rFonts w:ascii="Times New Roman" w:hAnsi="Times New Roman" w:cs="Times New Roman"/>
                <w:sz w:val="16"/>
                <w:szCs w:val="16"/>
              </w:rPr>
              <w:t>No (for first-</w:t>
            </w:r>
            <w:r w:rsidR="001B288F" w:rsidRPr="001B288F">
              <w:rPr>
                <w:rFonts w:ascii="Times New Roman" w:hAnsi="Times New Roman" w:cs="Times New Roman"/>
                <w:sz w:val="16"/>
                <w:szCs w:val="16"/>
              </w:rPr>
              <w:t>line)</w:t>
            </w:r>
          </w:p>
        </w:tc>
      </w:tr>
      <w:tr w:rsidR="001B288F" w14:paraId="57D0B6A9" w14:textId="77777777" w:rsidTr="001B288F">
        <w:tc>
          <w:tcPr>
            <w:tcW w:w="3953" w:type="dxa"/>
          </w:tcPr>
          <w:p w14:paraId="0BD2A3D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 xml:space="preserve">Doxorubicin + </w:t>
            </w:r>
            <w:proofErr w:type="spellStart"/>
            <w:r w:rsidRPr="001B288F">
              <w:rPr>
                <w:rFonts w:ascii="Times New Roman" w:hAnsi="Times New Roman" w:cs="Times New Roman"/>
                <w:sz w:val="16"/>
                <w:szCs w:val="16"/>
              </w:rPr>
              <w:t>Evofosfamide</w:t>
            </w:r>
            <w:proofErr w:type="spellEnd"/>
          </w:p>
        </w:tc>
        <w:tc>
          <w:tcPr>
            <w:tcW w:w="3017" w:type="dxa"/>
          </w:tcPr>
          <w:p w14:paraId="2AE4C31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251CAAC9" w14:textId="70B88645" w:rsidR="001B288F" w:rsidRPr="001B288F" w:rsidRDefault="009516F5" w:rsidP="001B288F">
            <w:pPr>
              <w:rPr>
                <w:rFonts w:ascii="Times New Roman" w:hAnsi="Times New Roman" w:cs="Times New Roman"/>
                <w:sz w:val="16"/>
                <w:szCs w:val="16"/>
              </w:rPr>
            </w:pPr>
            <w:r>
              <w:rPr>
                <w:rFonts w:ascii="Times New Roman" w:hAnsi="Times New Roman" w:cs="Times New Roman"/>
                <w:sz w:val="16"/>
                <w:szCs w:val="16"/>
              </w:rPr>
              <w:t>No (for first-</w:t>
            </w:r>
            <w:r w:rsidR="001B288F" w:rsidRPr="001B288F">
              <w:rPr>
                <w:rFonts w:ascii="Times New Roman" w:hAnsi="Times New Roman" w:cs="Times New Roman"/>
                <w:sz w:val="16"/>
                <w:szCs w:val="16"/>
              </w:rPr>
              <w:t>line)</w:t>
            </w:r>
          </w:p>
        </w:tc>
      </w:tr>
      <w:tr w:rsidR="001B288F" w14:paraId="433F2397" w14:textId="77777777" w:rsidTr="001B288F">
        <w:tc>
          <w:tcPr>
            <w:tcW w:w="3953" w:type="dxa"/>
          </w:tcPr>
          <w:p w14:paraId="7CFC62D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Imatinib</w:t>
            </w:r>
          </w:p>
        </w:tc>
        <w:tc>
          <w:tcPr>
            <w:tcW w:w="3017" w:type="dxa"/>
          </w:tcPr>
          <w:p w14:paraId="796885B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39DF369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5B2ABE61" w14:textId="77777777" w:rsidTr="001B288F">
        <w:tc>
          <w:tcPr>
            <w:tcW w:w="3953" w:type="dxa"/>
          </w:tcPr>
          <w:p w14:paraId="684529AD"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Panobinostat</w:t>
            </w:r>
            <w:proofErr w:type="spellEnd"/>
          </w:p>
        </w:tc>
        <w:tc>
          <w:tcPr>
            <w:tcW w:w="3017" w:type="dxa"/>
          </w:tcPr>
          <w:p w14:paraId="405CB92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4038B95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3D65E863" w14:textId="77777777" w:rsidTr="001B288F">
        <w:tc>
          <w:tcPr>
            <w:tcW w:w="3953" w:type="dxa"/>
          </w:tcPr>
          <w:p w14:paraId="11D67A8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Pembrolizumab</w:t>
            </w:r>
          </w:p>
        </w:tc>
        <w:tc>
          <w:tcPr>
            <w:tcW w:w="3017" w:type="dxa"/>
          </w:tcPr>
          <w:p w14:paraId="6C27B7C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4AC3321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177A09DF" w14:textId="77777777" w:rsidTr="001B288F">
        <w:tc>
          <w:tcPr>
            <w:tcW w:w="3953" w:type="dxa"/>
          </w:tcPr>
          <w:p w14:paraId="0990E8BF"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Regorafenib</w:t>
            </w:r>
            <w:proofErr w:type="spellEnd"/>
          </w:p>
        </w:tc>
        <w:tc>
          <w:tcPr>
            <w:tcW w:w="3017" w:type="dxa"/>
          </w:tcPr>
          <w:p w14:paraId="173DA58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33030F9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54FE4DC2" w14:textId="77777777" w:rsidTr="001B288F">
        <w:tc>
          <w:tcPr>
            <w:tcW w:w="3953" w:type="dxa"/>
          </w:tcPr>
          <w:p w14:paraId="3FD966B6" w14:textId="77777777" w:rsidR="001B288F" w:rsidRPr="001B288F" w:rsidRDefault="001B288F" w:rsidP="001B288F">
            <w:pPr>
              <w:rPr>
                <w:rFonts w:ascii="Times New Roman" w:hAnsi="Times New Roman" w:cs="Times New Roman"/>
                <w:sz w:val="16"/>
                <w:szCs w:val="16"/>
              </w:rPr>
            </w:pPr>
            <w:proofErr w:type="spellStart"/>
            <w:r w:rsidRPr="001B288F">
              <w:rPr>
                <w:rFonts w:ascii="Times New Roman" w:hAnsi="Times New Roman" w:cs="Times New Roman"/>
                <w:sz w:val="16"/>
                <w:szCs w:val="16"/>
              </w:rPr>
              <w:t>Ridaforolimus</w:t>
            </w:r>
            <w:proofErr w:type="spellEnd"/>
          </w:p>
        </w:tc>
        <w:tc>
          <w:tcPr>
            <w:tcW w:w="3017" w:type="dxa"/>
          </w:tcPr>
          <w:p w14:paraId="12461E8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270DBC5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 (for pre-treated)</w:t>
            </w:r>
          </w:p>
        </w:tc>
      </w:tr>
      <w:tr w:rsidR="001B288F" w14:paraId="0B9AF55B" w14:textId="77777777" w:rsidTr="001B288F">
        <w:tc>
          <w:tcPr>
            <w:tcW w:w="3953" w:type="dxa"/>
          </w:tcPr>
          <w:p w14:paraId="3AF9FF9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Trabectedin 24h</w:t>
            </w:r>
          </w:p>
        </w:tc>
        <w:tc>
          <w:tcPr>
            <w:tcW w:w="3017" w:type="dxa"/>
          </w:tcPr>
          <w:p w14:paraId="23D018B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(2.94%)</w:t>
            </w:r>
          </w:p>
        </w:tc>
        <w:tc>
          <w:tcPr>
            <w:tcW w:w="2518" w:type="dxa"/>
          </w:tcPr>
          <w:p w14:paraId="01509619" w14:textId="7FFDBDE2" w:rsidR="001B288F" w:rsidRPr="001B288F" w:rsidRDefault="009516F5" w:rsidP="001B288F">
            <w:pPr>
              <w:rPr>
                <w:rFonts w:ascii="Times New Roman" w:hAnsi="Times New Roman" w:cs="Times New Roman"/>
                <w:sz w:val="16"/>
                <w:szCs w:val="16"/>
              </w:rPr>
            </w:pPr>
            <w:r>
              <w:rPr>
                <w:rFonts w:ascii="Times New Roman" w:hAnsi="Times New Roman" w:cs="Times New Roman"/>
                <w:sz w:val="16"/>
                <w:szCs w:val="16"/>
              </w:rPr>
              <w:t>No (for first-</w:t>
            </w:r>
            <w:r w:rsidR="001B288F" w:rsidRPr="001B288F">
              <w:rPr>
                <w:rFonts w:ascii="Times New Roman" w:hAnsi="Times New Roman" w:cs="Times New Roman"/>
                <w:sz w:val="16"/>
                <w:szCs w:val="16"/>
              </w:rPr>
              <w:t>line)</w:t>
            </w:r>
          </w:p>
        </w:tc>
      </w:tr>
      <w:tr w:rsidR="001B288F" w14:paraId="796C0235" w14:textId="77777777" w:rsidTr="001B288F">
        <w:tc>
          <w:tcPr>
            <w:tcW w:w="3953" w:type="dxa"/>
          </w:tcPr>
          <w:p w14:paraId="52C3675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3017" w:type="dxa"/>
          </w:tcPr>
          <w:p w14:paraId="2D6084A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34 (100%)</w:t>
            </w:r>
          </w:p>
        </w:tc>
        <w:tc>
          <w:tcPr>
            <w:tcW w:w="2518" w:type="dxa"/>
          </w:tcPr>
          <w:p w14:paraId="6ACDEF8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w:t>
            </w:r>
          </w:p>
        </w:tc>
      </w:tr>
    </w:tbl>
    <w:p w14:paraId="3F9DB38C" w14:textId="77777777"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 xml:space="preserve">The most common drugs on these trials were Doxorubicin, either alone or in combination, and Trabectedin (5 times). </w:t>
      </w:r>
    </w:p>
    <w:p w14:paraId="1FFDEB49" w14:textId="77777777" w:rsidR="001B288F" w:rsidRDefault="001B288F" w:rsidP="001B288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2727"/>
        <w:gridCol w:w="3126"/>
      </w:tblGrid>
      <w:tr w:rsidR="001B288F" w:rsidRPr="0001426A" w14:paraId="70BE9426" w14:textId="77777777" w:rsidTr="001B288F">
        <w:tc>
          <w:tcPr>
            <w:tcW w:w="3323" w:type="dxa"/>
          </w:tcPr>
          <w:p w14:paraId="6B3818CC"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 xml:space="preserve">Treatment line </w:t>
            </w:r>
          </w:p>
          <w:p w14:paraId="621C3CAC" w14:textId="77777777" w:rsidR="001B288F" w:rsidRPr="001B288F" w:rsidRDefault="001B288F" w:rsidP="001B288F">
            <w:pPr>
              <w:rPr>
                <w:rFonts w:ascii="Times New Roman" w:hAnsi="Times New Roman" w:cs="Times New Roman"/>
                <w:b/>
                <w:bCs/>
                <w:sz w:val="16"/>
                <w:szCs w:val="16"/>
              </w:rPr>
            </w:pPr>
          </w:p>
        </w:tc>
        <w:tc>
          <w:tcPr>
            <w:tcW w:w="2873" w:type="dxa"/>
          </w:tcPr>
          <w:p w14:paraId="70508858"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trial (%)</w:t>
            </w:r>
          </w:p>
        </w:tc>
        <w:tc>
          <w:tcPr>
            <w:tcW w:w="3292" w:type="dxa"/>
          </w:tcPr>
          <w:p w14:paraId="5C8B8D74"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row (%)</w:t>
            </w:r>
          </w:p>
        </w:tc>
      </w:tr>
      <w:tr w:rsidR="001B288F" w:rsidRPr="0001426A" w14:paraId="13AD99E7" w14:textId="77777777" w:rsidTr="001B288F">
        <w:tc>
          <w:tcPr>
            <w:tcW w:w="3323" w:type="dxa"/>
          </w:tcPr>
          <w:p w14:paraId="5A465D0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first</w:t>
            </w:r>
          </w:p>
        </w:tc>
        <w:tc>
          <w:tcPr>
            <w:tcW w:w="2873" w:type="dxa"/>
          </w:tcPr>
          <w:p w14:paraId="586CC79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8 (32%)</w:t>
            </w:r>
          </w:p>
        </w:tc>
        <w:tc>
          <w:tcPr>
            <w:tcW w:w="3292" w:type="dxa"/>
          </w:tcPr>
          <w:p w14:paraId="6032B09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14 (41.18%)</w:t>
            </w:r>
          </w:p>
        </w:tc>
      </w:tr>
      <w:tr w:rsidR="001B288F" w:rsidRPr="0001426A" w14:paraId="25E80A7D" w14:textId="77777777" w:rsidTr="001B288F">
        <w:tc>
          <w:tcPr>
            <w:tcW w:w="3323" w:type="dxa"/>
          </w:tcPr>
          <w:p w14:paraId="05F5EED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pre-treated</w:t>
            </w:r>
          </w:p>
        </w:tc>
        <w:tc>
          <w:tcPr>
            <w:tcW w:w="2873" w:type="dxa"/>
          </w:tcPr>
          <w:p w14:paraId="46D953C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17 (68%)</w:t>
            </w:r>
          </w:p>
        </w:tc>
        <w:tc>
          <w:tcPr>
            <w:tcW w:w="3292" w:type="dxa"/>
          </w:tcPr>
          <w:p w14:paraId="1A6EC0D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 (58.82%)</w:t>
            </w:r>
          </w:p>
        </w:tc>
      </w:tr>
      <w:tr w:rsidR="001B288F" w:rsidRPr="0001426A" w14:paraId="3AA09301" w14:textId="77777777" w:rsidTr="001B288F">
        <w:tc>
          <w:tcPr>
            <w:tcW w:w="3323" w:type="dxa"/>
          </w:tcPr>
          <w:p w14:paraId="51E71AD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2873" w:type="dxa"/>
          </w:tcPr>
          <w:p w14:paraId="29FDF4F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25 (100%)</w:t>
            </w:r>
          </w:p>
        </w:tc>
        <w:tc>
          <w:tcPr>
            <w:tcW w:w="3292" w:type="dxa"/>
          </w:tcPr>
          <w:p w14:paraId="0EAA699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34 (100%)</w:t>
            </w:r>
          </w:p>
        </w:tc>
      </w:tr>
    </w:tbl>
    <w:p w14:paraId="3D345119" w14:textId="77777777" w:rsidR="001B288F" w:rsidRDefault="001B288F" w:rsidP="001B288F">
      <w:pPr>
        <w:rPr>
          <w:sz w:val="24"/>
          <w:szCs w:val="24"/>
        </w:rPr>
      </w:pPr>
    </w:p>
    <w:p w14:paraId="1B180DB7" w14:textId="4AC33600"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20 excel lines were based on pre-treated population (from 17 studie</w:t>
      </w:r>
      <w:r w:rsidR="009516F5">
        <w:rPr>
          <w:rFonts w:ascii="Times New Roman" w:hAnsi="Times New Roman" w:cs="Times New Roman"/>
          <w:sz w:val="20"/>
          <w:szCs w:val="20"/>
        </w:rPr>
        <w:t>s) and 14 excel lines for first-</w:t>
      </w:r>
      <w:r w:rsidRPr="001B288F">
        <w:rPr>
          <w:rFonts w:ascii="Times New Roman" w:hAnsi="Times New Roman" w:cs="Times New Roman"/>
          <w:sz w:val="20"/>
          <w:szCs w:val="20"/>
        </w:rPr>
        <w:t xml:space="preserve">line (8 clinical trials). </w:t>
      </w:r>
    </w:p>
    <w:p w14:paraId="04D2F2F6" w14:textId="77777777" w:rsidR="001B288F" w:rsidRDefault="001B288F" w:rsidP="001B288F">
      <w:pPr>
        <w:rPr>
          <w:sz w:val="24"/>
          <w:szCs w:val="24"/>
        </w:rPr>
      </w:pP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2"/>
        <w:gridCol w:w="4494"/>
      </w:tblGrid>
      <w:tr w:rsidR="001B288F" w:rsidRPr="0001426A" w14:paraId="6E2A96BE" w14:textId="77777777" w:rsidTr="001B288F">
        <w:tc>
          <w:tcPr>
            <w:tcW w:w="4744" w:type="dxa"/>
          </w:tcPr>
          <w:p w14:paraId="2BBF73CD"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 xml:space="preserve">Regimen recommended? </w:t>
            </w:r>
          </w:p>
        </w:tc>
        <w:tc>
          <w:tcPr>
            <w:tcW w:w="4744" w:type="dxa"/>
          </w:tcPr>
          <w:p w14:paraId="6ACA4E4C"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w:t>
            </w:r>
          </w:p>
        </w:tc>
      </w:tr>
      <w:tr w:rsidR="001B288F" w:rsidRPr="0001426A" w14:paraId="2B64079B" w14:textId="77777777" w:rsidTr="001B288F">
        <w:tc>
          <w:tcPr>
            <w:tcW w:w="4744" w:type="dxa"/>
          </w:tcPr>
          <w:p w14:paraId="72E5EED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w:t>
            </w:r>
          </w:p>
        </w:tc>
        <w:tc>
          <w:tcPr>
            <w:tcW w:w="4744" w:type="dxa"/>
          </w:tcPr>
          <w:p w14:paraId="7A084C4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 (58.82%)</w:t>
            </w:r>
          </w:p>
        </w:tc>
      </w:tr>
      <w:tr w:rsidR="001B288F" w:rsidRPr="0001426A" w14:paraId="2CB2B9A4" w14:textId="77777777" w:rsidTr="001B288F">
        <w:tc>
          <w:tcPr>
            <w:tcW w:w="4744" w:type="dxa"/>
          </w:tcPr>
          <w:p w14:paraId="378492D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Yes</w:t>
            </w:r>
          </w:p>
        </w:tc>
        <w:tc>
          <w:tcPr>
            <w:tcW w:w="4744" w:type="dxa"/>
          </w:tcPr>
          <w:p w14:paraId="7402DBA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14 (41.18%)</w:t>
            </w:r>
          </w:p>
        </w:tc>
      </w:tr>
      <w:tr w:rsidR="001B288F" w:rsidRPr="0001426A" w14:paraId="069AC06C" w14:textId="77777777" w:rsidTr="001B288F">
        <w:tc>
          <w:tcPr>
            <w:tcW w:w="4744" w:type="dxa"/>
          </w:tcPr>
          <w:p w14:paraId="5F88A62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4744" w:type="dxa"/>
          </w:tcPr>
          <w:p w14:paraId="185B6E1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34 (100%)</w:t>
            </w:r>
          </w:p>
        </w:tc>
      </w:tr>
    </w:tbl>
    <w:p w14:paraId="79D4A9D3" w14:textId="77777777" w:rsidR="001B288F" w:rsidRDefault="001B288F" w:rsidP="001B288F">
      <w:pPr>
        <w:rPr>
          <w:sz w:val="24"/>
          <w:szCs w:val="24"/>
        </w:rPr>
      </w:pPr>
    </w:p>
    <w:p w14:paraId="6E840580" w14:textId="77777777"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 xml:space="preserve">From the 34 treatment lines selected (25 trials), 20 were non-recommended (58.82%) and 14 were recommended (41.18%). </w:t>
      </w:r>
    </w:p>
    <w:p w14:paraId="3FAE80EB" w14:textId="27C35AD2" w:rsidR="00B05D3D" w:rsidRPr="0099368B" w:rsidRDefault="00B05D3D" w:rsidP="00B05D3D">
      <w:pPr>
        <w:rPr>
          <w:rFonts w:ascii="Times New Roman" w:hAnsi="Times New Roman" w:cs="Times New Roman"/>
          <w:sz w:val="20"/>
          <w:szCs w:val="20"/>
          <w:lang w:val="en-US"/>
        </w:rPr>
      </w:pPr>
    </w:p>
    <w:p w14:paraId="725A18DF" w14:textId="2A06457D" w:rsidR="00B05D3D" w:rsidRPr="0099368B" w:rsidRDefault="00CA29FA" w:rsidP="00B05D3D">
      <w:pPr>
        <w:pStyle w:val="Heading3"/>
        <w:rPr>
          <w:rFonts w:ascii="Times New Roman" w:eastAsia="Times New Roman" w:hAnsi="Times New Roman" w:cs="Times New Roman"/>
          <w:b/>
          <w:color w:val="auto"/>
          <w:sz w:val="20"/>
          <w:szCs w:val="20"/>
          <w:lang w:val="en-US"/>
        </w:rPr>
      </w:pPr>
      <w:bookmarkStart w:id="9" w:name="_Toc97281438"/>
      <w:bookmarkStart w:id="10" w:name="_Hlk61438030"/>
      <w:bookmarkEnd w:id="7"/>
      <w:r>
        <w:rPr>
          <w:rFonts w:ascii="Times New Roman" w:eastAsia="Times New Roman" w:hAnsi="Times New Roman" w:cs="Times New Roman"/>
          <w:b/>
          <w:color w:val="auto"/>
          <w:sz w:val="20"/>
          <w:szCs w:val="20"/>
          <w:lang w:val="en-US"/>
        </w:rPr>
        <w:t>Studies for SS</w:t>
      </w:r>
      <w:r w:rsidR="00B05D3D" w:rsidRPr="0099368B">
        <w:rPr>
          <w:rFonts w:ascii="Times New Roman" w:eastAsia="Times New Roman" w:hAnsi="Times New Roman" w:cs="Times New Roman"/>
          <w:b/>
          <w:color w:val="auto"/>
          <w:sz w:val="20"/>
          <w:szCs w:val="20"/>
          <w:lang w:val="en-US"/>
        </w:rPr>
        <w:t xml:space="preserve"> meta-analyses</w:t>
      </w:r>
      <w:bookmarkEnd w:id="9"/>
    </w:p>
    <w:bookmarkEnd w:id="10"/>
    <w:p w14:paraId="1EED69E6" w14:textId="75F13B68" w:rsidR="001B288F" w:rsidRPr="001B288F" w:rsidRDefault="001B288F" w:rsidP="00826352">
      <w:pPr>
        <w:jc w:val="both"/>
        <w:rPr>
          <w:rFonts w:ascii="Times New Roman" w:hAnsi="Times New Roman" w:cs="Times New Roman"/>
          <w:sz w:val="20"/>
          <w:szCs w:val="20"/>
        </w:rPr>
      </w:pPr>
      <w:r w:rsidRPr="001B288F">
        <w:rPr>
          <w:rFonts w:ascii="Times New Roman" w:hAnsi="Times New Roman" w:cs="Times New Roman"/>
          <w:sz w:val="20"/>
          <w:szCs w:val="20"/>
        </w:rPr>
        <w:t xml:space="preserve">In this subsection we provide descriptive statistics regarding the </w:t>
      </w:r>
      <w:r w:rsidRPr="001B288F">
        <w:rPr>
          <w:rFonts w:ascii="Times New Roman" w:hAnsi="Times New Roman" w:cs="Times New Roman"/>
          <w:b/>
          <w:bCs/>
          <w:sz w:val="20"/>
          <w:szCs w:val="20"/>
        </w:rPr>
        <w:t>13 trials</w:t>
      </w:r>
      <w:r w:rsidRPr="001B288F">
        <w:rPr>
          <w:rFonts w:ascii="Times New Roman" w:hAnsi="Times New Roman" w:cs="Times New Roman"/>
          <w:sz w:val="20"/>
          <w:szCs w:val="20"/>
        </w:rPr>
        <w:t xml:space="preserve"> with SS (PFS estimates at 3-6 months could not be acquired for 3/13 trials) included in the meta-analysis, and the corresponding </w:t>
      </w:r>
      <w:r w:rsidRPr="001B288F">
        <w:rPr>
          <w:rFonts w:ascii="Times New Roman" w:hAnsi="Times New Roman" w:cs="Times New Roman"/>
          <w:b/>
          <w:bCs/>
          <w:sz w:val="20"/>
          <w:szCs w:val="20"/>
        </w:rPr>
        <w:t xml:space="preserve">15 rows </w:t>
      </w:r>
      <w:r w:rsidRPr="001B288F">
        <w:rPr>
          <w:rFonts w:ascii="Times New Roman" w:hAnsi="Times New Roman" w:cs="Times New Roman"/>
          <w:sz w:val="20"/>
          <w:szCs w:val="20"/>
        </w:rPr>
        <w:t xml:space="preserve">(one line per treatment arm) of the long-transformed version of the database. The </w:t>
      </w:r>
      <w:proofErr w:type="spellStart"/>
      <w:r w:rsidRPr="001B288F">
        <w:rPr>
          <w:rFonts w:ascii="Times New Roman" w:hAnsi="Times New Roman" w:cs="Times New Roman"/>
          <w:sz w:val="20"/>
          <w:szCs w:val="20"/>
        </w:rPr>
        <w:t>Blay</w:t>
      </w:r>
      <w:proofErr w:type="spellEnd"/>
      <w:r w:rsidRPr="001B288F">
        <w:rPr>
          <w:rFonts w:ascii="Times New Roman" w:hAnsi="Times New Roman" w:cs="Times New Roman"/>
          <w:sz w:val="20"/>
          <w:szCs w:val="20"/>
        </w:rPr>
        <w:t xml:space="preserve"> (2014) study </w:t>
      </w:r>
      <w:r w:rsidRPr="001B288F">
        <w:rPr>
          <w:rFonts w:ascii="Times New Roman" w:hAnsi="Times New Roman" w:cs="Times New Roman"/>
          <w:sz w:val="20"/>
          <w:szCs w:val="20"/>
        </w:rPr>
        <w:fldChar w:fldCharType="begin" w:fldLock="1"/>
      </w:r>
      <w:r w:rsidR="0000797A">
        <w:rPr>
          <w:rFonts w:ascii="Times New Roman" w:hAnsi="Times New Roman" w:cs="Times New Roman"/>
          <w:sz w:val="20"/>
          <w:szCs w:val="20"/>
        </w:rPr>
        <w:instrText>ADDIN CSL_CITATION {"citationItems":[{"id":"ITEM-1","itemData":{"DOI":"10.1016/j.ejca.2014.01.012","ISSN":"18790852","PMID":"24512981","abstract":"This randomised phase III trial evaluated first-line trabectedin versus doxorubicin-based chemotherapy (DXCT) in patients with advanced/metastatic translocation-related sarcomas (TRS). Methods Patients were randomly assigned (1:1) to receive trabectedin 1.5 mg/m2 24-h intravenous (i.v.) infusion every 3 weeks (q3wk) (Arm A), or doxorubicin 75 mg/m2 i.v. q3wk, or doxorubicin 60 mg/m2 i.v. plus ifosfamide (range, 6-9 g/m2) i.v. q3wk (Arm B). Progression-free survival (PFS) by independent review was the primary efficacy end-point. Results One hundred and twenty-one patients were randomised; 88 of them had TRS confirmed by central pathology review (efficacy population). Twenty-nine PFS events were assessed by independent review (16 with trabectedin; 13 with DXCT). PFS showed non-significant difference between arms (stratified log rank test, p = 0.9573; hazard ratio = 0.86, p = 0.6992). At the time of this analysis, 63.9% and 58.3% of patients were alive in trabectedin and DXCT arms, respectively. There was no statistically significant difference in survival curves. Response rate according to Response Evaluation Criteria in Solid Tumours (RECIST) v.1.0 was significantly higher in DXCT arm (27.0% versus 5.9%), but response according to Choi criteria showed fewer differences between treatment arms (45.9% versus 37.3%). Safety profile was as expected for both arms, with higher incidence of severe neutropenia, alopecia and mucositis in the DXCT arm. Conclusion Neither trabectedin nor doxorubicin-based chemotherapy showed significant superiority in the first-line treatment of patients with advanced translocation-related sarcoma. © 2014 Elsevier Ltd. All rights reserved.","author":[{"dropping-particle":"","family":"Blay","given":"Jean Yves","non-dropping-particle":"","parse-names":false,"suffix":""},{"dropping-particle":"","family":"Leahy","given":"Michael G.","non-dropping-particle":"","parse-names":false,"suffix":""},{"dropping-particle":"","family":"Nguyen","given":"Binh Bui","non-dropping-particle":"","parse-names":false,"suffix":""},{"dropping-particle":"","family":"Patel","given":"Shreyaskumar R.","non-dropping-particle":"","parse-names":false,"suffix":""},{"dropping-particle":"","family":"Hohenberger","given":"Peter","non-dropping-particle":"","parse-names":false,"suffix":""},{"dropping-particle":"","family":"Santoro","given":"Armando","non-dropping-particle":"","parse-names":false,"suffix":""},{"dropping-particle":"","family":"Staddon","given":"Arthur P.","non-dropping-particle":"","parse-names":false,"suffix":""},{"dropping-particle":"","family":"Penel","given":"Nicolas","non-dropping-particle":"","parse-names":false,"suffix":""},{"dropping-particle":"","family":"Piperno-Neumann","given":"Sophie","non-dropping-particle":"","parse-names":false,"suffix":""},{"dropping-particle":"","family":"Hendifar","given":"Andrew","non-dropping-particle":"","parse-names":false,"suffix":""},{"dropping-particle":"","family":"Lardelli","given":"Pilar","non-dropping-particle":"","parse-names":false,"suffix":""},{"dropping-particle":"","family":"Nieto","given":"Antonio","non-dropping-particle":"","parse-names":false,"suffix":""},{"dropping-particle":"","family":"Alfaro","given":"Vicente","non-dropping-particle":"","parse-names":false,"suffix":""},{"dropping-particle":"","family":"Chawla","given":"Sant P.","non-dropping-particle":"","parse-names":false,"suffix":""}],"container-title":"European Journal of Cancer","id":"ITEM-1","issue":"6","issued":{"date-parts":[["2014"]]},"page":"1137-1147","publisher":"Elsevier Ltd","title":"Randomised phase III trial of trabectedin versus doxorubicin-based chemotherapy as first-line therapy in translocation-related sarcomas","type":"article-journal","volume":"50"},"uris":["http://www.mendeley.com/documents/?uuid=76933edf-ec11-4be8-ac33-692531b37822"]}],"mendeley":{"formattedCitation":"[11]","plainTextFormattedCitation":"[11]","previouslyFormattedCitation":"[11]"},"properties":{"noteIndex":0},"schema":"https://github.com/citation-style-language/schema/raw/master/csl-citation.json"}</w:instrText>
      </w:r>
      <w:r w:rsidRPr="001B288F">
        <w:rPr>
          <w:rFonts w:ascii="Times New Roman" w:hAnsi="Times New Roman" w:cs="Times New Roman"/>
          <w:sz w:val="20"/>
          <w:szCs w:val="20"/>
        </w:rPr>
        <w:fldChar w:fldCharType="separate"/>
      </w:r>
      <w:r w:rsidR="0000797A" w:rsidRPr="0000797A">
        <w:rPr>
          <w:rFonts w:ascii="Times New Roman" w:hAnsi="Times New Roman" w:cs="Times New Roman"/>
          <w:noProof/>
          <w:sz w:val="20"/>
          <w:szCs w:val="20"/>
        </w:rPr>
        <w:t>[11]</w:t>
      </w:r>
      <w:r w:rsidRPr="001B288F">
        <w:rPr>
          <w:rFonts w:ascii="Times New Roman" w:hAnsi="Times New Roman" w:cs="Times New Roman"/>
          <w:sz w:val="20"/>
          <w:szCs w:val="20"/>
        </w:rPr>
        <w:fldChar w:fldCharType="end"/>
      </w:r>
      <w:r w:rsidRPr="001B288F">
        <w:rPr>
          <w:rFonts w:ascii="Times New Roman" w:hAnsi="Times New Roman" w:cs="Times New Roman"/>
          <w:sz w:val="20"/>
          <w:szCs w:val="20"/>
        </w:rPr>
        <w:t xml:space="preserve"> included a doxorubicin </w:t>
      </w:r>
      <w:r w:rsidRPr="001B288F">
        <w:rPr>
          <w:rFonts w:ascii="Times New Roman" w:hAnsi="Times New Roman" w:cs="Times New Roman"/>
          <w:sz w:val="20"/>
          <w:szCs w:val="20"/>
        </w:rPr>
        <w:lastRenderedPageBreak/>
        <w:t>+ ifosfamide arm which was removed from the database as it did not reach the predetermined sample size (n = 9 &lt;10).</w:t>
      </w:r>
    </w:p>
    <w:p w14:paraId="1504671C" w14:textId="77777777"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In the table below, year of study activation (year that first patient was recruited) is presented for the 13 trials in the STBSG database. Most common year of activation at trial level was 2008 (30.77%).</w:t>
      </w:r>
    </w:p>
    <w:p w14:paraId="64F46CBE" w14:textId="77777777" w:rsidR="001B288F" w:rsidRDefault="001B288F" w:rsidP="001B288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0"/>
        <w:gridCol w:w="3056"/>
        <w:gridCol w:w="2790"/>
      </w:tblGrid>
      <w:tr w:rsidR="001B288F" w14:paraId="43676878" w14:textId="77777777" w:rsidTr="001B288F">
        <w:tc>
          <w:tcPr>
            <w:tcW w:w="3336" w:type="dxa"/>
          </w:tcPr>
          <w:p w14:paraId="0FFCB17C"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Year of study activation</w:t>
            </w:r>
          </w:p>
          <w:p w14:paraId="6C318A35" w14:textId="77777777" w:rsidR="001B288F" w:rsidRPr="001B288F" w:rsidRDefault="001B288F" w:rsidP="001B288F">
            <w:pPr>
              <w:rPr>
                <w:rFonts w:ascii="Times New Roman" w:hAnsi="Times New Roman" w:cs="Times New Roman"/>
                <w:b/>
                <w:bCs/>
                <w:sz w:val="16"/>
                <w:szCs w:val="16"/>
              </w:rPr>
            </w:pPr>
          </w:p>
        </w:tc>
        <w:tc>
          <w:tcPr>
            <w:tcW w:w="3219" w:type="dxa"/>
          </w:tcPr>
          <w:p w14:paraId="438FFAE1"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trial (%)</w:t>
            </w:r>
          </w:p>
        </w:tc>
        <w:tc>
          <w:tcPr>
            <w:tcW w:w="2933" w:type="dxa"/>
          </w:tcPr>
          <w:p w14:paraId="05986BAC"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row (%)</w:t>
            </w:r>
          </w:p>
        </w:tc>
      </w:tr>
      <w:tr w:rsidR="001B288F" w14:paraId="424D0EEB" w14:textId="77777777" w:rsidTr="001B288F">
        <w:tc>
          <w:tcPr>
            <w:tcW w:w="3336" w:type="dxa"/>
          </w:tcPr>
          <w:p w14:paraId="711FAC4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2001</w:t>
            </w:r>
          </w:p>
        </w:tc>
        <w:tc>
          <w:tcPr>
            <w:tcW w:w="3219" w:type="dxa"/>
          </w:tcPr>
          <w:p w14:paraId="6720A36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33" w:type="dxa"/>
          </w:tcPr>
          <w:p w14:paraId="6A29026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6FBD175C" w14:textId="77777777" w:rsidTr="001B288F">
        <w:tc>
          <w:tcPr>
            <w:tcW w:w="3336" w:type="dxa"/>
          </w:tcPr>
          <w:p w14:paraId="2142126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2002</w:t>
            </w:r>
          </w:p>
        </w:tc>
        <w:tc>
          <w:tcPr>
            <w:tcW w:w="3219" w:type="dxa"/>
          </w:tcPr>
          <w:p w14:paraId="7EC7F83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33" w:type="dxa"/>
          </w:tcPr>
          <w:p w14:paraId="588B36A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1F9EF15E" w14:textId="77777777" w:rsidTr="001B288F">
        <w:tc>
          <w:tcPr>
            <w:tcW w:w="3336" w:type="dxa"/>
          </w:tcPr>
          <w:p w14:paraId="44360B1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2003</w:t>
            </w:r>
          </w:p>
        </w:tc>
        <w:tc>
          <w:tcPr>
            <w:tcW w:w="3219" w:type="dxa"/>
          </w:tcPr>
          <w:p w14:paraId="6853AC0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33" w:type="dxa"/>
          </w:tcPr>
          <w:p w14:paraId="6CFC218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(13.33%)</w:t>
            </w:r>
          </w:p>
        </w:tc>
      </w:tr>
      <w:tr w:rsidR="001B288F" w14:paraId="15430844" w14:textId="77777777" w:rsidTr="001B288F">
        <w:tc>
          <w:tcPr>
            <w:tcW w:w="3336" w:type="dxa"/>
          </w:tcPr>
          <w:p w14:paraId="2F9E54F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2005</w:t>
            </w:r>
          </w:p>
        </w:tc>
        <w:tc>
          <w:tcPr>
            <w:tcW w:w="3219" w:type="dxa"/>
          </w:tcPr>
          <w:p w14:paraId="682ECCA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33" w:type="dxa"/>
          </w:tcPr>
          <w:p w14:paraId="666D96E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1B4FCC3A" w14:textId="77777777" w:rsidTr="001B288F">
        <w:tc>
          <w:tcPr>
            <w:tcW w:w="3336" w:type="dxa"/>
          </w:tcPr>
          <w:p w14:paraId="47A0E53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2007</w:t>
            </w:r>
          </w:p>
        </w:tc>
        <w:tc>
          <w:tcPr>
            <w:tcW w:w="3219" w:type="dxa"/>
          </w:tcPr>
          <w:p w14:paraId="0285E73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33" w:type="dxa"/>
          </w:tcPr>
          <w:p w14:paraId="6602FA7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311AE9BF" w14:textId="77777777" w:rsidTr="001B288F">
        <w:tc>
          <w:tcPr>
            <w:tcW w:w="3336" w:type="dxa"/>
          </w:tcPr>
          <w:p w14:paraId="5F5A968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2008</w:t>
            </w:r>
          </w:p>
        </w:tc>
        <w:tc>
          <w:tcPr>
            <w:tcW w:w="3219" w:type="dxa"/>
          </w:tcPr>
          <w:p w14:paraId="314C86A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(30.77%)</w:t>
            </w:r>
          </w:p>
        </w:tc>
        <w:tc>
          <w:tcPr>
            <w:tcW w:w="2933" w:type="dxa"/>
          </w:tcPr>
          <w:p w14:paraId="5FD608C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(26.67%)</w:t>
            </w:r>
          </w:p>
        </w:tc>
      </w:tr>
      <w:tr w:rsidR="001B288F" w14:paraId="34FBB73B" w14:textId="77777777" w:rsidTr="001B288F">
        <w:tc>
          <w:tcPr>
            <w:tcW w:w="3336" w:type="dxa"/>
          </w:tcPr>
          <w:p w14:paraId="7086141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2011</w:t>
            </w:r>
          </w:p>
        </w:tc>
        <w:tc>
          <w:tcPr>
            <w:tcW w:w="3219" w:type="dxa"/>
          </w:tcPr>
          <w:p w14:paraId="62BE5A3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33" w:type="dxa"/>
          </w:tcPr>
          <w:p w14:paraId="3B97434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(13.33%)</w:t>
            </w:r>
          </w:p>
        </w:tc>
      </w:tr>
      <w:tr w:rsidR="001B288F" w14:paraId="1266A074" w14:textId="77777777" w:rsidTr="001B288F">
        <w:tc>
          <w:tcPr>
            <w:tcW w:w="3336" w:type="dxa"/>
          </w:tcPr>
          <w:p w14:paraId="37B1292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2012</w:t>
            </w:r>
          </w:p>
        </w:tc>
        <w:tc>
          <w:tcPr>
            <w:tcW w:w="3219" w:type="dxa"/>
          </w:tcPr>
          <w:p w14:paraId="2283908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33" w:type="dxa"/>
          </w:tcPr>
          <w:p w14:paraId="2C4C9E6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20900A61" w14:textId="77777777" w:rsidTr="001B288F">
        <w:tc>
          <w:tcPr>
            <w:tcW w:w="3336" w:type="dxa"/>
          </w:tcPr>
          <w:p w14:paraId="0626485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2013</w:t>
            </w:r>
          </w:p>
        </w:tc>
        <w:tc>
          <w:tcPr>
            <w:tcW w:w="3219" w:type="dxa"/>
          </w:tcPr>
          <w:p w14:paraId="05B25FB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33" w:type="dxa"/>
          </w:tcPr>
          <w:p w14:paraId="270FB49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0FED3425" w14:textId="77777777" w:rsidTr="001B288F">
        <w:tc>
          <w:tcPr>
            <w:tcW w:w="3336" w:type="dxa"/>
          </w:tcPr>
          <w:p w14:paraId="50EAF8F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2015</w:t>
            </w:r>
          </w:p>
        </w:tc>
        <w:tc>
          <w:tcPr>
            <w:tcW w:w="3219" w:type="dxa"/>
          </w:tcPr>
          <w:p w14:paraId="615CF6E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33" w:type="dxa"/>
          </w:tcPr>
          <w:p w14:paraId="46784B4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41DD5681" w14:textId="77777777" w:rsidTr="001B288F">
        <w:tc>
          <w:tcPr>
            <w:tcW w:w="3336" w:type="dxa"/>
          </w:tcPr>
          <w:p w14:paraId="19F6364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3219" w:type="dxa"/>
          </w:tcPr>
          <w:p w14:paraId="158C01A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13 (100%)</w:t>
            </w:r>
          </w:p>
        </w:tc>
        <w:tc>
          <w:tcPr>
            <w:tcW w:w="2933" w:type="dxa"/>
          </w:tcPr>
          <w:p w14:paraId="37292E2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15 (100%)</w:t>
            </w:r>
          </w:p>
        </w:tc>
      </w:tr>
    </w:tbl>
    <w:p w14:paraId="634C6AC1" w14:textId="77777777" w:rsidR="001B288F" w:rsidRDefault="001B288F" w:rsidP="001B288F">
      <w:pPr>
        <w:rPr>
          <w:sz w:val="24"/>
          <w:szCs w:val="24"/>
        </w:rPr>
      </w:pPr>
    </w:p>
    <w:p w14:paraId="05A84A6E" w14:textId="77777777"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Most common year of publication at trial level was 2017 (23.08%).</w:t>
      </w:r>
    </w:p>
    <w:p w14:paraId="243C090C" w14:textId="77777777" w:rsidR="001B288F" w:rsidRDefault="001B288F" w:rsidP="001B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3036"/>
        <w:gridCol w:w="2766"/>
      </w:tblGrid>
      <w:tr w:rsidR="001B288F" w:rsidRPr="001D3448" w14:paraId="2329142C" w14:textId="77777777" w:rsidTr="001B288F">
        <w:tc>
          <w:tcPr>
            <w:tcW w:w="3378" w:type="dxa"/>
          </w:tcPr>
          <w:p w14:paraId="2E33D5D8"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Year of study publication</w:t>
            </w:r>
          </w:p>
          <w:p w14:paraId="159F9A0F" w14:textId="77777777" w:rsidR="001B288F" w:rsidRPr="001B288F" w:rsidRDefault="001B288F" w:rsidP="001B288F">
            <w:pPr>
              <w:rPr>
                <w:rFonts w:ascii="Times New Roman" w:hAnsi="Times New Roman" w:cs="Times New Roman"/>
                <w:b/>
                <w:bCs/>
                <w:sz w:val="16"/>
                <w:szCs w:val="16"/>
              </w:rPr>
            </w:pPr>
          </w:p>
        </w:tc>
        <w:tc>
          <w:tcPr>
            <w:tcW w:w="3200" w:type="dxa"/>
          </w:tcPr>
          <w:p w14:paraId="26E5FC14"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trial (%)</w:t>
            </w:r>
          </w:p>
        </w:tc>
        <w:tc>
          <w:tcPr>
            <w:tcW w:w="2910" w:type="dxa"/>
          </w:tcPr>
          <w:p w14:paraId="600461CE"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row (%)</w:t>
            </w:r>
          </w:p>
        </w:tc>
      </w:tr>
      <w:tr w:rsidR="001B288F" w14:paraId="1D73E31F" w14:textId="77777777" w:rsidTr="001B288F">
        <w:tc>
          <w:tcPr>
            <w:tcW w:w="3378" w:type="dxa"/>
          </w:tcPr>
          <w:p w14:paraId="79F7AAE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2008</w:t>
            </w:r>
          </w:p>
        </w:tc>
        <w:tc>
          <w:tcPr>
            <w:tcW w:w="3200" w:type="dxa"/>
          </w:tcPr>
          <w:p w14:paraId="2D63843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10" w:type="dxa"/>
          </w:tcPr>
          <w:p w14:paraId="5DD3B28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31EDACF2" w14:textId="77777777" w:rsidTr="001B288F">
        <w:tc>
          <w:tcPr>
            <w:tcW w:w="3378" w:type="dxa"/>
          </w:tcPr>
          <w:p w14:paraId="01DCD11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2009</w:t>
            </w:r>
          </w:p>
        </w:tc>
        <w:tc>
          <w:tcPr>
            <w:tcW w:w="3200" w:type="dxa"/>
          </w:tcPr>
          <w:p w14:paraId="0F4E150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(15.38%)</w:t>
            </w:r>
          </w:p>
        </w:tc>
        <w:tc>
          <w:tcPr>
            <w:tcW w:w="2910" w:type="dxa"/>
          </w:tcPr>
          <w:p w14:paraId="4188A34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(13.33%)</w:t>
            </w:r>
          </w:p>
        </w:tc>
      </w:tr>
      <w:tr w:rsidR="001B288F" w14:paraId="02A4F9D0" w14:textId="77777777" w:rsidTr="001B288F">
        <w:tc>
          <w:tcPr>
            <w:tcW w:w="3378" w:type="dxa"/>
          </w:tcPr>
          <w:p w14:paraId="06108FF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2011</w:t>
            </w:r>
          </w:p>
        </w:tc>
        <w:tc>
          <w:tcPr>
            <w:tcW w:w="3200" w:type="dxa"/>
          </w:tcPr>
          <w:p w14:paraId="446EC3B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10" w:type="dxa"/>
          </w:tcPr>
          <w:p w14:paraId="685792BB"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5CAC549B" w14:textId="77777777" w:rsidTr="001B288F">
        <w:tc>
          <w:tcPr>
            <w:tcW w:w="3378" w:type="dxa"/>
          </w:tcPr>
          <w:p w14:paraId="0E1046E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2012</w:t>
            </w:r>
          </w:p>
        </w:tc>
        <w:tc>
          <w:tcPr>
            <w:tcW w:w="3200" w:type="dxa"/>
          </w:tcPr>
          <w:p w14:paraId="217DCBF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10" w:type="dxa"/>
          </w:tcPr>
          <w:p w14:paraId="72059ED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2D212F09" w14:textId="77777777" w:rsidTr="001B288F">
        <w:tc>
          <w:tcPr>
            <w:tcW w:w="3378" w:type="dxa"/>
          </w:tcPr>
          <w:p w14:paraId="5A36B3B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2013</w:t>
            </w:r>
          </w:p>
        </w:tc>
        <w:tc>
          <w:tcPr>
            <w:tcW w:w="3200" w:type="dxa"/>
          </w:tcPr>
          <w:p w14:paraId="7F998BE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10" w:type="dxa"/>
          </w:tcPr>
          <w:p w14:paraId="4098487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2F8AAD77" w14:textId="77777777" w:rsidTr="001B288F">
        <w:tc>
          <w:tcPr>
            <w:tcW w:w="3378" w:type="dxa"/>
          </w:tcPr>
          <w:p w14:paraId="6D16476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2014</w:t>
            </w:r>
          </w:p>
        </w:tc>
        <w:tc>
          <w:tcPr>
            <w:tcW w:w="3200" w:type="dxa"/>
          </w:tcPr>
          <w:p w14:paraId="0ABD4FA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 (15.38%)</w:t>
            </w:r>
          </w:p>
        </w:tc>
        <w:tc>
          <w:tcPr>
            <w:tcW w:w="2910" w:type="dxa"/>
          </w:tcPr>
          <w:p w14:paraId="1BA54D1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(20%)</w:t>
            </w:r>
          </w:p>
        </w:tc>
      </w:tr>
      <w:tr w:rsidR="001B288F" w14:paraId="7AD7504C" w14:textId="77777777" w:rsidTr="001B288F">
        <w:tc>
          <w:tcPr>
            <w:tcW w:w="3378" w:type="dxa"/>
          </w:tcPr>
          <w:p w14:paraId="762D86B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2015</w:t>
            </w:r>
          </w:p>
        </w:tc>
        <w:tc>
          <w:tcPr>
            <w:tcW w:w="3200" w:type="dxa"/>
          </w:tcPr>
          <w:p w14:paraId="4B962E8A"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10" w:type="dxa"/>
          </w:tcPr>
          <w:p w14:paraId="5B843AF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2AD62629" w14:textId="77777777" w:rsidTr="001B288F">
        <w:tc>
          <w:tcPr>
            <w:tcW w:w="3378" w:type="dxa"/>
          </w:tcPr>
          <w:p w14:paraId="31307EC1"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2016</w:t>
            </w:r>
          </w:p>
        </w:tc>
        <w:tc>
          <w:tcPr>
            <w:tcW w:w="3200" w:type="dxa"/>
          </w:tcPr>
          <w:p w14:paraId="2C7B716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10" w:type="dxa"/>
          </w:tcPr>
          <w:p w14:paraId="16BB4F1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14:paraId="58AF1C44" w14:textId="77777777" w:rsidTr="001B288F">
        <w:tc>
          <w:tcPr>
            <w:tcW w:w="3378" w:type="dxa"/>
          </w:tcPr>
          <w:p w14:paraId="7482AF9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2017</w:t>
            </w:r>
          </w:p>
        </w:tc>
        <w:tc>
          <w:tcPr>
            <w:tcW w:w="3200" w:type="dxa"/>
          </w:tcPr>
          <w:p w14:paraId="5496EC4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 (23.08%)</w:t>
            </w:r>
          </w:p>
        </w:tc>
        <w:tc>
          <w:tcPr>
            <w:tcW w:w="2910" w:type="dxa"/>
          </w:tcPr>
          <w:p w14:paraId="3CF3311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(26.67%)</w:t>
            </w:r>
          </w:p>
        </w:tc>
      </w:tr>
      <w:tr w:rsidR="001B288F" w14:paraId="796D7CA5" w14:textId="77777777" w:rsidTr="001B288F">
        <w:tc>
          <w:tcPr>
            <w:tcW w:w="3378" w:type="dxa"/>
          </w:tcPr>
          <w:p w14:paraId="50DC3F8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3200" w:type="dxa"/>
          </w:tcPr>
          <w:p w14:paraId="2C7E34A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13 (100%)</w:t>
            </w:r>
          </w:p>
        </w:tc>
        <w:tc>
          <w:tcPr>
            <w:tcW w:w="2910" w:type="dxa"/>
          </w:tcPr>
          <w:p w14:paraId="00B6A1E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15 (100%)</w:t>
            </w:r>
          </w:p>
        </w:tc>
      </w:tr>
    </w:tbl>
    <w:p w14:paraId="7853B775" w14:textId="77777777" w:rsidR="001B288F" w:rsidRDefault="001B288F" w:rsidP="001B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3110"/>
        <w:gridCol w:w="2852"/>
      </w:tblGrid>
      <w:tr w:rsidR="001B288F" w:rsidRPr="0001426A" w14:paraId="72F70E11" w14:textId="77777777" w:rsidTr="001B288F">
        <w:tc>
          <w:tcPr>
            <w:tcW w:w="3224" w:type="dxa"/>
          </w:tcPr>
          <w:p w14:paraId="3EB1F013"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Phase</w:t>
            </w:r>
          </w:p>
          <w:p w14:paraId="4B53EA62" w14:textId="77777777" w:rsidR="001B288F" w:rsidRPr="001B288F" w:rsidRDefault="001B288F" w:rsidP="001B288F">
            <w:pPr>
              <w:rPr>
                <w:rFonts w:ascii="Times New Roman" w:hAnsi="Times New Roman" w:cs="Times New Roman"/>
                <w:b/>
                <w:bCs/>
                <w:sz w:val="16"/>
                <w:szCs w:val="16"/>
              </w:rPr>
            </w:pPr>
          </w:p>
        </w:tc>
        <w:tc>
          <w:tcPr>
            <w:tcW w:w="3270" w:type="dxa"/>
          </w:tcPr>
          <w:p w14:paraId="6D539780"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trial (%)</w:t>
            </w:r>
          </w:p>
        </w:tc>
        <w:tc>
          <w:tcPr>
            <w:tcW w:w="2994" w:type="dxa"/>
          </w:tcPr>
          <w:p w14:paraId="3AE80AE7"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row (%)</w:t>
            </w:r>
          </w:p>
        </w:tc>
      </w:tr>
      <w:tr w:rsidR="001B288F" w:rsidRPr="0001426A" w14:paraId="0336FA4D" w14:textId="77777777" w:rsidTr="001B288F">
        <w:tc>
          <w:tcPr>
            <w:tcW w:w="3224" w:type="dxa"/>
          </w:tcPr>
          <w:p w14:paraId="0AE38D54"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2</w:t>
            </w:r>
          </w:p>
        </w:tc>
        <w:tc>
          <w:tcPr>
            <w:tcW w:w="3270" w:type="dxa"/>
          </w:tcPr>
          <w:p w14:paraId="56B1796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8 (61.54%)</w:t>
            </w:r>
          </w:p>
        </w:tc>
        <w:tc>
          <w:tcPr>
            <w:tcW w:w="2994" w:type="dxa"/>
          </w:tcPr>
          <w:p w14:paraId="718B2C7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8 (53.33%)</w:t>
            </w:r>
          </w:p>
        </w:tc>
      </w:tr>
      <w:tr w:rsidR="001B288F" w:rsidRPr="0001426A" w14:paraId="4FEEC7A6" w14:textId="77777777" w:rsidTr="001B288F">
        <w:tc>
          <w:tcPr>
            <w:tcW w:w="3224" w:type="dxa"/>
          </w:tcPr>
          <w:p w14:paraId="6F2D20A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lastRenderedPageBreak/>
              <w:t>2|3</w:t>
            </w:r>
          </w:p>
        </w:tc>
        <w:tc>
          <w:tcPr>
            <w:tcW w:w="3270" w:type="dxa"/>
          </w:tcPr>
          <w:p w14:paraId="314BA2B5"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0 (0%)</w:t>
            </w:r>
          </w:p>
        </w:tc>
        <w:tc>
          <w:tcPr>
            <w:tcW w:w="2994" w:type="dxa"/>
          </w:tcPr>
          <w:p w14:paraId="3DADCF1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0 (0%)</w:t>
            </w:r>
          </w:p>
        </w:tc>
      </w:tr>
      <w:tr w:rsidR="001B288F" w:rsidRPr="0001426A" w14:paraId="1004CA57" w14:textId="77777777" w:rsidTr="001B288F">
        <w:tc>
          <w:tcPr>
            <w:tcW w:w="3224" w:type="dxa"/>
          </w:tcPr>
          <w:p w14:paraId="166E15C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3</w:t>
            </w:r>
          </w:p>
        </w:tc>
        <w:tc>
          <w:tcPr>
            <w:tcW w:w="3270" w:type="dxa"/>
          </w:tcPr>
          <w:p w14:paraId="1846516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 (30.77%)</w:t>
            </w:r>
          </w:p>
        </w:tc>
        <w:tc>
          <w:tcPr>
            <w:tcW w:w="2994" w:type="dxa"/>
          </w:tcPr>
          <w:p w14:paraId="5CADBBA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6 (40%)</w:t>
            </w:r>
          </w:p>
        </w:tc>
      </w:tr>
      <w:tr w:rsidR="001B288F" w:rsidRPr="0001426A" w14:paraId="3BA4F95F" w14:textId="77777777" w:rsidTr="001B288F">
        <w:tc>
          <w:tcPr>
            <w:tcW w:w="3224" w:type="dxa"/>
          </w:tcPr>
          <w:p w14:paraId="22D328D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4</w:t>
            </w:r>
          </w:p>
        </w:tc>
        <w:tc>
          <w:tcPr>
            <w:tcW w:w="3270" w:type="dxa"/>
          </w:tcPr>
          <w:p w14:paraId="19D1E97E"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(7.69%)</w:t>
            </w:r>
          </w:p>
        </w:tc>
        <w:tc>
          <w:tcPr>
            <w:tcW w:w="2994" w:type="dxa"/>
          </w:tcPr>
          <w:p w14:paraId="24F73B2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 (6.67%)</w:t>
            </w:r>
          </w:p>
        </w:tc>
      </w:tr>
      <w:tr w:rsidR="001B288F" w:rsidRPr="0001426A" w14:paraId="614F0521" w14:textId="77777777" w:rsidTr="001B288F">
        <w:tc>
          <w:tcPr>
            <w:tcW w:w="3224" w:type="dxa"/>
          </w:tcPr>
          <w:p w14:paraId="42FF7FD0"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3270" w:type="dxa"/>
          </w:tcPr>
          <w:p w14:paraId="5ED72148"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13 (100%)</w:t>
            </w:r>
          </w:p>
        </w:tc>
        <w:tc>
          <w:tcPr>
            <w:tcW w:w="2994" w:type="dxa"/>
          </w:tcPr>
          <w:p w14:paraId="7E24B55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15 (100%)</w:t>
            </w:r>
          </w:p>
        </w:tc>
      </w:tr>
    </w:tbl>
    <w:p w14:paraId="2F84BA80" w14:textId="77777777" w:rsidR="001B288F" w:rsidRDefault="001B288F" w:rsidP="001B288F">
      <w:pPr>
        <w:rPr>
          <w:sz w:val="24"/>
          <w:szCs w:val="24"/>
        </w:rPr>
      </w:pPr>
    </w:p>
    <w:p w14:paraId="11F38F7A" w14:textId="77777777" w:rsidR="001B288F" w:rsidRPr="001B288F"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8 trials were phase 2 (61.54%), 4 (30.77%) phase 3 and 1 phase 4 (7.69%). From the 15 lines in long format (one line per treatment combination), 8 were of phase 2 (53.33%) and 7 of greater than 2 (46.67%).</w:t>
      </w:r>
    </w:p>
    <w:p w14:paraId="47D40008" w14:textId="77777777" w:rsidR="001B288F" w:rsidRDefault="001B288F" w:rsidP="001B288F">
      <w:pPr>
        <w:rPr>
          <w:sz w:val="24"/>
          <w:szCs w:val="24"/>
        </w:rPr>
      </w:pPr>
    </w:p>
    <w:p w14:paraId="2B11FC0A" w14:textId="77777777" w:rsidR="001B288F" w:rsidRDefault="001B288F" w:rsidP="001B288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039"/>
        <w:gridCol w:w="2770"/>
      </w:tblGrid>
      <w:tr w:rsidR="001B288F" w:rsidRPr="0001426A" w14:paraId="72B89179" w14:textId="77777777" w:rsidTr="001B288F">
        <w:tc>
          <w:tcPr>
            <w:tcW w:w="3371" w:type="dxa"/>
          </w:tcPr>
          <w:p w14:paraId="6BFEC9E5"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Study design</w:t>
            </w:r>
          </w:p>
          <w:p w14:paraId="28945439" w14:textId="77777777" w:rsidR="001B288F" w:rsidRPr="001B288F" w:rsidRDefault="001B288F" w:rsidP="001B288F">
            <w:pPr>
              <w:rPr>
                <w:rFonts w:ascii="Times New Roman" w:hAnsi="Times New Roman" w:cs="Times New Roman"/>
                <w:b/>
                <w:bCs/>
                <w:sz w:val="16"/>
                <w:szCs w:val="16"/>
              </w:rPr>
            </w:pPr>
          </w:p>
        </w:tc>
        <w:tc>
          <w:tcPr>
            <w:tcW w:w="3203" w:type="dxa"/>
          </w:tcPr>
          <w:p w14:paraId="5D6FD643"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trial (%)</w:t>
            </w:r>
          </w:p>
        </w:tc>
        <w:tc>
          <w:tcPr>
            <w:tcW w:w="2914" w:type="dxa"/>
          </w:tcPr>
          <w:p w14:paraId="267BB417" w14:textId="77777777" w:rsidR="001B288F" w:rsidRPr="001B288F" w:rsidRDefault="001B288F" w:rsidP="001B288F">
            <w:pPr>
              <w:rPr>
                <w:rFonts w:ascii="Times New Roman" w:hAnsi="Times New Roman" w:cs="Times New Roman"/>
                <w:b/>
                <w:bCs/>
                <w:sz w:val="16"/>
                <w:szCs w:val="16"/>
              </w:rPr>
            </w:pPr>
            <w:r w:rsidRPr="001B288F">
              <w:rPr>
                <w:rFonts w:ascii="Times New Roman" w:hAnsi="Times New Roman" w:cs="Times New Roman"/>
                <w:b/>
                <w:bCs/>
                <w:sz w:val="16"/>
                <w:szCs w:val="16"/>
              </w:rPr>
              <w:t>N per row (%)</w:t>
            </w:r>
          </w:p>
        </w:tc>
      </w:tr>
      <w:tr w:rsidR="001B288F" w:rsidRPr="0001426A" w14:paraId="49A7583B" w14:textId="77777777" w:rsidTr="001B288F">
        <w:tc>
          <w:tcPr>
            <w:tcW w:w="3371" w:type="dxa"/>
          </w:tcPr>
          <w:p w14:paraId="2DB1B4D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randomized</w:t>
            </w:r>
          </w:p>
        </w:tc>
        <w:tc>
          <w:tcPr>
            <w:tcW w:w="3203" w:type="dxa"/>
          </w:tcPr>
          <w:p w14:paraId="157436F6"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5 (38.46%)</w:t>
            </w:r>
          </w:p>
        </w:tc>
        <w:tc>
          <w:tcPr>
            <w:tcW w:w="2914" w:type="dxa"/>
          </w:tcPr>
          <w:p w14:paraId="266D4972"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7 (46.67%)</w:t>
            </w:r>
          </w:p>
        </w:tc>
      </w:tr>
      <w:tr w:rsidR="001B288F" w:rsidRPr="0001426A" w14:paraId="3375BAC3" w14:textId="77777777" w:rsidTr="001B288F">
        <w:tc>
          <w:tcPr>
            <w:tcW w:w="3371" w:type="dxa"/>
          </w:tcPr>
          <w:p w14:paraId="33F0A3A7"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non-randomized</w:t>
            </w:r>
          </w:p>
        </w:tc>
        <w:tc>
          <w:tcPr>
            <w:tcW w:w="3203" w:type="dxa"/>
          </w:tcPr>
          <w:p w14:paraId="31C31DCD"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8 (61.54%)</w:t>
            </w:r>
          </w:p>
        </w:tc>
        <w:tc>
          <w:tcPr>
            <w:tcW w:w="2914" w:type="dxa"/>
          </w:tcPr>
          <w:p w14:paraId="255B1D09"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8 (53.33%)</w:t>
            </w:r>
          </w:p>
        </w:tc>
      </w:tr>
      <w:tr w:rsidR="001B288F" w:rsidRPr="0001426A" w14:paraId="3C5300EA" w14:textId="77777777" w:rsidTr="001B288F">
        <w:tc>
          <w:tcPr>
            <w:tcW w:w="3371" w:type="dxa"/>
          </w:tcPr>
          <w:p w14:paraId="468A922C"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Total</w:t>
            </w:r>
          </w:p>
        </w:tc>
        <w:tc>
          <w:tcPr>
            <w:tcW w:w="3203" w:type="dxa"/>
          </w:tcPr>
          <w:p w14:paraId="4D1678D3"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13 (100%)</w:t>
            </w:r>
          </w:p>
        </w:tc>
        <w:tc>
          <w:tcPr>
            <w:tcW w:w="2914" w:type="dxa"/>
          </w:tcPr>
          <w:p w14:paraId="7226247F" w14:textId="77777777" w:rsidR="001B288F" w:rsidRPr="001B288F" w:rsidRDefault="001B288F" w:rsidP="001B288F">
            <w:pPr>
              <w:rPr>
                <w:rFonts w:ascii="Times New Roman" w:hAnsi="Times New Roman" w:cs="Times New Roman"/>
                <w:sz w:val="16"/>
                <w:szCs w:val="16"/>
              </w:rPr>
            </w:pPr>
            <w:r w:rsidRPr="001B288F">
              <w:rPr>
                <w:rFonts w:ascii="Times New Roman" w:hAnsi="Times New Roman" w:cs="Times New Roman"/>
                <w:sz w:val="16"/>
                <w:szCs w:val="16"/>
              </w:rPr>
              <w:t>15 (100%)</w:t>
            </w:r>
          </w:p>
        </w:tc>
      </w:tr>
    </w:tbl>
    <w:p w14:paraId="5756F6AF" w14:textId="77777777" w:rsidR="001B288F" w:rsidRDefault="001B288F" w:rsidP="001B288F">
      <w:pPr>
        <w:rPr>
          <w:sz w:val="24"/>
          <w:szCs w:val="24"/>
        </w:rPr>
      </w:pPr>
    </w:p>
    <w:p w14:paraId="41EE6692" w14:textId="7D957E9E" w:rsidR="001B288F" w:rsidRPr="00E705FD" w:rsidRDefault="001B288F" w:rsidP="001B288F">
      <w:pPr>
        <w:rPr>
          <w:rFonts w:ascii="Times New Roman" w:hAnsi="Times New Roman" w:cs="Times New Roman"/>
          <w:sz w:val="20"/>
          <w:szCs w:val="20"/>
        </w:rPr>
      </w:pPr>
      <w:r w:rsidRPr="001B288F">
        <w:rPr>
          <w:rFonts w:ascii="Times New Roman" w:hAnsi="Times New Roman" w:cs="Times New Roman"/>
          <w:sz w:val="20"/>
          <w:szCs w:val="20"/>
        </w:rPr>
        <w:t xml:space="preserve">From the 15 excel lines </w:t>
      </w:r>
      <w:proofErr w:type="spellStart"/>
      <w:r w:rsidRPr="001B288F">
        <w:rPr>
          <w:rFonts w:ascii="Times New Roman" w:hAnsi="Times New Roman" w:cs="Times New Roman"/>
          <w:sz w:val="20"/>
          <w:szCs w:val="20"/>
        </w:rPr>
        <w:t>analyzed</w:t>
      </w:r>
      <w:proofErr w:type="spellEnd"/>
      <w:r w:rsidRPr="001B288F">
        <w:rPr>
          <w:rFonts w:ascii="Times New Roman" w:hAnsi="Times New Roman" w:cs="Times New Roman"/>
          <w:sz w:val="20"/>
          <w:szCs w:val="20"/>
        </w:rPr>
        <w:t xml:space="preserve">, 7 came from randomized and 8 from non-randomized studies.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3037"/>
        <w:gridCol w:w="2768"/>
      </w:tblGrid>
      <w:tr w:rsidR="00E705FD" w:rsidRPr="00E705FD" w14:paraId="75041DEF" w14:textId="77777777" w:rsidTr="00AE1FA6">
        <w:tc>
          <w:tcPr>
            <w:tcW w:w="3371" w:type="dxa"/>
          </w:tcPr>
          <w:p w14:paraId="5C77908D" w14:textId="77777777" w:rsidR="00E705FD" w:rsidRPr="00E705FD" w:rsidRDefault="00E705FD" w:rsidP="00E705FD">
            <w:pPr>
              <w:spacing w:before="60" w:after="120" w:line="240" w:lineRule="auto"/>
              <w:jc w:val="both"/>
              <w:rPr>
                <w:rFonts w:ascii="Times New Roman" w:eastAsia="Times New Roman" w:hAnsi="Times New Roman" w:cs="Times New Roman"/>
                <w:b/>
                <w:bCs/>
                <w:sz w:val="16"/>
                <w:szCs w:val="16"/>
                <w:lang w:val="en-US"/>
              </w:rPr>
            </w:pPr>
            <w:r w:rsidRPr="00E705FD">
              <w:rPr>
                <w:rFonts w:ascii="Times New Roman" w:eastAsia="Times New Roman" w:hAnsi="Times New Roman" w:cs="Times New Roman"/>
                <w:b/>
                <w:bCs/>
                <w:sz w:val="16"/>
                <w:szCs w:val="16"/>
                <w:lang w:val="en-US"/>
              </w:rPr>
              <w:t>Pathological review</w:t>
            </w:r>
          </w:p>
          <w:p w14:paraId="71F166C8" w14:textId="77777777" w:rsidR="00E705FD" w:rsidRPr="00E705FD" w:rsidRDefault="00E705FD" w:rsidP="00E705FD">
            <w:pPr>
              <w:spacing w:before="60" w:after="120" w:line="240" w:lineRule="auto"/>
              <w:jc w:val="both"/>
              <w:rPr>
                <w:rFonts w:ascii="Times New Roman" w:eastAsia="Times New Roman" w:hAnsi="Times New Roman" w:cs="Times New Roman"/>
                <w:b/>
                <w:bCs/>
                <w:sz w:val="16"/>
                <w:szCs w:val="16"/>
                <w:lang w:val="en-US"/>
              </w:rPr>
            </w:pPr>
          </w:p>
        </w:tc>
        <w:tc>
          <w:tcPr>
            <w:tcW w:w="3203" w:type="dxa"/>
          </w:tcPr>
          <w:p w14:paraId="550106A2" w14:textId="77777777" w:rsidR="00E705FD" w:rsidRPr="00E705FD" w:rsidRDefault="00E705FD" w:rsidP="00E705FD">
            <w:pPr>
              <w:spacing w:before="60" w:after="120" w:line="240" w:lineRule="auto"/>
              <w:jc w:val="both"/>
              <w:rPr>
                <w:rFonts w:ascii="Times New Roman" w:eastAsia="Times New Roman" w:hAnsi="Times New Roman" w:cs="Times New Roman"/>
                <w:b/>
                <w:bCs/>
                <w:sz w:val="16"/>
                <w:szCs w:val="16"/>
                <w:lang w:val="en-US"/>
              </w:rPr>
            </w:pPr>
            <w:r w:rsidRPr="00E705FD">
              <w:rPr>
                <w:rFonts w:ascii="Times New Roman" w:eastAsia="Times New Roman" w:hAnsi="Times New Roman" w:cs="Times New Roman"/>
                <w:b/>
                <w:bCs/>
                <w:sz w:val="16"/>
                <w:szCs w:val="16"/>
                <w:lang w:val="en-US"/>
              </w:rPr>
              <w:t>N per trial (%)</w:t>
            </w:r>
          </w:p>
        </w:tc>
        <w:tc>
          <w:tcPr>
            <w:tcW w:w="2914" w:type="dxa"/>
          </w:tcPr>
          <w:p w14:paraId="236857FC" w14:textId="77777777" w:rsidR="00E705FD" w:rsidRPr="00E705FD" w:rsidRDefault="00E705FD" w:rsidP="00E705FD">
            <w:pPr>
              <w:spacing w:before="60" w:after="120" w:line="240" w:lineRule="auto"/>
              <w:jc w:val="both"/>
              <w:rPr>
                <w:rFonts w:ascii="Times New Roman" w:eastAsia="Times New Roman" w:hAnsi="Times New Roman" w:cs="Times New Roman"/>
                <w:b/>
                <w:bCs/>
                <w:sz w:val="16"/>
                <w:szCs w:val="16"/>
                <w:lang w:val="en-US"/>
              </w:rPr>
            </w:pPr>
            <w:r w:rsidRPr="00E705FD">
              <w:rPr>
                <w:rFonts w:ascii="Times New Roman" w:eastAsia="Times New Roman" w:hAnsi="Times New Roman" w:cs="Times New Roman"/>
                <w:b/>
                <w:bCs/>
                <w:sz w:val="16"/>
                <w:szCs w:val="16"/>
                <w:lang w:val="en-US"/>
              </w:rPr>
              <w:t>N per row (%)</w:t>
            </w:r>
          </w:p>
        </w:tc>
      </w:tr>
      <w:tr w:rsidR="00E705FD" w:rsidRPr="00E705FD" w14:paraId="2BD39D29" w14:textId="77777777" w:rsidTr="00AE1FA6">
        <w:tc>
          <w:tcPr>
            <w:tcW w:w="3371" w:type="dxa"/>
          </w:tcPr>
          <w:p w14:paraId="39FD4D4A"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local</w:t>
            </w:r>
          </w:p>
        </w:tc>
        <w:tc>
          <w:tcPr>
            <w:tcW w:w="3203" w:type="dxa"/>
          </w:tcPr>
          <w:p w14:paraId="458AE646"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6 (46.15%)</w:t>
            </w:r>
          </w:p>
        </w:tc>
        <w:tc>
          <w:tcPr>
            <w:tcW w:w="2914" w:type="dxa"/>
          </w:tcPr>
          <w:p w14:paraId="7CB0F5D3"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7 (46.67%)</w:t>
            </w:r>
          </w:p>
        </w:tc>
      </w:tr>
      <w:tr w:rsidR="00E705FD" w:rsidRPr="00E705FD" w14:paraId="12FEB427" w14:textId="77777777" w:rsidTr="00AE1FA6">
        <w:tc>
          <w:tcPr>
            <w:tcW w:w="3371" w:type="dxa"/>
          </w:tcPr>
          <w:p w14:paraId="7040EAF5"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central</w:t>
            </w:r>
          </w:p>
        </w:tc>
        <w:tc>
          <w:tcPr>
            <w:tcW w:w="3203" w:type="dxa"/>
          </w:tcPr>
          <w:p w14:paraId="0582BAA2"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4 (30.77%)</w:t>
            </w:r>
          </w:p>
        </w:tc>
        <w:tc>
          <w:tcPr>
            <w:tcW w:w="2914" w:type="dxa"/>
          </w:tcPr>
          <w:p w14:paraId="033E959F"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5 (33.33%)</w:t>
            </w:r>
          </w:p>
        </w:tc>
      </w:tr>
      <w:tr w:rsidR="00E705FD" w:rsidRPr="00E705FD" w14:paraId="5262F3C0" w14:textId="77777777" w:rsidTr="00AE1FA6">
        <w:tc>
          <w:tcPr>
            <w:tcW w:w="3371" w:type="dxa"/>
          </w:tcPr>
          <w:p w14:paraId="50520945"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unclear</w:t>
            </w:r>
          </w:p>
        </w:tc>
        <w:tc>
          <w:tcPr>
            <w:tcW w:w="3203" w:type="dxa"/>
          </w:tcPr>
          <w:p w14:paraId="763A8962"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3 (23.08%)</w:t>
            </w:r>
          </w:p>
        </w:tc>
        <w:tc>
          <w:tcPr>
            <w:tcW w:w="2914" w:type="dxa"/>
          </w:tcPr>
          <w:p w14:paraId="3EB57554"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3 (20%)</w:t>
            </w:r>
          </w:p>
        </w:tc>
      </w:tr>
      <w:tr w:rsidR="00E705FD" w:rsidRPr="00E705FD" w14:paraId="6731E2CC" w14:textId="77777777" w:rsidTr="00AE1FA6">
        <w:tc>
          <w:tcPr>
            <w:tcW w:w="3371" w:type="dxa"/>
          </w:tcPr>
          <w:p w14:paraId="392DFD98"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Total</w:t>
            </w:r>
          </w:p>
        </w:tc>
        <w:tc>
          <w:tcPr>
            <w:tcW w:w="3203" w:type="dxa"/>
          </w:tcPr>
          <w:p w14:paraId="346678D3"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13 (100%)</w:t>
            </w:r>
          </w:p>
        </w:tc>
        <w:tc>
          <w:tcPr>
            <w:tcW w:w="2914" w:type="dxa"/>
          </w:tcPr>
          <w:p w14:paraId="5A3610DD" w14:textId="77777777" w:rsidR="00E705FD" w:rsidRPr="00E705FD" w:rsidRDefault="00E705FD" w:rsidP="00E705FD">
            <w:pPr>
              <w:spacing w:before="60" w:after="120" w:line="240" w:lineRule="auto"/>
              <w:jc w:val="both"/>
              <w:rPr>
                <w:rFonts w:ascii="Times New Roman" w:eastAsia="Times New Roman" w:hAnsi="Times New Roman" w:cs="Times New Roman"/>
                <w:sz w:val="16"/>
                <w:szCs w:val="16"/>
                <w:lang w:val="en-US"/>
              </w:rPr>
            </w:pPr>
            <w:r w:rsidRPr="00E705FD">
              <w:rPr>
                <w:rFonts w:ascii="Times New Roman" w:eastAsia="Times New Roman" w:hAnsi="Times New Roman" w:cs="Times New Roman"/>
                <w:sz w:val="16"/>
                <w:szCs w:val="16"/>
                <w:lang w:val="en-US"/>
              </w:rPr>
              <w:t>15 (100%)</w:t>
            </w:r>
          </w:p>
        </w:tc>
      </w:tr>
    </w:tbl>
    <w:p w14:paraId="7FD69741" w14:textId="77777777" w:rsidR="00E705FD" w:rsidRPr="00E705FD" w:rsidRDefault="00E705FD" w:rsidP="00E705FD">
      <w:pPr>
        <w:spacing w:before="60" w:after="120" w:line="240" w:lineRule="auto"/>
        <w:jc w:val="both"/>
        <w:rPr>
          <w:rFonts w:ascii="Times New Roman" w:eastAsia="Times New Roman" w:hAnsi="Times New Roman" w:cs="Times New Roman"/>
          <w:sz w:val="20"/>
          <w:szCs w:val="20"/>
          <w:lang w:val="en-US"/>
        </w:rPr>
      </w:pPr>
    </w:p>
    <w:p w14:paraId="66758F13" w14:textId="77777777" w:rsidR="00E705FD" w:rsidRPr="00E705FD" w:rsidRDefault="00E705FD" w:rsidP="00E705FD">
      <w:pPr>
        <w:spacing w:before="60" w:after="120" w:line="240" w:lineRule="auto"/>
        <w:jc w:val="both"/>
        <w:rPr>
          <w:rFonts w:ascii="Times New Roman" w:eastAsia="Times New Roman" w:hAnsi="Times New Roman" w:cs="Times New Roman"/>
          <w:sz w:val="20"/>
          <w:szCs w:val="20"/>
          <w:lang w:val="en-US"/>
        </w:rPr>
      </w:pPr>
      <w:r w:rsidRPr="00E705FD">
        <w:rPr>
          <w:rFonts w:ascii="Times New Roman" w:eastAsia="Times New Roman" w:hAnsi="Times New Roman" w:cs="Times New Roman"/>
          <w:sz w:val="20"/>
          <w:szCs w:val="20"/>
          <w:lang w:val="en-US"/>
        </w:rPr>
        <w:t xml:space="preserve">Pathological review was locally performed for 6 trials, centrally for 4 trials and was unclear for 3 trials.  </w:t>
      </w:r>
    </w:p>
    <w:p w14:paraId="71E1B758" w14:textId="77777777" w:rsidR="001B288F" w:rsidRDefault="001B288F" w:rsidP="001B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8"/>
        <w:gridCol w:w="1770"/>
        <w:gridCol w:w="2558"/>
      </w:tblGrid>
      <w:tr w:rsidR="001B288F" w14:paraId="05A36B18" w14:textId="77777777" w:rsidTr="001B288F">
        <w:tc>
          <w:tcPr>
            <w:tcW w:w="4957" w:type="dxa"/>
          </w:tcPr>
          <w:p w14:paraId="7B438FAB"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 xml:space="preserve">Primary endpoint </w:t>
            </w:r>
          </w:p>
          <w:p w14:paraId="69EB981E" w14:textId="77777777" w:rsidR="001B288F" w:rsidRPr="00E705FD" w:rsidRDefault="001B288F" w:rsidP="001B288F">
            <w:pPr>
              <w:rPr>
                <w:rFonts w:ascii="Times New Roman" w:hAnsi="Times New Roman" w:cs="Times New Roman"/>
                <w:b/>
                <w:bCs/>
                <w:sz w:val="16"/>
                <w:szCs w:val="16"/>
              </w:rPr>
            </w:pPr>
          </w:p>
        </w:tc>
        <w:tc>
          <w:tcPr>
            <w:tcW w:w="1842" w:type="dxa"/>
          </w:tcPr>
          <w:p w14:paraId="0E37A0A0"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N per trial (%)</w:t>
            </w:r>
          </w:p>
        </w:tc>
        <w:tc>
          <w:tcPr>
            <w:tcW w:w="2689" w:type="dxa"/>
          </w:tcPr>
          <w:p w14:paraId="0719D8EB"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N per row (%)</w:t>
            </w:r>
          </w:p>
        </w:tc>
      </w:tr>
      <w:tr w:rsidR="001B288F" w14:paraId="7039DB72" w14:textId="77777777" w:rsidTr="001B288F">
        <w:tc>
          <w:tcPr>
            <w:tcW w:w="4957" w:type="dxa"/>
          </w:tcPr>
          <w:p w14:paraId="69502247"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Progression-Free Rate/Survival Rate at 3 months</w:t>
            </w:r>
          </w:p>
        </w:tc>
        <w:tc>
          <w:tcPr>
            <w:tcW w:w="1842" w:type="dxa"/>
          </w:tcPr>
          <w:p w14:paraId="423FDE3A"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4 (30.77%)</w:t>
            </w:r>
          </w:p>
        </w:tc>
        <w:tc>
          <w:tcPr>
            <w:tcW w:w="2689" w:type="dxa"/>
          </w:tcPr>
          <w:p w14:paraId="273D2825"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4 (26.67%)</w:t>
            </w:r>
          </w:p>
        </w:tc>
      </w:tr>
      <w:tr w:rsidR="001B288F" w14:paraId="7191A487" w14:textId="77777777" w:rsidTr="001B288F">
        <w:tc>
          <w:tcPr>
            <w:tcW w:w="4957" w:type="dxa"/>
          </w:tcPr>
          <w:p w14:paraId="76A4939B"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Progression-Free Survival</w:t>
            </w:r>
          </w:p>
        </w:tc>
        <w:tc>
          <w:tcPr>
            <w:tcW w:w="1842" w:type="dxa"/>
          </w:tcPr>
          <w:p w14:paraId="22BF906E"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4 (30.77%)</w:t>
            </w:r>
          </w:p>
        </w:tc>
        <w:tc>
          <w:tcPr>
            <w:tcW w:w="2689" w:type="dxa"/>
          </w:tcPr>
          <w:p w14:paraId="2A148DD3"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4 (26.67%)</w:t>
            </w:r>
          </w:p>
        </w:tc>
      </w:tr>
      <w:tr w:rsidR="001B288F" w14:paraId="2907A791" w14:textId="77777777" w:rsidTr="001B288F">
        <w:tc>
          <w:tcPr>
            <w:tcW w:w="4957" w:type="dxa"/>
          </w:tcPr>
          <w:p w14:paraId="7B61B6D1"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Overall Survival</w:t>
            </w:r>
          </w:p>
        </w:tc>
        <w:tc>
          <w:tcPr>
            <w:tcW w:w="1842" w:type="dxa"/>
          </w:tcPr>
          <w:p w14:paraId="6EAF5FCB"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2 (15.38%)</w:t>
            </w:r>
          </w:p>
        </w:tc>
        <w:tc>
          <w:tcPr>
            <w:tcW w:w="2689" w:type="dxa"/>
          </w:tcPr>
          <w:p w14:paraId="58FACFE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4 (26.67%)</w:t>
            </w:r>
          </w:p>
        </w:tc>
      </w:tr>
      <w:tr w:rsidR="001B288F" w14:paraId="12904413" w14:textId="77777777" w:rsidTr="001B288F">
        <w:tc>
          <w:tcPr>
            <w:tcW w:w="4957" w:type="dxa"/>
          </w:tcPr>
          <w:p w14:paraId="25B431CE"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Response Rate</w:t>
            </w:r>
          </w:p>
        </w:tc>
        <w:tc>
          <w:tcPr>
            <w:tcW w:w="1842" w:type="dxa"/>
          </w:tcPr>
          <w:p w14:paraId="0CE7744C"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2 (15.38%)</w:t>
            </w:r>
          </w:p>
        </w:tc>
        <w:tc>
          <w:tcPr>
            <w:tcW w:w="2689" w:type="dxa"/>
          </w:tcPr>
          <w:p w14:paraId="26652D86"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2 (13.33%)</w:t>
            </w:r>
          </w:p>
        </w:tc>
      </w:tr>
      <w:tr w:rsidR="001B288F" w14:paraId="4F1E824E" w14:textId="77777777" w:rsidTr="001B288F">
        <w:tc>
          <w:tcPr>
            <w:tcW w:w="4957" w:type="dxa"/>
          </w:tcPr>
          <w:p w14:paraId="439050F0"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Clinical Benefit Rate</w:t>
            </w:r>
          </w:p>
        </w:tc>
        <w:tc>
          <w:tcPr>
            <w:tcW w:w="1842" w:type="dxa"/>
          </w:tcPr>
          <w:p w14:paraId="127DDE55"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689" w:type="dxa"/>
          </w:tcPr>
          <w:p w14:paraId="01C71FE0"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r>
      <w:tr w:rsidR="001B288F" w14:paraId="2D1CA8CE" w14:textId="77777777" w:rsidTr="001B288F">
        <w:tc>
          <w:tcPr>
            <w:tcW w:w="4957" w:type="dxa"/>
          </w:tcPr>
          <w:p w14:paraId="6079D170"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Total</w:t>
            </w:r>
          </w:p>
        </w:tc>
        <w:tc>
          <w:tcPr>
            <w:tcW w:w="1842" w:type="dxa"/>
          </w:tcPr>
          <w:p w14:paraId="3C64A422"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13 (100%)</w:t>
            </w:r>
          </w:p>
        </w:tc>
        <w:tc>
          <w:tcPr>
            <w:tcW w:w="2689" w:type="dxa"/>
          </w:tcPr>
          <w:p w14:paraId="7BF97C26"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15 (100%)</w:t>
            </w:r>
          </w:p>
        </w:tc>
      </w:tr>
    </w:tbl>
    <w:p w14:paraId="3F84A8FF" w14:textId="77777777" w:rsidR="001B288F" w:rsidRDefault="001B288F" w:rsidP="001B288F"/>
    <w:p w14:paraId="5F542763" w14:textId="77777777" w:rsidR="001B288F" w:rsidRPr="00E705FD" w:rsidRDefault="001B288F" w:rsidP="001B288F">
      <w:pPr>
        <w:rPr>
          <w:rFonts w:ascii="Times New Roman" w:hAnsi="Times New Roman" w:cs="Times New Roman"/>
          <w:sz w:val="20"/>
          <w:szCs w:val="20"/>
        </w:rPr>
      </w:pPr>
      <w:r w:rsidRPr="00E705FD">
        <w:rPr>
          <w:rFonts w:ascii="Times New Roman" w:hAnsi="Times New Roman" w:cs="Times New Roman"/>
          <w:sz w:val="20"/>
          <w:szCs w:val="20"/>
        </w:rPr>
        <w:t xml:space="preserve">The most common primary endpoints per trial were PFSR at 3 months and PFS. </w:t>
      </w:r>
    </w:p>
    <w:p w14:paraId="3A77D842" w14:textId="77777777" w:rsidR="001B288F" w:rsidRDefault="001B288F" w:rsidP="001B288F"/>
    <w:p w14:paraId="22B026E8" w14:textId="77777777" w:rsidR="001B288F" w:rsidRDefault="001B288F" w:rsidP="001B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987"/>
        <w:gridCol w:w="1010"/>
        <w:gridCol w:w="1279"/>
        <w:gridCol w:w="1258"/>
        <w:gridCol w:w="1261"/>
        <w:gridCol w:w="1261"/>
      </w:tblGrid>
      <w:tr w:rsidR="001B288F" w14:paraId="17481153" w14:textId="77777777" w:rsidTr="001B288F">
        <w:tc>
          <w:tcPr>
            <w:tcW w:w="2080" w:type="dxa"/>
          </w:tcPr>
          <w:p w14:paraId="5AD15E55" w14:textId="77777777" w:rsidR="001B288F" w:rsidRPr="00E705FD" w:rsidRDefault="001B288F" w:rsidP="001B288F">
            <w:pPr>
              <w:jc w:val="center"/>
              <w:rPr>
                <w:rFonts w:ascii="Times New Roman" w:hAnsi="Times New Roman" w:cs="Times New Roman"/>
                <w:b/>
                <w:bCs/>
                <w:sz w:val="16"/>
                <w:szCs w:val="16"/>
              </w:rPr>
            </w:pPr>
            <w:r w:rsidRPr="00E705FD">
              <w:rPr>
                <w:rFonts w:ascii="Times New Roman" w:hAnsi="Times New Roman" w:cs="Times New Roman"/>
                <w:b/>
                <w:bCs/>
                <w:sz w:val="16"/>
                <w:szCs w:val="16"/>
              </w:rPr>
              <w:t>Summary statistics for % of evaluable SS patients</w:t>
            </w:r>
          </w:p>
          <w:p w14:paraId="2D1CCABB" w14:textId="77777777" w:rsidR="001B288F" w:rsidRPr="00E705FD" w:rsidRDefault="001B288F" w:rsidP="001B288F">
            <w:pPr>
              <w:rPr>
                <w:rFonts w:ascii="Times New Roman" w:hAnsi="Times New Roman" w:cs="Times New Roman"/>
                <w:b/>
                <w:bCs/>
                <w:sz w:val="16"/>
                <w:szCs w:val="16"/>
              </w:rPr>
            </w:pPr>
          </w:p>
        </w:tc>
        <w:tc>
          <w:tcPr>
            <w:tcW w:w="1034" w:type="dxa"/>
          </w:tcPr>
          <w:p w14:paraId="449A3855"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Min.</w:t>
            </w:r>
          </w:p>
        </w:tc>
        <w:tc>
          <w:tcPr>
            <w:tcW w:w="1049" w:type="dxa"/>
          </w:tcPr>
          <w:p w14:paraId="6B6FEAE5"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1</w:t>
            </w:r>
            <w:r w:rsidRPr="00E705FD">
              <w:rPr>
                <w:rFonts w:ascii="Times New Roman" w:hAnsi="Times New Roman" w:cs="Times New Roman"/>
                <w:b/>
                <w:bCs/>
                <w:sz w:val="16"/>
                <w:szCs w:val="16"/>
                <w:vertAlign w:val="superscript"/>
              </w:rPr>
              <w:t>st</w:t>
            </w:r>
            <w:r w:rsidRPr="00E705FD">
              <w:rPr>
                <w:rFonts w:ascii="Times New Roman" w:hAnsi="Times New Roman" w:cs="Times New Roman"/>
                <w:b/>
                <w:bCs/>
                <w:sz w:val="16"/>
                <w:szCs w:val="16"/>
              </w:rPr>
              <w:t xml:space="preserve"> Qu.</w:t>
            </w:r>
          </w:p>
        </w:tc>
        <w:tc>
          <w:tcPr>
            <w:tcW w:w="1339" w:type="dxa"/>
          </w:tcPr>
          <w:p w14:paraId="3F93411D"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 xml:space="preserve">Median </w:t>
            </w:r>
          </w:p>
        </w:tc>
        <w:tc>
          <w:tcPr>
            <w:tcW w:w="1330" w:type="dxa"/>
          </w:tcPr>
          <w:p w14:paraId="0F35BAFF"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 xml:space="preserve">Mean </w:t>
            </w:r>
          </w:p>
        </w:tc>
        <w:tc>
          <w:tcPr>
            <w:tcW w:w="1328" w:type="dxa"/>
          </w:tcPr>
          <w:p w14:paraId="1B538ABA"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3</w:t>
            </w:r>
            <w:r w:rsidRPr="00E705FD">
              <w:rPr>
                <w:rFonts w:ascii="Times New Roman" w:hAnsi="Times New Roman" w:cs="Times New Roman"/>
                <w:b/>
                <w:bCs/>
                <w:sz w:val="16"/>
                <w:szCs w:val="16"/>
                <w:vertAlign w:val="superscript"/>
              </w:rPr>
              <w:t>rd</w:t>
            </w:r>
            <w:r w:rsidRPr="00E705FD">
              <w:rPr>
                <w:rFonts w:ascii="Times New Roman" w:hAnsi="Times New Roman" w:cs="Times New Roman"/>
                <w:b/>
                <w:bCs/>
                <w:sz w:val="16"/>
                <w:szCs w:val="16"/>
              </w:rPr>
              <w:t xml:space="preserve"> Qu.</w:t>
            </w:r>
          </w:p>
        </w:tc>
        <w:tc>
          <w:tcPr>
            <w:tcW w:w="1328" w:type="dxa"/>
          </w:tcPr>
          <w:p w14:paraId="6EFDBCFC"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Max.</w:t>
            </w:r>
          </w:p>
        </w:tc>
      </w:tr>
      <w:tr w:rsidR="001B288F" w14:paraId="190585EE" w14:textId="77777777" w:rsidTr="001B288F">
        <w:tc>
          <w:tcPr>
            <w:tcW w:w="2080" w:type="dxa"/>
          </w:tcPr>
          <w:p w14:paraId="42CD67B5"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Over total patients registered</w:t>
            </w:r>
          </w:p>
        </w:tc>
        <w:tc>
          <w:tcPr>
            <w:tcW w:w="1034" w:type="dxa"/>
          </w:tcPr>
          <w:p w14:paraId="5D105A54"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2.66</w:t>
            </w:r>
          </w:p>
        </w:tc>
        <w:tc>
          <w:tcPr>
            <w:tcW w:w="1049" w:type="dxa"/>
          </w:tcPr>
          <w:p w14:paraId="57661E9B"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7.80</w:t>
            </w:r>
          </w:p>
        </w:tc>
        <w:tc>
          <w:tcPr>
            <w:tcW w:w="1339" w:type="dxa"/>
          </w:tcPr>
          <w:p w14:paraId="03B11533"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11.63</w:t>
            </w:r>
          </w:p>
        </w:tc>
        <w:tc>
          <w:tcPr>
            <w:tcW w:w="1330" w:type="dxa"/>
          </w:tcPr>
          <w:p w14:paraId="3B8706CA"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21.33</w:t>
            </w:r>
          </w:p>
        </w:tc>
        <w:tc>
          <w:tcPr>
            <w:tcW w:w="1328" w:type="dxa"/>
          </w:tcPr>
          <w:p w14:paraId="461C553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21.09</w:t>
            </w:r>
          </w:p>
        </w:tc>
        <w:tc>
          <w:tcPr>
            <w:tcW w:w="1328" w:type="dxa"/>
          </w:tcPr>
          <w:p w14:paraId="47FEE78A"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95.83</w:t>
            </w:r>
          </w:p>
        </w:tc>
      </w:tr>
      <w:tr w:rsidR="001B288F" w14:paraId="65238FA2" w14:textId="77777777" w:rsidTr="001B288F">
        <w:tc>
          <w:tcPr>
            <w:tcW w:w="2080" w:type="dxa"/>
          </w:tcPr>
          <w:p w14:paraId="03EFCB6A"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Over SS patients registered</w:t>
            </w:r>
          </w:p>
        </w:tc>
        <w:tc>
          <w:tcPr>
            <w:tcW w:w="1034" w:type="dxa"/>
          </w:tcPr>
          <w:p w14:paraId="215B4DB8"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95.45</w:t>
            </w:r>
          </w:p>
        </w:tc>
        <w:tc>
          <w:tcPr>
            <w:tcW w:w="1049" w:type="dxa"/>
          </w:tcPr>
          <w:p w14:paraId="46C145C3"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100.00</w:t>
            </w:r>
          </w:p>
        </w:tc>
        <w:tc>
          <w:tcPr>
            <w:tcW w:w="1339" w:type="dxa"/>
          </w:tcPr>
          <w:p w14:paraId="7F9E3356"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100.00</w:t>
            </w:r>
          </w:p>
        </w:tc>
        <w:tc>
          <w:tcPr>
            <w:tcW w:w="1330" w:type="dxa"/>
          </w:tcPr>
          <w:p w14:paraId="732460DA"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99.07</w:t>
            </w:r>
          </w:p>
        </w:tc>
        <w:tc>
          <w:tcPr>
            <w:tcW w:w="1328" w:type="dxa"/>
          </w:tcPr>
          <w:p w14:paraId="55A479B7"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100.00</w:t>
            </w:r>
          </w:p>
        </w:tc>
        <w:tc>
          <w:tcPr>
            <w:tcW w:w="1328" w:type="dxa"/>
          </w:tcPr>
          <w:p w14:paraId="21DE3853"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100.00</w:t>
            </w:r>
          </w:p>
        </w:tc>
      </w:tr>
    </w:tbl>
    <w:p w14:paraId="204A1EA2" w14:textId="26A4A050" w:rsidR="001B288F" w:rsidRPr="00E705FD" w:rsidRDefault="001B288F" w:rsidP="001B288F">
      <w:pPr>
        <w:rPr>
          <w:rFonts w:ascii="Times New Roman" w:hAnsi="Times New Roman" w:cs="Times New Roman"/>
          <w:sz w:val="20"/>
          <w:szCs w:val="20"/>
        </w:rPr>
      </w:pPr>
      <w:r w:rsidRPr="00E705FD">
        <w:rPr>
          <w:rFonts w:ascii="Times New Roman" w:hAnsi="Times New Roman" w:cs="Times New Roman"/>
          <w:sz w:val="20"/>
          <w:szCs w:val="20"/>
        </w:rPr>
        <w:t>Synovial sarcoma (evaluable patients only) represent on average 21.33% of the total sample size in these trials – a non-negligible percentage. The trial by Ray-</w:t>
      </w:r>
      <w:proofErr w:type="spellStart"/>
      <w:r w:rsidRPr="00E705FD">
        <w:rPr>
          <w:rFonts w:ascii="Times New Roman" w:hAnsi="Times New Roman" w:cs="Times New Roman"/>
          <w:sz w:val="20"/>
          <w:szCs w:val="20"/>
        </w:rPr>
        <w:t>Coquard</w:t>
      </w:r>
      <w:proofErr w:type="spellEnd"/>
      <w:r w:rsidRPr="00E705FD">
        <w:rPr>
          <w:rFonts w:ascii="Times New Roman" w:hAnsi="Times New Roman" w:cs="Times New Roman"/>
          <w:sz w:val="20"/>
          <w:szCs w:val="20"/>
        </w:rPr>
        <w:t xml:space="preserve"> was designed exclusively for synovial sarcoma </w:t>
      </w:r>
      <w:r w:rsidRPr="00E705FD">
        <w:rPr>
          <w:rFonts w:ascii="Times New Roman" w:hAnsi="Times New Roman" w:cs="Times New Roman"/>
          <w:sz w:val="20"/>
          <w:szCs w:val="20"/>
        </w:rPr>
        <w:fldChar w:fldCharType="begin" w:fldLock="1"/>
      </w:r>
      <w:r w:rsidR="0000797A">
        <w:rPr>
          <w:rFonts w:ascii="Times New Roman" w:hAnsi="Times New Roman" w:cs="Times New Roman"/>
          <w:sz w:val="20"/>
          <w:szCs w:val="20"/>
        </w:rPr>
        <w:instrText>ADDIN CSL_CITATION {"citationItems":[{"id":"ITEM-1","itemData":{"DOI":"10.1634/theoncologist.2008-0065","ISSN":"1083-7159","PMID":"18448563","abstract":"Rationale. Advanced synovial sarcomas (SyS) refractory to doxorubicin and ifosfamide are highly resistant to the currently available cytotoxic agents. Based on a report showing a specific overexpression of HER-1 in SyS, we investigated an HER-1 inhibitor, gefitinib, in refractory SyS. Subjects and Methods. To establish the efficacy and safety of gefitinib in HER-1 -positive SyS refractory to one or two lines of doxorubicin- and ifosfamide-based chemotherapy, a phase II study was conducted from December 2002 to October 2005 by 12 centers of the European Organization for Research and Treatment of Cancer Soft Tissue and Bone Sarcoma Group. Gefitinib was given at a 500-mg/day oral dose until progression or intolerance. Results. Forty-eight patients were included (46 eligible). All patients had previously received chemotherapy for metastatic disease, with a median number of two lines (range, 1-4). The most frequent metastatic sites were the lungs (n = 44, 92%), lymph nodes (n = 11, 23%), and soft tissues (n = 10, 21%). The median duration of treatment was 43 days (range, 13-315). Treatment was interrupted in five patients (10%). Treatment was halted for progression in 45 (94%) patients. The best response was stable disease in 10 patients (21%). Disease progression occurred in 32 patients (70%), with a median time to disease progression of 6 weeks. Progression-free survival at 4 and 6 months was 21% and 6%, respectively. Conclusion. The results show that gefitinib monotherapy in advanced SyS refractory to conventional chemotherapy did not demonstrate sufficient activity to warrant further investigation in this setting. This may suggest that HER-1 is not a critical protein in tumor progression in this disease. ©AlphaMed Press.","author":[{"dropping-particle":"","family":"Ray-Coquard","given":"Isabelle","non-dropping-particle":"","parse-names":false,"suffix":""},{"dropping-particle":"","family":"Cesne","given":"Axel","non-dropping-particle":"Le","parse-names":false,"suffix":""},{"dropping-particle":"","family":"Whelan","given":"Jeremy S.","non-dropping-particle":"","parse-names":false,"suffix":""},{"dropping-particle":"","family":"Schoffski","given":"Patrick","non-dropping-particle":"","parse-names":false,"suffix":""},{"dropping-particle":"","family":"Bui","given":"Binh N.","non-dropping-particle":"","parse-names":false,"suffix":""},{"dropping-particle":"","family":"Verweij","given":"Jaap","non-dropping-particle":"","parse-names":false,"suffix":""},{"dropping-particle":"","family":"Marreaud","given":"Sandrine","non-dropping-particle":"","parse-names":false,"suffix":""},{"dropping-particle":"","family":"Glabbeke","given":"Martine","non-dropping-particle":"van","parse-names":false,"suffix":""},{"dropping-particle":"","family":"Hogendoorn","given":"Pancras","non-dropping-particle":"","parse-names":false,"suffix":""},{"dropping-particle":"","family":"Blay","given":"Jean-Yves","non-dropping-particle":"","parse-names":false,"suffix":""}],"container-title":"The Oncologist","id":"ITEM-1","issue":"4","issued":{"date-parts":[["2008"]]},"page":"467-473","title":"A Phase II Study of Gefitinib for Patients with Advanced HER-1 Expressing Synovial Sarcoma Refractory to Doxorubicin-Containing Regimens","type":"article-journal","volume":"13"},"uris":["http://www.mendeley.com/documents/?uuid=2e320ea3-a19f-4556-9cd5-449996765def"]}],"mendeley":{"formattedCitation":"[12]","plainTextFormattedCitation":"[12]","previouslyFormattedCitation":"[12]"},"properties":{"noteIndex":0},"schema":"https://github.com/citation-style-language/schema/raw/master/csl-citation.json"}</w:instrText>
      </w:r>
      <w:r w:rsidRPr="00E705FD">
        <w:rPr>
          <w:rFonts w:ascii="Times New Roman" w:hAnsi="Times New Roman" w:cs="Times New Roman"/>
          <w:sz w:val="20"/>
          <w:szCs w:val="20"/>
        </w:rPr>
        <w:fldChar w:fldCharType="separate"/>
      </w:r>
      <w:r w:rsidR="0000797A" w:rsidRPr="0000797A">
        <w:rPr>
          <w:rFonts w:ascii="Times New Roman" w:hAnsi="Times New Roman" w:cs="Times New Roman"/>
          <w:noProof/>
          <w:sz w:val="20"/>
          <w:szCs w:val="20"/>
        </w:rPr>
        <w:t>[12]</w:t>
      </w:r>
      <w:r w:rsidRPr="00E705FD">
        <w:rPr>
          <w:rFonts w:ascii="Times New Roman" w:hAnsi="Times New Roman" w:cs="Times New Roman"/>
          <w:sz w:val="20"/>
          <w:szCs w:val="20"/>
        </w:rPr>
        <w:fldChar w:fldCharType="end"/>
      </w:r>
      <w:r w:rsidRPr="00E705FD">
        <w:rPr>
          <w:rFonts w:ascii="Times New Roman" w:hAnsi="Times New Roman" w:cs="Times New Roman"/>
          <w:sz w:val="20"/>
          <w:szCs w:val="20"/>
        </w:rPr>
        <w:t xml:space="preserve">. </w:t>
      </w:r>
    </w:p>
    <w:p w14:paraId="5685EC17" w14:textId="77777777" w:rsidR="001B288F" w:rsidRPr="00E705FD" w:rsidRDefault="001B288F" w:rsidP="001B288F">
      <w:pPr>
        <w:rPr>
          <w:rFonts w:ascii="Times New Roman" w:hAnsi="Times New Roman" w:cs="Times New Roman"/>
          <w:sz w:val="20"/>
          <w:szCs w:val="20"/>
        </w:rPr>
      </w:pPr>
      <w:proofErr w:type="spellStart"/>
      <w:r w:rsidRPr="00E705FD">
        <w:rPr>
          <w:rFonts w:ascii="Times New Roman" w:hAnsi="Times New Roman" w:cs="Times New Roman"/>
          <w:sz w:val="20"/>
          <w:szCs w:val="20"/>
        </w:rPr>
        <w:t>Followingly</w:t>
      </w:r>
      <w:proofErr w:type="spellEnd"/>
      <w:r w:rsidRPr="00E705FD">
        <w:rPr>
          <w:rFonts w:ascii="Times New Roman" w:hAnsi="Times New Roman" w:cs="Times New Roman"/>
          <w:sz w:val="20"/>
          <w:szCs w:val="20"/>
        </w:rPr>
        <w:t xml:space="preserve">, we show a table regarding the 15 treatment rows for SS. </w:t>
      </w:r>
    </w:p>
    <w:p w14:paraId="6ABF13E2" w14:textId="77777777" w:rsidR="001B288F" w:rsidRDefault="001B288F" w:rsidP="001B288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1"/>
        <w:gridCol w:w="2835"/>
        <w:gridCol w:w="2430"/>
      </w:tblGrid>
      <w:tr w:rsidR="001B288F" w:rsidRPr="00345ED7" w14:paraId="5C8808B2" w14:textId="77777777" w:rsidTr="001B288F">
        <w:tc>
          <w:tcPr>
            <w:tcW w:w="3953" w:type="dxa"/>
          </w:tcPr>
          <w:p w14:paraId="3F6AA3A9"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Drugs or drug combinations used</w:t>
            </w:r>
          </w:p>
          <w:p w14:paraId="79156D12" w14:textId="77777777" w:rsidR="001B288F" w:rsidRPr="00E705FD" w:rsidRDefault="001B288F" w:rsidP="001B288F">
            <w:pPr>
              <w:rPr>
                <w:rFonts w:ascii="Times New Roman" w:hAnsi="Times New Roman" w:cs="Times New Roman"/>
                <w:b/>
                <w:bCs/>
                <w:sz w:val="16"/>
                <w:szCs w:val="16"/>
              </w:rPr>
            </w:pPr>
          </w:p>
        </w:tc>
        <w:tc>
          <w:tcPr>
            <w:tcW w:w="3017" w:type="dxa"/>
          </w:tcPr>
          <w:p w14:paraId="46065435"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N (%)</w:t>
            </w:r>
          </w:p>
        </w:tc>
        <w:tc>
          <w:tcPr>
            <w:tcW w:w="2518" w:type="dxa"/>
          </w:tcPr>
          <w:p w14:paraId="7BD95B14" w14:textId="1235C728"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Recommended according to ESMO 2021 guidelines</w:t>
            </w:r>
            <w:r w:rsidR="0000797A">
              <w:rPr>
                <w:rFonts w:ascii="Times New Roman" w:hAnsi="Times New Roman" w:cs="Times New Roman"/>
                <w:b/>
                <w:bCs/>
                <w:sz w:val="16"/>
                <w:szCs w:val="16"/>
              </w:rPr>
              <w:t xml:space="preserve"> </w:t>
            </w:r>
            <w:r w:rsidR="0000797A">
              <w:rPr>
                <w:rFonts w:ascii="Times New Roman" w:hAnsi="Times New Roman" w:cs="Times New Roman"/>
                <w:b/>
                <w:bCs/>
                <w:sz w:val="16"/>
                <w:szCs w:val="16"/>
              </w:rPr>
              <w:fldChar w:fldCharType="begin" w:fldLock="1"/>
            </w:r>
            <w:r w:rsidR="0000797A">
              <w:rPr>
                <w:rFonts w:ascii="Times New Roman" w:hAnsi="Times New Roman" w:cs="Times New Roman"/>
                <w:b/>
                <w:bCs/>
                <w:sz w:val="16"/>
                <w:szCs w:val="16"/>
              </w:rPr>
              <w:instrText>ADDIN CSL_CITATION {"citationItems":[{"id":"ITEM-1","itemData":{"DOI":"10.1016/j.annonc.2021.07.006","ISSN":"15698041","PMID":"34303806","author":[{"dropping-particle":"","family":"Gronchi","given":"A.","non-dropping-particle":"","parse-names":false,"suffix":""},{"dropping-particle":"","family":"Miah","given":"A. B.","non-dropping-particle":"","parse-names":false,"suffix":""},{"dropping-particle":"","family":"Dei Tos","given":"A. P.","non-dropping-particle":"","parse-names":false,"suffix":""},{"dropping-particle":"","family":"Abecassis","given":"N.","non-dropping-particle":"","parse-names":false,"suffix":""},{"dropping-particle":"","family":"Bajpai","given":"J.","non-dropping-particle":"","parse-names":false,"suffix":""},{"dropping-particle":"","family":"Bauer","given":"S.","non-dropping-particle":"","parse-names":false,"suffix":""},{"dropping-particle":"","family":"Biagini","given":"R.","non-dropping-particle":"","parse-names":false,"suffix":""},{"dropping-particle":"","family":"Bielack","given":"S.","non-dropping-particle":"","parse-names":false,"suffix":""},{"dropping-particle":"","family":"Blay","given":"J. Y.","non-dropping-particle":"","parse-names":false,"suffix":""},{"dropping-particle":"","family":"Bolle","given":"S.","non-dropping-particle":"","parse-names":false,"suffix":""},{"dropping-particle":"","family":"Bonvalot","given":"S.","non-dropping-particle":"","parse-names":false,"suffix":""},{"dropping-particle":"","family":"Boukovinas","given":"I.","non-dropping-particle":"","parse-names":false,"suffix":""},{"dropping-particle":"","family":"Bovee","given":"J. V.M.G.","non-dropping-particle":"","parse-names":false,"suffix":""},{"dropping-particle":"","family":"Boye","given":"K.","non-dropping-particle":"","parse-names":false,"suffix":""},{"dropping-particle":"","family":"Brennan","given":"B.","non-dropping-particle":"","parse-names":false,"suffix":""},{"dropping-particle":"","family":"Brodowicz","given":"T.","non-dropping-particle":"","parse-names":false,"suffix":""},{"dropping-particle":"","family":"Buonadonna","given":"A.","non-dropping-particle":"","parse-names":false,"suffix":""},{"dropping-particle":"","family":"Álava","given":"E.","non-dropping-particle":"De","parse-names":false,"suffix":""},{"dropping-particle":"","family":"Muro","given":"X. G.","non-dropping-particle":"Del","parse-names":false,"suffix":""},{"dropping-particle":"","family":"Dufresne","given":"A.","non-dropping-particle":"","parse-names":false,"suffix":""},{"dropping-particle":"","family":"Eriksson","given":"M.","non-dropping-particle":"","parse-names":false,"suffix":""},{"dropping-particle":"","family":"Fagioli","given":"F.","non-dropping-particle":"","parse-names":false,"suffix":""},{"dropping-particle":"","family":"Fedenko","given":"A.","non-dropping-particle":"","parse-names":false,"suffix":""},{"dropping-particle":"","family":"Ferraresi","given":"V.","non-dropping-particle":"","parse-names":false,"suffix":""},{"dropping-particle":"","family":"Ferrari","given":"A.","non-dropping-particle":"","parse-names":false,"suffix":""},{"dropping-particle":"","family":"Frezza","given":"A. M.","non-dropping-particle":"","parse-names":false,"suffix":""},{"dropping-particle":"","family":"Gasperoni","given":"S.","non-dropping-particle":"","parse-names":false,"suffix":""},{"dropping-particle":"","family":"Gelderblom","given":"H.","non-dropping-particle":"","parse-names":false,"suffix":""},{"dropping-particle":"","family":"Gouin","given":"F.","non-dropping-particle":"","parse-names":false,"suffix":""},{"dropping-particle":"","family":"Grignani","given":"G.","non-dropping-particle":"","parse-names":false,"suffix":""},{"dropping-particle":"","family":"Haas","given":"R.","non-dropping-particle":"","parse-names":false,"suffix":""},{"dropping-particle":"","family":"Hassan","given":"A. B.","non-dropping-particle":"","parse-names":false,"suffix":""},{"dropping-particle":"","family":"Hecker-Nolting","given":"S.","non-dropping-particle":"","parse-names":false,"suffix":""},{"dropping-particle":"","family":"Hindi","given":"N.","non-dropping-particle":"","parse-names":false,"suffix":""},{"dropping-particle":"","family":"Hohenberger","given":"P.","non-dropping-particle":"","parse-names":false,"suffix":""},{"dropping-particle":"","family":"Joensuu","given":"H.","non-dropping-particle":"","parse-names":false,"suffix":""},{"dropping-particle":"","family":"Jones","given":"R. L.","non-dropping-particle":"","parse-names":false,"suffix":""},{"dropping-particle":"","family":"Jungels","given":"C.","non-dropping-particle":"","parse-names":false,"suffix":""},{"dropping-particle":"","family":"Jutte","given":"P.","non-dropping-particle":"","parse-names":false,"suffix":""},{"dropping-particle":"","family":"Kager","given":"L.","non-dropping-particle":"","parse-names":false,"suffix":""},{"dropping-particle":"","family":"Kasper","given":"B.","non-dropping-particle":"","parse-names":false,"suffix":""},{"dropping-particle":"","family":"Kawai","given":"A.","non-dropping-particle":"","parse-names":false,"suffix":""},{"dropping-particle":"","family":"Kopeckova","given":"K.","non-dropping-particle":"","parse-names":false,"suffix":""},{"dropping-particle":"","family":"Krákorová","given":"D. A.","non-dropping-particle":"","parse-names":false,"suffix":""},{"dropping-particle":"","family":"Cesne","given":"A.","non-dropping-particle":"Le","parse-names":false,"suffix":""},{"dropping-particle":"","family":"Grange","given":"F.","non-dropping-particle":"Le","parse-names":false,"suffix":""},{"dropping-particle":"","family":"Legius","given":"E.","non-dropping-particle":"","parse-names":false,"suffix":""},{"dropping-particle":"","family":"Leithner","given":"A.","non-dropping-particle":"","parse-names":false,"suffix":""},{"dropping-particle":"","family":"Lopez-Pousa","given":"A.","non-dropping-particle":"","parse-names":false,"suffix":""},{"dropping-particle":"","family":"Martin-Broto","given":"J.","non-dropping-particle":"","parse-names":false,"suffix":""},{"dropping-particle":"","family":"Merimsky","given":"O.","non-dropping-particle":"","parse-names":false,"suffix":""},{"dropping-particle":"","family":"Messiou","given":"C.","non-dropping-particle":"","parse-names":false,"suffix":""},{"dropping-particle":"","family":"Mir","given":"O.","non-dropping-particle":"","parse-names":false,"suffix":""},{"dropping-particle":"","family":"Montemurro","given":"M.","non-dropping-particle":"","parse-names":false,"suffix":""},{"dropping-particle":"","family":"Morland","given":"B.","non-dropping-particle":"","parse-names":false,"suffix":""},{"dropping-particle":"","family":"Morosi","given":"C.","non-dropping-particle":"","parse-names":false,"suffix":""},{"dropping-particle":"","family":"Palmerini","given":"E.","non-dropping-particle":"","parse-names":false,"suffix":""},{"dropping-particle":"","family":"Pantaleo","given":"M. A.","non-dropping-particle":"","parse-names":false,"suffix":""},{"dropping-particle":"","family":"Piana","given":"R.","non-dropping-particle":"","parse-names":false,"suffix":""},{"dropping-particle":"","family":"Piperno-Neumann","given":"S.","non-dropping-particle":"","parse-names":false,"suffix":""},{"dropping-particle":"","family":"Reichardt","given":"P.","non-dropping-particle":"","parse-names":false,"suffix":""},{"dropping-particle":"","family":"Rutkowski","given":"P.","non-dropping-particle":"","parse-names":false,"suffix":""},{"dropping-particle":"","family":"Safwat","given":"A. A.","non-dropping-particle":"","parse-names":false,"suffix":""},{"dropping-particle":"","family":"Sangalli","given":"C.","non-dropping-particle":"","parse-names":false,"suffix":""},{"dropping-particle":"","family":"Sbaraglia","given":"M.","non-dropping-particle":"","parse-names":false,"suffix":""},{"dropping-particle":"","family":"Scheipl","given":"S.","non-dropping-particle":"","parse-names":false,"suffix":""},{"dropping-particle":"","family":"Schöffski","given":"P.","non-dropping-particle":"","parse-names":false,"suffix":""},{"dropping-particle":"","family":"Sleijfer","given":"S.","non-dropping-particle":"","parse-names":false,"suffix":""},{"dropping-particle":"","family":"Strauss","given":"D.","non-dropping-particle":"","parse-names":false,"suffix":""},{"dropping-particle":"","family":"Strauss","given":"S.","non-dropping-particle":"","parse-names":false,"suffix":""},{"dropping-particle":"","family":"Sundby Hall","given":"K.","non-dropping-particle":"","parse-names":false,"suffix":""},{"dropping-particle":"","family":"Trama","given":"A.","non-dropping-particle":"","parse-names":false,"suffix":""},{"dropping-particle":"","family":"Unk","given":"M.","non-dropping-particle":"","parse-names":false,"suffix":""},{"dropping-particle":"","family":"Sande","given":"M. A.J.","non-dropping-particle":"van de","parse-names":false,"suffix":""},{"dropping-particle":"","family":"Graaf","given":"W. T.A.","non-dropping-particle":"van der","parse-names":false,"suffix":""},{"dropping-particle":"","family":"Houdt","given":"W. J.","non-dropping-particle":"van","parse-names":false,"suffix":""},{"dropping-particle":"","family":"Frebourg","given":"T.","non-dropping-particle":"","parse-names":false,"suffix":""},{"dropping-particle":"","family":"Casali","given":"P. G.","non-dropping-particle":"","parse-names":false,"suffix":""},{"dropping-particle":"","family":"Stacchiotti","given":"S.","non-dropping-particle":"","parse-names":false,"suffix":""}],"container-title":"Annals of Oncology","id":"ITEM-1","issue":"11","issued":{"date-parts":[["2021"]]},"page":"1348-1365","publisher":"Elsevier Ltd.","title":"Soft tissue and visceral sarcomas: ESMO–EURACAN–GENTURIS Clinical Practice Guidelines for diagnosis, treatment and follow-up","type":"article-journal","volume":"32"},"uris":["http://www.mendeley.com/documents/?uuid=b74eaccb-cf0e-3c33-a6c7-bc1da2bd5a9f"]}],"mendeley":{"formattedCitation":"[10]","plainTextFormattedCitation":"[10]"},"properties":{"noteIndex":0},"schema":"https://github.com/citation-style-language/schema/raw/master/csl-citation.json"}</w:instrText>
            </w:r>
            <w:r w:rsidR="0000797A">
              <w:rPr>
                <w:rFonts w:ascii="Times New Roman" w:hAnsi="Times New Roman" w:cs="Times New Roman"/>
                <w:b/>
                <w:bCs/>
                <w:sz w:val="16"/>
                <w:szCs w:val="16"/>
              </w:rPr>
              <w:fldChar w:fldCharType="separate"/>
            </w:r>
            <w:r w:rsidR="0000797A" w:rsidRPr="0000797A">
              <w:rPr>
                <w:rFonts w:ascii="Times New Roman" w:hAnsi="Times New Roman" w:cs="Times New Roman"/>
                <w:bCs/>
                <w:noProof/>
                <w:sz w:val="16"/>
                <w:szCs w:val="16"/>
              </w:rPr>
              <w:t>[10]</w:t>
            </w:r>
            <w:r w:rsidR="0000797A">
              <w:rPr>
                <w:rFonts w:ascii="Times New Roman" w:hAnsi="Times New Roman" w:cs="Times New Roman"/>
                <w:b/>
                <w:bCs/>
                <w:sz w:val="16"/>
                <w:szCs w:val="16"/>
              </w:rPr>
              <w:fldChar w:fldCharType="end"/>
            </w:r>
            <w:r w:rsidRPr="00E705FD">
              <w:rPr>
                <w:rFonts w:ascii="Times New Roman" w:hAnsi="Times New Roman" w:cs="Times New Roman"/>
                <w:b/>
                <w:bCs/>
                <w:sz w:val="16"/>
                <w:szCs w:val="16"/>
              </w:rPr>
              <w:t>?</w:t>
            </w:r>
          </w:p>
        </w:tc>
      </w:tr>
      <w:tr w:rsidR="001B288F" w14:paraId="3C723FA9" w14:textId="77777777" w:rsidTr="001B288F">
        <w:tc>
          <w:tcPr>
            <w:tcW w:w="3953" w:type="dxa"/>
          </w:tcPr>
          <w:p w14:paraId="69C28D5F"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Doxorubicin</w:t>
            </w:r>
          </w:p>
        </w:tc>
        <w:tc>
          <w:tcPr>
            <w:tcW w:w="3017" w:type="dxa"/>
          </w:tcPr>
          <w:p w14:paraId="67B66740"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2 (13.33%)</w:t>
            </w:r>
          </w:p>
        </w:tc>
        <w:tc>
          <w:tcPr>
            <w:tcW w:w="2518" w:type="dxa"/>
          </w:tcPr>
          <w:p w14:paraId="5BA3F81C" w14:textId="53683EFE" w:rsidR="001B288F" w:rsidRPr="00E705FD" w:rsidRDefault="009516F5" w:rsidP="001B288F">
            <w:pPr>
              <w:rPr>
                <w:rFonts w:ascii="Times New Roman" w:hAnsi="Times New Roman" w:cs="Times New Roman"/>
                <w:sz w:val="16"/>
                <w:szCs w:val="16"/>
              </w:rPr>
            </w:pPr>
            <w:r>
              <w:rPr>
                <w:rFonts w:ascii="Times New Roman" w:hAnsi="Times New Roman" w:cs="Times New Roman"/>
                <w:sz w:val="16"/>
                <w:szCs w:val="16"/>
              </w:rPr>
              <w:t>Yes (for first-</w:t>
            </w:r>
            <w:r w:rsidR="001B288F" w:rsidRPr="00E705FD">
              <w:rPr>
                <w:rFonts w:ascii="Times New Roman" w:hAnsi="Times New Roman" w:cs="Times New Roman"/>
                <w:sz w:val="16"/>
                <w:szCs w:val="16"/>
              </w:rPr>
              <w:t>line)</w:t>
            </w:r>
          </w:p>
        </w:tc>
      </w:tr>
      <w:tr w:rsidR="001B288F" w14:paraId="3DB75962" w14:textId="77777777" w:rsidTr="001B288F">
        <w:tc>
          <w:tcPr>
            <w:tcW w:w="3953" w:type="dxa"/>
          </w:tcPr>
          <w:p w14:paraId="0601090B" w14:textId="77777777" w:rsidR="001B288F" w:rsidRPr="00E705FD" w:rsidRDefault="001B288F" w:rsidP="001B288F">
            <w:pPr>
              <w:rPr>
                <w:rFonts w:ascii="Times New Roman" w:hAnsi="Times New Roman" w:cs="Times New Roman"/>
                <w:sz w:val="16"/>
                <w:szCs w:val="16"/>
              </w:rPr>
            </w:pPr>
            <w:proofErr w:type="spellStart"/>
            <w:r w:rsidRPr="00E705FD">
              <w:rPr>
                <w:rFonts w:ascii="Times New Roman" w:hAnsi="Times New Roman" w:cs="Times New Roman"/>
                <w:sz w:val="16"/>
                <w:szCs w:val="16"/>
              </w:rPr>
              <w:t>Pazopanib</w:t>
            </w:r>
            <w:proofErr w:type="spellEnd"/>
          </w:p>
        </w:tc>
        <w:tc>
          <w:tcPr>
            <w:tcW w:w="3017" w:type="dxa"/>
          </w:tcPr>
          <w:p w14:paraId="70C4ABE2"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2 (13.33%)</w:t>
            </w:r>
          </w:p>
        </w:tc>
        <w:tc>
          <w:tcPr>
            <w:tcW w:w="2518" w:type="dxa"/>
          </w:tcPr>
          <w:p w14:paraId="4402E27B"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Yes (for pre-treated)</w:t>
            </w:r>
          </w:p>
        </w:tc>
      </w:tr>
      <w:tr w:rsidR="001B288F" w14:paraId="28D4B07A" w14:textId="77777777" w:rsidTr="001B288F">
        <w:tc>
          <w:tcPr>
            <w:tcW w:w="3953" w:type="dxa"/>
          </w:tcPr>
          <w:p w14:paraId="3DECD021"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Trabectedin</w:t>
            </w:r>
          </w:p>
        </w:tc>
        <w:tc>
          <w:tcPr>
            <w:tcW w:w="3017" w:type="dxa"/>
          </w:tcPr>
          <w:p w14:paraId="40F95F6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2 (13.33%)</w:t>
            </w:r>
          </w:p>
        </w:tc>
        <w:tc>
          <w:tcPr>
            <w:tcW w:w="2518" w:type="dxa"/>
          </w:tcPr>
          <w:p w14:paraId="39CE9F7B" w14:textId="3C8FBD32" w:rsidR="001B288F" w:rsidRPr="00E705FD" w:rsidRDefault="009516F5" w:rsidP="001B288F">
            <w:pPr>
              <w:rPr>
                <w:rFonts w:ascii="Times New Roman" w:hAnsi="Times New Roman" w:cs="Times New Roman"/>
                <w:sz w:val="16"/>
                <w:szCs w:val="16"/>
              </w:rPr>
            </w:pPr>
            <w:r>
              <w:rPr>
                <w:rFonts w:ascii="Times New Roman" w:hAnsi="Times New Roman" w:cs="Times New Roman"/>
                <w:sz w:val="16"/>
                <w:szCs w:val="16"/>
              </w:rPr>
              <w:t>No (for first-</w:t>
            </w:r>
            <w:r w:rsidR="001B288F" w:rsidRPr="00E705FD">
              <w:rPr>
                <w:rFonts w:ascii="Times New Roman" w:hAnsi="Times New Roman" w:cs="Times New Roman"/>
                <w:sz w:val="16"/>
                <w:szCs w:val="16"/>
              </w:rPr>
              <w:t>line)</w:t>
            </w:r>
          </w:p>
          <w:p w14:paraId="46C90514"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Yes (for pre-treated)</w:t>
            </w:r>
          </w:p>
        </w:tc>
      </w:tr>
      <w:tr w:rsidR="001B288F" w14:paraId="12ABA51D" w14:textId="77777777" w:rsidTr="001B288F">
        <w:tc>
          <w:tcPr>
            <w:tcW w:w="3953" w:type="dxa"/>
          </w:tcPr>
          <w:p w14:paraId="0282F47E" w14:textId="77777777" w:rsidR="001B288F" w:rsidRPr="00E705FD" w:rsidRDefault="001B288F" w:rsidP="001B288F">
            <w:pPr>
              <w:rPr>
                <w:rFonts w:ascii="Times New Roman" w:hAnsi="Times New Roman" w:cs="Times New Roman"/>
                <w:sz w:val="16"/>
                <w:szCs w:val="16"/>
              </w:rPr>
            </w:pPr>
            <w:proofErr w:type="spellStart"/>
            <w:r w:rsidRPr="00E705FD">
              <w:rPr>
                <w:rFonts w:ascii="Times New Roman" w:hAnsi="Times New Roman" w:cs="Times New Roman"/>
                <w:sz w:val="16"/>
                <w:szCs w:val="16"/>
              </w:rPr>
              <w:t>Cixutumumab</w:t>
            </w:r>
            <w:proofErr w:type="spellEnd"/>
            <w:r w:rsidRPr="00E705FD">
              <w:rPr>
                <w:rFonts w:ascii="Times New Roman" w:hAnsi="Times New Roman" w:cs="Times New Roman"/>
                <w:sz w:val="16"/>
                <w:szCs w:val="16"/>
              </w:rPr>
              <w:t xml:space="preserve"> </w:t>
            </w:r>
          </w:p>
        </w:tc>
        <w:tc>
          <w:tcPr>
            <w:tcW w:w="3017" w:type="dxa"/>
          </w:tcPr>
          <w:p w14:paraId="74EA33C7"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518" w:type="dxa"/>
          </w:tcPr>
          <w:p w14:paraId="57D1475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No (for pre-treated)</w:t>
            </w:r>
          </w:p>
        </w:tc>
      </w:tr>
      <w:tr w:rsidR="001B288F" w14:paraId="7D6E1A80" w14:textId="77777777" w:rsidTr="001B288F">
        <w:tc>
          <w:tcPr>
            <w:tcW w:w="3953" w:type="dxa"/>
          </w:tcPr>
          <w:p w14:paraId="5DE9F358" w14:textId="77777777" w:rsidR="001B288F" w:rsidRPr="00E705FD" w:rsidRDefault="001B288F" w:rsidP="001B288F">
            <w:pPr>
              <w:rPr>
                <w:rFonts w:ascii="Times New Roman" w:hAnsi="Times New Roman" w:cs="Times New Roman"/>
                <w:sz w:val="16"/>
                <w:szCs w:val="16"/>
              </w:rPr>
            </w:pPr>
            <w:proofErr w:type="spellStart"/>
            <w:r w:rsidRPr="00E705FD">
              <w:rPr>
                <w:rFonts w:ascii="Times New Roman" w:hAnsi="Times New Roman" w:cs="Times New Roman"/>
                <w:sz w:val="16"/>
                <w:szCs w:val="16"/>
              </w:rPr>
              <w:t>Cyclosphosphamide</w:t>
            </w:r>
            <w:proofErr w:type="spellEnd"/>
            <w:r w:rsidRPr="00E705FD">
              <w:rPr>
                <w:rFonts w:ascii="Times New Roman" w:hAnsi="Times New Roman" w:cs="Times New Roman"/>
                <w:sz w:val="16"/>
                <w:szCs w:val="16"/>
              </w:rPr>
              <w:t xml:space="preserve"> + </w:t>
            </w:r>
            <w:proofErr w:type="spellStart"/>
            <w:r w:rsidRPr="00E705FD">
              <w:rPr>
                <w:rFonts w:ascii="Times New Roman" w:hAnsi="Times New Roman" w:cs="Times New Roman"/>
                <w:sz w:val="16"/>
                <w:szCs w:val="16"/>
              </w:rPr>
              <w:t>Fludarabine</w:t>
            </w:r>
            <w:proofErr w:type="spellEnd"/>
            <w:r w:rsidRPr="00E705FD">
              <w:rPr>
                <w:rFonts w:ascii="Times New Roman" w:hAnsi="Times New Roman" w:cs="Times New Roman"/>
                <w:sz w:val="16"/>
                <w:szCs w:val="16"/>
              </w:rPr>
              <w:t xml:space="preserve"> + TCR transduced cells</w:t>
            </w:r>
          </w:p>
        </w:tc>
        <w:tc>
          <w:tcPr>
            <w:tcW w:w="3017" w:type="dxa"/>
          </w:tcPr>
          <w:p w14:paraId="73295E71"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518" w:type="dxa"/>
          </w:tcPr>
          <w:p w14:paraId="15190F56"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No (for pre-treated)</w:t>
            </w:r>
          </w:p>
        </w:tc>
      </w:tr>
      <w:tr w:rsidR="001B288F" w14:paraId="495C8C5A" w14:textId="77777777" w:rsidTr="001B288F">
        <w:tc>
          <w:tcPr>
            <w:tcW w:w="3953" w:type="dxa"/>
          </w:tcPr>
          <w:p w14:paraId="03FB8C8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 xml:space="preserve">Doxorubicin + </w:t>
            </w:r>
            <w:proofErr w:type="spellStart"/>
            <w:r w:rsidRPr="00E705FD">
              <w:rPr>
                <w:rFonts w:ascii="Times New Roman" w:hAnsi="Times New Roman" w:cs="Times New Roman"/>
                <w:sz w:val="16"/>
                <w:szCs w:val="16"/>
              </w:rPr>
              <w:t>Evofosfamide</w:t>
            </w:r>
            <w:proofErr w:type="spellEnd"/>
          </w:p>
        </w:tc>
        <w:tc>
          <w:tcPr>
            <w:tcW w:w="3017" w:type="dxa"/>
          </w:tcPr>
          <w:p w14:paraId="644BAE00"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518" w:type="dxa"/>
          </w:tcPr>
          <w:p w14:paraId="465F195B" w14:textId="3800D9FE" w:rsidR="001B288F" w:rsidRPr="00E705FD" w:rsidRDefault="009516F5" w:rsidP="001B288F">
            <w:pPr>
              <w:rPr>
                <w:rFonts w:ascii="Times New Roman" w:hAnsi="Times New Roman" w:cs="Times New Roman"/>
                <w:sz w:val="16"/>
                <w:szCs w:val="16"/>
              </w:rPr>
            </w:pPr>
            <w:r>
              <w:rPr>
                <w:rFonts w:ascii="Times New Roman" w:hAnsi="Times New Roman" w:cs="Times New Roman"/>
                <w:sz w:val="16"/>
                <w:szCs w:val="16"/>
              </w:rPr>
              <w:t>No (for first-</w:t>
            </w:r>
            <w:r w:rsidR="001B288F" w:rsidRPr="00E705FD">
              <w:rPr>
                <w:rFonts w:ascii="Times New Roman" w:hAnsi="Times New Roman" w:cs="Times New Roman"/>
                <w:sz w:val="16"/>
                <w:szCs w:val="16"/>
              </w:rPr>
              <w:t>line)</w:t>
            </w:r>
          </w:p>
        </w:tc>
      </w:tr>
      <w:tr w:rsidR="001B288F" w14:paraId="18DF940A" w14:textId="77777777" w:rsidTr="001B288F">
        <w:tc>
          <w:tcPr>
            <w:tcW w:w="3953" w:type="dxa"/>
          </w:tcPr>
          <w:p w14:paraId="7E813FCB"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Doxorubicin + Ifosfamide</w:t>
            </w:r>
          </w:p>
        </w:tc>
        <w:tc>
          <w:tcPr>
            <w:tcW w:w="3017" w:type="dxa"/>
          </w:tcPr>
          <w:p w14:paraId="3F794C8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518" w:type="dxa"/>
          </w:tcPr>
          <w:p w14:paraId="2B7A962A" w14:textId="242DEB5E" w:rsidR="001B288F" w:rsidRPr="00E705FD" w:rsidRDefault="009516F5" w:rsidP="001B288F">
            <w:pPr>
              <w:rPr>
                <w:rFonts w:ascii="Times New Roman" w:hAnsi="Times New Roman" w:cs="Times New Roman"/>
                <w:sz w:val="16"/>
                <w:szCs w:val="16"/>
              </w:rPr>
            </w:pPr>
            <w:r>
              <w:rPr>
                <w:rFonts w:ascii="Times New Roman" w:hAnsi="Times New Roman" w:cs="Times New Roman"/>
                <w:sz w:val="16"/>
                <w:szCs w:val="16"/>
              </w:rPr>
              <w:t>Yes (for first-</w:t>
            </w:r>
            <w:r w:rsidR="001B288F" w:rsidRPr="00E705FD">
              <w:rPr>
                <w:rFonts w:ascii="Times New Roman" w:hAnsi="Times New Roman" w:cs="Times New Roman"/>
                <w:sz w:val="16"/>
                <w:szCs w:val="16"/>
              </w:rPr>
              <w:t>line)</w:t>
            </w:r>
          </w:p>
        </w:tc>
      </w:tr>
      <w:tr w:rsidR="001B288F" w14:paraId="7CDE6BF0" w14:textId="77777777" w:rsidTr="001B288F">
        <w:tc>
          <w:tcPr>
            <w:tcW w:w="3953" w:type="dxa"/>
          </w:tcPr>
          <w:p w14:paraId="543F01BF" w14:textId="77777777" w:rsidR="001B288F" w:rsidRPr="00E705FD" w:rsidRDefault="001B288F" w:rsidP="001B288F">
            <w:pPr>
              <w:rPr>
                <w:rFonts w:ascii="Times New Roman" w:hAnsi="Times New Roman" w:cs="Times New Roman"/>
                <w:sz w:val="16"/>
                <w:szCs w:val="16"/>
              </w:rPr>
            </w:pPr>
            <w:proofErr w:type="spellStart"/>
            <w:r w:rsidRPr="00E705FD">
              <w:rPr>
                <w:rFonts w:ascii="Times New Roman" w:hAnsi="Times New Roman" w:cs="Times New Roman"/>
                <w:sz w:val="16"/>
                <w:szCs w:val="16"/>
              </w:rPr>
              <w:t>Eribulin</w:t>
            </w:r>
            <w:proofErr w:type="spellEnd"/>
          </w:p>
        </w:tc>
        <w:tc>
          <w:tcPr>
            <w:tcW w:w="3017" w:type="dxa"/>
          </w:tcPr>
          <w:p w14:paraId="1032EC7C"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518" w:type="dxa"/>
          </w:tcPr>
          <w:p w14:paraId="0CA6FA56"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No (for pre-treated)</w:t>
            </w:r>
          </w:p>
        </w:tc>
      </w:tr>
      <w:tr w:rsidR="001B288F" w14:paraId="4C574B8B" w14:textId="77777777" w:rsidTr="001B288F">
        <w:tc>
          <w:tcPr>
            <w:tcW w:w="3953" w:type="dxa"/>
          </w:tcPr>
          <w:p w14:paraId="7BDFC6F4" w14:textId="77777777" w:rsidR="001B288F" w:rsidRPr="00E705FD" w:rsidRDefault="001B288F" w:rsidP="001B288F">
            <w:pPr>
              <w:rPr>
                <w:rFonts w:ascii="Times New Roman" w:hAnsi="Times New Roman" w:cs="Times New Roman"/>
                <w:sz w:val="16"/>
                <w:szCs w:val="16"/>
              </w:rPr>
            </w:pPr>
            <w:proofErr w:type="spellStart"/>
            <w:r w:rsidRPr="00E705FD">
              <w:rPr>
                <w:rFonts w:ascii="Times New Roman" w:hAnsi="Times New Roman" w:cs="Times New Roman"/>
                <w:sz w:val="16"/>
                <w:szCs w:val="16"/>
              </w:rPr>
              <w:t>Gefitinib</w:t>
            </w:r>
            <w:proofErr w:type="spellEnd"/>
          </w:p>
        </w:tc>
        <w:tc>
          <w:tcPr>
            <w:tcW w:w="3017" w:type="dxa"/>
          </w:tcPr>
          <w:p w14:paraId="52E066B7"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518" w:type="dxa"/>
          </w:tcPr>
          <w:p w14:paraId="05D15FD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No (for pre-treated)</w:t>
            </w:r>
          </w:p>
        </w:tc>
      </w:tr>
      <w:tr w:rsidR="001B288F" w14:paraId="29537C83" w14:textId="77777777" w:rsidTr="001B288F">
        <w:tc>
          <w:tcPr>
            <w:tcW w:w="3953" w:type="dxa"/>
          </w:tcPr>
          <w:p w14:paraId="4BF9FE6B"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Imatinib</w:t>
            </w:r>
          </w:p>
        </w:tc>
        <w:tc>
          <w:tcPr>
            <w:tcW w:w="3017" w:type="dxa"/>
          </w:tcPr>
          <w:p w14:paraId="50A2306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518" w:type="dxa"/>
          </w:tcPr>
          <w:p w14:paraId="7928B277"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No (for pre-treated)</w:t>
            </w:r>
          </w:p>
        </w:tc>
      </w:tr>
      <w:tr w:rsidR="001B288F" w14:paraId="00A448EF" w14:textId="77777777" w:rsidTr="001B288F">
        <w:tc>
          <w:tcPr>
            <w:tcW w:w="3953" w:type="dxa"/>
          </w:tcPr>
          <w:p w14:paraId="02DC7C0B"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Pembrolizumab</w:t>
            </w:r>
          </w:p>
        </w:tc>
        <w:tc>
          <w:tcPr>
            <w:tcW w:w="3017" w:type="dxa"/>
          </w:tcPr>
          <w:p w14:paraId="5F8F6C4A"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518" w:type="dxa"/>
          </w:tcPr>
          <w:p w14:paraId="1C3A38D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No (for pre-treated)</w:t>
            </w:r>
          </w:p>
        </w:tc>
      </w:tr>
      <w:tr w:rsidR="001B288F" w14:paraId="5C1DA19C" w14:textId="77777777" w:rsidTr="001B288F">
        <w:tc>
          <w:tcPr>
            <w:tcW w:w="3953" w:type="dxa"/>
          </w:tcPr>
          <w:p w14:paraId="398EB9B6" w14:textId="77777777" w:rsidR="001B288F" w:rsidRPr="00E705FD" w:rsidRDefault="001B288F" w:rsidP="001B288F">
            <w:pPr>
              <w:rPr>
                <w:rFonts w:ascii="Times New Roman" w:hAnsi="Times New Roman" w:cs="Times New Roman"/>
                <w:sz w:val="16"/>
                <w:szCs w:val="16"/>
              </w:rPr>
            </w:pPr>
            <w:proofErr w:type="spellStart"/>
            <w:r w:rsidRPr="00E705FD">
              <w:rPr>
                <w:rFonts w:ascii="Times New Roman" w:hAnsi="Times New Roman" w:cs="Times New Roman"/>
                <w:sz w:val="16"/>
                <w:szCs w:val="16"/>
              </w:rPr>
              <w:t>Regorafenib</w:t>
            </w:r>
            <w:proofErr w:type="spellEnd"/>
          </w:p>
        </w:tc>
        <w:tc>
          <w:tcPr>
            <w:tcW w:w="3017" w:type="dxa"/>
          </w:tcPr>
          <w:p w14:paraId="3377607F"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 (6.67%)</w:t>
            </w:r>
          </w:p>
        </w:tc>
        <w:tc>
          <w:tcPr>
            <w:tcW w:w="2518" w:type="dxa"/>
          </w:tcPr>
          <w:p w14:paraId="05BDC43A"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No (for pre-treated)</w:t>
            </w:r>
          </w:p>
        </w:tc>
      </w:tr>
      <w:tr w:rsidR="001B288F" w14:paraId="5669B862" w14:textId="77777777" w:rsidTr="001B288F">
        <w:tc>
          <w:tcPr>
            <w:tcW w:w="3953" w:type="dxa"/>
          </w:tcPr>
          <w:p w14:paraId="77CDD4E1"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Total</w:t>
            </w:r>
          </w:p>
        </w:tc>
        <w:tc>
          <w:tcPr>
            <w:tcW w:w="3017" w:type="dxa"/>
          </w:tcPr>
          <w:p w14:paraId="2E6CBB91"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15 (100%)</w:t>
            </w:r>
          </w:p>
        </w:tc>
        <w:tc>
          <w:tcPr>
            <w:tcW w:w="2518" w:type="dxa"/>
          </w:tcPr>
          <w:p w14:paraId="1C647F06"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w:t>
            </w:r>
          </w:p>
        </w:tc>
      </w:tr>
    </w:tbl>
    <w:p w14:paraId="30D37213" w14:textId="77777777" w:rsidR="001B288F" w:rsidRPr="004276CA" w:rsidRDefault="001B288F" w:rsidP="001B288F">
      <w:pPr>
        <w:pStyle w:val="SubtleReference1"/>
        <w:numPr>
          <w:ilvl w:val="0"/>
          <w:numId w:val="0"/>
        </w:numPr>
        <w:rPr>
          <w:i w:val="0"/>
          <w:iCs w:val="0"/>
          <w:color w:val="000000" w:themeColor="text1"/>
        </w:rPr>
      </w:pPr>
    </w:p>
    <w:p w14:paraId="3ACC2103" w14:textId="77777777" w:rsidR="001B288F" w:rsidRPr="00E705FD" w:rsidRDefault="001B288F" w:rsidP="001B288F">
      <w:pPr>
        <w:rPr>
          <w:rFonts w:ascii="Times New Roman" w:hAnsi="Times New Roman" w:cs="Times New Roman"/>
          <w:sz w:val="20"/>
          <w:szCs w:val="20"/>
        </w:rPr>
      </w:pPr>
      <w:bookmarkStart w:id="11" w:name="_Hlk61015326"/>
      <w:r w:rsidRPr="00E705FD">
        <w:rPr>
          <w:rFonts w:ascii="Times New Roman" w:hAnsi="Times New Roman" w:cs="Times New Roman"/>
          <w:sz w:val="20"/>
          <w:szCs w:val="20"/>
        </w:rPr>
        <w:t>The</w:t>
      </w:r>
      <w:bookmarkEnd w:id="11"/>
      <w:r w:rsidRPr="00E705FD">
        <w:rPr>
          <w:rFonts w:ascii="Times New Roman" w:hAnsi="Times New Roman" w:cs="Times New Roman"/>
          <w:sz w:val="20"/>
          <w:szCs w:val="20"/>
        </w:rPr>
        <w:t xml:space="preserve"> most common drug / drug combinations were Doxorubicin, </w:t>
      </w:r>
      <w:proofErr w:type="spellStart"/>
      <w:r w:rsidRPr="00E705FD">
        <w:rPr>
          <w:rFonts w:ascii="Times New Roman" w:hAnsi="Times New Roman" w:cs="Times New Roman"/>
          <w:sz w:val="20"/>
          <w:szCs w:val="20"/>
        </w:rPr>
        <w:t>Pazopanib</w:t>
      </w:r>
      <w:proofErr w:type="spellEnd"/>
      <w:r w:rsidRPr="00E705FD">
        <w:rPr>
          <w:rFonts w:ascii="Times New Roman" w:hAnsi="Times New Roman" w:cs="Times New Roman"/>
          <w:sz w:val="20"/>
          <w:szCs w:val="20"/>
        </w:rPr>
        <w:t xml:space="preserve"> and Trabectedin.</w:t>
      </w:r>
    </w:p>
    <w:p w14:paraId="441B4F53" w14:textId="77777777" w:rsidR="001B288F" w:rsidRDefault="001B288F" w:rsidP="001B288F">
      <w:pPr>
        <w:rPr>
          <w:sz w:val="24"/>
          <w:szCs w:val="24"/>
        </w:rPr>
      </w:pP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2733"/>
        <w:gridCol w:w="3123"/>
      </w:tblGrid>
      <w:tr w:rsidR="001B288F" w:rsidRPr="0001426A" w14:paraId="7F70FF9A" w14:textId="77777777" w:rsidTr="001B288F">
        <w:tc>
          <w:tcPr>
            <w:tcW w:w="3323" w:type="dxa"/>
          </w:tcPr>
          <w:p w14:paraId="66BEF7D2"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 xml:space="preserve">Treatment line </w:t>
            </w:r>
          </w:p>
          <w:p w14:paraId="473616DE" w14:textId="77777777" w:rsidR="001B288F" w:rsidRPr="00E705FD" w:rsidRDefault="001B288F" w:rsidP="001B288F">
            <w:pPr>
              <w:rPr>
                <w:rFonts w:ascii="Times New Roman" w:hAnsi="Times New Roman" w:cs="Times New Roman"/>
                <w:b/>
                <w:bCs/>
                <w:sz w:val="16"/>
                <w:szCs w:val="16"/>
              </w:rPr>
            </w:pPr>
          </w:p>
        </w:tc>
        <w:tc>
          <w:tcPr>
            <w:tcW w:w="2873" w:type="dxa"/>
          </w:tcPr>
          <w:p w14:paraId="01182BDA"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N per trial (%)</w:t>
            </w:r>
          </w:p>
        </w:tc>
        <w:tc>
          <w:tcPr>
            <w:tcW w:w="3292" w:type="dxa"/>
          </w:tcPr>
          <w:p w14:paraId="1756FE93"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N per row (%)</w:t>
            </w:r>
          </w:p>
        </w:tc>
      </w:tr>
      <w:tr w:rsidR="001B288F" w:rsidRPr="0001426A" w14:paraId="368DF614" w14:textId="77777777" w:rsidTr="001B288F">
        <w:tc>
          <w:tcPr>
            <w:tcW w:w="3323" w:type="dxa"/>
          </w:tcPr>
          <w:p w14:paraId="2D0AB71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first</w:t>
            </w:r>
          </w:p>
        </w:tc>
        <w:tc>
          <w:tcPr>
            <w:tcW w:w="2873" w:type="dxa"/>
          </w:tcPr>
          <w:p w14:paraId="0F1F8EA8"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3 (23.08%)</w:t>
            </w:r>
          </w:p>
        </w:tc>
        <w:tc>
          <w:tcPr>
            <w:tcW w:w="3292" w:type="dxa"/>
          </w:tcPr>
          <w:p w14:paraId="48B08292"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5 (33.33%)</w:t>
            </w:r>
          </w:p>
        </w:tc>
      </w:tr>
      <w:tr w:rsidR="001B288F" w:rsidRPr="0001426A" w14:paraId="5670173D" w14:textId="77777777" w:rsidTr="001B288F">
        <w:tc>
          <w:tcPr>
            <w:tcW w:w="3323" w:type="dxa"/>
          </w:tcPr>
          <w:p w14:paraId="7F262B56"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pre-treated</w:t>
            </w:r>
          </w:p>
        </w:tc>
        <w:tc>
          <w:tcPr>
            <w:tcW w:w="2873" w:type="dxa"/>
          </w:tcPr>
          <w:p w14:paraId="76598CC8"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10 (76.92%)</w:t>
            </w:r>
          </w:p>
        </w:tc>
        <w:tc>
          <w:tcPr>
            <w:tcW w:w="3292" w:type="dxa"/>
          </w:tcPr>
          <w:p w14:paraId="647ACF50"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10 (66.67%)</w:t>
            </w:r>
          </w:p>
        </w:tc>
      </w:tr>
      <w:tr w:rsidR="001B288F" w:rsidRPr="0001426A" w14:paraId="39FE151F" w14:textId="77777777" w:rsidTr="001B288F">
        <w:tc>
          <w:tcPr>
            <w:tcW w:w="3323" w:type="dxa"/>
          </w:tcPr>
          <w:p w14:paraId="25385D92"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Total</w:t>
            </w:r>
          </w:p>
        </w:tc>
        <w:tc>
          <w:tcPr>
            <w:tcW w:w="2873" w:type="dxa"/>
          </w:tcPr>
          <w:p w14:paraId="7E6A7EC8"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13 (100%)</w:t>
            </w:r>
          </w:p>
        </w:tc>
        <w:tc>
          <w:tcPr>
            <w:tcW w:w="3292" w:type="dxa"/>
          </w:tcPr>
          <w:p w14:paraId="568EA934"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15 (100%)</w:t>
            </w:r>
          </w:p>
        </w:tc>
      </w:tr>
    </w:tbl>
    <w:p w14:paraId="637D08F2" w14:textId="77777777" w:rsidR="001B288F" w:rsidRDefault="001B288F" w:rsidP="001B288F">
      <w:pPr>
        <w:rPr>
          <w:sz w:val="24"/>
          <w:szCs w:val="24"/>
        </w:rPr>
      </w:pPr>
    </w:p>
    <w:p w14:paraId="4ECD1F14" w14:textId="5FE20DF6" w:rsidR="001B288F" w:rsidRPr="00E705FD" w:rsidRDefault="001B288F" w:rsidP="001B288F">
      <w:pPr>
        <w:rPr>
          <w:rFonts w:ascii="Times New Roman" w:hAnsi="Times New Roman" w:cs="Times New Roman"/>
          <w:sz w:val="20"/>
          <w:szCs w:val="20"/>
        </w:rPr>
      </w:pPr>
      <w:r w:rsidRPr="00E705FD">
        <w:rPr>
          <w:rFonts w:ascii="Times New Roman" w:hAnsi="Times New Roman" w:cs="Times New Roman"/>
          <w:sz w:val="20"/>
          <w:szCs w:val="20"/>
        </w:rPr>
        <w:lastRenderedPageBreak/>
        <w:t xml:space="preserve">5 excel lines were based on </w:t>
      </w:r>
      <w:r w:rsidR="009516F5">
        <w:rPr>
          <w:rFonts w:ascii="Times New Roman" w:hAnsi="Times New Roman" w:cs="Times New Roman"/>
          <w:sz w:val="20"/>
          <w:szCs w:val="20"/>
        </w:rPr>
        <w:t>first-</w:t>
      </w:r>
      <w:r w:rsidRPr="00E705FD">
        <w:rPr>
          <w:rFonts w:ascii="Times New Roman" w:hAnsi="Times New Roman" w:cs="Times New Roman"/>
          <w:sz w:val="20"/>
          <w:szCs w:val="20"/>
        </w:rPr>
        <w:t>line treatment (from 3 studies) and 10 excel lines were based on pre-treated population (10 clinical trials). Mixed treatment lines were not included.</w:t>
      </w:r>
    </w:p>
    <w:p w14:paraId="2E2E2313" w14:textId="77777777" w:rsidR="001B288F" w:rsidRDefault="001B288F" w:rsidP="001B288F">
      <w:pPr>
        <w:rPr>
          <w:sz w:val="24"/>
          <w:szCs w:val="24"/>
        </w:rPr>
      </w:pP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6"/>
        <w:gridCol w:w="4490"/>
      </w:tblGrid>
      <w:tr w:rsidR="001B288F" w:rsidRPr="0001426A" w14:paraId="640302FC" w14:textId="77777777" w:rsidTr="001B288F">
        <w:tc>
          <w:tcPr>
            <w:tcW w:w="4744" w:type="dxa"/>
          </w:tcPr>
          <w:p w14:paraId="3B045D74"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 xml:space="preserve">Regimen recommended? </w:t>
            </w:r>
          </w:p>
        </w:tc>
        <w:tc>
          <w:tcPr>
            <w:tcW w:w="4744" w:type="dxa"/>
          </w:tcPr>
          <w:p w14:paraId="318204E8" w14:textId="77777777" w:rsidR="001B288F" w:rsidRPr="00E705FD" w:rsidRDefault="001B288F" w:rsidP="001B288F">
            <w:pPr>
              <w:rPr>
                <w:rFonts w:ascii="Times New Roman" w:hAnsi="Times New Roman" w:cs="Times New Roman"/>
                <w:b/>
                <w:bCs/>
                <w:sz w:val="16"/>
                <w:szCs w:val="16"/>
              </w:rPr>
            </w:pPr>
            <w:r w:rsidRPr="00E705FD">
              <w:rPr>
                <w:rFonts w:ascii="Times New Roman" w:hAnsi="Times New Roman" w:cs="Times New Roman"/>
                <w:b/>
                <w:bCs/>
                <w:sz w:val="16"/>
                <w:szCs w:val="16"/>
              </w:rPr>
              <w:t>N (%)</w:t>
            </w:r>
          </w:p>
        </w:tc>
      </w:tr>
      <w:tr w:rsidR="001B288F" w:rsidRPr="0001426A" w14:paraId="79BA853E" w14:textId="77777777" w:rsidTr="001B288F">
        <w:tc>
          <w:tcPr>
            <w:tcW w:w="4744" w:type="dxa"/>
          </w:tcPr>
          <w:p w14:paraId="62965B0E"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No</w:t>
            </w:r>
          </w:p>
        </w:tc>
        <w:tc>
          <w:tcPr>
            <w:tcW w:w="4744" w:type="dxa"/>
          </w:tcPr>
          <w:p w14:paraId="3D301C4D"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9 (60%)</w:t>
            </w:r>
          </w:p>
        </w:tc>
      </w:tr>
      <w:tr w:rsidR="001B288F" w:rsidRPr="0001426A" w14:paraId="6E973DF1" w14:textId="77777777" w:rsidTr="001B288F">
        <w:tc>
          <w:tcPr>
            <w:tcW w:w="4744" w:type="dxa"/>
          </w:tcPr>
          <w:p w14:paraId="0396A279"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Yes</w:t>
            </w:r>
          </w:p>
        </w:tc>
        <w:tc>
          <w:tcPr>
            <w:tcW w:w="4744" w:type="dxa"/>
          </w:tcPr>
          <w:p w14:paraId="44E3B4AE"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6 (40%)</w:t>
            </w:r>
          </w:p>
        </w:tc>
      </w:tr>
      <w:tr w:rsidR="001B288F" w:rsidRPr="0001426A" w14:paraId="5729F505" w14:textId="77777777" w:rsidTr="001B288F">
        <w:tc>
          <w:tcPr>
            <w:tcW w:w="4744" w:type="dxa"/>
          </w:tcPr>
          <w:p w14:paraId="3B303260"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Total</w:t>
            </w:r>
          </w:p>
        </w:tc>
        <w:tc>
          <w:tcPr>
            <w:tcW w:w="4744" w:type="dxa"/>
          </w:tcPr>
          <w:p w14:paraId="43094F09" w14:textId="77777777" w:rsidR="001B288F" w:rsidRPr="00E705FD" w:rsidRDefault="001B288F" w:rsidP="001B288F">
            <w:pPr>
              <w:rPr>
                <w:rFonts w:ascii="Times New Roman" w:hAnsi="Times New Roman" w:cs="Times New Roman"/>
                <w:sz w:val="16"/>
                <w:szCs w:val="16"/>
              </w:rPr>
            </w:pPr>
            <w:r w:rsidRPr="00E705FD">
              <w:rPr>
                <w:rFonts w:ascii="Times New Roman" w:hAnsi="Times New Roman" w:cs="Times New Roman"/>
                <w:sz w:val="16"/>
                <w:szCs w:val="16"/>
              </w:rPr>
              <w:t>15 (100%)</w:t>
            </w:r>
          </w:p>
        </w:tc>
      </w:tr>
    </w:tbl>
    <w:p w14:paraId="7FA9981B" w14:textId="77777777" w:rsidR="001B288F" w:rsidRDefault="001B288F" w:rsidP="001B288F">
      <w:pPr>
        <w:rPr>
          <w:sz w:val="24"/>
          <w:szCs w:val="24"/>
        </w:rPr>
      </w:pPr>
    </w:p>
    <w:p w14:paraId="283D351A" w14:textId="77777777" w:rsidR="001B288F" w:rsidRPr="00E705FD" w:rsidRDefault="001B288F" w:rsidP="001B288F">
      <w:pPr>
        <w:rPr>
          <w:rFonts w:ascii="Times New Roman" w:hAnsi="Times New Roman" w:cs="Times New Roman"/>
          <w:sz w:val="20"/>
          <w:szCs w:val="20"/>
        </w:rPr>
      </w:pPr>
      <w:r w:rsidRPr="00E705FD">
        <w:rPr>
          <w:rFonts w:ascii="Times New Roman" w:hAnsi="Times New Roman" w:cs="Times New Roman"/>
          <w:sz w:val="20"/>
          <w:szCs w:val="20"/>
        </w:rPr>
        <w:t>From the 15 treatment lines selected (13 trials), 6 were recommended (40%).</w:t>
      </w:r>
    </w:p>
    <w:p w14:paraId="2D141573" w14:textId="38766E6F" w:rsidR="003B3C07" w:rsidRDefault="003B3C07" w:rsidP="00D1692D">
      <w:pPr>
        <w:rPr>
          <w:rFonts w:ascii="Times New Roman" w:hAnsi="Times New Roman" w:cs="Times New Roman"/>
          <w:sz w:val="20"/>
          <w:szCs w:val="20"/>
          <w:lang w:val="en-US"/>
        </w:rPr>
      </w:pPr>
    </w:p>
    <w:p w14:paraId="327760C8" w14:textId="77777777" w:rsidR="001B288F" w:rsidRPr="0099368B" w:rsidRDefault="001B288F" w:rsidP="00D1692D">
      <w:pPr>
        <w:rPr>
          <w:rFonts w:ascii="Times New Roman" w:hAnsi="Times New Roman" w:cs="Times New Roman"/>
          <w:sz w:val="20"/>
          <w:szCs w:val="20"/>
          <w:lang w:val="en-US"/>
        </w:rPr>
      </w:pPr>
    </w:p>
    <w:p w14:paraId="1CCBF4D3" w14:textId="520FE4B3" w:rsidR="00001877" w:rsidRPr="00001877" w:rsidRDefault="00C31900" w:rsidP="00001877">
      <w:pPr>
        <w:keepNext/>
        <w:numPr>
          <w:ilvl w:val="1"/>
          <w:numId w:val="3"/>
        </w:numPr>
        <w:tabs>
          <w:tab w:val="num" w:pos="851"/>
        </w:tabs>
        <w:spacing w:before="120" w:after="120" w:line="240" w:lineRule="auto"/>
        <w:ind w:left="851" w:hanging="851"/>
        <w:outlineLvl w:val="1"/>
        <w:rPr>
          <w:rFonts w:ascii="Times New Roman" w:eastAsia="Times New Roman" w:hAnsi="Times New Roman" w:cs="Times New Roman"/>
          <w:b/>
          <w:sz w:val="20"/>
          <w:szCs w:val="20"/>
          <w:lang w:val="en-US"/>
        </w:rPr>
      </w:pPr>
      <w:bookmarkStart w:id="12" w:name="_Toc97281439"/>
      <w:r w:rsidRPr="0099368B">
        <w:rPr>
          <w:rFonts w:ascii="Times New Roman" w:eastAsia="Times New Roman" w:hAnsi="Times New Roman" w:cs="Times New Roman"/>
          <w:b/>
          <w:sz w:val="20"/>
          <w:szCs w:val="20"/>
          <w:lang w:val="en-US"/>
        </w:rPr>
        <w:t>Statistical considerations</w:t>
      </w:r>
      <w:bookmarkEnd w:id="12"/>
    </w:p>
    <w:p w14:paraId="2512721C" w14:textId="311323D4" w:rsidR="00001877" w:rsidRPr="00001877" w:rsidRDefault="00001877" w:rsidP="00001877">
      <w:pPr>
        <w:pStyle w:val="Heading3"/>
        <w:numPr>
          <w:ilvl w:val="2"/>
          <w:numId w:val="8"/>
        </w:numPr>
        <w:rPr>
          <w:rFonts w:ascii="Times New Roman" w:eastAsia="Times New Roman" w:hAnsi="Times New Roman" w:cs="Times New Roman"/>
          <w:b/>
          <w:color w:val="auto"/>
          <w:sz w:val="20"/>
          <w:szCs w:val="20"/>
          <w:lang w:val="en-US"/>
        </w:rPr>
      </w:pPr>
      <w:bookmarkStart w:id="13" w:name="_Toc97281440"/>
      <w:r>
        <w:rPr>
          <w:rFonts w:ascii="Times New Roman" w:eastAsia="Times New Roman" w:hAnsi="Times New Roman" w:cs="Times New Roman"/>
          <w:b/>
          <w:color w:val="auto"/>
          <w:sz w:val="20"/>
          <w:szCs w:val="20"/>
          <w:lang w:val="en-US"/>
        </w:rPr>
        <w:t>Unit of the analyses</w:t>
      </w:r>
      <w:bookmarkEnd w:id="13"/>
    </w:p>
    <w:p w14:paraId="6B0954EA" w14:textId="77777777" w:rsidR="00E705FD" w:rsidRPr="00E705FD" w:rsidRDefault="00E705FD" w:rsidP="00E705FD">
      <w:pPr>
        <w:rPr>
          <w:rFonts w:ascii="Times New Roman" w:hAnsi="Times New Roman" w:cs="Times New Roman"/>
          <w:color w:val="000000" w:themeColor="text1"/>
          <w:sz w:val="20"/>
          <w:szCs w:val="20"/>
        </w:rPr>
      </w:pPr>
      <w:r w:rsidRPr="00E705FD">
        <w:rPr>
          <w:rFonts w:ascii="Times New Roman" w:hAnsi="Times New Roman" w:cs="Times New Roman"/>
          <w:color w:val="000000" w:themeColor="text1"/>
          <w:sz w:val="20"/>
          <w:szCs w:val="20"/>
        </w:rPr>
        <w:t xml:space="preserve">The unit for all analyses was the estimated </w:t>
      </w:r>
      <w:r w:rsidRPr="00E705FD">
        <w:rPr>
          <w:rFonts w:ascii="Times New Roman" w:hAnsi="Times New Roman" w:cs="Times New Roman"/>
          <w:b/>
          <w:bCs/>
          <w:color w:val="000000" w:themeColor="text1"/>
          <w:sz w:val="20"/>
          <w:szCs w:val="20"/>
        </w:rPr>
        <w:t>proportion</w:t>
      </w:r>
      <w:r w:rsidRPr="00E705FD">
        <w:rPr>
          <w:rFonts w:ascii="Times New Roman" w:hAnsi="Times New Roman" w:cs="Times New Roman"/>
          <w:color w:val="000000" w:themeColor="text1"/>
          <w:sz w:val="20"/>
          <w:szCs w:val="20"/>
        </w:rPr>
        <w:t xml:space="preserve"> (number of cases / sample size) for each drug regimen. Equivalently, the estimated </w:t>
      </w:r>
      <w:r w:rsidRPr="00E705FD">
        <w:rPr>
          <w:rFonts w:ascii="Times New Roman" w:hAnsi="Times New Roman" w:cs="Times New Roman"/>
          <w:b/>
          <w:bCs/>
          <w:color w:val="000000" w:themeColor="text1"/>
          <w:sz w:val="20"/>
          <w:szCs w:val="20"/>
        </w:rPr>
        <w:t>rate</w:t>
      </w:r>
      <w:r w:rsidRPr="00E705FD">
        <w:rPr>
          <w:rFonts w:ascii="Times New Roman" w:hAnsi="Times New Roman" w:cs="Times New Roman"/>
          <w:color w:val="000000" w:themeColor="text1"/>
          <w:sz w:val="20"/>
          <w:szCs w:val="20"/>
        </w:rPr>
        <w:t xml:space="preserve"> is the proportion*100.</w:t>
      </w:r>
    </w:p>
    <w:p w14:paraId="7659E7DE" w14:textId="560E61A5" w:rsidR="00A355C6" w:rsidRPr="00001877" w:rsidRDefault="00A355C6" w:rsidP="00A355C6">
      <w:pPr>
        <w:pStyle w:val="Heading3"/>
        <w:numPr>
          <w:ilvl w:val="2"/>
          <w:numId w:val="8"/>
        </w:numPr>
        <w:rPr>
          <w:rFonts w:ascii="Times New Roman" w:eastAsia="Times New Roman" w:hAnsi="Times New Roman" w:cs="Times New Roman"/>
          <w:b/>
          <w:color w:val="auto"/>
          <w:sz w:val="20"/>
          <w:szCs w:val="20"/>
          <w:lang w:val="en-US"/>
        </w:rPr>
      </w:pPr>
      <w:bookmarkStart w:id="14" w:name="_Toc97281441"/>
      <w:r w:rsidRPr="0099368B">
        <w:rPr>
          <w:rFonts w:ascii="Times New Roman" w:eastAsia="Times New Roman" w:hAnsi="Times New Roman" w:cs="Times New Roman"/>
          <w:b/>
          <w:color w:val="auto"/>
          <w:sz w:val="20"/>
          <w:szCs w:val="20"/>
          <w:lang w:val="en-US"/>
        </w:rPr>
        <w:t>Meta-analysis methodology</w:t>
      </w:r>
      <w:bookmarkEnd w:id="14"/>
    </w:p>
    <w:p w14:paraId="52B1D4E9" w14:textId="77777777" w:rsidR="00E705FD" w:rsidRPr="00E705FD" w:rsidRDefault="00E705FD" w:rsidP="00E705FD">
      <w:pPr>
        <w:tabs>
          <w:tab w:val="left" w:pos="709"/>
        </w:tabs>
        <w:spacing w:after="0" w:line="240" w:lineRule="auto"/>
        <w:jc w:val="both"/>
        <w:rPr>
          <w:rFonts w:ascii="Times New Roman" w:eastAsia="Times New Roman" w:hAnsi="Times New Roman" w:cs="Times New Roman"/>
          <w:iCs/>
          <w:color w:val="262626"/>
          <w:sz w:val="20"/>
          <w:szCs w:val="20"/>
          <w:lang w:val="en-US"/>
        </w:rPr>
      </w:pPr>
      <w:r w:rsidRPr="00E705FD">
        <w:rPr>
          <w:rFonts w:ascii="Times New Roman" w:eastAsia="Times New Roman" w:hAnsi="Times New Roman" w:cs="Times New Roman"/>
          <w:iCs/>
          <w:color w:val="262626"/>
          <w:sz w:val="20"/>
          <w:szCs w:val="20"/>
          <w:lang w:val="en-US"/>
        </w:rPr>
        <w:t>It is necessary to access for each study not only the effect size (in terms of PFS at 3/6 months) but also the sample size of LPS / SS. To elaborate on this, for RR (as an example) the CI can be easily calculated using the sample size and assuming a binomial 95% CI based on the observed cases for a regimen. However, for the PFS as the variance of the percentages (calculated under Kaplan-Meier or binomial distribution) is rarely provided in the papers, we estimated the number of cases (</w:t>
      </w:r>
      <w:proofErr w:type="spellStart"/>
      <w:r w:rsidRPr="00E705FD">
        <w:rPr>
          <w:rFonts w:ascii="Times New Roman" w:eastAsia="Times New Roman" w:hAnsi="Times New Roman" w:cs="Times New Roman"/>
          <w:iCs/>
          <w:color w:val="262626"/>
          <w:sz w:val="20"/>
          <w:szCs w:val="20"/>
          <w:lang w:val="en-US"/>
        </w:rPr>
        <w:t>pseudocases</w:t>
      </w:r>
      <w:proofErr w:type="spellEnd"/>
      <w:r w:rsidRPr="00E705FD">
        <w:rPr>
          <w:rFonts w:ascii="Times New Roman" w:eastAsia="Times New Roman" w:hAnsi="Times New Roman" w:cs="Times New Roman"/>
          <w:iCs/>
          <w:color w:val="262626"/>
          <w:sz w:val="20"/>
          <w:szCs w:val="20"/>
          <w:lang w:val="en-US"/>
        </w:rPr>
        <w:t xml:space="preserve">) for the LPS / SS sample size and we used them to approximate the variance with a 95% binomial distribution at 3/6 months ignoring censoring. A PFS proportion is directly the number of (pseudo)cases at 3/6 moths divided by the sample size (not the Kaplan-Meier estimate). For some studies, we used the PFS at 3/6 months estimated by KM to find the equivalent number of </w:t>
      </w:r>
      <w:proofErr w:type="spellStart"/>
      <w:r w:rsidRPr="00E705FD">
        <w:rPr>
          <w:rFonts w:ascii="Times New Roman" w:eastAsia="Times New Roman" w:hAnsi="Times New Roman" w:cs="Times New Roman"/>
          <w:iCs/>
          <w:color w:val="262626"/>
          <w:sz w:val="20"/>
          <w:szCs w:val="20"/>
          <w:lang w:val="en-US"/>
        </w:rPr>
        <w:t>pseudocases</w:t>
      </w:r>
      <w:proofErr w:type="spellEnd"/>
      <w:r w:rsidRPr="00E705FD">
        <w:rPr>
          <w:rFonts w:ascii="Times New Roman" w:eastAsia="Times New Roman" w:hAnsi="Times New Roman" w:cs="Times New Roman"/>
          <w:iCs/>
          <w:color w:val="262626"/>
          <w:sz w:val="20"/>
          <w:szCs w:val="20"/>
          <w:lang w:val="en-US"/>
        </w:rPr>
        <w:t xml:space="preserve">. For example, assuming that PFS at 3 months is 0.33 with KM methodology for 34 LPS patients, the estimated number of </w:t>
      </w:r>
      <w:proofErr w:type="spellStart"/>
      <w:r w:rsidRPr="00E705FD">
        <w:rPr>
          <w:rFonts w:ascii="Times New Roman" w:eastAsia="Times New Roman" w:hAnsi="Times New Roman" w:cs="Times New Roman"/>
          <w:iCs/>
          <w:color w:val="262626"/>
          <w:sz w:val="20"/>
          <w:szCs w:val="20"/>
          <w:lang w:val="en-US"/>
        </w:rPr>
        <w:t>pseudocases</w:t>
      </w:r>
      <w:proofErr w:type="spellEnd"/>
      <w:r w:rsidRPr="00E705FD">
        <w:rPr>
          <w:rFonts w:ascii="Times New Roman" w:eastAsia="Times New Roman" w:hAnsi="Times New Roman" w:cs="Times New Roman"/>
          <w:iCs/>
          <w:color w:val="262626"/>
          <w:sz w:val="20"/>
          <w:szCs w:val="20"/>
          <w:lang w:val="en-US"/>
        </w:rPr>
        <w:t xml:space="preserve"> is 11 (the closest integer with a value of almost 0.33). A 95% binomial CI is actually more conservative than a 95% confidence interval provided with the Kaplan-Meier estimator (the latter is narrower as it takes into account the censoring mechanism).  </w:t>
      </w:r>
    </w:p>
    <w:p w14:paraId="0B41CEB5" w14:textId="77777777" w:rsidR="00E705FD" w:rsidRPr="00E705FD" w:rsidRDefault="00E705FD" w:rsidP="00E705FD">
      <w:pPr>
        <w:tabs>
          <w:tab w:val="left" w:pos="709"/>
        </w:tabs>
        <w:spacing w:after="0" w:line="240" w:lineRule="auto"/>
        <w:jc w:val="both"/>
        <w:rPr>
          <w:rFonts w:ascii="Times New Roman" w:eastAsia="Times New Roman" w:hAnsi="Times New Roman" w:cs="Times New Roman"/>
          <w:iCs/>
          <w:color w:val="262626"/>
          <w:sz w:val="20"/>
          <w:szCs w:val="20"/>
          <w:lang w:val="en-US"/>
        </w:rPr>
      </w:pPr>
    </w:p>
    <w:p w14:paraId="76A3A3FB" w14:textId="6CEAB2F9" w:rsidR="00E705FD" w:rsidRPr="00E705FD" w:rsidRDefault="00E705FD" w:rsidP="00E705FD">
      <w:pPr>
        <w:tabs>
          <w:tab w:val="left" w:pos="709"/>
        </w:tabs>
        <w:spacing w:after="0" w:line="240" w:lineRule="auto"/>
        <w:jc w:val="both"/>
        <w:rPr>
          <w:rFonts w:ascii="Times New Roman" w:eastAsia="Times New Roman" w:hAnsi="Times New Roman" w:cs="Times New Roman"/>
          <w:iCs/>
          <w:color w:val="262626"/>
          <w:sz w:val="20"/>
          <w:szCs w:val="20"/>
          <w:lang w:val="en-US"/>
        </w:rPr>
      </w:pPr>
      <w:r w:rsidRPr="00E705FD">
        <w:rPr>
          <w:rFonts w:ascii="Times New Roman" w:eastAsia="Times New Roman" w:hAnsi="Times New Roman" w:cs="Times New Roman"/>
          <w:iCs/>
          <w:color w:val="262626"/>
          <w:sz w:val="20"/>
          <w:szCs w:val="20"/>
          <w:lang w:val="en-US"/>
        </w:rPr>
        <w:t xml:space="preserve">To quantitatively synthesize the findings of the 25 trials (7 1L, 17 2L+, 1 both) for LPS and the 13 trials (3 1L and 10 2L+) for SS, we employed a random-effects model per row; suggested by </w:t>
      </w:r>
      <w:proofErr w:type="spellStart"/>
      <w:r w:rsidRPr="00E705FD">
        <w:rPr>
          <w:rFonts w:ascii="Times New Roman" w:eastAsia="Times New Roman" w:hAnsi="Times New Roman" w:cs="Times New Roman"/>
          <w:iCs/>
          <w:color w:val="262626"/>
          <w:sz w:val="20"/>
          <w:szCs w:val="20"/>
          <w:lang w:val="en-US"/>
        </w:rPr>
        <w:t>DerSimonian</w:t>
      </w:r>
      <w:proofErr w:type="spellEnd"/>
      <w:r w:rsidRPr="00E705FD">
        <w:rPr>
          <w:rFonts w:ascii="Times New Roman" w:eastAsia="Times New Roman" w:hAnsi="Times New Roman" w:cs="Times New Roman"/>
          <w:iCs/>
          <w:color w:val="262626"/>
          <w:sz w:val="20"/>
          <w:szCs w:val="20"/>
          <w:lang w:val="en-US"/>
        </w:rPr>
        <w:t xml:space="preserve"> and Laird for meta-an</w:t>
      </w:r>
      <w:r w:rsidR="00826352">
        <w:rPr>
          <w:rFonts w:ascii="Times New Roman" w:eastAsia="Times New Roman" w:hAnsi="Times New Roman" w:cs="Times New Roman"/>
          <w:iCs/>
          <w:color w:val="262626"/>
          <w:sz w:val="20"/>
          <w:szCs w:val="20"/>
          <w:lang w:val="en-US"/>
        </w:rPr>
        <w:t xml:space="preserve">alysis of clinical trials </w:t>
      </w:r>
      <w:r w:rsidR="00826352">
        <w:rPr>
          <w:rFonts w:ascii="Times New Roman" w:eastAsia="Times New Roman" w:hAnsi="Times New Roman" w:cs="Times New Roman"/>
          <w:iCs/>
          <w:color w:val="262626"/>
          <w:sz w:val="20"/>
          <w:szCs w:val="20"/>
          <w:lang w:val="en-US"/>
        </w:rPr>
        <w:fldChar w:fldCharType="begin" w:fldLock="1"/>
      </w:r>
      <w:r w:rsidR="0000797A">
        <w:rPr>
          <w:rFonts w:ascii="Times New Roman" w:eastAsia="Times New Roman" w:hAnsi="Times New Roman" w:cs="Times New Roman"/>
          <w:iCs/>
          <w:color w:val="262626"/>
          <w:sz w:val="20"/>
          <w:szCs w:val="20"/>
          <w:lang w:val="en-US"/>
        </w:rPr>
        <w:instrText>ADDIN CSL_CITATION {"citationItems":[{"id":"ITEM-1","itemData":{"author":[{"dropping-particle":"","family":"Dersimonian","given":"Rebecca","non-dropping-particle":"","parse-names":false,"suffix":""},{"dropping-particle":"","family":"Laird","given":"Nan","non-dropping-particle":"","parse-names":false,"suffix":""}],"container-title":"Controlled clinical trials","id":"ITEM-1","issue":"3","issued":{"date-parts":[["1986"]]},"page":"177-188","title":"Meta-Analysis in Clinical Trials","type":"article-journal","volume":"7"},"uris":["http://www.mendeley.com/documents/?uuid=33ec00ba-5a8d-437c-a62c-e34d56baeb61"]},{"id":"ITEM-2","itemData":{"DOI":"10.1016/j.cct.2015.09.002.Meta-Analysis","ISBN":"1617432105","author":[{"dropping-particle":"","family":"Dersimonian","given":"Rebecca","non-dropping-particle":"","parse-names":false,"suffix":""},{"dropping-particle":"","family":"Laird","given":"Nan","non-dropping-particle":"","parse-names":false,"suffix":""}],"container-title":"Contemporary clinical trials","id":"ITEM-2","issued":{"date-parts":[["2015"]]},"page":"139-145","title":"Meta-Analysis in Clinical Trials Revisited","type":"article-journal","volume":"45"},"uris":["http://www.mendeley.com/documents/?uuid=a7554943-5215-48f4-b67e-d8ff4447023d"]}],"mendeley":{"formattedCitation":"[13,14]","plainTextFormattedCitation":"[13,14]","previouslyFormattedCitation":"[13,14]"},"properties":{"noteIndex":0},"schema":"https://github.com/citation-style-language/schema/raw/master/csl-citation.json"}</w:instrText>
      </w:r>
      <w:r w:rsidR="00826352">
        <w:rPr>
          <w:rFonts w:ascii="Times New Roman" w:eastAsia="Times New Roman" w:hAnsi="Times New Roman" w:cs="Times New Roman"/>
          <w:iCs/>
          <w:color w:val="262626"/>
          <w:sz w:val="20"/>
          <w:szCs w:val="20"/>
          <w:lang w:val="en-US"/>
        </w:rPr>
        <w:fldChar w:fldCharType="separate"/>
      </w:r>
      <w:r w:rsidR="0000797A" w:rsidRPr="0000797A">
        <w:rPr>
          <w:rFonts w:ascii="Times New Roman" w:eastAsia="Times New Roman" w:hAnsi="Times New Roman" w:cs="Times New Roman"/>
          <w:iCs/>
          <w:noProof/>
          <w:color w:val="262626"/>
          <w:sz w:val="20"/>
          <w:szCs w:val="20"/>
          <w:lang w:val="en-US"/>
        </w:rPr>
        <w:t>[13,14]</w:t>
      </w:r>
      <w:r w:rsidR="00826352">
        <w:rPr>
          <w:rFonts w:ascii="Times New Roman" w:eastAsia="Times New Roman" w:hAnsi="Times New Roman" w:cs="Times New Roman"/>
          <w:iCs/>
          <w:color w:val="262626"/>
          <w:sz w:val="20"/>
          <w:szCs w:val="20"/>
          <w:lang w:val="en-US"/>
        </w:rPr>
        <w:fldChar w:fldCharType="end"/>
      </w:r>
      <w:r w:rsidRPr="00E705FD">
        <w:rPr>
          <w:rFonts w:ascii="Times New Roman" w:eastAsia="Times New Roman" w:hAnsi="Times New Roman" w:cs="Times New Roman"/>
          <w:iCs/>
          <w:color w:val="262626"/>
          <w:sz w:val="20"/>
          <w:szCs w:val="20"/>
          <w:lang w:val="en-US"/>
        </w:rPr>
        <w:t>. This model assumes that the true effect of each study (here each row – drug or drug combination per treatment line - represents a study) is normally distributed. A second assumption made is that effect sizes of drugs or drug combinations are independent, even if they come from the same study. Here the majority of the trials were single arm (14/25 for LPS, 8/13 for SS). For randomized studies, there might be some dependence as treatment arms were designed for exactly the same population (also patients were recruited in the same centers).  Outcome variable is the summary proportion; the weighted average of the observed effect sizes of individual lines. Weighting is calculated using the inverse of the total variance (within + between).  The main idea of the model is that studies will differ in the mixes of participants and in the implementations of the interventions – among other reasons. Therefore, a different effect size will be underlying each study [27]. Variation in each study can be quantified through the true variation in the effect size and the sampling error. Effect sizes (</w:t>
      </w:r>
      <w:proofErr w:type="spellStart"/>
      <w:r w:rsidRPr="00E705FD">
        <w:rPr>
          <w:rFonts w:ascii="Times New Roman" w:eastAsia="Times New Roman" w:hAnsi="Times New Roman" w:cs="Times New Roman"/>
          <w:iCs/>
          <w:color w:val="262626"/>
          <w:sz w:val="20"/>
          <w:szCs w:val="20"/>
          <w:lang w:val="en-US"/>
        </w:rPr>
        <w:t>yi</w:t>
      </w:r>
      <w:proofErr w:type="spellEnd"/>
      <w:r w:rsidRPr="00E705FD">
        <w:rPr>
          <w:rFonts w:ascii="Times New Roman" w:eastAsia="Times New Roman" w:hAnsi="Times New Roman" w:cs="Times New Roman"/>
          <w:iCs/>
          <w:color w:val="262626"/>
          <w:sz w:val="20"/>
          <w:szCs w:val="20"/>
          <w:lang w:val="en-US"/>
        </w:rPr>
        <w:t>) and the sampling variance (</w:t>
      </w:r>
      <w:proofErr w:type="gramStart"/>
      <w:r w:rsidRPr="00E705FD">
        <w:rPr>
          <w:rFonts w:ascii="Times New Roman" w:eastAsia="Times New Roman" w:hAnsi="Times New Roman" w:cs="Times New Roman"/>
          <w:iCs/>
          <w:color w:val="262626"/>
          <w:sz w:val="20"/>
          <w:szCs w:val="20"/>
          <w:lang w:val="en-US"/>
        </w:rPr>
        <w:t>vi</w:t>
      </w:r>
      <w:proofErr w:type="gramEnd"/>
      <w:r w:rsidRPr="00E705FD">
        <w:rPr>
          <w:rFonts w:ascii="Times New Roman" w:eastAsia="Times New Roman" w:hAnsi="Times New Roman" w:cs="Times New Roman"/>
          <w:iCs/>
          <w:color w:val="262626"/>
          <w:sz w:val="20"/>
          <w:szCs w:val="20"/>
          <w:lang w:val="en-US"/>
        </w:rPr>
        <w:t xml:space="preserve">) are calculated per row. True effect sizes are not fixed but normally distributed (both within and between study variance is taken into account). It is useful to mention here that a random-effects model provides generalizability of the findings for new trials, and that subgroup meta-analysis is actually performing a meta-regression for a dichotomous predictor. </w:t>
      </w:r>
    </w:p>
    <w:p w14:paraId="7ED6D728" w14:textId="77777777" w:rsidR="00E705FD" w:rsidRPr="00E705FD" w:rsidRDefault="00E705FD" w:rsidP="00E705FD">
      <w:pPr>
        <w:tabs>
          <w:tab w:val="left" w:pos="709"/>
        </w:tabs>
        <w:spacing w:after="0" w:line="240" w:lineRule="auto"/>
        <w:jc w:val="both"/>
        <w:rPr>
          <w:rFonts w:ascii="Times New Roman" w:eastAsia="Times New Roman" w:hAnsi="Times New Roman" w:cs="Times New Roman"/>
          <w:iCs/>
          <w:color w:val="262626"/>
          <w:sz w:val="20"/>
          <w:szCs w:val="20"/>
          <w:lang w:val="en-US"/>
        </w:rPr>
      </w:pPr>
    </w:p>
    <w:p w14:paraId="130906DB" w14:textId="4CE39CB4" w:rsidR="00E705FD" w:rsidRPr="00E705FD" w:rsidRDefault="00E705FD" w:rsidP="00E705FD">
      <w:pPr>
        <w:tabs>
          <w:tab w:val="left" w:pos="709"/>
        </w:tabs>
        <w:spacing w:after="0" w:line="240" w:lineRule="auto"/>
        <w:jc w:val="both"/>
        <w:rPr>
          <w:rFonts w:ascii="Times New Roman" w:eastAsia="Times New Roman" w:hAnsi="Times New Roman" w:cs="Times New Roman"/>
          <w:iCs/>
          <w:color w:val="262626"/>
          <w:sz w:val="20"/>
          <w:szCs w:val="20"/>
          <w:lang w:val="en-US"/>
        </w:rPr>
      </w:pPr>
      <w:r w:rsidRPr="00E705FD">
        <w:rPr>
          <w:rFonts w:ascii="Times New Roman" w:eastAsia="Times New Roman" w:hAnsi="Times New Roman" w:cs="Times New Roman"/>
          <w:iCs/>
          <w:color w:val="262626"/>
          <w:sz w:val="20"/>
          <w:szCs w:val="20"/>
          <w:lang w:val="en-US"/>
        </w:rPr>
        <w:t>The drugs used in the studies were split into two groups (recommended against non-recommended); using as criteri</w:t>
      </w:r>
      <w:r w:rsidR="0000797A">
        <w:rPr>
          <w:rFonts w:ascii="Times New Roman" w:eastAsia="Times New Roman" w:hAnsi="Times New Roman" w:cs="Times New Roman"/>
          <w:iCs/>
          <w:color w:val="262626"/>
          <w:sz w:val="20"/>
          <w:szCs w:val="20"/>
          <w:lang w:val="en-US"/>
        </w:rPr>
        <w:t xml:space="preserve">on the </w:t>
      </w:r>
      <w:r w:rsidR="00826352">
        <w:rPr>
          <w:rFonts w:ascii="Times New Roman" w:eastAsia="Times New Roman" w:hAnsi="Times New Roman" w:cs="Times New Roman"/>
          <w:iCs/>
          <w:color w:val="262626"/>
          <w:sz w:val="20"/>
          <w:szCs w:val="20"/>
          <w:lang w:val="en-US"/>
        </w:rPr>
        <w:t>ESMO</w:t>
      </w:r>
      <w:r w:rsidR="0000797A">
        <w:rPr>
          <w:rFonts w:ascii="Times New Roman" w:eastAsia="Times New Roman" w:hAnsi="Times New Roman" w:cs="Times New Roman"/>
          <w:iCs/>
          <w:color w:val="262626"/>
          <w:sz w:val="20"/>
          <w:szCs w:val="20"/>
          <w:lang w:val="en-US"/>
        </w:rPr>
        <w:t xml:space="preserve"> 2021</w:t>
      </w:r>
      <w:r w:rsidR="00826352">
        <w:rPr>
          <w:rFonts w:ascii="Times New Roman" w:eastAsia="Times New Roman" w:hAnsi="Times New Roman" w:cs="Times New Roman"/>
          <w:iCs/>
          <w:color w:val="262626"/>
          <w:sz w:val="20"/>
          <w:szCs w:val="20"/>
          <w:lang w:val="en-US"/>
        </w:rPr>
        <w:t xml:space="preserve"> guidelines </w:t>
      </w:r>
      <w:r w:rsidR="00826352">
        <w:rPr>
          <w:rFonts w:ascii="Times New Roman" w:eastAsia="Times New Roman" w:hAnsi="Times New Roman" w:cs="Times New Roman"/>
          <w:iCs/>
          <w:color w:val="262626"/>
          <w:sz w:val="20"/>
          <w:szCs w:val="20"/>
          <w:lang w:val="en-US"/>
        </w:rPr>
        <w:fldChar w:fldCharType="begin" w:fldLock="1"/>
      </w:r>
      <w:r w:rsidR="0000797A">
        <w:rPr>
          <w:rFonts w:ascii="Times New Roman" w:eastAsia="Times New Roman" w:hAnsi="Times New Roman" w:cs="Times New Roman"/>
          <w:iCs/>
          <w:color w:val="262626"/>
          <w:sz w:val="20"/>
          <w:szCs w:val="20"/>
          <w:lang w:val="en-US"/>
        </w:rPr>
        <w:instrText>ADDIN CSL_CITATION {"citationItems":[{"id":"ITEM-1","itemData":{"DOI":"10.1016/j.annonc.2021.07.006","ISSN":"15698041","PMID":"34303806","author":[{"dropping-particle":"","family":"Gronchi","given":"A.","non-dropping-particle":"","parse-names":false,"suffix":""},{"dropping-particle":"","family":"Miah","given":"A. B.","non-dropping-particle":"","parse-names":false,"suffix":""},{"dropping-particle":"","family":"Dei Tos","given":"A. P.","non-dropping-particle":"","parse-names":false,"suffix":""},{"dropping-particle":"","family":"Abecassis","given":"N.","non-dropping-particle":"","parse-names":false,"suffix":""},{"dropping-particle":"","family":"Bajpai","given":"J.","non-dropping-particle":"","parse-names":false,"suffix":""},{"dropping-particle":"","family":"Bauer","given":"S.","non-dropping-particle":"","parse-names":false,"suffix":""},{"dropping-particle":"","family":"Biagini","given":"R.","non-dropping-particle":"","parse-names":false,"suffix":""},{"dropping-particle":"","family":"Bielack","given":"S.","non-dropping-particle":"","parse-names":false,"suffix":""},{"dropping-particle":"","family":"Blay","given":"J. Y.","non-dropping-particle":"","parse-names":false,"suffix":""},{"dropping-particle":"","family":"Bolle","given":"S.","non-dropping-particle":"","parse-names":false,"suffix":""},{"dropping-particle":"","family":"Bonvalot","given":"S.","non-dropping-particle":"","parse-names":false,"suffix":""},{"dropping-particle":"","family":"Boukovinas","given":"I.","non-dropping-particle":"","parse-names":false,"suffix":""},{"dropping-particle":"","family":"Bovee","given":"J. V.M.G.","non-dropping-particle":"","parse-names":false,"suffix":""},{"dropping-particle":"","family":"Boye","given":"K.","non-dropping-particle":"","parse-names":false,"suffix":""},{"dropping-particle":"","family":"Brennan","given":"B.","non-dropping-particle":"","parse-names":false,"suffix":""},{"dropping-particle":"","family":"Brodowicz","given":"T.","non-dropping-particle":"","parse-names":false,"suffix":""},{"dropping-particle":"","family":"Buonadonna","given":"A.","non-dropping-particle":"","parse-names":false,"suffix":""},{"dropping-particle":"","family":"Álava","given":"E.","non-dropping-particle":"De","parse-names":false,"suffix":""},{"dropping-particle":"","family":"Muro","given":"X. G.","non-dropping-particle":"Del","parse-names":false,"suffix":""},{"dropping-particle":"","family":"Dufresne","given":"A.","non-dropping-particle":"","parse-names":false,"suffix":""},{"dropping-particle":"","family":"Eriksson","given":"M.","non-dropping-particle":"","parse-names":false,"suffix":""},{"dropping-particle":"","family":"Fagioli","given":"F.","non-dropping-particle":"","parse-names":false,"suffix":""},{"dropping-particle":"","family":"Fedenko","given":"A.","non-dropping-particle":"","parse-names":false,"suffix":""},{"dropping-particle":"","family":"Ferraresi","given":"V.","non-dropping-particle":"","parse-names":false,"suffix":""},{"dropping-particle":"","family":"Ferrari","given":"A.","non-dropping-particle":"","parse-names":false,"suffix":""},{"dropping-particle":"","family":"Frezza","given":"A. M.","non-dropping-particle":"","parse-names":false,"suffix":""},{"dropping-particle":"","family":"Gasperoni","given":"S.","non-dropping-particle":"","parse-names":false,"suffix":""},{"dropping-particle":"","family":"Gelderblom","given":"H.","non-dropping-particle":"","parse-names":false,"suffix":""},{"dropping-particle":"","family":"Gouin","given":"F.","non-dropping-particle":"","parse-names":false,"suffix":""},{"dropping-particle":"","family":"Grignani","given":"G.","non-dropping-particle":"","parse-names":false,"suffix":""},{"dropping-particle":"","family":"Haas","given":"R.","non-dropping-particle":"","parse-names":false,"suffix":""},{"dropping-particle":"","family":"Hassan","given":"A. B.","non-dropping-particle":"","parse-names":false,"suffix":""},{"dropping-particle":"","family":"Hecker-Nolting","given":"S.","non-dropping-particle":"","parse-names":false,"suffix":""},{"dropping-particle":"","family":"Hindi","given":"N.","non-dropping-particle":"","parse-names":false,"suffix":""},{"dropping-particle":"","family":"Hohenberger","given":"P.","non-dropping-particle":"","parse-names":false,"suffix":""},{"dropping-particle":"","family":"Joensuu","given":"H.","non-dropping-particle":"","parse-names":false,"suffix":""},{"dropping-particle":"","family":"Jones","given":"R. L.","non-dropping-particle":"","parse-names":false,"suffix":""},{"dropping-particle":"","family":"Jungels","given":"C.","non-dropping-particle":"","parse-names":false,"suffix":""},{"dropping-particle":"","family":"Jutte","given":"P.","non-dropping-particle":"","parse-names":false,"suffix":""},{"dropping-particle":"","family":"Kager","given":"L.","non-dropping-particle":"","parse-names":false,"suffix":""},{"dropping-particle":"","family":"Kasper","given":"B.","non-dropping-particle":"","parse-names":false,"suffix":""},{"dropping-particle":"","family":"Kawai","given":"A.","non-dropping-particle":"","parse-names":false,"suffix":""},{"dropping-particle":"","family":"Kopeckova","given":"K.","non-dropping-particle":"","parse-names":false,"suffix":""},{"dropping-particle":"","family":"Krákorová","given":"D. A.","non-dropping-particle":"","parse-names":false,"suffix":""},{"dropping-particle":"","family":"Cesne","given":"A.","non-dropping-particle":"Le","parse-names":false,"suffix":""},{"dropping-particle":"","family":"Grange","given":"F.","non-dropping-particle":"Le","parse-names":false,"suffix":""},{"dropping-particle":"","family":"Legius","given":"E.","non-dropping-particle":"","parse-names":false,"suffix":""},{"dropping-particle":"","family":"Leithner","given":"A.","non-dropping-particle":"","parse-names":false,"suffix":""},{"dropping-particle":"","family":"Lopez-Pousa","given":"A.","non-dropping-particle":"","parse-names":false,"suffix":""},{"dropping-particle":"","family":"Martin-Broto","given":"J.","non-dropping-particle":"","parse-names":false,"suffix":""},{"dropping-particle":"","family":"Merimsky","given":"O.","non-dropping-particle":"","parse-names":false,"suffix":""},{"dropping-particle":"","family":"Messiou","given":"C.","non-dropping-particle":"","parse-names":false,"suffix":""},{"dropping-particle":"","family":"Mir","given":"O.","non-dropping-particle":"","parse-names":false,"suffix":""},{"dropping-particle":"","family":"Montemurro","given":"M.","non-dropping-particle":"","parse-names":false,"suffix":""},{"dropping-particle":"","family":"Morland","given":"B.","non-dropping-particle":"","parse-names":false,"suffix":""},{"dropping-particle":"","family":"Morosi","given":"C.","non-dropping-particle":"","parse-names":false,"suffix":""},{"dropping-particle":"","family":"Palmerini","given":"E.","non-dropping-particle":"","parse-names":false,"suffix":""},{"dropping-particle":"","family":"Pantaleo","given":"M. A.","non-dropping-particle":"","parse-names":false,"suffix":""},{"dropping-particle":"","family":"Piana","given":"R.","non-dropping-particle":"","parse-names":false,"suffix":""},{"dropping-particle":"","family":"Piperno-Neumann","given":"S.","non-dropping-particle":"","parse-names":false,"suffix":""},{"dropping-particle":"","family":"Reichardt","given":"P.","non-dropping-particle":"","parse-names":false,"suffix":""},{"dropping-particle":"","family":"Rutkowski","given":"P.","non-dropping-particle":"","parse-names":false,"suffix":""},{"dropping-particle":"","family":"Safwat","given":"A. A.","non-dropping-particle":"","parse-names":false,"suffix":""},{"dropping-particle":"","family":"Sangalli","given":"C.","non-dropping-particle":"","parse-names":false,"suffix":""},{"dropping-particle":"","family":"Sbaraglia","given":"M.","non-dropping-particle":"","parse-names":false,"suffix":""},{"dropping-particle":"","family":"Scheipl","given":"S.","non-dropping-particle":"","parse-names":false,"suffix":""},{"dropping-particle":"","family":"Schöffski","given":"P.","non-dropping-particle":"","parse-names":false,"suffix":""},{"dropping-particle":"","family":"Sleijfer","given":"S.","non-dropping-particle":"","parse-names":false,"suffix":""},{"dropping-particle":"","family":"Strauss","given":"D.","non-dropping-particle":"","parse-names":false,"suffix":""},{"dropping-particle":"","family":"Strauss","given":"S.","non-dropping-particle":"","parse-names":false,"suffix":""},{"dropping-particle":"","family":"Sundby Hall","given":"K.","non-dropping-particle":"","parse-names":false,"suffix":""},{"dropping-particle":"","family":"Trama","given":"A.","non-dropping-particle":"","parse-names":false,"suffix":""},{"dropping-particle":"","family":"Unk","given":"M.","non-dropping-particle":"","parse-names":false,"suffix":""},{"dropping-particle":"","family":"Sande","given":"M. A.J.","non-dropping-particle":"van de","parse-names":false,"suffix":""},{"dropping-particle":"","family":"Graaf","given":"W. T.A.","non-dropping-particle":"van der","parse-names":false,"suffix":""},{"dropping-particle":"","family":"Houdt","given":"W. J.","non-dropping-particle":"van","parse-names":false,"suffix":""},{"dropping-particle":"","family":"Frebourg","given":"T.","non-dropping-particle":"","parse-names":false,"suffix":""},{"dropping-particle":"","family":"Casali","given":"P. G.","non-dropping-particle":"","parse-names":false,"suffix":""},{"dropping-particle":"","family":"Stacchiotti","given":"S.","non-dropping-particle":"","parse-names":false,"suffix":""}],"container-title":"Annals of Oncology","id":"ITEM-1","issue":"11","issued":{"date-parts":[["2021"]]},"page":"1348-1365","publisher":"Elsevier Ltd.","title":"Soft tissue and visceral sarcomas: ESMO–EURACAN–GENTURIS Clinical Practice Guidelines for diagnosis, treatment and follow-up","type":"article-journal","volume":"32"},"uris":["http://www.mendeley.com/documents/?uuid=b74eaccb-cf0e-3c33-a6c7-bc1da2bd5a9f"]}],"mendeley":{"formattedCitation":"[10]","plainTextFormattedCitation":"[10]","previouslyFormattedCitation":"[10]"},"properties":{"noteIndex":0},"schema":"https://github.com/citation-style-language/schema/raw/master/csl-citation.json"}</w:instrText>
      </w:r>
      <w:r w:rsidR="00826352">
        <w:rPr>
          <w:rFonts w:ascii="Times New Roman" w:eastAsia="Times New Roman" w:hAnsi="Times New Roman" w:cs="Times New Roman"/>
          <w:iCs/>
          <w:color w:val="262626"/>
          <w:sz w:val="20"/>
          <w:szCs w:val="20"/>
          <w:lang w:val="en-US"/>
        </w:rPr>
        <w:fldChar w:fldCharType="separate"/>
      </w:r>
      <w:r w:rsidR="0000797A" w:rsidRPr="0000797A">
        <w:rPr>
          <w:rFonts w:ascii="Times New Roman" w:eastAsia="Times New Roman" w:hAnsi="Times New Roman" w:cs="Times New Roman"/>
          <w:iCs/>
          <w:noProof/>
          <w:color w:val="262626"/>
          <w:sz w:val="20"/>
          <w:szCs w:val="20"/>
          <w:lang w:val="en-US"/>
        </w:rPr>
        <w:t>[10]</w:t>
      </w:r>
      <w:r w:rsidR="00826352">
        <w:rPr>
          <w:rFonts w:ascii="Times New Roman" w:eastAsia="Times New Roman" w:hAnsi="Times New Roman" w:cs="Times New Roman"/>
          <w:iCs/>
          <w:color w:val="262626"/>
          <w:sz w:val="20"/>
          <w:szCs w:val="20"/>
          <w:lang w:val="en-US"/>
        </w:rPr>
        <w:fldChar w:fldCharType="end"/>
      </w:r>
      <w:r w:rsidRPr="00E705FD">
        <w:rPr>
          <w:rFonts w:ascii="Times New Roman" w:eastAsia="Times New Roman" w:hAnsi="Times New Roman" w:cs="Times New Roman"/>
          <w:iCs/>
          <w:color w:val="262626"/>
          <w:sz w:val="20"/>
          <w:szCs w:val="20"/>
          <w:lang w:val="en-US"/>
        </w:rPr>
        <w:t xml:space="preserve"> (variable “Is experimental drug standard of care for LPS / SS?”). For both groups, the corresponding weight of the effect size of each intervention was estimated using the inverse of the total variance (summary of between and within study variance).  In addition, a mean effect size was estimated </w:t>
      </w:r>
      <w:r w:rsidRPr="00E705FD">
        <w:rPr>
          <w:rFonts w:ascii="Times New Roman" w:eastAsia="Times New Roman" w:hAnsi="Times New Roman" w:cs="Times New Roman"/>
          <w:iCs/>
          <w:color w:val="262626"/>
          <w:sz w:val="20"/>
          <w:szCs w:val="20"/>
          <w:lang w:val="en-US"/>
        </w:rPr>
        <w:lastRenderedPageBreak/>
        <w:t xml:space="preserve">for each group together with the 95% confidence interval (CI). Larger studies were given more weight and thus their effect size had greater impact on the overall mean effect. </w:t>
      </w:r>
    </w:p>
    <w:p w14:paraId="5C58B3A2" w14:textId="77777777" w:rsidR="00E705FD" w:rsidRPr="00E705FD" w:rsidRDefault="00E705FD" w:rsidP="00E705FD">
      <w:pPr>
        <w:tabs>
          <w:tab w:val="left" w:pos="709"/>
        </w:tabs>
        <w:spacing w:after="0" w:line="240" w:lineRule="auto"/>
        <w:jc w:val="both"/>
        <w:rPr>
          <w:rFonts w:ascii="Times New Roman" w:eastAsia="Times New Roman" w:hAnsi="Times New Roman" w:cs="Times New Roman"/>
          <w:iCs/>
          <w:color w:val="262626"/>
          <w:sz w:val="20"/>
          <w:szCs w:val="20"/>
          <w:lang w:val="en-US"/>
        </w:rPr>
      </w:pPr>
    </w:p>
    <w:p w14:paraId="4333E02E" w14:textId="51F030E8" w:rsidR="00585129" w:rsidRPr="0099368B" w:rsidRDefault="00E705FD" w:rsidP="00E705FD">
      <w:pPr>
        <w:tabs>
          <w:tab w:val="left" w:pos="709"/>
        </w:tabs>
        <w:spacing w:after="0" w:line="240" w:lineRule="auto"/>
        <w:jc w:val="both"/>
        <w:rPr>
          <w:rFonts w:ascii="Times New Roman" w:eastAsia="Times New Roman" w:hAnsi="Times New Roman" w:cs="Times New Roman"/>
          <w:iCs/>
          <w:color w:val="262626"/>
          <w:sz w:val="20"/>
          <w:szCs w:val="20"/>
          <w:lang w:val="en-US"/>
        </w:rPr>
      </w:pPr>
      <w:r w:rsidRPr="00E705FD">
        <w:rPr>
          <w:rFonts w:ascii="Times New Roman" w:eastAsia="Times New Roman" w:hAnsi="Times New Roman" w:cs="Times New Roman"/>
          <w:iCs/>
          <w:color w:val="262626"/>
          <w:sz w:val="20"/>
          <w:szCs w:val="20"/>
          <w:lang w:val="en-US"/>
        </w:rPr>
        <w:t>Moreover, we performed moderator analyses in an attempt to explain between study variability. Subgroup analyses are conducted with a mixed effects model. The random component of the model is used to combine the study effects (within each subgroup) and the fixed component of the model is used to test whether these effects vary significantly across the subgroups. Categorical moderators are study characteristics which can account for between-study heterogeneity. We evaluated different moderators: dichotomized time period of study activation, phase of the trial, study design and a dichotomized data-driven sample size separately in univariate models and we also tested significant moderators in a multivariate model including drug regimens to see if they can explain part of the variation. Residual heterogeneity is reported (remaining variability between the studies not accounted for by the moderators).</w:t>
      </w:r>
    </w:p>
    <w:p w14:paraId="425E71D8" w14:textId="3C423593" w:rsidR="001F6677" w:rsidRPr="0099368B" w:rsidRDefault="001F6677" w:rsidP="009D4323">
      <w:pPr>
        <w:tabs>
          <w:tab w:val="left" w:pos="709"/>
        </w:tabs>
        <w:spacing w:after="0" w:line="240" w:lineRule="auto"/>
        <w:jc w:val="both"/>
        <w:rPr>
          <w:rFonts w:ascii="Times New Roman" w:eastAsia="Times New Roman" w:hAnsi="Times New Roman" w:cs="Times New Roman"/>
          <w:iCs/>
          <w:color w:val="262626"/>
          <w:sz w:val="20"/>
          <w:szCs w:val="20"/>
          <w:lang w:val="en-US"/>
        </w:rPr>
      </w:pPr>
    </w:p>
    <w:p w14:paraId="5E366DDC" w14:textId="0ECF6F4A" w:rsidR="001F6677" w:rsidRPr="0099368B" w:rsidRDefault="001F6677" w:rsidP="001F6677">
      <w:pPr>
        <w:pStyle w:val="Heading3"/>
        <w:numPr>
          <w:ilvl w:val="2"/>
          <w:numId w:val="8"/>
        </w:numPr>
        <w:rPr>
          <w:rFonts w:ascii="Times New Roman" w:eastAsia="Times New Roman" w:hAnsi="Times New Roman" w:cs="Times New Roman"/>
          <w:b/>
          <w:color w:val="auto"/>
          <w:sz w:val="20"/>
          <w:szCs w:val="20"/>
          <w:lang w:val="en-US"/>
        </w:rPr>
      </w:pPr>
      <w:bookmarkStart w:id="15" w:name="_Hlk61439177"/>
      <w:bookmarkStart w:id="16" w:name="_Toc97281442"/>
      <w:r w:rsidRPr="0099368B">
        <w:rPr>
          <w:rFonts w:ascii="Times New Roman" w:eastAsia="Times New Roman" w:hAnsi="Times New Roman" w:cs="Times New Roman"/>
          <w:b/>
          <w:color w:val="auto"/>
          <w:sz w:val="20"/>
          <w:szCs w:val="20"/>
          <w:lang w:val="en-US"/>
        </w:rPr>
        <w:t>Hypothesis generating analyses</w:t>
      </w:r>
      <w:bookmarkEnd w:id="15"/>
      <w:bookmarkEnd w:id="16"/>
    </w:p>
    <w:p w14:paraId="5EB4B4E9" w14:textId="77777777" w:rsidR="009D4323" w:rsidRPr="0099368B" w:rsidRDefault="009D4323" w:rsidP="009D4323">
      <w:pPr>
        <w:tabs>
          <w:tab w:val="left" w:pos="709"/>
        </w:tabs>
        <w:spacing w:after="0" w:line="240" w:lineRule="auto"/>
        <w:jc w:val="both"/>
        <w:rPr>
          <w:rFonts w:ascii="Times New Roman" w:eastAsia="Times New Roman" w:hAnsi="Times New Roman" w:cs="Times New Roman"/>
          <w:iCs/>
          <w:color w:val="262626"/>
          <w:sz w:val="20"/>
          <w:szCs w:val="20"/>
          <w:lang w:val="en-US"/>
        </w:rPr>
      </w:pPr>
    </w:p>
    <w:p w14:paraId="400C605F" w14:textId="77777777" w:rsidR="00E705FD" w:rsidRPr="00E705FD" w:rsidRDefault="00E705FD" w:rsidP="00E705FD">
      <w:pPr>
        <w:pStyle w:val="SubtleReference1"/>
        <w:rPr>
          <w:color w:val="000000" w:themeColor="text1"/>
        </w:rPr>
      </w:pPr>
      <w:r w:rsidRPr="00E705FD">
        <w:rPr>
          <w:i w:val="0"/>
          <w:iCs w:val="0"/>
          <w:color w:val="000000" w:themeColor="text1"/>
        </w:rPr>
        <w:t xml:space="preserve">To </w:t>
      </w:r>
      <w:r w:rsidRPr="00E705FD">
        <w:rPr>
          <w:color w:val="000000" w:themeColor="text1"/>
        </w:rPr>
        <w:t>compare</w:t>
      </w:r>
      <w:r w:rsidRPr="00E705FD">
        <w:rPr>
          <w:i w:val="0"/>
          <w:iCs w:val="0"/>
          <w:color w:val="000000" w:themeColor="text1"/>
        </w:rPr>
        <w:t xml:space="preserve"> different subgroups of patients (drug regimen recommended or not). To do so, we performed comparisons directly on the </w:t>
      </w:r>
      <w:r w:rsidRPr="00E705FD">
        <w:rPr>
          <w:color w:val="000000" w:themeColor="text1"/>
        </w:rPr>
        <w:t>differences in means</w:t>
      </w:r>
      <w:r w:rsidRPr="00E705FD">
        <w:rPr>
          <w:i w:val="0"/>
          <w:iCs w:val="0"/>
          <w:color w:val="000000" w:themeColor="text1"/>
        </w:rPr>
        <w:t xml:space="preserve"> for the endpoint assuming that there is no difference between the groups. We computed a </w:t>
      </w:r>
      <w:r w:rsidRPr="00E705FD">
        <w:rPr>
          <w:color w:val="000000" w:themeColor="text1"/>
        </w:rPr>
        <w:t xml:space="preserve">Z-statistic </w:t>
      </w:r>
      <w:r w:rsidRPr="00E705FD">
        <w:rPr>
          <w:i w:val="0"/>
          <w:iCs w:val="0"/>
          <w:color w:val="000000" w:themeColor="text1"/>
        </w:rPr>
        <w:t>(a Wald type statistic)</w:t>
      </w:r>
      <w:r w:rsidRPr="00E705FD">
        <w:rPr>
          <w:color w:val="000000" w:themeColor="text1"/>
        </w:rPr>
        <w:t xml:space="preserve"> </w:t>
      </w:r>
      <w:r w:rsidRPr="00E705FD">
        <w:rPr>
          <w:i w:val="0"/>
          <w:iCs w:val="0"/>
          <w:color w:val="000000" w:themeColor="text1"/>
        </w:rPr>
        <w:t>based on</w:t>
      </w:r>
      <w:r w:rsidRPr="00E705FD">
        <w:rPr>
          <w:color w:val="000000" w:themeColor="text1"/>
        </w:rPr>
        <w:t xml:space="preserve"> the mean differences</w:t>
      </w:r>
      <w:r w:rsidRPr="00E705FD">
        <w:rPr>
          <w:i w:val="0"/>
          <w:iCs w:val="0"/>
          <w:color w:val="000000" w:themeColor="text1"/>
        </w:rPr>
        <w:t xml:space="preserve">. This test determined whether there is a statistically significant benefit for the recommended group of drugs. A small p-value of this test demonstrates a statistically significant difference between the groups. Of note is that this is equivalent to the omnibus chi-square test for moderators when a single moderator is tested. </w:t>
      </w:r>
    </w:p>
    <w:p w14:paraId="35D9E01A" w14:textId="1BDE85D9" w:rsidR="00E705FD" w:rsidRPr="00E705FD" w:rsidRDefault="00E705FD" w:rsidP="00E705FD">
      <w:pPr>
        <w:pStyle w:val="SubtleReference1"/>
        <w:rPr>
          <w:color w:val="000000" w:themeColor="text1"/>
        </w:rPr>
      </w:pPr>
      <w:r w:rsidRPr="00E705FD">
        <w:rPr>
          <w:i w:val="0"/>
          <w:iCs w:val="0"/>
          <w:color w:val="000000" w:themeColor="text1"/>
        </w:rPr>
        <w:t xml:space="preserve">To </w:t>
      </w:r>
      <w:r w:rsidRPr="00E705FD">
        <w:rPr>
          <w:color w:val="000000" w:themeColor="text1"/>
        </w:rPr>
        <w:t>investigate variation</w:t>
      </w:r>
      <w:r w:rsidRPr="00E705FD">
        <w:rPr>
          <w:i w:val="0"/>
          <w:iCs w:val="0"/>
          <w:color w:val="000000" w:themeColor="text1"/>
        </w:rPr>
        <w:t xml:space="preserve"> of the effect size between the studies of the subgroups. Generally, the observed variation in the studies is attributed to the true variation and to random error. We estimated </w:t>
      </w:r>
      <w:r w:rsidRPr="00E705FD">
        <w:rPr>
          <w:color w:val="000000" w:themeColor="text1"/>
        </w:rPr>
        <w:t xml:space="preserve">the </w:t>
      </w: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2</m:t>
            </m:r>
          </m:sup>
        </m:sSup>
      </m:oMath>
      <w:r w:rsidRPr="00E705FD">
        <w:rPr>
          <w:color w:val="000000" w:themeColor="text1"/>
        </w:rPr>
        <w:t>-statistic</w:t>
      </w:r>
      <w:r w:rsidRPr="00E705FD">
        <w:rPr>
          <w:i w:val="0"/>
          <w:iCs w:val="0"/>
          <w:color w:val="000000" w:themeColor="text1"/>
        </w:rPr>
        <w:t xml:space="preserve"> that is insensitive to the number of studies </w:t>
      </w:r>
      <w:r w:rsidRPr="00E705FD">
        <w:rPr>
          <w:i w:val="0"/>
          <w:iCs w:val="0"/>
          <w:color w:val="000000" w:themeColor="text1"/>
        </w:rPr>
        <w:fldChar w:fldCharType="begin" w:fldLock="1"/>
      </w:r>
      <w:r w:rsidR="0000797A">
        <w:rPr>
          <w:i w:val="0"/>
          <w:iCs w:val="0"/>
          <w:color w:val="000000" w:themeColor="text1"/>
        </w:rPr>
        <w:instrText>ADDIN CSL_CITATION {"citationItems":[{"id":"ITEM-1","itemData":{"ISBN":"1119964377","abstract":"Lizenzpflichtig","author":[{"dropping-particle":"","family":"Borenstein","given":"Michael.","non-dropping-particle":"","parse-names":false,"suffix":""},{"dropping-particle":"V.","family":"Hedges","given":"Larry","non-dropping-particle":"","parse-names":false,"suffix":""},{"dropping-particle":"","family":"Higgins","given":"Julian P. T.","non-dropping-particle":"","parse-names":false,"suffix":""},{"dropping-particle":"","family":"Rothstein","given":"Hannah R.","non-dropping-particle":"","parse-names":false,"suffix":""}],"id":"ITEM-1","issued":{"date-parts":[["2011"]]},"number-of-pages":"450","publisher":"John Wiley &amp; Sons","title":"Introduction to Meta-Analysis","type":"book"},"uris":["http://www.mendeley.com/documents/?uuid=6c73d1a9-86cc-4d42-bcd3-48c11df7ee9b","http://www.mendeley.com/documents/?uuid=b503ed2a-5769-321b-aa44-4dd4116301c0"]}],"mendeley":{"formattedCitation":"[15]","plainTextFormattedCitation":"[15]","previouslyFormattedCitation":"[15]"},"properties":{"noteIndex":0},"schema":"https://github.com/citation-style-language/schema/raw/master/csl-citation.json"}</w:instrText>
      </w:r>
      <w:r w:rsidRPr="00E705FD">
        <w:rPr>
          <w:i w:val="0"/>
          <w:iCs w:val="0"/>
          <w:color w:val="000000" w:themeColor="text1"/>
        </w:rPr>
        <w:fldChar w:fldCharType="separate"/>
      </w:r>
      <w:r w:rsidR="00826352" w:rsidRPr="00826352">
        <w:rPr>
          <w:i w:val="0"/>
          <w:iCs w:val="0"/>
          <w:noProof/>
          <w:color w:val="000000" w:themeColor="text1"/>
        </w:rPr>
        <w:t>[15]</w:t>
      </w:r>
      <w:r w:rsidRPr="00E705FD">
        <w:rPr>
          <w:i w:val="0"/>
          <w:iCs w:val="0"/>
          <w:color w:val="000000" w:themeColor="text1"/>
        </w:rPr>
        <w:fldChar w:fldCharType="end"/>
      </w:r>
      <w:r w:rsidRPr="00E705FD">
        <w:rPr>
          <w:i w:val="0"/>
          <w:iCs w:val="0"/>
          <w:color w:val="000000" w:themeColor="text1"/>
        </w:rPr>
        <w:t xml:space="preserve">. The </w:t>
      </w:r>
      <m:oMath>
        <m:sSup>
          <m:sSupPr>
            <m:ctrlPr>
              <w:rPr>
                <w:rFonts w:ascii="Cambria Math" w:hAnsi="Cambria Math"/>
                <w:i w:val="0"/>
                <w:iCs w:val="0"/>
                <w:color w:val="000000" w:themeColor="text1"/>
              </w:rPr>
            </m:ctrlPr>
          </m:sSupPr>
          <m:e>
            <m:r>
              <w:rPr>
                <w:rFonts w:ascii="Cambria Math" w:hAnsi="Cambria Math"/>
                <w:color w:val="000000" w:themeColor="text1"/>
              </w:rPr>
              <m:t>I</m:t>
            </m:r>
          </m:e>
          <m:sup>
            <m:r>
              <w:rPr>
                <w:rFonts w:ascii="Cambria Math" w:hAnsi="Cambria Math"/>
                <w:color w:val="000000" w:themeColor="text1"/>
              </w:rPr>
              <m:t>2</m:t>
            </m:r>
          </m:sup>
        </m:sSup>
      </m:oMath>
      <w:r w:rsidRPr="00E705FD">
        <w:rPr>
          <w:i w:val="0"/>
          <w:iCs w:val="0"/>
          <w:color w:val="000000" w:themeColor="text1"/>
        </w:rPr>
        <w:t xml:space="preserve">-statistic is a signal-to-noise ratio. It measures the </w:t>
      </w:r>
      <w:r w:rsidRPr="00E705FD">
        <w:rPr>
          <w:color w:val="000000" w:themeColor="text1"/>
        </w:rPr>
        <w:t>true heterogeneity</w:t>
      </w:r>
      <w:r w:rsidRPr="00E705FD">
        <w:rPr>
          <w:i w:val="0"/>
          <w:iCs w:val="0"/>
          <w:color w:val="000000" w:themeColor="text1"/>
        </w:rPr>
        <w:t xml:space="preserve"> of the observed effects (true between studies dispersion) compared to the </w:t>
      </w:r>
      <w:r w:rsidRPr="00E705FD">
        <w:rPr>
          <w:color w:val="000000" w:themeColor="text1"/>
        </w:rPr>
        <w:t>total variation</w:t>
      </w:r>
      <w:r w:rsidRPr="00E705FD">
        <w:rPr>
          <w:i w:val="0"/>
          <w:iCs w:val="0"/>
          <w:color w:val="000000" w:themeColor="text1"/>
        </w:rPr>
        <w:t xml:space="preserve"> (total dispersion). As this statistic moves away from 0% towards 100%, it can be assumed that some of the variance is real. </w:t>
      </w:r>
    </w:p>
    <w:p w14:paraId="72233272" w14:textId="4B5338F3" w:rsidR="009C43D2" w:rsidRPr="0099368B" w:rsidRDefault="009C43D2" w:rsidP="00DE2593">
      <w:pPr>
        <w:pStyle w:val="SubtleReference1"/>
        <w:numPr>
          <w:ilvl w:val="0"/>
          <w:numId w:val="0"/>
        </w:numPr>
        <w:rPr>
          <w:color w:val="000000" w:themeColor="text1"/>
        </w:rPr>
      </w:pPr>
    </w:p>
    <w:p w14:paraId="52BC8DBB" w14:textId="77777777" w:rsidR="009C43D2" w:rsidRPr="0099368B" w:rsidRDefault="009C43D2" w:rsidP="008B6253">
      <w:pPr>
        <w:pStyle w:val="SubtleReference1"/>
        <w:numPr>
          <w:ilvl w:val="0"/>
          <w:numId w:val="0"/>
        </w:numPr>
        <w:ind w:left="720" w:hanging="360"/>
        <w:rPr>
          <w:color w:val="000000" w:themeColor="text1"/>
        </w:rPr>
      </w:pPr>
    </w:p>
    <w:p w14:paraId="6BBE4C0B" w14:textId="5A4F9528" w:rsidR="008B6253" w:rsidRPr="0099368B" w:rsidRDefault="009C43D2" w:rsidP="008B6253">
      <w:pPr>
        <w:pStyle w:val="Heading3"/>
        <w:numPr>
          <w:ilvl w:val="2"/>
          <w:numId w:val="8"/>
        </w:numPr>
        <w:rPr>
          <w:rFonts w:ascii="Times New Roman" w:eastAsia="Times New Roman" w:hAnsi="Times New Roman" w:cs="Times New Roman"/>
          <w:b/>
          <w:color w:val="auto"/>
          <w:sz w:val="20"/>
          <w:szCs w:val="20"/>
          <w:lang w:val="en-US"/>
        </w:rPr>
      </w:pPr>
      <w:bookmarkStart w:id="17" w:name="_Toc97281443"/>
      <w:r w:rsidRPr="0099368B">
        <w:rPr>
          <w:rFonts w:ascii="Times New Roman" w:eastAsia="Times New Roman" w:hAnsi="Times New Roman" w:cs="Times New Roman"/>
          <w:b/>
          <w:color w:val="auto"/>
          <w:sz w:val="20"/>
          <w:szCs w:val="20"/>
          <w:lang w:val="en-US"/>
        </w:rPr>
        <w:t>Sensitivity meta-analysis</w:t>
      </w:r>
      <w:bookmarkEnd w:id="17"/>
    </w:p>
    <w:p w14:paraId="3A19F6F9" w14:textId="6BFED536" w:rsidR="009C43D2" w:rsidRDefault="009C43D2" w:rsidP="009C43D2">
      <w:pPr>
        <w:rPr>
          <w:rFonts w:ascii="Times New Roman" w:hAnsi="Times New Roman" w:cs="Times New Roman"/>
          <w:sz w:val="20"/>
          <w:szCs w:val="20"/>
          <w:lang w:val="en-US"/>
        </w:rPr>
      </w:pPr>
    </w:p>
    <w:p w14:paraId="7F37CC68" w14:textId="77777777" w:rsidR="00E705FD" w:rsidRPr="00E705FD" w:rsidRDefault="00E705FD" w:rsidP="00E705FD">
      <w:pPr>
        <w:rPr>
          <w:rFonts w:ascii="Times New Roman" w:hAnsi="Times New Roman" w:cs="Times New Roman"/>
          <w:sz w:val="20"/>
          <w:szCs w:val="20"/>
        </w:rPr>
      </w:pPr>
      <w:r w:rsidRPr="00E705FD">
        <w:rPr>
          <w:rFonts w:ascii="Times New Roman" w:hAnsi="Times New Roman" w:cs="Times New Roman"/>
          <w:sz w:val="20"/>
          <w:szCs w:val="20"/>
        </w:rPr>
        <w:t xml:space="preserve">A sensitivity analysis for outliers and influential studies is performed. In a meta-analysis, there is a small number of studies that can influence excessively the summary effect in an undesirable way (not demonstrating the general trend). </w:t>
      </w:r>
    </w:p>
    <w:p w14:paraId="1AA9C099" w14:textId="555118E1" w:rsidR="00E705FD" w:rsidRPr="00E705FD" w:rsidRDefault="00E705FD" w:rsidP="00E705FD">
      <w:pPr>
        <w:rPr>
          <w:rFonts w:ascii="Times New Roman" w:hAnsi="Times New Roman" w:cs="Times New Roman"/>
          <w:sz w:val="20"/>
          <w:szCs w:val="20"/>
        </w:rPr>
      </w:pPr>
      <w:r w:rsidRPr="00E705FD">
        <w:rPr>
          <w:rFonts w:ascii="Times New Roman" w:hAnsi="Times New Roman" w:cs="Times New Roman"/>
          <w:sz w:val="20"/>
          <w:szCs w:val="20"/>
        </w:rPr>
        <w:t>Possible outlier studies were detected with inspection of the forest plot of studies (studies where the effect estimate and its confidence interval do not overlap with the overall group estimate or its confidence interval). We also utilized a series of diagnostics (</w:t>
      </w:r>
      <w:proofErr w:type="spellStart"/>
      <w:r w:rsidRPr="00E705FD">
        <w:rPr>
          <w:rFonts w:ascii="Times New Roman" w:hAnsi="Times New Roman" w:cs="Times New Roman"/>
          <w:sz w:val="20"/>
          <w:szCs w:val="20"/>
        </w:rPr>
        <w:t>Baujat</w:t>
      </w:r>
      <w:proofErr w:type="spellEnd"/>
      <w:r w:rsidRPr="00E705FD">
        <w:rPr>
          <w:rFonts w:ascii="Times New Roman" w:hAnsi="Times New Roman" w:cs="Times New Roman"/>
          <w:sz w:val="20"/>
          <w:szCs w:val="20"/>
        </w:rPr>
        <w:t xml:space="preserve"> plot, influence diagnostics, GOSH plots, normal QQ-plots)</w:t>
      </w:r>
      <w:r w:rsidRPr="00E705FD">
        <w:rPr>
          <w:rFonts w:ascii="Times New Roman" w:hAnsi="Times New Roman" w:cs="Times New Roman"/>
          <w:sz w:val="20"/>
          <w:szCs w:val="20"/>
        </w:rPr>
        <w:fldChar w:fldCharType="begin" w:fldLock="1"/>
      </w:r>
      <w:r w:rsidR="0000797A">
        <w:rPr>
          <w:rFonts w:ascii="Times New Roman" w:hAnsi="Times New Roman" w:cs="Times New Roman"/>
          <w:sz w:val="20"/>
          <w:szCs w:val="20"/>
        </w:rPr>
        <w:instrText>ADDIN CSL_CITATION {"citationItems":[{"id":"ITEM-1","itemData":{"DOI":"10.1002/jrsm.11","abstract":"The presence of outliers and influential cases may affect the validity and robustness of the conclusions from a meta-analysis. While researchers generally agree that it is necessary to examine outlier and influential case diagnostics when conducting a meta-analysis, limited studies have addressed how to obtain such diagnostic measures in the context of a meta-analysis. The present paper extends standard diagnostic procedures developed for linear regression analyses to the meta-analytic fixed-and random/mixed-effects models. Three examples are used to illustrate the usefulness of these procedures in various research settings. Issues related to these diagnostic procedures in meta-analysis are also discussed.","author":[{"dropping-particle":"","family":"Viechtbauer","given":"Wolfgang","non-dropping-particle":"","parse-names":false,"suffix":""},{"dropping-particle":"","family":"Cheung","given":"Mike W.-L.","non-dropping-particle":"","parse-names":false,"suffix":""}],"container-title":"Research Synthesis Methods","id":"ITEM-1","issue":"2","issued":{"date-parts":[["2010"]]},"page":"112-125","title":"Outlier and influence diagnostics for meta-analysis","type":"article-journal","volume":"1"},"uris":["http://www.mendeley.com/documents/?uuid=610f255a-73d1-499f-a3e9-4167a883ae62","http://www.mendeley.com/documents/?uuid=c3990e50-b7d8-47ab-95a2-d377939aa972"]}],"mendeley":{"formattedCitation":"[16]","plainTextFormattedCitation":"[16]","previouslyFormattedCitation":"[16]"},"properties":{"noteIndex":0},"schema":"https://github.com/citation-style-language/schema/raw/master/csl-citation.json"}</w:instrText>
      </w:r>
      <w:r w:rsidRPr="00E705FD">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[16]</w:t>
      </w:r>
      <w:r w:rsidRPr="00E705FD">
        <w:rPr>
          <w:rFonts w:ascii="Times New Roman" w:hAnsi="Times New Roman" w:cs="Times New Roman"/>
          <w:sz w:val="20"/>
          <w:szCs w:val="20"/>
        </w:rPr>
        <w:fldChar w:fldCharType="end"/>
      </w:r>
      <w:r w:rsidRPr="00E705FD">
        <w:rPr>
          <w:rFonts w:ascii="Times New Roman" w:hAnsi="Times New Roman" w:cs="Times New Roman"/>
          <w:sz w:val="20"/>
          <w:szCs w:val="20"/>
        </w:rPr>
        <w:t xml:space="preserve"> that have been developed over the years and can substantially contribute in identifying influential studies. Here, we present only the </w:t>
      </w:r>
      <w:proofErr w:type="spellStart"/>
      <w:r w:rsidRPr="00E705FD">
        <w:rPr>
          <w:rFonts w:ascii="Times New Roman" w:hAnsi="Times New Roman" w:cs="Times New Roman"/>
          <w:sz w:val="20"/>
          <w:szCs w:val="20"/>
        </w:rPr>
        <w:t>Baujat</w:t>
      </w:r>
      <w:proofErr w:type="spellEnd"/>
      <w:r w:rsidRPr="00E705FD">
        <w:rPr>
          <w:rFonts w:ascii="Times New Roman" w:hAnsi="Times New Roman" w:cs="Times New Roman"/>
          <w:sz w:val="20"/>
          <w:szCs w:val="20"/>
        </w:rPr>
        <w:t xml:space="preserve"> pl</w:t>
      </w:r>
      <w:r w:rsidR="00C53781">
        <w:rPr>
          <w:rFonts w:ascii="Times New Roman" w:hAnsi="Times New Roman" w:cs="Times New Roman"/>
          <w:sz w:val="20"/>
          <w:szCs w:val="20"/>
        </w:rPr>
        <w:t xml:space="preserve">ot </w:t>
      </w:r>
      <w:r w:rsidRPr="00E705FD">
        <w:rPr>
          <w:rFonts w:ascii="Times New Roman" w:hAnsi="Times New Roman" w:cs="Times New Roman"/>
          <w:sz w:val="20"/>
          <w:szCs w:val="20"/>
        </w:rPr>
        <w:fldChar w:fldCharType="begin" w:fldLock="1"/>
      </w:r>
      <w:r w:rsidR="0000797A">
        <w:rPr>
          <w:rFonts w:ascii="Times New Roman" w:hAnsi="Times New Roman" w:cs="Times New Roman"/>
          <w:sz w:val="20"/>
          <w:szCs w:val="20"/>
        </w:rPr>
        <w:instrText>ADDIN CSL_CITATION {"citationItems":[{"id":"ITEM-1","itemData":{"DOI":"10.1002/sim.1221","abstract":"Heterogeneity can be a major component of meta-analyses and by virtue of that fact warrants investigation. Classic analysis methods, such as meta-regression, are used to explore the sources of heterogeneity. However, it may be difficult to apply such a method in complex cases or in the absence of an a priori hypothesis. This paper presents a graphical method to identify trials, groups of trials or groups of patients that are sources of heterogeneity. The contribution of these trials to the overall result can also be evaluated with this method. Each trial is represented by a dot on a 2D graph. The X-axis represents the contribution of the trial to the overall Cochran Q-test for heterogeneity. The Y-axis represents the influence of the trial, defined as the standardized squared difference between the treatment effects estimated with and without the trial. This approach has been applied to data from the Meta-Analysis of Chemotherapy in Head and Neck Cancer (MACH-NC) comprising 10 850 patients in 65 randomized trials. The graphical method allowed us to identify trials that contributed considerably to the overall heterogeneity and had a strong influence on the overall result. It also provided useful information for the interpretation of heterogeneity in this meta-analysis. The proposed graphical method identifies trials that account for most of the heterogeneity without having to explore all possible sources of heterogeneity, by subgroup analyses. This method can also be applied to identify types of patients that explain heterogeneity in the treatment effect. Copyright © 2002 John Wiley &amp; Sons, Ltd.","author":[{"dropping-particle":"","family":"Baujat","given":"Bertrand","non-dropping-particle":"","parse-names":false,"suffix":""},{"dropping-particle":"","family":"Mahé","given":"Cédric","non-dropping-particle":"","parse-names":false,"suffix":""},{"dropping-particle":"","family":"Pignon","given":"Jean Pierre","non-dropping-particle":"","parse-names":false,"suffix":""},{"dropping-particle":"","family":"Hill","given":"Catherine","non-dropping-particle":"","parse-names":false,"suffix":""}],"container-title":"Statistics in Medicine","id":"ITEM-1","issue":"18","issued":{"date-parts":[["2002"]]},"page":"2641-2652","title":"A graphical method for exploring heterogeneity in meta-analyses: Application to a meta-analysis of 65 trials","type":"article-journal","volume":"21"},"uris":["http://www.mendeley.com/documents/?uuid=39e9ced5-d974-3cf2-95df-1b308037c547","http://www.mendeley.com/documents/?uuid=725481bb-a0ee-482d-9719-2d05a3e32f59"]}],"mendeley":{"formattedCitation":"[17]","plainTextFormattedCitation":"[17]","previouslyFormattedCitation":"[17]"},"properties":{"noteIndex":0},"schema":"https://github.com/citation-style-language/schema/raw/master/csl-citation.json"}</w:instrText>
      </w:r>
      <w:r w:rsidRPr="00E705FD">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[17]</w:t>
      </w:r>
      <w:r w:rsidRPr="00E705FD">
        <w:rPr>
          <w:rFonts w:ascii="Times New Roman" w:hAnsi="Times New Roman" w:cs="Times New Roman"/>
          <w:sz w:val="20"/>
          <w:szCs w:val="20"/>
        </w:rPr>
        <w:fldChar w:fldCharType="end"/>
      </w:r>
      <w:r w:rsidR="00C53781">
        <w:rPr>
          <w:rFonts w:ascii="Times New Roman" w:hAnsi="Times New Roman" w:cs="Times New Roman"/>
          <w:sz w:val="20"/>
          <w:szCs w:val="20"/>
        </w:rPr>
        <w:t>.</w:t>
      </w:r>
      <w:r w:rsidRPr="00E705FD">
        <w:rPr>
          <w:rFonts w:ascii="Times New Roman" w:hAnsi="Times New Roman" w:cs="Times New Roman"/>
          <w:sz w:val="20"/>
          <w:szCs w:val="20"/>
        </w:rPr>
        <w:t xml:space="preserve"> This diagnostic plot is used to detect sources of heterogeneity in meta-analysis. On the x-axis the reader can see the contribution of each study to the overall Q-test statistic for heterogeneity versus the influence of each study on the summary effect on the y-axis.  </w:t>
      </w:r>
    </w:p>
    <w:p w14:paraId="7D4E6926" w14:textId="77777777" w:rsidR="00E705FD" w:rsidRPr="00E705FD" w:rsidRDefault="00E705FD" w:rsidP="00E705FD">
      <w:pPr>
        <w:rPr>
          <w:rFonts w:ascii="Times New Roman" w:hAnsi="Times New Roman" w:cs="Times New Roman"/>
          <w:sz w:val="20"/>
          <w:szCs w:val="20"/>
        </w:rPr>
      </w:pPr>
      <w:r w:rsidRPr="00E705FD">
        <w:rPr>
          <w:rFonts w:ascii="Times New Roman" w:hAnsi="Times New Roman" w:cs="Times New Roman"/>
          <w:sz w:val="20"/>
          <w:szCs w:val="20"/>
        </w:rPr>
        <w:t xml:space="preserve">As part of this sensitivity analysis, potentially influential studies </w:t>
      </w:r>
      <w:r w:rsidRPr="00E705FD">
        <w:rPr>
          <w:rFonts w:ascii="Times New Roman" w:hAnsi="Times New Roman" w:cs="Times New Roman"/>
          <w:i/>
          <w:iCs/>
          <w:sz w:val="20"/>
          <w:szCs w:val="20"/>
        </w:rPr>
        <w:t>were removed</w:t>
      </w:r>
      <w:r w:rsidRPr="00E705FD">
        <w:rPr>
          <w:rFonts w:ascii="Times New Roman" w:hAnsi="Times New Roman" w:cs="Times New Roman"/>
          <w:sz w:val="20"/>
          <w:szCs w:val="20"/>
        </w:rPr>
        <w:t xml:space="preserve"> to check how large their impact was for the pooled estimates and the group difference. Small differences in results demonstrate findings which are robust to outliers and influential studies.   </w:t>
      </w:r>
    </w:p>
    <w:p w14:paraId="2A467B85" w14:textId="77777777" w:rsidR="00E705FD" w:rsidRPr="0099368B" w:rsidRDefault="00E705FD" w:rsidP="009C43D2">
      <w:pPr>
        <w:rPr>
          <w:rFonts w:ascii="Times New Roman" w:hAnsi="Times New Roman" w:cs="Times New Roman"/>
          <w:sz w:val="20"/>
          <w:szCs w:val="20"/>
          <w:lang w:val="en-US"/>
        </w:rPr>
      </w:pPr>
    </w:p>
    <w:p w14:paraId="66BFDB6B" w14:textId="77777777" w:rsidR="009C43D2" w:rsidRPr="0099368B" w:rsidRDefault="009C43D2" w:rsidP="009C43D2">
      <w:pPr>
        <w:rPr>
          <w:rFonts w:ascii="Times New Roman" w:hAnsi="Times New Roman" w:cs="Times New Roman"/>
          <w:sz w:val="20"/>
          <w:szCs w:val="20"/>
          <w:lang w:val="en-US"/>
        </w:rPr>
      </w:pPr>
      <w:bookmarkStart w:id="18" w:name="_Hlk61439659"/>
    </w:p>
    <w:p w14:paraId="5F090CA2" w14:textId="5DFC8A80" w:rsidR="00017210" w:rsidRPr="0099368B" w:rsidRDefault="00017210" w:rsidP="00017210">
      <w:pPr>
        <w:pStyle w:val="Heading3"/>
        <w:numPr>
          <w:ilvl w:val="2"/>
          <w:numId w:val="8"/>
        </w:numPr>
        <w:rPr>
          <w:rFonts w:ascii="Times New Roman" w:eastAsia="Times New Roman" w:hAnsi="Times New Roman" w:cs="Times New Roman"/>
          <w:b/>
          <w:color w:val="auto"/>
          <w:sz w:val="20"/>
          <w:szCs w:val="20"/>
          <w:lang w:val="en-US"/>
        </w:rPr>
      </w:pPr>
      <w:bookmarkStart w:id="19" w:name="_Toc97281444"/>
      <w:r w:rsidRPr="0099368B">
        <w:rPr>
          <w:rFonts w:ascii="Times New Roman" w:eastAsia="Times New Roman" w:hAnsi="Times New Roman" w:cs="Times New Roman"/>
          <w:b/>
          <w:color w:val="auto"/>
          <w:sz w:val="20"/>
          <w:szCs w:val="20"/>
          <w:lang w:val="en-US"/>
        </w:rPr>
        <w:t>Risk of bias assessment</w:t>
      </w:r>
      <w:bookmarkEnd w:id="19"/>
    </w:p>
    <w:bookmarkEnd w:id="18"/>
    <w:p w14:paraId="35F464F5" w14:textId="77777777" w:rsidR="00E705FD" w:rsidRPr="00E705FD" w:rsidRDefault="00E705FD" w:rsidP="00E705FD">
      <w:pPr>
        <w:rPr>
          <w:rFonts w:ascii="Times New Roman" w:hAnsi="Times New Roman" w:cs="Times New Roman"/>
          <w:sz w:val="20"/>
          <w:szCs w:val="20"/>
        </w:rPr>
      </w:pPr>
      <w:r w:rsidRPr="00E705FD">
        <w:rPr>
          <w:rFonts w:ascii="Times New Roman" w:hAnsi="Times New Roman" w:cs="Times New Roman"/>
          <w:sz w:val="20"/>
          <w:szCs w:val="20"/>
        </w:rPr>
        <w:t xml:space="preserve">Meta-analyses are susceptible to </w:t>
      </w:r>
      <w:r w:rsidRPr="00E705FD">
        <w:rPr>
          <w:rFonts w:ascii="Times New Roman" w:hAnsi="Times New Roman" w:cs="Times New Roman"/>
          <w:i/>
          <w:iCs/>
          <w:sz w:val="20"/>
          <w:szCs w:val="20"/>
        </w:rPr>
        <w:t>publication bias.</w:t>
      </w:r>
      <w:r w:rsidRPr="00E705FD">
        <w:rPr>
          <w:rFonts w:ascii="Times New Roman" w:hAnsi="Times New Roman" w:cs="Times New Roman"/>
          <w:sz w:val="20"/>
          <w:szCs w:val="20"/>
        </w:rPr>
        <w:t xml:space="preserve"> In some cases, studies that report relatively high effect sizes are more likely to be published than studies which report lower effect sizes. This bias in the literature (even if it is less frequent for clinical trials) can affect the conclusions of the meta-analyses. We examined bias using methods which are common for meta-analyses.</w:t>
      </w:r>
    </w:p>
    <w:p w14:paraId="7BD1E6B6" w14:textId="14F59FBA" w:rsidR="00E705FD" w:rsidRPr="00E705FD" w:rsidRDefault="00E705FD" w:rsidP="00E705FD">
      <w:pPr>
        <w:rPr>
          <w:rFonts w:ascii="Times New Roman" w:hAnsi="Times New Roman" w:cs="Times New Roman"/>
          <w:sz w:val="20"/>
          <w:szCs w:val="20"/>
        </w:rPr>
      </w:pPr>
      <w:r w:rsidRPr="00E705FD">
        <w:rPr>
          <w:rFonts w:ascii="Times New Roman" w:hAnsi="Times New Roman" w:cs="Times New Roman"/>
          <w:sz w:val="20"/>
          <w:szCs w:val="20"/>
        </w:rPr>
        <w:lastRenderedPageBreak/>
        <w:t xml:space="preserve">We used funnel plots to investigate risk of publication bias through assessment of the association between study effect and study size </w:t>
      </w:r>
      <w:r w:rsidRPr="00E705FD">
        <w:rPr>
          <w:rFonts w:ascii="Times New Roman" w:hAnsi="Times New Roman" w:cs="Times New Roman"/>
          <w:sz w:val="20"/>
          <w:szCs w:val="20"/>
        </w:rPr>
        <w:fldChar w:fldCharType="begin" w:fldLock="1"/>
      </w:r>
      <w:r w:rsidR="0000797A">
        <w:rPr>
          <w:rFonts w:ascii="Times New Roman" w:hAnsi="Times New Roman" w:cs="Times New Roman"/>
          <w:sz w:val="20"/>
          <w:szCs w:val="20"/>
        </w:rPr>
        <w:instrText>ADDIN CSL_CITATION {"citationItems":[{"id":"ITEM-1","itemData":{"DOI":"10.1016/S0895-4356(01)00377-8","PMID":"11576817","abstract":"Asymmetry in funnel plots may indicate publication bias in meta-analysis, but the shape of the plot in the absence of bias depends on the choice of axes. We evaluated standard error, precision (inverse of standard error), variance, inverse of variance, sample size and log sample size (vertical axis) and log odds ratio, log risk ratio and risk difference (horizontal axis). Standard error is likely to be the best choice for the vertical axis: the expected shape in the absence of bias corresponds to a symmetrical funnel, straight lines to indicate 95% confidence intervals can be included and the plot emphasises smaller studies which are more prone to bias. Precision or inverse of variance is useful when comparing meta-analyses of small trials with subsequent large trials. The use of sample size or log sample size is problematic because the expected shape of the plot in the absence of bias is unpredictable. We found similar evidence for asymmetry and between trial variation in a sample of 78 published meta-analyses whether odds ratios or risk ratios were used on the horizontal axis. Different conclusions were reached for risk differences and this was related to increased between-trial variation. We conclude that funnel plots of meta-analyses should generally use standard error as the measure of study size and ratio measures of treatment effect. Copyright © 2001 Elsevier Science Inc.","author":[{"dropping-particle":"","family":"Sterne","given":"Jonathan A.C.","non-dropping-particle":"","parse-names":false,"suffix":""},{"dropping-particle":"","family":"Egger","given":"Matthias","non-dropping-particle":"","parse-names":false,"suffix":""}],"container-title":"Journal of Clinical Epidemiology","id":"ITEM-1","issue":"10","issued":{"date-parts":[["2001"]]},"page":"1046-1055","title":"Funnel plots for detecting bias in meta-analysis: Guidelines on choice of axis","type":"article-journal","volume":"54"},"uris":["http://www.mendeley.com/documents/?uuid=6381a670-8feb-3add-85ad-1a71e050d3bc","http://www.mendeley.com/documents/?uuid=a32f737e-34a0-4ab6-bc63-7c5f8f074a91"]},{"id":"ITEM-2","itemData":{"DOI":"10.1016/j.jclinepi.2007.11.010","ISSN":"08954356","abstract":"Objectives: To present the contour-enhanced funnel plot as an aid to differentiating asymmetry due to publication bias from that due to other factors. Study Design and Setting: An enhancement to the usual funnel plot is proposed that allows the statistical significance of study estimates to be considered. Contour lines indicating conventional milestones in levels of statistical significance (e.g., &lt;0.01, &lt;0.05, &lt;0.1) are added to funnel plots. Results: This contour overlay aids the interpretation of the funnel plot. For example, if studies appear to be missing in areas of statistical nonsignificance, then this adds credence to the possibility that the asymmetry is due to publication bias. Conversely, if the supposed missing studies are in areas of higher statistical significance, this would suggest the cause of the asymmetry may be more likely to be due to factors other than publication bias, such as variable study quality. Conclusions: We believe this enhancement to funnel plots (i) is simple to implement, (ii) is widely applicable, (iii) greatly improves interpretability, and (iv) should be used routinely. © 2008 Elsevier Inc. All rights reserved.","author":[{"dropping-particle":"","family":"Peters","given":"Jaime L.","non-dropping-particle":"","parse-names":false,"suffix":""},{"dropping-particle":"","family":"Sutton","given":"Alex J.","non-dropping-particle":"","parse-names":false,"suffix":""},{"dropping-particle":"","family":"Jones","given":"David R.","non-dropping-particle":"","parse-names":false,"suffix":""},{"dropping-particle":"","family":"Abrams","given":"Keith R.","non-dropping-particle":"","parse-names":false,"suffix":""},{"dropping-particle":"","family":"Rushton","given":"Lesley","non-dropping-particle":"","parse-names":false,"suffix":""}],"container-title":"Journal of Clinical Epidemiology","id":"ITEM-2","issue":"10","issued":{"date-parts":[["2008","10"]]},"page":"991-996","title":"Contour-enhanced meta-analysis funnel plots help distinguish publication bias from other causes of asymmetry","type":"article-journal","volume":"61"},"uris":["http://www.mendeley.com/documents/?uuid=fbaf76c5-9661-3034-8111-fe2e73cc6548","http://www.mendeley.com/documents/?uuid=83ecf859-1143-4bbd-8e56-8aeaefb1360e"]}],"mendeley":{"formattedCitation":"[18,19]","plainTextFormattedCitation":"[18,19]","previouslyFormattedCitation":"[18,19]"},"properties":{"noteIndex":0},"schema":"https://github.com/citation-style-language/schema/raw/master/csl-citation.json"}</w:instrText>
      </w:r>
      <w:r w:rsidRPr="00E705FD">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[18,19]</w:t>
      </w:r>
      <w:r w:rsidRPr="00E705FD">
        <w:rPr>
          <w:rFonts w:ascii="Times New Roman" w:hAnsi="Times New Roman" w:cs="Times New Roman"/>
          <w:sz w:val="20"/>
          <w:szCs w:val="20"/>
        </w:rPr>
        <w:fldChar w:fldCharType="end"/>
      </w:r>
      <w:r w:rsidRPr="00E705FD">
        <w:rPr>
          <w:rFonts w:ascii="Times New Roman" w:hAnsi="Times New Roman" w:cs="Times New Roman"/>
          <w:sz w:val="20"/>
          <w:szCs w:val="20"/>
        </w:rPr>
        <w:t xml:space="preserve">. X-axis provides the residual values whereas Y-axis a study size measure (standard error or sample size). In general, publication bias translates to studies with null or undersized effects not being present. Funnel plots detect asymmetry (e.g. when there are many more circles at the bottom). However, asymmetry does not directly imply publication bias as it is also associated with citation bias and heterogeneity in the true effects. We show a contour enhanced funnel plot. This graph is </w:t>
      </w:r>
      <w:proofErr w:type="spellStart"/>
      <w:r w:rsidRPr="00E705FD">
        <w:rPr>
          <w:rFonts w:ascii="Times New Roman" w:hAnsi="Times New Roman" w:cs="Times New Roman"/>
          <w:sz w:val="20"/>
          <w:szCs w:val="20"/>
        </w:rPr>
        <w:t>centered</w:t>
      </w:r>
      <w:proofErr w:type="spellEnd"/>
      <w:r w:rsidRPr="00E705FD">
        <w:rPr>
          <w:rFonts w:ascii="Times New Roman" w:hAnsi="Times New Roman" w:cs="Times New Roman"/>
          <w:sz w:val="20"/>
          <w:szCs w:val="20"/>
        </w:rPr>
        <w:t xml:space="preserve"> at residual value 0.5 (no effect under the null hypothesis) with shaped regions distinguishing various levels of statistical significance. </w:t>
      </w:r>
    </w:p>
    <w:p w14:paraId="3E8CE0E8" w14:textId="4EC532F3" w:rsidR="00E705FD" w:rsidRPr="00E705FD" w:rsidRDefault="00E705FD" w:rsidP="00E705FD">
      <w:pPr>
        <w:rPr>
          <w:rFonts w:ascii="Times New Roman" w:hAnsi="Times New Roman" w:cs="Times New Roman"/>
          <w:sz w:val="20"/>
          <w:szCs w:val="20"/>
        </w:rPr>
      </w:pPr>
      <w:r w:rsidRPr="00E705FD">
        <w:rPr>
          <w:rFonts w:ascii="Times New Roman" w:hAnsi="Times New Roman" w:cs="Times New Roman"/>
          <w:sz w:val="20"/>
          <w:szCs w:val="20"/>
        </w:rPr>
        <w:t xml:space="preserve">As part of formal tests, we used regression tests. Those are </w:t>
      </w:r>
      <w:r w:rsidRPr="00E705FD">
        <w:rPr>
          <w:rFonts w:ascii="Times New Roman" w:hAnsi="Times New Roman" w:cs="Times New Roman"/>
          <w:i/>
          <w:iCs/>
          <w:sz w:val="20"/>
          <w:szCs w:val="20"/>
        </w:rPr>
        <w:t>the rank correlation test</w:t>
      </w:r>
      <w:r w:rsidRPr="00E705FD">
        <w:rPr>
          <w:rFonts w:ascii="Times New Roman" w:hAnsi="Times New Roman" w:cs="Times New Roman"/>
          <w:sz w:val="20"/>
          <w:szCs w:val="20"/>
        </w:rPr>
        <w:t xml:space="preserve"> for funnel plot asymmetry and </w:t>
      </w:r>
      <w:r w:rsidRPr="00E705FD">
        <w:rPr>
          <w:rFonts w:ascii="Times New Roman" w:hAnsi="Times New Roman" w:cs="Times New Roman"/>
          <w:i/>
          <w:iCs/>
          <w:sz w:val="20"/>
          <w:szCs w:val="20"/>
        </w:rPr>
        <w:t>the Egger’s regression test</w:t>
      </w:r>
      <w:r w:rsidRPr="00E705FD">
        <w:rPr>
          <w:rFonts w:ascii="Times New Roman" w:hAnsi="Times New Roman" w:cs="Times New Roman"/>
          <w:sz w:val="20"/>
          <w:szCs w:val="20"/>
        </w:rPr>
        <w:t xml:space="preserve"> for funnel plot asymmetry </w:t>
      </w:r>
      <w:r w:rsidRPr="00E705FD">
        <w:rPr>
          <w:rFonts w:ascii="Times New Roman" w:hAnsi="Times New Roman" w:cs="Times New Roman"/>
          <w:sz w:val="20"/>
          <w:szCs w:val="20"/>
        </w:rPr>
        <w:fldChar w:fldCharType="begin" w:fldLock="1"/>
      </w:r>
      <w:r w:rsidR="0000797A">
        <w:rPr>
          <w:rFonts w:ascii="Times New Roman" w:hAnsi="Times New Roman" w:cs="Times New Roman"/>
          <w:sz w:val="20"/>
          <w:szCs w:val="20"/>
        </w:rPr>
        <w:instrText>ADDIN CSL_CITATION {"citationItems":[{"id":"ITEM-1","itemData":{"DOI":"10.2307/2533446","PMID":"7786990","abstract":"An adjusted rank correlation test is proposed as a technique for identifying publication bias in a meta-analysis, and its operating characteristics are evaluated via simulations. The test statistic is a direct statistical analogue of the popular \"funnel-graph.\" The number of component studies in the meta-analysis, the nature of the selection mechanism, the range of variances of the effect size estimates, and the true underlying effect size are all observed to be influential in determining the power of the test. The test is fairly powerful for large meta-analyses with 75 component studies, but has only moderate power for meta-analyses with 25 component studies. However, in many of the configurations in which there is low power, there is also relatively little bias in the summary effect size estimate. Nonetheless, the test must be interpreted with caution in small meta-analyses. In particular, bias cannot be ruled out if the test is not significant. The proposed technique has potential utility as an exploratory tool for meta-analysts, as a formal procedure to complement the funnel-graph.","author":[{"dropping-particle":"","family":"Begg","given":"Colin B.","non-dropping-particle":"","parse-names":false,"suffix":""},{"dropping-particle":"","family":"Mazumdar","given":"Madhuchhanda","non-dropping-particle":"","parse-names":false,"suffix":""}],"container-title":"Biometrics","id":"ITEM-1","issue":"4","issued":{"date-parts":[["1994"]]},"page":"1088-1101","title":"Operating Characteristics of a Rank Correlation Test for Publication Bias","type":"article-journal","volume":"50"},"uris":["http://www.mendeley.com/documents/?uuid=5ceeb732-fe8b-355c-adf9-b879e1b52445","http://www.mendeley.com/documents/?uuid=e908277c-b0de-413d-8a60-c659dad5691c"]},{"id":"ITEM-2","itemData":{"DOI":"10.1136/bmj.315.7109.629","PMID":"9310563","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caution.","author":[{"dropping-particle":"","family":"Egger","given":"Matthias","non-dropping-particle":"","parse-names":false,"suffix":""},{"dropping-particle":"","family":"Smith","given":"George Davey","non-dropping-particle":"","parse-names":false,"suffix":""},{"dropping-particle":"","family":"Schneider","given":"Martin","non-dropping-particle":"","parse-names":false,"suffix":""},{"dropping-particle":"","family":"Minder","given":"Christoph","non-dropping-particle":"","parse-names":false,"suffix":""}],"container-title":"BMJ","id":"ITEM-2","issue":"7109","issued":{"date-parts":[["1997"]]},"page":"629-634","title":"Bias in meta-analysis detected by a simple, graphical test measures of funnel plot asymmetry","type":"article-journal","volume":"315"},"uris":["http://www.mendeley.com/documents/?uuid=33ce69cb-bbff-3051-883a-7faffcedffa9","http://www.mendeley.com/documents/?uuid=70a05e23-ca19-40f4-8c00-1b1feab5ed3b"]}],"mendeley":{"formattedCitation":"[20,21]","plainTextFormattedCitation":"[20,21]","previouslyFormattedCitation":"[20,21]"},"properties":{"noteIndex":0},"schema":"https://github.com/citation-style-language/schema/raw/master/csl-citation.json"}</w:instrText>
      </w:r>
      <w:r w:rsidRPr="00E705FD">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[20,21]</w:t>
      </w:r>
      <w:r w:rsidRPr="00E705FD">
        <w:rPr>
          <w:rFonts w:ascii="Times New Roman" w:hAnsi="Times New Roman" w:cs="Times New Roman"/>
          <w:sz w:val="20"/>
          <w:szCs w:val="20"/>
        </w:rPr>
        <w:fldChar w:fldCharType="end"/>
      </w:r>
      <w:r w:rsidRPr="00E705FD">
        <w:rPr>
          <w:rFonts w:ascii="Times New Roman" w:hAnsi="Times New Roman" w:cs="Times New Roman"/>
          <w:sz w:val="20"/>
          <w:szCs w:val="20"/>
        </w:rPr>
        <w:t xml:space="preserve">. The first examines whether the observed outcomes and the corresponding sampling variances are correlated using linear regression. High correlation implies funnel plot asymmetry which could suggest publication bias. The second tests the relationship between the observed outcomes and the chosen predictor. Again such relationship implies asymmetry in the funnel plot which could imply publication bias </w:t>
      </w:r>
      <w:r w:rsidRPr="00E705FD">
        <w:rPr>
          <w:rFonts w:ascii="Times New Roman" w:hAnsi="Times New Roman" w:cs="Times New Roman"/>
          <w:sz w:val="20"/>
          <w:szCs w:val="20"/>
        </w:rPr>
        <w:fldChar w:fldCharType="begin" w:fldLock="1"/>
      </w:r>
      <w:r w:rsidR="0000797A">
        <w:rPr>
          <w:rFonts w:ascii="Times New Roman" w:hAnsi="Times New Roman" w:cs="Times New Roman"/>
          <w:sz w:val="20"/>
          <w:szCs w:val="20"/>
        </w:rPr>
        <w:instrText>ADDIN CSL_CITATION {"citationItems":[{"id":"ITEM-1","itemData":{"DOI":"10.13140/RG.2.2.27199.00161","author":[{"dropping-particle":"","family":"Wang","given":"Naike","non-dropping-particle":"","parse-names":false,"suffix":""}],"container-title":"John Jay Coll Crim Justice","id":"ITEM-1","issue":"June","issued":{"date-parts":[["2018"]]},"page":"1-62","title":"How to Conduct a Meta-Analysis of Proportions in R : A Comprehensive Tutorial Conducting Meta-Analyses of Proportions in R","type":"article-journal","volume":"1"},"uris":["http://www.mendeley.com/documents/?uuid=35c564d3-9b37-4d57-b6ed-3b4fa5cee4ed","http://www.mendeley.com/documents/?uuid=059d8087-3ca1-43d6-bc7d-85e97df1cc29"]}],"mendeley":{"formattedCitation":"[22]","plainTextFormattedCitation":"[22]","previouslyFormattedCitation":"[22]"},"properties":{"noteIndex":0},"schema":"https://github.com/citation-style-language/schema/raw/master/csl-citation.json"}</w:instrText>
      </w:r>
      <w:r w:rsidRPr="00E705FD">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[22]</w:t>
      </w:r>
      <w:r w:rsidRPr="00E705FD">
        <w:rPr>
          <w:rFonts w:ascii="Times New Roman" w:hAnsi="Times New Roman" w:cs="Times New Roman"/>
          <w:sz w:val="20"/>
          <w:szCs w:val="20"/>
        </w:rPr>
        <w:fldChar w:fldCharType="end"/>
      </w:r>
      <w:r w:rsidRPr="00E705FD">
        <w:rPr>
          <w:rFonts w:ascii="Times New Roman" w:hAnsi="Times New Roman" w:cs="Times New Roman"/>
          <w:sz w:val="20"/>
          <w:szCs w:val="20"/>
        </w:rPr>
        <w:t xml:space="preserve">. Egger’s regression test is better for smaller number of studies. </w:t>
      </w:r>
    </w:p>
    <w:p w14:paraId="6CF74C74" w14:textId="5F7E1783" w:rsidR="00044CA4" w:rsidRDefault="00044CA4" w:rsidP="00CE1EFF">
      <w:pPr>
        <w:spacing w:before="60" w:after="120" w:line="240" w:lineRule="auto"/>
        <w:jc w:val="both"/>
        <w:rPr>
          <w:rFonts w:ascii="Times New Roman" w:hAnsi="Times New Roman" w:cs="Times New Roman"/>
          <w:sz w:val="20"/>
          <w:szCs w:val="20"/>
          <w:lang w:val="en-US"/>
        </w:rPr>
      </w:pPr>
    </w:p>
    <w:p w14:paraId="0358DC6D" w14:textId="77777777" w:rsidR="00E705FD" w:rsidRPr="0099368B" w:rsidRDefault="00E705FD" w:rsidP="00CE1EFF">
      <w:pPr>
        <w:spacing w:before="60" w:after="120" w:line="240" w:lineRule="auto"/>
        <w:jc w:val="both"/>
        <w:rPr>
          <w:rFonts w:ascii="Times New Roman" w:eastAsia="Times New Roman" w:hAnsi="Times New Roman" w:cs="Times New Roman"/>
          <w:sz w:val="20"/>
          <w:szCs w:val="20"/>
          <w:lang w:val="en-US"/>
        </w:rPr>
      </w:pPr>
    </w:p>
    <w:p w14:paraId="579A197A" w14:textId="39AA81AD" w:rsidR="00CE1EFF" w:rsidRPr="0099368B" w:rsidRDefault="00F641FE" w:rsidP="00CE1EFF">
      <w:pPr>
        <w:pStyle w:val="Heading3"/>
        <w:numPr>
          <w:ilvl w:val="2"/>
          <w:numId w:val="8"/>
        </w:numPr>
        <w:rPr>
          <w:rFonts w:ascii="Times New Roman" w:eastAsia="Times New Roman" w:hAnsi="Times New Roman" w:cs="Times New Roman"/>
          <w:b/>
          <w:color w:val="auto"/>
          <w:sz w:val="20"/>
          <w:szCs w:val="20"/>
          <w:lang w:val="en-US"/>
        </w:rPr>
      </w:pPr>
      <w:bookmarkStart w:id="20" w:name="_Toc97281445"/>
      <w:r>
        <w:rPr>
          <w:rFonts w:ascii="Times New Roman" w:eastAsia="Times New Roman" w:hAnsi="Times New Roman" w:cs="Times New Roman"/>
          <w:b/>
          <w:color w:val="auto"/>
          <w:sz w:val="20"/>
          <w:szCs w:val="20"/>
          <w:lang w:val="en-US"/>
        </w:rPr>
        <w:t>Proportions</w:t>
      </w:r>
      <w:r w:rsidR="00D63D7F" w:rsidRPr="0099368B">
        <w:rPr>
          <w:rFonts w:ascii="Times New Roman" w:eastAsia="Times New Roman" w:hAnsi="Times New Roman" w:cs="Times New Roman"/>
          <w:b/>
          <w:color w:val="auto"/>
          <w:sz w:val="20"/>
          <w:szCs w:val="20"/>
          <w:lang w:val="en-US"/>
        </w:rPr>
        <w:t xml:space="preserve"> and transformation function</w:t>
      </w:r>
      <w:bookmarkEnd w:id="20"/>
    </w:p>
    <w:p w14:paraId="111600A8" w14:textId="5046C4FB" w:rsidR="00E705FD" w:rsidRPr="00E705FD" w:rsidRDefault="00E705FD" w:rsidP="00E705FD">
      <w:pPr>
        <w:rPr>
          <w:rFonts w:ascii="Times New Roman" w:hAnsi="Times New Roman" w:cs="Times New Roman"/>
          <w:sz w:val="20"/>
          <w:szCs w:val="20"/>
        </w:rPr>
      </w:pPr>
      <w:r w:rsidRPr="00E705FD">
        <w:rPr>
          <w:rFonts w:ascii="Times New Roman" w:hAnsi="Times New Roman" w:cs="Times New Roman"/>
          <w:sz w:val="20"/>
          <w:szCs w:val="20"/>
        </w:rPr>
        <w:t xml:space="preserve">In case that the observed proportions get further from 0.5 and approach closer to the margins - being smaller than 0.2 or larger than 0.8 – their distribution is increasingly skewed. In such scenario a transformation of the raw rates is necessary. Appropriate transformation methods include the logit and the Freeman-Tukey double arcsine transformation </w:t>
      </w:r>
      <w:r w:rsidRPr="00E705FD">
        <w:rPr>
          <w:rFonts w:ascii="Times New Roman" w:hAnsi="Times New Roman" w:cs="Times New Roman"/>
          <w:sz w:val="20"/>
          <w:szCs w:val="20"/>
        </w:rPr>
        <w:fldChar w:fldCharType="begin" w:fldLock="1"/>
      </w:r>
      <w:r w:rsidR="0000797A">
        <w:rPr>
          <w:rFonts w:ascii="Times New Roman" w:hAnsi="Times New Roman" w:cs="Times New Roman"/>
          <w:sz w:val="20"/>
          <w:szCs w:val="20"/>
        </w:rPr>
        <w:instrText>ADDIN CSL_CITATION {"citationItems":[{"id":"ITEM-1","itemData":{"DOI":"https://doi.org/10.1007/978-1-4612-1344-4","abstract":"The analysis of variance (ANOYA) models have become one of the most widely used tools of modern statistics for analyzing multifactor data. 1. Introduction -- 2. One-Way Classification -- 3. Two-Way Crossed Classification Without Interaction -- 4. Two-Way Crossed Classification With Interaction -- 5. Three-Way and Higher-Order Crossed Classifications -- 6. Two-Way Nested (Hierarchical) Classification -- 7. Three-Way and Higher-Order Nested Classifications -- 8. Partially Nested Classifications -- 9. Finite Population and Other Models -- 10. Some Simple Experimental Designs -- 11. Analysis of Variance Using Statistical Computing Packages -- App. A. Student's t Distribution -- App. B. Chi-Square Distribution -- App. C. Sampling Distribution of (n -- 1) S[superscript 2]/[sigma][superscript 2] -- App. D.F Distribution -- App. E. Noncentral Chi-Square Distribution -- App. F. Noncentral and Doubly Noncentral t Distributions -- App. G. Noncentral F Distribution -- App. H. Doubly Noncentral F Distribution -- App. I. Studentized Range Distribution -- App. J. Studentized Maximum Modulus Distribution -- App. K. Satterthwaite Procedure and Its Application to Analysis of Variance -- App. L. Components of Variance -- App. M. Intraclass Correlation -- App. N. Analysis of Covariance -- App. O. Equivalence of the Anova F and Two-Sample t Tests -- App. P. Equivalence of the Anova F and Paired t Tests -- App. Q. Expected Value and Variance -- App. R. Covariance and Correlation -- App. S. Rules for Determining the Analysis of Variance Model -- App. T. Rules for Calculating Sums of Squares and Degrees for Freedom -- App. U. Rules for Finding Expected Mean Squares -- App. V. Samples and Sampling Distribution -- App. W. Methods of Statistical Inference -- App. X. Some Selected Latin Squares -- App. Y. Some Selected Graeco-Latin Squares -- App. Z. PROC MIXED Outputs for Some Selected Worked Examples.","author":[{"dropping-particle":"","family":"Sahai","given":"Hardeo.","non-dropping-particle":"","parse-names":false,"suffix":""},{"dropping-particle":"","family":"Ageel","given":"Mohammed I.","non-dropping-particle":"","parse-names":false,"suffix":""}],"id":"ITEM-1","issued":{"date-parts":[["2012"]]},"number-of-pages":"742","publisher":"Springer Science and Business Media","title":"The analysis of variance : fixed, random, and mixed models","type":"book"},"uris":["http://www.mendeley.com/documents/?uuid=ac0e8ba3-70e0-30d5-8b29-d7e476fef7ac","http://www.mendeley.com/documents/?uuid=9148c2c7-efc2-49c5-ac47-c1482f0ea14a"]},{"id":"ITEM-2","itemData":{"DOI":"10.1080/00031305.1978.10479283","ISSN":"15372731","abstract":"Abstract A formula for the inverse of the Freeman–Tukey double arcsine transformation is derived. This formula is useful when expressing means of double arcsines as retransformed proportions. When the mean is taken from original proportions involving different n's, it is suggested that the harmonic mean of the n's be used in the inversion formula.","author":[{"dropping-particle":"","family":"Miller","given":"John J.","non-dropping-particle":"","parse-names":false,"suffix":""}],"container-title":"American Statistician","id":"ITEM-2","issue":"4","issued":{"date-parts":[["1978"]]},"page":"138-138","title":"The inverse of the freeman-tukey double arcsine transformation","type":"article-journal","volume":"32"},"uris":["http://www.mendeley.com/documents/?uuid=4eef331b-3cc3-4610-9875-bdda0528963e","http://www.mendeley.com/documents/?uuid=779652ee-19cd-4207-9f9b-8a9430bbcc0a"]}],"mendeley":{"formattedCitation":"[23,24]","plainTextFormattedCitation":"[23,24]","previouslyFormattedCitation":"[23,24]"},"properties":{"noteIndex":0},"schema":"https://github.com/citation-style-language/schema/raw/master/csl-citation.json"}</w:instrText>
      </w:r>
      <w:r w:rsidRPr="00E705FD">
        <w:rPr>
          <w:rFonts w:ascii="Times New Roman" w:hAnsi="Times New Roman" w:cs="Times New Roman"/>
          <w:sz w:val="20"/>
          <w:szCs w:val="20"/>
        </w:rPr>
        <w:fldChar w:fldCharType="separate"/>
      </w:r>
      <w:r w:rsidR="00826352" w:rsidRPr="00826352">
        <w:rPr>
          <w:rFonts w:ascii="Times New Roman" w:hAnsi="Times New Roman" w:cs="Times New Roman"/>
          <w:noProof/>
          <w:sz w:val="20"/>
          <w:szCs w:val="20"/>
        </w:rPr>
        <w:t>[23,24]</w:t>
      </w:r>
      <w:r w:rsidRPr="00E705FD">
        <w:rPr>
          <w:rFonts w:ascii="Times New Roman" w:hAnsi="Times New Roman" w:cs="Times New Roman"/>
          <w:sz w:val="20"/>
          <w:szCs w:val="20"/>
        </w:rPr>
        <w:fldChar w:fldCharType="end"/>
      </w:r>
      <w:r w:rsidRPr="00E705FD">
        <w:rPr>
          <w:rFonts w:ascii="Times New Roman" w:hAnsi="Times New Roman" w:cs="Times New Roman"/>
          <w:sz w:val="20"/>
          <w:szCs w:val="20"/>
        </w:rPr>
        <w:t>. For this project, we applied the logit (log-odds) transformation which is very popular for meta-analyses. The double arcsine transformation would be more appropriate if extreme proportions were observed (for example in a meta-analysis of RR). Back-transformations of the summary effect were also performed to obtain the effects on the actual scale.</w:t>
      </w:r>
    </w:p>
    <w:p w14:paraId="2B143509" w14:textId="24FB592B" w:rsidR="00001877" w:rsidRDefault="00001877" w:rsidP="008B6AE1">
      <w:pPr>
        <w:spacing w:before="60" w:after="120" w:line="240" w:lineRule="auto"/>
        <w:jc w:val="both"/>
        <w:rPr>
          <w:rFonts w:ascii="Times New Roman" w:eastAsia="Times New Roman" w:hAnsi="Times New Roman" w:cs="Times New Roman"/>
          <w:sz w:val="20"/>
          <w:szCs w:val="20"/>
          <w:lang w:val="en-US"/>
        </w:rPr>
      </w:pPr>
    </w:p>
    <w:p w14:paraId="59989D63" w14:textId="77777777" w:rsidR="00E705FD" w:rsidRPr="0099368B" w:rsidRDefault="00E705FD" w:rsidP="008B6AE1">
      <w:pPr>
        <w:spacing w:before="60" w:after="120" w:line="240" w:lineRule="auto"/>
        <w:jc w:val="both"/>
        <w:rPr>
          <w:rFonts w:ascii="Times New Roman" w:eastAsia="Times New Roman" w:hAnsi="Times New Roman" w:cs="Times New Roman"/>
          <w:sz w:val="20"/>
          <w:szCs w:val="20"/>
          <w:lang w:val="en-US"/>
        </w:rPr>
      </w:pPr>
    </w:p>
    <w:p w14:paraId="02FE4BA1" w14:textId="35B5AE3A" w:rsidR="000158A6" w:rsidRPr="008E3E6C" w:rsidRDefault="00964F49" w:rsidP="00A00C87">
      <w:pPr>
        <w:keepNext/>
        <w:numPr>
          <w:ilvl w:val="1"/>
          <w:numId w:val="3"/>
        </w:numPr>
        <w:tabs>
          <w:tab w:val="num" w:pos="851"/>
        </w:tabs>
        <w:spacing w:before="120" w:after="120" w:line="240" w:lineRule="auto"/>
        <w:ind w:left="851" w:hanging="851"/>
        <w:outlineLvl w:val="1"/>
        <w:rPr>
          <w:rFonts w:ascii="Times New Roman" w:eastAsia="Times New Roman" w:hAnsi="Times New Roman" w:cs="Times New Roman"/>
          <w:b/>
          <w:sz w:val="20"/>
          <w:szCs w:val="20"/>
          <w:lang w:val="en-US"/>
        </w:rPr>
      </w:pPr>
      <w:bookmarkStart w:id="21" w:name="_Toc97281446"/>
      <w:r w:rsidRPr="0099368B">
        <w:rPr>
          <w:rFonts w:ascii="Times New Roman" w:eastAsia="Times New Roman" w:hAnsi="Times New Roman" w:cs="Times New Roman"/>
          <w:b/>
          <w:sz w:val="20"/>
          <w:szCs w:val="20"/>
          <w:lang w:val="en-US"/>
        </w:rPr>
        <w:t>Statistical inference</w:t>
      </w:r>
      <w:r w:rsidR="00A00C87" w:rsidRPr="0099368B">
        <w:rPr>
          <w:rFonts w:ascii="Times New Roman" w:eastAsia="Times New Roman" w:hAnsi="Times New Roman" w:cs="Times New Roman"/>
          <w:b/>
          <w:sz w:val="20"/>
          <w:szCs w:val="20"/>
          <w:lang w:val="en-US"/>
        </w:rPr>
        <w:t xml:space="preserve"> for </w:t>
      </w:r>
      <w:r w:rsidR="00AE1FA6">
        <w:rPr>
          <w:rFonts w:ascii="Times New Roman" w:eastAsia="Times New Roman" w:hAnsi="Times New Roman" w:cs="Times New Roman"/>
          <w:b/>
          <w:sz w:val="20"/>
          <w:szCs w:val="20"/>
          <w:lang w:val="en-US"/>
        </w:rPr>
        <w:t>liposarcoma (LPS)</w:t>
      </w:r>
      <w:bookmarkEnd w:id="21"/>
    </w:p>
    <w:p w14:paraId="5D60EB31"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Here, we present at separate subsections the risk of bias assessment, corresponding meta-analyses, </w:t>
      </w:r>
      <w:proofErr w:type="gramStart"/>
      <w:r w:rsidRPr="00AE1FA6">
        <w:rPr>
          <w:rFonts w:ascii="Times New Roman" w:hAnsi="Times New Roman" w:cs="Times New Roman"/>
          <w:sz w:val="20"/>
          <w:szCs w:val="20"/>
          <w:lang w:val="en-US"/>
        </w:rPr>
        <w:t>diagnostics</w:t>
      </w:r>
      <w:proofErr w:type="gramEnd"/>
      <w:r w:rsidRPr="00AE1FA6">
        <w:rPr>
          <w:rFonts w:ascii="Times New Roman" w:hAnsi="Times New Roman" w:cs="Times New Roman"/>
          <w:sz w:val="20"/>
          <w:szCs w:val="20"/>
          <w:lang w:val="en-US"/>
        </w:rPr>
        <w:t xml:space="preserve"> for influential studies, sensitivity meta-analysis, and meta-regressions for the studies available.</w:t>
      </w:r>
    </w:p>
    <w:p w14:paraId="6A2BA205" w14:textId="77777777" w:rsidR="00AE1FA6" w:rsidRPr="00AE1FA6" w:rsidRDefault="00AE1FA6" w:rsidP="00AE1FA6">
      <w:pPr>
        <w:rPr>
          <w:rFonts w:ascii="Times New Roman" w:hAnsi="Times New Roman" w:cs="Times New Roman"/>
          <w:sz w:val="20"/>
          <w:szCs w:val="20"/>
          <w:lang w:val="en-US"/>
        </w:rPr>
      </w:pPr>
    </w:p>
    <w:p w14:paraId="26F39740" w14:textId="7D42ED8F" w:rsidR="00AE1FA6" w:rsidRPr="00AE1FA6" w:rsidRDefault="009516F5" w:rsidP="00AE1FA6">
      <w:pPr>
        <w:pStyle w:val="Heading3"/>
        <w:rPr>
          <w:rFonts w:ascii="Times New Roman" w:hAnsi="Times New Roman" w:cs="Times New Roman"/>
          <w:b/>
          <w:color w:val="auto"/>
          <w:sz w:val="20"/>
          <w:szCs w:val="20"/>
          <w:lang w:val="en-US"/>
        </w:rPr>
      </w:pPr>
      <w:bookmarkStart w:id="22" w:name="_Toc96332373"/>
      <w:bookmarkStart w:id="23" w:name="_Toc97281447"/>
      <w:r>
        <w:rPr>
          <w:rFonts w:ascii="Times New Roman" w:hAnsi="Times New Roman" w:cs="Times New Roman"/>
          <w:b/>
          <w:color w:val="auto"/>
          <w:sz w:val="20"/>
          <w:szCs w:val="20"/>
          <w:lang w:val="en-US"/>
        </w:rPr>
        <w:t>Analysis for first-</w:t>
      </w:r>
      <w:r w:rsidR="00AE1FA6" w:rsidRPr="00AE1FA6">
        <w:rPr>
          <w:rFonts w:ascii="Times New Roman" w:hAnsi="Times New Roman" w:cs="Times New Roman"/>
          <w:b/>
          <w:color w:val="auto"/>
          <w:sz w:val="20"/>
          <w:szCs w:val="20"/>
          <w:lang w:val="en-US"/>
        </w:rPr>
        <w:t>line patients at 3 months</w:t>
      </w:r>
      <w:bookmarkEnd w:id="22"/>
      <w:bookmarkEnd w:id="23"/>
    </w:p>
    <w:p w14:paraId="69FE2845" w14:textId="15D4F11B"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Our databas</w:t>
      </w:r>
      <w:r w:rsidR="009516F5">
        <w:rPr>
          <w:rFonts w:ascii="Times New Roman" w:hAnsi="Times New Roman" w:cs="Times New Roman"/>
          <w:sz w:val="20"/>
          <w:szCs w:val="20"/>
          <w:lang w:val="en-US"/>
        </w:rPr>
        <w:t>e consists of 8 trials on first-</w:t>
      </w:r>
      <w:r w:rsidRPr="00AE1FA6">
        <w:rPr>
          <w:rFonts w:ascii="Times New Roman" w:hAnsi="Times New Roman" w:cs="Times New Roman"/>
          <w:sz w:val="20"/>
          <w:szCs w:val="20"/>
          <w:lang w:val="en-US"/>
        </w:rPr>
        <w:t xml:space="preserve">line treatment, corresponding to 14 different therapeutic combinations (14 lines in long format). </w:t>
      </w:r>
    </w:p>
    <w:p w14:paraId="565BDDD8" w14:textId="77777777" w:rsidR="00AE1FA6" w:rsidRPr="00AE1FA6" w:rsidRDefault="00AE1FA6" w:rsidP="00AE1FA6">
      <w:pPr>
        <w:rPr>
          <w:rFonts w:ascii="Times New Roman" w:hAnsi="Times New Roman" w:cs="Times New Roman"/>
          <w:sz w:val="20"/>
          <w:szCs w:val="20"/>
          <w:lang w:val="en-US"/>
        </w:rPr>
      </w:pPr>
    </w:p>
    <w:p w14:paraId="1D5A8E33" w14:textId="77777777" w:rsidR="00AE1FA6" w:rsidRPr="00AE1FA6" w:rsidRDefault="00AE1FA6" w:rsidP="00AE1FA6">
      <w:pPr>
        <w:rPr>
          <w:rFonts w:ascii="Times New Roman" w:hAnsi="Times New Roman" w:cs="Times New Roman"/>
          <w:sz w:val="20"/>
          <w:szCs w:val="20"/>
          <w:lang w:val="en-US"/>
        </w:rPr>
      </w:pPr>
    </w:p>
    <w:p w14:paraId="360DEF21" w14:textId="77777777" w:rsidR="00AE1FA6" w:rsidRPr="00AE1FA6" w:rsidRDefault="00AE1FA6" w:rsidP="008E3E6C">
      <w:pPr>
        <w:rPr>
          <w:rFonts w:ascii="Times New Roman" w:hAnsi="Times New Roman" w:cs="Times New Roman"/>
          <w:b/>
          <w:sz w:val="20"/>
          <w:szCs w:val="20"/>
          <w:lang w:val="en-US"/>
        </w:rPr>
      </w:pPr>
      <w:bookmarkStart w:id="24" w:name="_Toc96332374"/>
      <w:r w:rsidRPr="00AE1FA6">
        <w:rPr>
          <w:rFonts w:ascii="Times New Roman" w:hAnsi="Times New Roman" w:cs="Times New Roman"/>
          <w:b/>
          <w:sz w:val="20"/>
          <w:szCs w:val="20"/>
          <w:lang w:val="en-US"/>
        </w:rPr>
        <w:t>Risk of bias assessment</w:t>
      </w:r>
      <w:bookmarkEnd w:id="24"/>
    </w:p>
    <w:p w14:paraId="4F9B8C18"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In this subsection, we investigate publication bias based on a funnel plot and 2 formal tests. We show the contour enhanced funnel plot in fig 1. Graph is centered at residual value 0.5 (no effect under the null hypothesis). There are shaped regions for various levels of statistical significance for the points (see the label). Studies are equally spread in the graph but can be found mostly in the upper part (lower standard error). Two studies are in the grey zone (0.01 ≤ p ≤ 0.05) one on the left side and one on the right side. There might be some publication bias here. </w:t>
      </w:r>
    </w:p>
    <w:p w14:paraId="1D5A5D05"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lastRenderedPageBreak/>
        <w:drawing>
          <wp:inline distT="0" distB="0" distL="0" distR="0" wp14:anchorId="0846BFCB" wp14:editId="1D388E23">
            <wp:extent cx="6031230" cy="34124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our_enhanced_funnel.PNG"/>
                    <pic:cNvPicPr/>
                  </pic:nvPicPr>
                  <pic:blipFill>
                    <a:blip r:embed="rId12">
                      <a:extLst>
                        <a:ext uri="{28A0092B-C50C-407E-A947-70E740481C1C}">
                          <a14:useLocalDpi xmlns:a14="http://schemas.microsoft.com/office/drawing/2010/main" val="0"/>
                        </a:ext>
                      </a:extLst>
                    </a:blip>
                    <a:stretch>
                      <a:fillRect/>
                    </a:stretch>
                  </pic:blipFill>
                  <pic:spPr>
                    <a:xfrm>
                      <a:off x="0" y="0"/>
                      <a:ext cx="6031230" cy="3412490"/>
                    </a:xfrm>
                    <a:prstGeom prst="rect">
                      <a:avLst/>
                    </a:prstGeom>
                  </pic:spPr>
                </pic:pic>
              </a:graphicData>
            </a:graphic>
          </wp:inline>
        </w:drawing>
      </w:r>
    </w:p>
    <w:p w14:paraId="2EAF5CAA" w14:textId="7D0EA4E0" w:rsidR="00AE1FA6" w:rsidRPr="00AE1FA6" w:rsidRDefault="00AE1FA6" w:rsidP="00AE1FA6">
      <w:pPr>
        <w:rPr>
          <w:rFonts w:ascii="Times New Roman" w:hAnsi="Times New Roman" w:cs="Times New Roman"/>
          <w:bCs/>
          <w:sz w:val="20"/>
          <w:szCs w:val="20"/>
          <w:lang w:val="en-US"/>
        </w:rPr>
      </w:pPr>
      <w:r w:rsidRPr="00AE1FA6">
        <w:rPr>
          <w:rFonts w:ascii="Times New Roman" w:hAnsi="Times New Roman" w:cs="Times New Roman"/>
          <w:bCs/>
          <w:sz w:val="20"/>
          <w:szCs w:val="20"/>
          <w:lang w:val="en-US"/>
        </w:rPr>
        <w:t xml:space="preserve">Fig. </w:t>
      </w:r>
      <w:r w:rsidR="008E3E6C">
        <w:rPr>
          <w:rFonts w:ascii="Times New Roman" w:hAnsi="Times New Roman" w:cs="Times New Roman"/>
          <w:bCs/>
          <w:sz w:val="20"/>
          <w:szCs w:val="20"/>
          <w:lang w:val="en-US"/>
        </w:rPr>
        <w:t>A</w:t>
      </w:r>
      <w:r w:rsidRPr="00AE1FA6">
        <w:rPr>
          <w:rFonts w:ascii="Times New Roman" w:hAnsi="Times New Roman" w:cs="Times New Roman"/>
          <w:bCs/>
          <w:sz w:val="20"/>
          <w:szCs w:val="20"/>
          <w:lang w:val="en-US"/>
        </w:rPr>
        <w:t>1. Contour enhanced funnel plot of</w:t>
      </w:r>
      <w:r w:rsidR="009516F5">
        <w:rPr>
          <w:rFonts w:ascii="Times New Roman" w:hAnsi="Times New Roman" w:cs="Times New Roman"/>
          <w:bCs/>
          <w:sz w:val="20"/>
          <w:szCs w:val="20"/>
          <w:lang w:val="en-US"/>
        </w:rPr>
        <w:t xml:space="preserve"> LPS for PFS at 3 months (first-</w:t>
      </w:r>
      <w:r w:rsidRPr="00AE1FA6">
        <w:rPr>
          <w:rFonts w:ascii="Times New Roman" w:hAnsi="Times New Roman" w:cs="Times New Roman"/>
          <w:bCs/>
          <w:sz w:val="20"/>
          <w:szCs w:val="20"/>
          <w:lang w:val="en-US"/>
        </w:rPr>
        <w:t>line patients).</w:t>
      </w:r>
    </w:p>
    <w:p w14:paraId="1882A30D" w14:textId="77777777" w:rsidR="00AE1FA6" w:rsidRPr="00AE1FA6" w:rsidRDefault="00AE1FA6" w:rsidP="00AE1FA6">
      <w:pPr>
        <w:rPr>
          <w:rFonts w:ascii="Times New Roman" w:hAnsi="Times New Roman" w:cs="Times New Roman"/>
          <w:sz w:val="20"/>
          <w:szCs w:val="20"/>
          <w:lang w:val="en-US"/>
        </w:rPr>
      </w:pPr>
    </w:p>
    <w:p w14:paraId="66B5F386"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Moreover, we performed 2 formal tests: (1) the rank correlation test for funnel plot asymmetry, and (2) Egger’s regression test for funnel plot asymmetry. Here, with merely 14 lines in our database, both tests should be interpreted with caution. Rank correlation test provided a p-value of 0.15 and Egger’s regression test also a p-value of 0.13. There is no indication of publication bias from the formal tests.</w:t>
      </w:r>
    </w:p>
    <w:p w14:paraId="240D8B84" w14:textId="77777777" w:rsidR="00AE1FA6" w:rsidRPr="00AE1FA6" w:rsidRDefault="00AE1FA6" w:rsidP="00AE1FA6">
      <w:pPr>
        <w:rPr>
          <w:rFonts w:ascii="Times New Roman" w:hAnsi="Times New Roman" w:cs="Times New Roman"/>
          <w:sz w:val="20"/>
          <w:szCs w:val="20"/>
          <w:lang w:val="en-US"/>
        </w:rPr>
      </w:pPr>
    </w:p>
    <w:p w14:paraId="36AE152E" w14:textId="77777777" w:rsidR="00AE1FA6" w:rsidRPr="00AE1FA6" w:rsidRDefault="00AE1FA6" w:rsidP="008E3E6C">
      <w:pPr>
        <w:rPr>
          <w:rFonts w:ascii="Times New Roman" w:hAnsi="Times New Roman" w:cs="Times New Roman"/>
          <w:b/>
          <w:sz w:val="20"/>
          <w:szCs w:val="20"/>
          <w:lang w:val="en-US"/>
        </w:rPr>
      </w:pPr>
      <w:bookmarkStart w:id="25" w:name="_Toc96332376"/>
      <w:r w:rsidRPr="00AE1FA6">
        <w:rPr>
          <w:rFonts w:ascii="Times New Roman" w:hAnsi="Times New Roman" w:cs="Times New Roman"/>
          <w:b/>
          <w:sz w:val="20"/>
          <w:szCs w:val="20"/>
          <w:lang w:val="en-US"/>
        </w:rPr>
        <w:t>Diagnostics for influential studies</w:t>
      </w:r>
      <w:bookmarkEnd w:id="25"/>
    </w:p>
    <w:p w14:paraId="4F6F5176" w14:textId="6134CD2B"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We begin with the examination of the externally standardized residuals of the studies. Z values &gt; 2 or 3 show an influential outlier (its exclusion may lead to significant changes in the fitted meta-analytic model). Study lines 12 (</w:t>
      </w:r>
      <w:proofErr w:type="spellStart"/>
      <w:r w:rsidRPr="00AE1FA6">
        <w:rPr>
          <w:rFonts w:ascii="Times New Roman" w:hAnsi="Times New Roman" w:cs="Times New Roman"/>
          <w:sz w:val="20"/>
          <w:szCs w:val="20"/>
          <w:lang w:val="en-US"/>
        </w:rPr>
        <w:t>Blay</w:t>
      </w:r>
      <w:proofErr w:type="spellEnd"/>
      <w:r w:rsidRPr="00AE1FA6">
        <w:rPr>
          <w:rFonts w:ascii="Times New Roman" w:hAnsi="Times New Roman" w:cs="Times New Roman"/>
          <w:sz w:val="20"/>
          <w:szCs w:val="20"/>
          <w:lang w:val="en-US"/>
        </w:rPr>
        <w:t xml:space="preserve"> 2014: Trabectedin </w:t>
      </w:r>
      <w:r w:rsidRPr="00AE1FA6">
        <w:rPr>
          <w:rFonts w:ascii="Times New Roman" w:hAnsi="Times New Roman" w:cs="Times New Roman"/>
          <w:sz w:val="20"/>
          <w:szCs w:val="20"/>
          <w:lang w:val="en-US"/>
        </w:rPr>
        <w:fldChar w:fldCharType="begin" w:fldLock="1"/>
      </w:r>
      <w:r w:rsidR="0000797A">
        <w:rPr>
          <w:rFonts w:ascii="Times New Roman" w:hAnsi="Times New Roman" w:cs="Times New Roman"/>
          <w:sz w:val="20"/>
          <w:szCs w:val="20"/>
          <w:lang w:val="en-US"/>
        </w:rPr>
        <w:instrText>ADDIN CSL_CITATION {"citationItems":[{"id":"ITEM-1","itemData":{"DOI":"10.1016/j.ejca.2014.01.012","ISSN":"18790852","PMID":"24512981","abstract":"This randomised phase III trial evaluated first-line trabectedin versus doxorubicin-based chemotherapy (DXCT) in patients with advanced/metastatic translocation-related sarcomas (TRS). Methods Patients were randomly assigned (1:1) to receive trabectedin 1.5 mg/m2 24-h intravenous (i.v.) infusion every 3 weeks (q3wk) (Arm A), or doxorubicin 75 mg/m2 i.v. q3wk, or doxorubicin 60 mg/m2 i.v. plus ifosfamide (range, 6-9 g/m2) i.v. q3wk (Arm B). Progression-free survival (PFS) by independent review was the primary efficacy end-point. Results One hundred and twenty-one patients were randomised; 88 of them had TRS confirmed by central pathology review (efficacy population). Twenty-nine PFS events were assessed by independent review (16 with trabectedin; 13 with DXCT). PFS showed non-significant difference between arms (stratified log rank test, p = 0.9573; hazard ratio = 0.86, p = 0.6992). At the time of this analysis, 63.9% and 58.3% of patients were alive in trabectedin and DXCT arms, respectively. There was no statistically significant difference in survival curves. Response rate according to Response Evaluation Criteria in Solid Tumours (RECIST) v.1.0 was significantly higher in DXCT arm (27.0% versus 5.9%), but response according to Choi criteria showed fewer differences between treatment arms (45.9% versus 37.3%). Safety profile was as expected for both arms, with higher incidence of severe neutropenia, alopecia and mucositis in the DXCT arm. Conclusion Neither trabectedin nor doxorubicin-based chemotherapy showed significant superiority in the first-line treatment of patients with advanced translocation-related sarcoma. © 2014 Elsevier Ltd. All rights reserved.","author":[{"dropping-particle":"","family":"Blay","given":"Jean Yves","non-dropping-particle":"","parse-names":false,"suffix":""},{"dropping-particle":"","family":"Leahy","given":"Michael G.","non-dropping-particle":"","parse-names":false,"suffix":""},{"dropping-particle":"","family":"Nguyen","given":"Binh Bui","non-dropping-particle":"","parse-names":false,"suffix":""},{"dropping-particle":"","family":"Patel","given":"Shreyaskumar R.","non-dropping-particle":"","parse-names":false,"suffix":""},{"dropping-particle":"","family":"Hohenberger","given":"Peter","non-dropping-particle":"","parse-names":false,"suffix":""},{"dropping-particle":"","family":"Santoro","given":"Armando","non-dropping-particle":"","parse-names":false,"suffix":""},{"dropping-particle":"","family":"Staddon","given":"Arthur P.","non-dropping-particle":"","parse-names":false,"suffix":""},{"dropping-particle":"","family":"Penel","given":"Nicolas","non-dropping-particle":"","parse-names":false,"suffix":""},{"dropping-particle":"","family":"Piperno-Neumann","given":"Sophie","non-dropping-particle":"","parse-names":false,"suffix":""},{"dropping-particle":"","family":"Hendifar","given":"Andrew","non-dropping-particle":"","parse-names":false,"suffix":""},{"dropping-particle":"","family":"Lardelli","given":"Pilar","non-dropping-particle":"","parse-names":false,"suffix":""},{"dropping-particle":"","family":"Nieto","given":"Antonio","non-dropping-particle":"","parse-names":false,"suffix":""},{"dropping-particle":"","family":"Alfaro","given":"Vicente","non-dropping-particle":"","parse-names":false,"suffix":""},{"dropping-particle":"","family":"Chawla","given":"Sant P.","non-dropping-particle":"","parse-names":false,"suffix":""}],"container-title":"European Journal of Cancer","id":"ITEM-1","issue":"6","issued":{"date-parts":[["2014"]]},"page":"1137-1147","publisher":"Elsevier Ltd","title":"Randomised phase III trial of trabectedin versus doxorubicin-based chemotherapy as first-line therapy in translocation-related sarcomas","type":"article-journal","volume":"50"},"uris":["http://www.mendeley.com/documents/?uuid=76933edf-ec11-4be8-ac33-692531b37822"]}],"mendeley":{"formattedCitation":"[11]","plainTextFormattedCitation":"[11]","previouslyFormattedCitation":"[11]"},"properties":{"noteIndex":0},"schema":"https://github.com/citation-style-language/schema/raw/master/csl-citation.json"}</w:instrText>
      </w:r>
      <w:r w:rsidRPr="00AE1FA6">
        <w:rPr>
          <w:rFonts w:ascii="Times New Roman" w:hAnsi="Times New Roman" w:cs="Times New Roman"/>
          <w:sz w:val="20"/>
          <w:szCs w:val="20"/>
          <w:lang w:val="en-US"/>
        </w:rPr>
        <w:fldChar w:fldCharType="separate"/>
      </w:r>
      <w:r w:rsidR="0000797A" w:rsidRPr="0000797A">
        <w:rPr>
          <w:rFonts w:ascii="Times New Roman" w:hAnsi="Times New Roman" w:cs="Times New Roman"/>
          <w:noProof/>
          <w:sz w:val="20"/>
          <w:szCs w:val="20"/>
          <w:lang w:val="en-US"/>
        </w:rPr>
        <w:t>[11]</w:t>
      </w:r>
      <w:r w:rsidRPr="00AE1FA6">
        <w:rPr>
          <w:rFonts w:ascii="Times New Roman" w:hAnsi="Times New Roman" w:cs="Times New Roman"/>
          <w:sz w:val="20"/>
          <w:szCs w:val="20"/>
          <w:lang w:val="en-US"/>
        </w:rPr>
        <w:fldChar w:fldCharType="end"/>
      </w:r>
      <w:r w:rsidRPr="00AE1FA6">
        <w:rPr>
          <w:rFonts w:ascii="Times New Roman" w:hAnsi="Times New Roman" w:cs="Times New Roman"/>
          <w:sz w:val="20"/>
          <w:szCs w:val="20"/>
          <w:lang w:val="en-US"/>
        </w:rPr>
        <w:t>) and 14 (</w:t>
      </w:r>
      <w:proofErr w:type="spellStart"/>
      <w:r w:rsidRPr="00AE1FA6">
        <w:rPr>
          <w:rFonts w:ascii="Times New Roman" w:hAnsi="Times New Roman" w:cs="Times New Roman"/>
          <w:sz w:val="20"/>
          <w:szCs w:val="20"/>
          <w:lang w:val="en-US"/>
        </w:rPr>
        <w:t>Gelderblom</w:t>
      </w:r>
      <w:proofErr w:type="spellEnd"/>
      <w:r w:rsidRPr="00AE1FA6">
        <w:rPr>
          <w:rFonts w:ascii="Times New Roman" w:hAnsi="Times New Roman" w:cs="Times New Roman"/>
          <w:sz w:val="20"/>
          <w:szCs w:val="20"/>
          <w:lang w:val="en-US"/>
        </w:rPr>
        <w:t xml:space="preserve"> 2014:Brostallicin </w:t>
      </w:r>
      <w:r w:rsidRPr="00AE1FA6">
        <w:rPr>
          <w:rFonts w:ascii="Times New Roman" w:hAnsi="Times New Roman" w:cs="Times New Roman"/>
          <w:sz w:val="20"/>
          <w:szCs w:val="20"/>
          <w:lang w:val="en-US"/>
        </w:rPr>
        <w:fldChar w:fldCharType="begin" w:fldLock="1"/>
      </w:r>
      <w:r w:rsidR="00826352">
        <w:rPr>
          <w:rFonts w:ascii="Times New Roman" w:hAnsi="Times New Roman" w:cs="Times New Roman"/>
          <w:sz w:val="20"/>
          <w:szCs w:val="20"/>
          <w:lang w:val="en-US"/>
        </w:rPr>
        <w:instrText>ADDIN CSL_CITATION {"citationItems":[{"id":"ITEM-1","itemData":{"DOI":"10.1016/j.ejca.2013.10.002","ISSN":"09598049","abstract":"Aim Brostallicin is a DNA minor groove binder that has shown activity in patients with soft tissue sarcoma (STS) failing first-line therapy. The present study assessed the safety and efficacy of first-line brostallicin in patients with advanced or metastatic STS &gt; 60 years or not fit enough to receive combination chemotherapy. A prospective explorative pharmacogenetic analysis was undertaken in parallel. Methods Patients were randomised in a 2:1 ratio between IV brostallicin 10 mg/m2 and doxorubicin 75 mg/m2 once every 3 weeks for a maximum of six cycles. Disease stabilisation at 26 weeks (primary end-point) was considered a 'success'. Further testing of brostallicin was warranted if ≥35 'successes' were observed in the first 72 eligible patients treated with brostallicin. In addition, patients were genotyped for glutathione S transferase (GST) polymorphisms. Results One hundred and eighteen patients were included (79 brostallicin and 39 doxorubicin). Brostallicin was well tolerated in comparison to doxorubicin with less grade 3-4 neutropenia (67% versus 95%), grade 2-3 systolic dysfunction (0% versus 11%), alopecia (17% versus 61%) and grade 2-3 mucositis (0% versus 18%). For brostallicin versus doxorubicin, 'successes' were observed in 5/77 versus 10/36, progression free survival at 1 year was 6.5% versus 15.6%, objective response rate was 3.9% versus 22.2% and overall survival at 1 year was 50.5% versus 57.9%, respectively. Only GSTA1 genotype was significantly associated with success rate of doxorubicin treatment. Conclusion Brostallicin cannot be recommended at this dose and schedule in this patient population as first-line therapy. GSTA1 genotype may be predictive for doxorubicin efficacy but warrants further study. © 2013 Elsevier Ltd. All rights reserved.","author":[{"dropping-particle":"","family":"Gelderblom","given":"H.","non-dropping-particle":"","parse-names":false,"suffix":""},{"dropping-particle":"","family":"Blay","given":"J. Y.","non-dropping-particle":"","parse-names":false,"suffix":""},{"dropping-particle":"","family":"Seddon","given":"B. M.","non-dropping-particle":"","parse-names":false,"suffix":""},{"dropping-particle":"","family":"Leahy","given":"M.","non-dropping-particle":"","parse-names":false,"suffix":""},{"dropping-particle":"","family":"Ray-Coquard","given":"I.","non-dropping-particle":"","parse-names":false,"suffix":""},{"dropping-particle":"","family":"Sleijfer","given":"S.","non-dropping-particle":"","parse-names":false,"suffix":""},{"dropping-particle":"","family":"Kerst","given":"J. M.","non-dropping-particle":"","parse-names":false,"suffix":""},{"dropping-particle":"","family":"Rutkowski","given":"P.","non-dropping-particle":"","parse-names":false,"suffix":""},{"dropping-particle":"","family":"Bauer","given":"S.","non-dropping-particle":"","parse-names":false,"suffix":""},{"dropping-particle":"","family":"Ouali","given":"M.","non-dropping-particle":"","parse-names":false,"suffix":""},{"dropping-particle":"","family":"Marreaud","given":"S.","non-dropping-particle":"","parse-names":false,"suffix":""},{"dropping-particle":"","family":"Straaten","given":"R. J.H.M.","non-dropping-particle":"Van Der","parse-names":false,"suffix":""},{"dropping-particle":"","family":"Guchelaar","given":"H. J.","non-dropping-particle":"","parse-names":false,"suffix":""},{"dropping-particle":"","family":"Weitman","given":"S. D.","non-dropping-particle":"","parse-names":false,"suffix":""},{"dropping-particle":"","family":"Hogendoorn","given":"P. C.W.","non-dropping-particle":"","parse-names":false,"suffix":""},{"dropping-particle":"","family":"Hohenberger","given":"P.","non-dropping-particle":"","parse-names":false,"suffix":""}],"container-title":"European Journal of Cancer","id":"ITEM-1","issue":"2","issued":{"date-parts":[["2014"]]},"page":"388-396","publisher":"Elsevier Ltd","title":"Brostallicin versus doxorubicin as first-line chemotherapy in patients with advanced or metastatic soft tissue sarcoma: An European Organisation for Research and Treatment of Cancer Soft Tissue and Bone Sarcoma Group randomised phase II and pharmacogeneti","type":"article-journal","volume":"50"},"uris":["http://www.mendeley.com/documents/?uuid=1faf87d3-9864-45ed-9862-0e291cacbe48"]}],"mendeley":{"formattedCitation":"[4]","plainTextFormattedCitation":"[4]","previouslyFormattedCitation":"[4]"},"properties":{"noteIndex":0},"schema":"https://github.com/citation-style-language/schema/raw/master/csl-citation.json"}</w:instrText>
      </w:r>
      <w:r w:rsidRPr="00AE1FA6">
        <w:rPr>
          <w:rFonts w:ascii="Times New Roman" w:hAnsi="Times New Roman" w:cs="Times New Roman"/>
          <w:sz w:val="20"/>
          <w:szCs w:val="20"/>
          <w:lang w:val="en-US"/>
        </w:rPr>
        <w:fldChar w:fldCharType="separate"/>
      </w:r>
      <w:r w:rsidR="00826352" w:rsidRPr="00826352">
        <w:rPr>
          <w:rFonts w:ascii="Times New Roman" w:hAnsi="Times New Roman" w:cs="Times New Roman"/>
          <w:noProof/>
          <w:sz w:val="20"/>
          <w:szCs w:val="20"/>
          <w:lang w:val="en-US"/>
        </w:rPr>
        <w:t>[4]</w:t>
      </w:r>
      <w:r w:rsidRPr="00AE1FA6">
        <w:rPr>
          <w:rFonts w:ascii="Times New Roman" w:hAnsi="Times New Roman" w:cs="Times New Roman"/>
          <w:sz w:val="20"/>
          <w:szCs w:val="20"/>
          <w:lang w:val="en-US"/>
        </w:rPr>
        <w:fldChar w:fldCharType="end"/>
      </w:r>
      <w:r w:rsidRPr="00AE1FA6">
        <w:rPr>
          <w:rFonts w:ascii="Times New Roman" w:hAnsi="Times New Roman" w:cs="Times New Roman"/>
          <w:sz w:val="20"/>
          <w:szCs w:val="20"/>
          <w:lang w:val="en-US"/>
        </w:rPr>
        <w:t xml:space="preserve">)  had the highest z value of 2.41 and -2.32, respectively (these studies could be influential).  </w:t>
      </w:r>
    </w:p>
    <w:p w14:paraId="7C950E34"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We used the </w:t>
      </w:r>
      <w:proofErr w:type="spellStart"/>
      <w:r w:rsidRPr="00AE1FA6">
        <w:rPr>
          <w:rFonts w:ascii="Times New Roman" w:hAnsi="Times New Roman" w:cs="Times New Roman"/>
          <w:sz w:val="20"/>
          <w:szCs w:val="20"/>
          <w:lang w:val="en-US"/>
        </w:rPr>
        <w:t>Baujat</w:t>
      </w:r>
      <w:proofErr w:type="spellEnd"/>
      <w:r w:rsidRPr="00AE1FA6">
        <w:rPr>
          <w:rFonts w:ascii="Times New Roman" w:hAnsi="Times New Roman" w:cs="Times New Roman"/>
          <w:sz w:val="20"/>
          <w:szCs w:val="20"/>
          <w:lang w:val="en-US"/>
        </w:rPr>
        <w:t xml:space="preserve"> plot (figure 3) as a diagnostic tool to detect sources of heterogeneity and potentially influential studies. Study with number 12 (</w:t>
      </w:r>
      <w:proofErr w:type="spellStart"/>
      <w:r w:rsidRPr="00AE1FA6">
        <w:rPr>
          <w:rFonts w:ascii="Times New Roman" w:hAnsi="Times New Roman" w:cs="Times New Roman"/>
          <w:sz w:val="20"/>
          <w:szCs w:val="20"/>
          <w:lang w:val="en-US"/>
        </w:rPr>
        <w:t>Blay</w:t>
      </w:r>
      <w:proofErr w:type="spellEnd"/>
      <w:r w:rsidRPr="00AE1FA6">
        <w:rPr>
          <w:rFonts w:ascii="Times New Roman" w:hAnsi="Times New Roman" w:cs="Times New Roman"/>
          <w:sz w:val="20"/>
          <w:szCs w:val="20"/>
          <w:lang w:val="en-US"/>
        </w:rPr>
        <w:t xml:space="preserve"> 2014: Trabectedin) is projected on the right corner (contributes the most to heterogeneity and is the second influential after line 14).   </w:t>
      </w:r>
    </w:p>
    <w:p w14:paraId="7D4EE822"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lastRenderedPageBreak/>
        <w:drawing>
          <wp:inline distT="0" distB="0" distL="0" distR="0" wp14:anchorId="1B651EF5" wp14:editId="116151E8">
            <wp:extent cx="6031230" cy="34213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ujat.PNG"/>
                    <pic:cNvPicPr/>
                  </pic:nvPicPr>
                  <pic:blipFill>
                    <a:blip r:embed="rId13">
                      <a:extLst>
                        <a:ext uri="{28A0092B-C50C-407E-A947-70E740481C1C}">
                          <a14:useLocalDpi xmlns:a14="http://schemas.microsoft.com/office/drawing/2010/main" val="0"/>
                        </a:ext>
                      </a:extLst>
                    </a:blip>
                    <a:stretch>
                      <a:fillRect/>
                    </a:stretch>
                  </pic:blipFill>
                  <pic:spPr>
                    <a:xfrm>
                      <a:off x="0" y="0"/>
                      <a:ext cx="6031230" cy="3421380"/>
                    </a:xfrm>
                    <a:prstGeom prst="rect">
                      <a:avLst/>
                    </a:prstGeom>
                  </pic:spPr>
                </pic:pic>
              </a:graphicData>
            </a:graphic>
          </wp:inline>
        </w:drawing>
      </w:r>
    </w:p>
    <w:p w14:paraId="572C5B4F" w14:textId="3317CA18" w:rsidR="00AE1FA6" w:rsidRPr="00AE1FA6" w:rsidRDefault="00AE1FA6" w:rsidP="00AE1FA6">
      <w:pPr>
        <w:rPr>
          <w:rFonts w:ascii="Times New Roman" w:hAnsi="Times New Roman" w:cs="Times New Roman"/>
          <w:bCs/>
          <w:sz w:val="20"/>
          <w:szCs w:val="20"/>
          <w:lang w:val="en-US"/>
        </w:rPr>
      </w:pPr>
      <w:r w:rsidRPr="00AE1FA6">
        <w:rPr>
          <w:rFonts w:ascii="Times New Roman" w:hAnsi="Times New Roman" w:cs="Times New Roman"/>
          <w:bCs/>
          <w:sz w:val="20"/>
          <w:szCs w:val="20"/>
          <w:lang w:val="en-US"/>
        </w:rPr>
        <w:t xml:space="preserve">Fig. </w:t>
      </w:r>
      <w:r w:rsidR="008E3E6C">
        <w:rPr>
          <w:rFonts w:ascii="Times New Roman" w:hAnsi="Times New Roman" w:cs="Times New Roman"/>
          <w:bCs/>
          <w:sz w:val="20"/>
          <w:szCs w:val="20"/>
          <w:lang w:val="en-US"/>
        </w:rPr>
        <w:t>A2</w:t>
      </w:r>
      <w:r w:rsidRPr="00AE1FA6">
        <w:rPr>
          <w:rFonts w:ascii="Times New Roman" w:hAnsi="Times New Roman" w:cs="Times New Roman"/>
          <w:bCs/>
          <w:sz w:val="20"/>
          <w:szCs w:val="20"/>
          <w:lang w:val="en-US"/>
        </w:rPr>
        <w:t xml:space="preserve">. </w:t>
      </w:r>
      <w:proofErr w:type="spellStart"/>
      <w:r w:rsidRPr="00AE1FA6">
        <w:rPr>
          <w:rFonts w:ascii="Times New Roman" w:hAnsi="Times New Roman" w:cs="Times New Roman"/>
          <w:bCs/>
          <w:sz w:val="20"/>
          <w:szCs w:val="20"/>
          <w:lang w:val="en-US"/>
        </w:rPr>
        <w:t>Baujat</w:t>
      </w:r>
      <w:proofErr w:type="spellEnd"/>
      <w:r w:rsidRPr="00AE1FA6">
        <w:rPr>
          <w:rFonts w:ascii="Times New Roman" w:hAnsi="Times New Roman" w:cs="Times New Roman"/>
          <w:bCs/>
          <w:sz w:val="20"/>
          <w:szCs w:val="20"/>
          <w:lang w:val="en-US"/>
        </w:rPr>
        <w:t xml:space="preserve"> plot of the LPS stu</w:t>
      </w:r>
      <w:r w:rsidR="009516F5">
        <w:rPr>
          <w:rFonts w:ascii="Times New Roman" w:hAnsi="Times New Roman" w:cs="Times New Roman"/>
          <w:bCs/>
          <w:sz w:val="20"/>
          <w:szCs w:val="20"/>
          <w:lang w:val="en-US"/>
        </w:rPr>
        <w:t>dies for PFS at 3 months (first-</w:t>
      </w:r>
      <w:r w:rsidRPr="00AE1FA6">
        <w:rPr>
          <w:rFonts w:ascii="Times New Roman" w:hAnsi="Times New Roman" w:cs="Times New Roman"/>
          <w:bCs/>
          <w:sz w:val="20"/>
          <w:szCs w:val="20"/>
          <w:lang w:val="en-US"/>
        </w:rPr>
        <w:t>line patients).</w:t>
      </w:r>
    </w:p>
    <w:p w14:paraId="5BB7C262" w14:textId="77777777" w:rsidR="00AE1FA6" w:rsidRPr="00AE1FA6" w:rsidRDefault="00AE1FA6" w:rsidP="00AE1FA6">
      <w:pPr>
        <w:rPr>
          <w:rFonts w:ascii="Times New Roman" w:hAnsi="Times New Roman" w:cs="Times New Roman"/>
          <w:sz w:val="20"/>
          <w:szCs w:val="20"/>
          <w:lang w:val="en-US"/>
        </w:rPr>
      </w:pPr>
    </w:p>
    <w:p w14:paraId="33A91DE4" w14:textId="77777777" w:rsidR="00AE1FA6" w:rsidRPr="00AE1FA6" w:rsidRDefault="00AE1FA6" w:rsidP="00AE1FA6">
      <w:pPr>
        <w:rPr>
          <w:rFonts w:ascii="Times New Roman" w:hAnsi="Times New Roman" w:cs="Times New Roman"/>
          <w:sz w:val="20"/>
          <w:szCs w:val="20"/>
          <w:lang w:val="en-US"/>
        </w:rPr>
      </w:pPr>
    </w:p>
    <w:p w14:paraId="79EC8A11" w14:textId="77777777" w:rsidR="00AE1FA6" w:rsidRPr="00AE1FA6" w:rsidRDefault="00AE1FA6" w:rsidP="008E3E6C">
      <w:pPr>
        <w:rPr>
          <w:rFonts w:ascii="Times New Roman" w:hAnsi="Times New Roman" w:cs="Times New Roman"/>
          <w:b/>
          <w:sz w:val="20"/>
          <w:szCs w:val="20"/>
          <w:lang w:val="en-US"/>
        </w:rPr>
      </w:pPr>
      <w:bookmarkStart w:id="26" w:name="_Toc96332377"/>
      <w:r w:rsidRPr="00AE1FA6">
        <w:rPr>
          <w:rFonts w:ascii="Times New Roman" w:hAnsi="Times New Roman" w:cs="Times New Roman"/>
          <w:b/>
          <w:sz w:val="20"/>
          <w:szCs w:val="20"/>
          <w:lang w:val="en-US"/>
        </w:rPr>
        <w:t>Sensitivity meta-analysis</w:t>
      </w:r>
      <w:bookmarkEnd w:id="26"/>
      <w:r w:rsidRPr="00AE1FA6">
        <w:rPr>
          <w:rFonts w:ascii="Times New Roman" w:hAnsi="Times New Roman" w:cs="Times New Roman"/>
          <w:b/>
          <w:sz w:val="20"/>
          <w:szCs w:val="20"/>
          <w:lang w:val="en-US"/>
        </w:rPr>
        <w:t xml:space="preserve"> </w:t>
      </w:r>
    </w:p>
    <w:p w14:paraId="0279B101"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To investigate the effect of ‘</w:t>
      </w:r>
      <w:proofErr w:type="spellStart"/>
      <w:r w:rsidRPr="00AE1FA6">
        <w:rPr>
          <w:rFonts w:ascii="Times New Roman" w:hAnsi="Times New Roman" w:cs="Times New Roman"/>
          <w:sz w:val="20"/>
          <w:szCs w:val="20"/>
          <w:lang w:val="en-US"/>
        </w:rPr>
        <w:t>Blay</w:t>
      </w:r>
      <w:proofErr w:type="spellEnd"/>
      <w:r w:rsidRPr="00AE1FA6">
        <w:rPr>
          <w:rFonts w:ascii="Times New Roman" w:hAnsi="Times New Roman" w:cs="Times New Roman"/>
          <w:sz w:val="20"/>
          <w:szCs w:val="20"/>
          <w:lang w:val="en-US"/>
        </w:rPr>
        <w:t xml:space="preserve"> 2014: Trabectedin’ which was detected in previous section, we performed a sensitivity analysis removing this treatment arm from the analysis and re-fitting the random-effects model. </w:t>
      </w:r>
    </w:p>
    <w:p w14:paraId="11882C89" w14:textId="77777777" w:rsidR="00AE1FA6" w:rsidRPr="00AE1FA6" w:rsidRDefault="00AE1FA6" w:rsidP="00AE1FA6">
      <w:pPr>
        <w:rPr>
          <w:rFonts w:ascii="Times New Roman" w:hAnsi="Times New Roman" w:cs="Times New Roman"/>
          <w:sz w:val="20"/>
          <w:szCs w:val="20"/>
          <w:lang w:val="en-US"/>
        </w:rPr>
      </w:pPr>
    </w:p>
    <w:p w14:paraId="30214DF4"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lastRenderedPageBreak/>
        <w:drawing>
          <wp:inline distT="0" distB="0" distL="0" distR="0" wp14:anchorId="5D8FEDE6" wp14:editId="75A6685E">
            <wp:extent cx="6091795" cy="3707157"/>
            <wp:effectExtent l="0" t="0" r="444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fs3m_first_without_Blay_Trabectedin.PNG"/>
                    <pic:cNvPicPr/>
                  </pic:nvPicPr>
                  <pic:blipFill>
                    <a:blip r:embed="rId14">
                      <a:extLst>
                        <a:ext uri="{28A0092B-C50C-407E-A947-70E740481C1C}">
                          <a14:useLocalDpi xmlns:a14="http://schemas.microsoft.com/office/drawing/2010/main" val="0"/>
                        </a:ext>
                      </a:extLst>
                    </a:blip>
                    <a:stretch>
                      <a:fillRect/>
                    </a:stretch>
                  </pic:blipFill>
                  <pic:spPr>
                    <a:xfrm>
                      <a:off x="0" y="0"/>
                      <a:ext cx="6114915" cy="3721227"/>
                    </a:xfrm>
                    <a:prstGeom prst="rect">
                      <a:avLst/>
                    </a:prstGeom>
                  </pic:spPr>
                </pic:pic>
              </a:graphicData>
            </a:graphic>
          </wp:inline>
        </w:drawing>
      </w:r>
    </w:p>
    <w:p w14:paraId="08B84D61" w14:textId="5E3C7C9F" w:rsidR="00AE1FA6" w:rsidRPr="00AE1FA6" w:rsidRDefault="00AE1FA6" w:rsidP="00AE1FA6">
      <w:pPr>
        <w:rPr>
          <w:rFonts w:ascii="Times New Roman" w:hAnsi="Times New Roman" w:cs="Times New Roman"/>
          <w:bCs/>
          <w:sz w:val="20"/>
          <w:szCs w:val="20"/>
          <w:lang w:val="en-US"/>
        </w:rPr>
      </w:pPr>
      <w:r w:rsidRPr="00AE1FA6">
        <w:rPr>
          <w:rFonts w:ascii="Times New Roman" w:hAnsi="Times New Roman" w:cs="Times New Roman"/>
          <w:bCs/>
          <w:sz w:val="20"/>
          <w:szCs w:val="20"/>
          <w:lang w:val="en-US"/>
        </w:rPr>
        <w:t xml:space="preserve">Fig. </w:t>
      </w:r>
      <w:r w:rsidR="008E3E6C">
        <w:rPr>
          <w:rFonts w:ascii="Times New Roman" w:hAnsi="Times New Roman" w:cs="Times New Roman"/>
          <w:bCs/>
          <w:sz w:val="20"/>
          <w:szCs w:val="20"/>
          <w:lang w:val="en-US"/>
        </w:rPr>
        <w:t>A3</w:t>
      </w:r>
      <w:r w:rsidRPr="00AE1FA6">
        <w:rPr>
          <w:rFonts w:ascii="Times New Roman" w:hAnsi="Times New Roman" w:cs="Times New Roman"/>
          <w:bCs/>
          <w:sz w:val="20"/>
          <w:szCs w:val="20"/>
          <w:lang w:val="en-US"/>
        </w:rPr>
        <w:t xml:space="preserve">. Forest plot of LPS for PFS at 3 months excluding </w:t>
      </w:r>
      <w:r w:rsidR="009516F5">
        <w:rPr>
          <w:rFonts w:ascii="Times New Roman" w:hAnsi="Times New Roman" w:cs="Times New Roman"/>
          <w:bCs/>
          <w:sz w:val="20"/>
          <w:szCs w:val="20"/>
          <w:lang w:val="en-US"/>
        </w:rPr>
        <w:t>‘</w:t>
      </w:r>
      <w:proofErr w:type="spellStart"/>
      <w:r w:rsidR="009516F5">
        <w:rPr>
          <w:rFonts w:ascii="Times New Roman" w:hAnsi="Times New Roman" w:cs="Times New Roman"/>
          <w:bCs/>
          <w:sz w:val="20"/>
          <w:szCs w:val="20"/>
          <w:lang w:val="en-US"/>
        </w:rPr>
        <w:t>Blay</w:t>
      </w:r>
      <w:proofErr w:type="spellEnd"/>
      <w:r w:rsidR="009516F5">
        <w:rPr>
          <w:rFonts w:ascii="Times New Roman" w:hAnsi="Times New Roman" w:cs="Times New Roman"/>
          <w:bCs/>
          <w:sz w:val="20"/>
          <w:szCs w:val="20"/>
          <w:lang w:val="en-US"/>
        </w:rPr>
        <w:t xml:space="preserve"> 2014: Trabectedin' (first-</w:t>
      </w:r>
      <w:r w:rsidRPr="00AE1FA6">
        <w:rPr>
          <w:rFonts w:ascii="Times New Roman" w:hAnsi="Times New Roman" w:cs="Times New Roman"/>
          <w:bCs/>
          <w:sz w:val="20"/>
          <w:szCs w:val="20"/>
          <w:lang w:val="en-US"/>
        </w:rPr>
        <w:t>line patients).</w:t>
      </w:r>
    </w:p>
    <w:p w14:paraId="217D3D82" w14:textId="77777777" w:rsidR="00AE1FA6" w:rsidRPr="00AE1FA6" w:rsidRDefault="00AE1FA6" w:rsidP="00AE1FA6">
      <w:pPr>
        <w:rPr>
          <w:rFonts w:ascii="Times New Roman" w:hAnsi="Times New Roman" w:cs="Times New Roman"/>
          <w:sz w:val="20"/>
          <w:szCs w:val="20"/>
          <w:lang w:val="en-US"/>
        </w:rPr>
      </w:pPr>
    </w:p>
    <w:p w14:paraId="5CAD71B3" w14:textId="1FCF969C"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There is a decrease in the overall effect size of the meta-analysis from 0.69 (0.60 – 0.77) to 0.67 (0.59 – 0.74). Overall heterogeneity dropped from 48% (p=0.02) to 38% (p = 0.08). This treatment arm was removed from the non-recommended treatment regimens. The estimate of the subgroup has been recalculated to 0.59 (0.46 – 0.72) from 0.64 (0.48 – 0.77). There is a substantial decrease in the group heterogeneity to 32% (from 60%). Findings indicate that ‘</w:t>
      </w:r>
      <w:proofErr w:type="spellStart"/>
      <w:r w:rsidRPr="00AE1FA6">
        <w:rPr>
          <w:rFonts w:ascii="Times New Roman" w:hAnsi="Times New Roman" w:cs="Times New Roman"/>
          <w:sz w:val="20"/>
          <w:szCs w:val="20"/>
          <w:lang w:val="en-US"/>
        </w:rPr>
        <w:t>Blay</w:t>
      </w:r>
      <w:proofErr w:type="spellEnd"/>
      <w:r w:rsidRPr="00AE1FA6">
        <w:rPr>
          <w:rFonts w:ascii="Times New Roman" w:hAnsi="Times New Roman" w:cs="Times New Roman"/>
          <w:sz w:val="20"/>
          <w:szCs w:val="20"/>
          <w:lang w:val="en-US"/>
        </w:rPr>
        <w:t xml:space="preserve"> 2014: Trabectedin' might be influential study. Again, the difference between a regimen recommended versus a non-recommended is not statistically significant based on moderator’s test (p = 0.12). Note that Trabectedin mig</w:t>
      </w:r>
      <w:r w:rsidR="009516F5">
        <w:rPr>
          <w:rFonts w:ascii="Times New Roman" w:hAnsi="Times New Roman" w:cs="Times New Roman"/>
          <w:sz w:val="20"/>
          <w:szCs w:val="20"/>
          <w:lang w:val="en-US"/>
        </w:rPr>
        <w:t>ht not be recommended for first-</w:t>
      </w:r>
      <w:r w:rsidRPr="00AE1FA6">
        <w:rPr>
          <w:rFonts w:ascii="Times New Roman" w:hAnsi="Times New Roman" w:cs="Times New Roman"/>
          <w:sz w:val="20"/>
          <w:szCs w:val="20"/>
          <w:lang w:val="en-US"/>
        </w:rPr>
        <w:t xml:space="preserve">line LPS (of any kind) but has demonstrated high activity in myxoid LPS patients (which was the LPS subtype in this trial).  </w:t>
      </w:r>
    </w:p>
    <w:p w14:paraId="04EFD931"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 </w:t>
      </w:r>
    </w:p>
    <w:p w14:paraId="006BD544" w14:textId="77777777" w:rsidR="00AE1FA6" w:rsidRPr="00AE1FA6" w:rsidRDefault="00AE1FA6" w:rsidP="00AE1FA6">
      <w:pPr>
        <w:rPr>
          <w:rFonts w:ascii="Times New Roman" w:hAnsi="Times New Roman" w:cs="Times New Roman"/>
          <w:sz w:val="20"/>
          <w:szCs w:val="20"/>
          <w:lang w:val="en-US"/>
        </w:rPr>
      </w:pPr>
    </w:p>
    <w:p w14:paraId="43E1487A" w14:textId="77777777" w:rsidR="00AE1FA6" w:rsidRPr="00AE1FA6" w:rsidRDefault="00AE1FA6" w:rsidP="008E3E6C">
      <w:pPr>
        <w:rPr>
          <w:rFonts w:ascii="Times New Roman" w:hAnsi="Times New Roman" w:cs="Times New Roman"/>
          <w:b/>
          <w:sz w:val="20"/>
          <w:szCs w:val="20"/>
          <w:lang w:val="en-US"/>
        </w:rPr>
      </w:pPr>
      <w:bookmarkStart w:id="27" w:name="_Toc96332378"/>
      <w:r w:rsidRPr="00AE1FA6">
        <w:rPr>
          <w:rFonts w:ascii="Times New Roman" w:hAnsi="Times New Roman" w:cs="Times New Roman"/>
          <w:b/>
          <w:sz w:val="20"/>
          <w:szCs w:val="20"/>
          <w:lang w:val="en-US"/>
        </w:rPr>
        <w:t>Meta-regressions</w:t>
      </w:r>
      <w:bookmarkEnd w:id="27"/>
    </w:p>
    <w:p w14:paraId="34A641B2"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We also examined the effect of potential moderators on the effect size through meta-regressions. First, we evaluate them separately in univariate models. If any moderators are found significant, we then test them simultaneously in a single model including the regimen recommended (variable of main interest). </w:t>
      </w:r>
    </w:p>
    <w:p w14:paraId="693312A4"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For these meta-regressions we use the moderators presented below. For year of activation and sample size, we performed the dichotomization based on the median values of the entire database for LPS. We only perform analyses for moderators including more than two studies. </w:t>
      </w:r>
    </w:p>
    <w:p w14:paraId="675F1AA2"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521"/>
      </w:tblGrid>
      <w:tr w:rsidR="00AE1FA6" w:rsidRPr="00AE1FA6" w14:paraId="1093C17C" w14:textId="77777777" w:rsidTr="00AE1FA6">
        <w:tc>
          <w:tcPr>
            <w:tcW w:w="4744" w:type="dxa"/>
          </w:tcPr>
          <w:p w14:paraId="468D98C2"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Moderator</w:t>
            </w:r>
          </w:p>
          <w:p w14:paraId="412A377F" w14:textId="77777777" w:rsidR="00AE1FA6" w:rsidRPr="008E3E6C" w:rsidRDefault="00AE1FA6" w:rsidP="00AE1FA6">
            <w:pPr>
              <w:rPr>
                <w:rFonts w:ascii="Times New Roman" w:hAnsi="Times New Roman" w:cs="Times New Roman"/>
                <w:b/>
                <w:bCs/>
                <w:sz w:val="16"/>
                <w:szCs w:val="16"/>
                <w:lang w:val="en-US"/>
              </w:rPr>
            </w:pPr>
          </w:p>
        </w:tc>
        <w:tc>
          <w:tcPr>
            <w:tcW w:w="4744" w:type="dxa"/>
          </w:tcPr>
          <w:p w14:paraId="0B9FE7FE"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Dichotomization </w:t>
            </w:r>
            <w:r w:rsidRPr="008E3E6C">
              <w:rPr>
                <w:rFonts w:ascii="Times New Roman" w:hAnsi="Times New Roman" w:cs="Times New Roman"/>
                <w:sz w:val="16"/>
                <w:szCs w:val="16"/>
                <w:lang w:val="en-US"/>
              </w:rPr>
              <w:t>(first group reference, count of study rows in parenthesis)</w:t>
            </w:r>
          </w:p>
        </w:tc>
      </w:tr>
      <w:tr w:rsidR="00AE1FA6" w:rsidRPr="00AE1FA6" w14:paraId="4A5BF80B" w14:textId="77777777" w:rsidTr="00AE1FA6">
        <w:tc>
          <w:tcPr>
            <w:tcW w:w="4744" w:type="dxa"/>
          </w:tcPr>
          <w:p w14:paraId="0F726D18"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Phase of the trial</w:t>
            </w:r>
          </w:p>
        </w:tc>
        <w:tc>
          <w:tcPr>
            <w:tcW w:w="4744" w:type="dxa"/>
          </w:tcPr>
          <w:p w14:paraId="33CFEA4A"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 (4), greater than 2 (10)</w:t>
            </w:r>
          </w:p>
        </w:tc>
      </w:tr>
      <w:tr w:rsidR="00AE1FA6" w:rsidRPr="00AE1FA6" w14:paraId="443EBF9C" w14:textId="77777777" w:rsidTr="00AE1FA6">
        <w:tc>
          <w:tcPr>
            <w:tcW w:w="4744" w:type="dxa"/>
          </w:tcPr>
          <w:p w14:paraId="45478BB2"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 xml:space="preserve">Study design </w:t>
            </w:r>
          </w:p>
        </w:tc>
        <w:tc>
          <w:tcPr>
            <w:tcW w:w="4744" w:type="dxa"/>
          </w:tcPr>
          <w:p w14:paraId="64C7135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Randomized (13), non-randomized (1)</w:t>
            </w:r>
          </w:p>
        </w:tc>
      </w:tr>
      <w:tr w:rsidR="00AE1FA6" w:rsidRPr="00AE1FA6" w14:paraId="4CE25747" w14:textId="77777777" w:rsidTr="00AE1FA6">
        <w:tc>
          <w:tcPr>
            <w:tcW w:w="4744" w:type="dxa"/>
          </w:tcPr>
          <w:p w14:paraId="3649A1EF"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lastRenderedPageBreak/>
              <w:t>Year of activation</w:t>
            </w:r>
          </w:p>
        </w:tc>
        <w:tc>
          <w:tcPr>
            <w:tcW w:w="4744" w:type="dxa"/>
          </w:tcPr>
          <w:p w14:paraId="41D614A2"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2000-2010 (9), 2011-2015 (5)</w:t>
            </w:r>
          </w:p>
        </w:tc>
      </w:tr>
      <w:tr w:rsidR="00AE1FA6" w:rsidRPr="00AE1FA6" w14:paraId="30CA66C3" w14:textId="77777777" w:rsidTr="00AE1FA6">
        <w:tc>
          <w:tcPr>
            <w:tcW w:w="4744" w:type="dxa"/>
          </w:tcPr>
          <w:p w14:paraId="223B2320"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Sample size</w:t>
            </w:r>
          </w:p>
        </w:tc>
        <w:tc>
          <w:tcPr>
            <w:tcW w:w="4744" w:type="dxa"/>
          </w:tcPr>
          <w:p w14:paraId="51BF3E6B"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 xml:space="preserve">10-24 (10), &gt;24 (4) </w:t>
            </w:r>
          </w:p>
        </w:tc>
      </w:tr>
    </w:tbl>
    <w:p w14:paraId="5FD52326" w14:textId="77777777" w:rsidR="00AE1FA6" w:rsidRPr="00AE1FA6" w:rsidRDefault="00AE1FA6" w:rsidP="00AE1FA6">
      <w:pPr>
        <w:rPr>
          <w:rFonts w:ascii="Times New Roman" w:hAnsi="Times New Roman" w:cs="Times New Roman"/>
          <w:sz w:val="20"/>
          <w:szCs w:val="20"/>
          <w:lang w:val="en-US"/>
        </w:rPr>
      </w:pPr>
    </w:p>
    <w:p w14:paraId="0EB2609E"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Here </w:t>
      </w:r>
      <w:bookmarkStart w:id="28" w:name="_Hlk56083220"/>
      <w:r w:rsidRPr="00AE1FA6">
        <w:rPr>
          <w:rFonts w:ascii="Times New Roman" w:hAnsi="Times New Roman" w:cs="Times New Roman"/>
          <w:sz w:val="20"/>
          <w:szCs w:val="20"/>
          <w:lang w:val="en-US"/>
        </w:rPr>
        <w:t xml:space="preserve">there is only one non-randomized study so we did not consider this moderator. </w:t>
      </w:r>
      <w:bookmarkEnd w:id="28"/>
      <w:r w:rsidRPr="00AE1FA6">
        <w:rPr>
          <w:rFonts w:ascii="Times New Roman" w:hAnsi="Times New Roman" w:cs="Times New Roman"/>
          <w:sz w:val="20"/>
          <w:szCs w:val="20"/>
          <w:lang w:val="en-US"/>
        </w:rPr>
        <w:t>In the table below, we report the effect of moderators (estimate) and the residual heterogeneity in the random-effects model. We also show the p-value of the omnibus test for the effect of the moderator as well as the test for residual heterogeneity.</w:t>
      </w:r>
    </w:p>
    <w:p w14:paraId="6C3151E1" w14:textId="77777777" w:rsidR="00AE1FA6" w:rsidRPr="00AE1FA6" w:rsidRDefault="00AE1FA6" w:rsidP="00AE1FA6">
      <w:pPr>
        <w:rPr>
          <w:rFonts w:ascii="Times New Roman" w:hAnsi="Times New Roman" w:cs="Times New Roman"/>
          <w:sz w:val="20"/>
          <w:szCs w:val="20"/>
          <w:lang w:val="en-US"/>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1750"/>
        <w:gridCol w:w="1750"/>
        <w:gridCol w:w="1750"/>
        <w:gridCol w:w="1750"/>
      </w:tblGrid>
      <w:tr w:rsidR="00AE1FA6" w:rsidRPr="00AE1FA6" w14:paraId="7D5058E6" w14:textId="77777777" w:rsidTr="00AE1FA6">
        <w:tc>
          <w:tcPr>
            <w:tcW w:w="2488" w:type="dxa"/>
          </w:tcPr>
          <w:p w14:paraId="3B1F25B1"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Moderator </w:t>
            </w:r>
          </w:p>
          <w:p w14:paraId="34F5C201"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(univariate analysis)</w:t>
            </w:r>
          </w:p>
        </w:tc>
        <w:tc>
          <w:tcPr>
            <w:tcW w:w="1750" w:type="dxa"/>
          </w:tcPr>
          <w:p w14:paraId="53207DDF"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Estimated PFS (vs ref level)</w:t>
            </w:r>
          </w:p>
        </w:tc>
        <w:tc>
          <w:tcPr>
            <w:tcW w:w="1750" w:type="dxa"/>
          </w:tcPr>
          <w:p w14:paraId="2089C83A"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Test for moderator</w:t>
            </w:r>
          </w:p>
          <w:p w14:paraId="60D32858"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P-value</w:t>
            </w:r>
          </w:p>
        </w:tc>
        <w:tc>
          <w:tcPr>
            <w:tcW w:w="1750" w:type="dxa"/>
          </w:tcPr>
          <w:p w14:paraId="1FBF988E"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Residual heterogeneity (I</w:t>
            </w:r>
            <w:r w:rsidRPr="008E3E6C">
              <w:rPr>
                <w:rFonts w:ascii="Times New Roman" w:hAnsi="Times New Roman" w:cs="Times New Roman"/>
                <w:b/>
                <w:bCs/>
                <w:sz w:val="16"/>
                <w:szCs w:val="16"/>
                <w:vertAlign w:val="superscript"/>
                <w:lang w:val="en-US"/>
              </w:rPr>
              <w:t>2</w:t>
            </w:r>
            <w:r w:rsidRPr="008E3E6C">
              <w:rPr>
                <w:rFonts w:ascii="Times New Roman" w:hAnsi="Times New Roman" w:cs="Times New Roman"/>
                <w:b/>
                <w:bCs/>
                <w:sz w:val="16"/>
                <w:szCs w:val="16"/>
                <w:lang w:val="en-US"/>
              </w:rPr>
              <w:t>)</w:t>
            </w:r>
          </w:p>
          <w:p w14:paraId="144C383C" w14:textId="77777777" w:rsidR="00AE1FA6" w:rsidRPr="008E3E6C" w:rsidRDefault="00AE1FA6" w:rsidP="00AE1FA6">
            <w:pPr>
              <w:rPr>
                <w:rFonts w:ascii="Times New Roman" w:hAnsi="Times New Roman" w:cs="Times New Roman"/>
                <w:b/>
                <w:bCs/>
                <w:sz w:val="16"/>
                <w:szCs w:val="16"/>
                <w:lang w:val="en-US"/>
              </w:rPr>
            </w:pPr>
          </w:p>
        </w:tc>
        <w:tc>
          <w:tcPr>
            <w:tcW w:w="1750" w:type="dxa"/>
          </w:tcPr>
          <w:p w14:paraId="4B16158F"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Test for residual heterogeneity </w:t>
            </w:r>
          </w:p>
          <w:p w14:paraId="2945FEE5"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P-value</w:t>
            </w:r>
          </w:p>
        </w:tc>
      </w:tr>
      <w:tr w:rsidR="00AE1FA6" w:rsidRPr="00AE1FA6" w14:paraId="56B369D2" w14:textId="77777777" w:rsidTr="00AE1FA6">
        <w:tc>
          <w:tcPr>
            <w:tcW w:w="2488" w:type="dxa"/>
          </w:tcPr>
          <w:p w14:paraId="0E6F7B39"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Phase of the trial:</w:t>
            </w:r>
          </w:p>
          <w:p w14:paraId="65D7035C"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greater than 2</w:t>
            </w:r>
          </w:p>
        </w:tc>
        <w:tc>
          <w:tcPr>
            <w:tcW w:w="1750" w:type="dxa"/>
          </w:tcPr>
          <w:p w14:paraId="04A8CF78"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0.72 (vs 0.61)</w:t>
            </w:r>
          </w:p>
        </w:tc>
        <w:tc>
          <w:tcPr>
            <w:tcW w:w="1750" w:type="dxa"/>
          </w:tcPr>
          <w:p w14:paraId="5B2BE969"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0.30</w:t>
            </w:r>
          </w:p>
        </w:tc>
        <w:tc>
          <w:tcPr>
            <w:tcW w:w="1750" w:type="dxa"/>
          </w:tcPr>
          <w:p w14:paraId="3EA6518A"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50.42%</w:t>
            </w:r>
          </w:p>
        </w:tc>
        <w:tc>
          <w:tcPr>
            <w:tcW w:w="1750" w:type="dxa"/>
          </w:tcPr>
          <w:p w14:paraId="0D92E04C"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0.02</w:t>
            </w:r>
          </w:p>
        </w:tc>
      </w:tr>
      <w:tr w:rsidR="00AE1FA6" w:rsidRPr="00AE1FA6" w14:paraId="06DE7D07" w14:textId="77777777" w:rsidTr="00AE1FA6">
        <w:tc>
          <w:tcPr>
            <w:tcW w:w="2488" w:type="dxa"/>
          </w:tcPr>
          <w:p w14:paraId="3BEF8F8E"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Year of activation:</w:t>
            </w:r>
          </w:p>
          <w:p w14:paraId="7063147F"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2011-2015</w:t>
            </w:r>
          </w:p>
        </w:tc>
        <w:tc>
          <w:tcPr>
            <w:tcW w:w="1750" w:type="dxa"/>
          </w:tcPr>
          <w:p w14:paraId="24164B24"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0.62 (vs 0.74)</w:t>
            </w:r>
          </w:p>
        </w:tc>
        <w:tc>
          <w:tcPr>
            <w:tcW w:w="1750" w:type="dxa"/>
          </w:tcPr>
          <w:p w14:paraId="064D796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0.14</w:t>
            </w:r>
          </w:p>
        </w:tc>
        <w:tc>
          <w:tcPr>
            <w:tcW w:w="1750" w:type="dxa"/>
          </w:tcPr>
          <w:p w14:paraId="6537F9C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42.05%</w:t>
            </w:r>
          </w:p>
        </w:tc>
        <w:tc>
          <w:tcPr>
            <w:tcW w:w="1750" w:type="dxa"/>
          </w:tcPr>
          <w:p w14:paraId="2F7717F2"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0.05</w:t>
            </w:r>
          </w:p>
        </w:tc>
      </w:tr>
      <w:tr w:rsidR="00AE1FA6" w:rsidRPr="00AE1FA6" w14:paraId="098D6BE7" w14:textId="77777777" w:rsidTr="00AE1FA6">
        <w:tc>
          <w:tcPr>
            <w:tcW w:w="2488" w:type="dxa"/>
          </w:tcPr>
          <w:p w14:paraId="206F2E6A"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Sample size: &gt;24</w:t>
            </w:r>
          </w:p>
        </w:tc>
        <w:tc>
          <w:tcPr>
            <w:tcW w:w="1750" w:type="dxa"/>
          </w:tcPr>
          <w:p w14:paraId="64546D2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0.71 (vs 0.68)</w:t>
            </w:r>
          </w:p>
        </w:tc>
        <w:tc>
          <w:tcPr>
            <w:tcW w:w="1750" w:type="dxa"/>
          </w:tcPr>
          <w:p w14:paraId="15ED3AEE"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0.73</w:t>
            </w:r>
          </w:p>
        </w:tc>
        <w:tc>
          <w:tcPr>
            <w:tcW w:w="1750" w:type="dxa"/>
          </w:tcPr>
          <w:p w14:paraId="48FA7F4C"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51.72%</w:t>
            </w:r>
          </w:p>
        </w:tc>
        <w:tc>
          <w:tcPr>
            <w:tcW w:w="1750" w:type="dxa"/>
          </w:tcPr>
          <w:p w14:paraId="4CF26159"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0.02</w:t>
            </w:r>
          </w:p>
        </w:tc>
      </w:tr>
    </w:tbl>
    <w:p w14:paraId="117124DC" w14:textId="77777777" w:rsidR="00AE1FA6" w:rsidRPr="00AE1FA6" w:rsidRDefault="00AE1FA6" w:rsidP="00AE1FA6">
      <w:pPr>
        <w:rPr>
          <w:rFonts w:ascii="Times New Roman" w:hAnsi="Times New Roman" w:cs="Times New Roman"/>
          <w:sz w:val="20"/>
          <w:szCs w:val="20"/>
          <w:lang w:val="en-US"/>
        </w:rPr>
      </w:pPr>
    </w:p>
    <w:p w14:paraId="3C9FB848"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For the phase of the trial, residual heterogeneity is moderate/high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50.42%, p = 0.02). Studies of phase greater than 2 increase the effect size. The omnibus test for the effect of the moderator based on a chi-squared distribution with 1 degree of freedom provided a p-value of 0.30, which is not significant. </w:t>
      </w:r>
    </w:p>
    <w:p w14:paraId="566D6A03"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For the year of activation, residual heterogeneity is moderate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42.05%, p = 0.05). A year of activation between 2011 and 2015 has a negative effect on the effect size, but not significant against 2000-2010 (p = 0.14).</w:t>
      </w:r>
    </w:p>
    <w:p w14:paraId="3E88D659"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For sample size, residual heterogeneity is again moderate/high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51.72%, p = 0.02). A sample size above 24 patients has a positive effect on the observed proportion versus ≤ 24 which is not significant (p = 0.73). </w:t>
      </w:r>
    </w:p>
    <w:p w14:paraId="2293E555"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As there were not significant moderators in the univariate models, we did not perform a multivariate meta-regression to adjust regimen recommended with phase, year of activation or sample size.</w:t>
      </w:r>
    </w:p>
    <w:p w14:paraId="1ED1AEEB" w14:textId="77777777" w:rsidR="00AE1FA6" w:rsidRPr="00AE1FA6" w:rsidRDefault="00AE1FA6" w:rsidP="00AE1FA6">
      <w:pPr>
        <w:rPr>
          <w:rFonts w:ascii="Times New Roman" w:hAnsi="Times New Roman" w:cs="Times New Roman"/>
          <w:sz w:val="20"/>
          <w:szCs w:val="20"/>
          <w:lang w:val="en-US"/>
        </w:rPr>
      </w:pPr>
    </w:p>
    <w:p w14:paraId="6D303A52" w14:textId="77777777" w:rsidR="00AE1FA6" w:rsidRPr="00AE1FA6" w:rsidRDefault="00AE1FA6" w:rsidP="00AE1FA6">
      <w:pPr>
        <w:rPr>
          <w:rFonts w:ascii="Times New Roman" w:hAnsi="Times New Roman" w:cs="Times New Roman"/>
          <w:sz w:val="20"/>
          <w:szCs w:val="20"/>
          <w:lang w:val="en-US"/>
        </w:rPr>
      </w:pPr>
    </w:p>
    <w:p w14:paraId="6E3A4A88" w14:textId="77777777" w:rsidR="00AE1FA6" w:rsidRPr="00AE1FA6" w:rsidRDefault="00AE1FA6" w:rsidP="00AE1FA6">
      <w:pPr>
        <w:rPr>
          <w:rFonts w:ascii="Times New Roman" w:hAnsi="Times New Roman" w:cs="Times New Roman"/>
          <w:sz w:val="20"/>
          <w:szCs w:val="20"/>
          <w:lang w:val="en-US"/>
        </w:rPr>
      </w:pPr>
    </w:p>
    <w:p w14:paraId="4D4A2F3A" w14:textId="7C582C58" w:rsidR="00AE1FA6" w:rsidRPr="008E3E6C" w:rsidRDefault="009516F5" w:rsidP="008E3E6C">
      <w:pPr>
        <w:pStyle w:val="Heading3"/>
        <w:rPr>
          <w:rFonts w:ascii="Times New Roman" w:hAnsi="Times New Roman" w:cs="Times New Roman"/>
          <w:b/>
          <w:color w:val="auto"/>
          <w:sz w:val="20"/>
          <w:szCs w:val="20"/>
          <w:lang w:val="en-US"/>
        </w:rPr>
      </w:pPr>
      <w:bookmarkStart w:id="29" w:name="_Toc96332379"/>
      <w:bookmarkStart w:id="30" w:name="_Toc97281448"/>
      <w:r>
        <w:rPr>
          <w:rFonts w:ascii="Times New Roman" w:hAnsi="Times New Roman" w:cs="Times New Roman"/>
          <w:b/>
          <w:color w:val="auto"/>
          <w:sz w:val="20"/>
          <w:szCs w:val="20"/>
          <w:lang w:val="en-US"/>
        </w:rPr>
        <w:t>Analysis for first-</w:t>
      </w:r>
      <w:r w:rsidR="00AE1FA6" w:rsidRPr="008E3E6C">
        <w:rPr>
          <w:rFonts w:ascii="Times New Roman" w:hAnsi="Times New Roman" w:cs="Times New Roman"/>
          <w:b/>
          <w:color w:val="auto"/>
          <w:sz w:val="20"/>
          <w:szCs w:val="20"/>
          <w:lang w:val="en-US"/>
        </w:rPr>
        <w:t>line patients at 6 months</w:t>
      </w:r>
      <w:bookmarkEnd w:id="29"/>
      <w:bookmarkEnd w:id="30"/>
    </w:p>
    <w:p w14:paraId="2BA42BF8" w14:textId="43309593"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Our database consists of 8 trials covering 14 diffe</w:t>
      </w:r>
      <w:r w:rsidR="008E3E6C">
        <w:rPr>
          <w:rFonts w:ascii="Times New Roman" w:hAnsi="Times New Roman" w:cs="Times New Roman"/>
          <w:sz w:val="20"/>
          <w:szCs w:val="20"/>
          <w:lang w:val="en-US"/>
        </w:rPr>
        <w:t xml:space="preserve">rent therapeutic combinations. </w:t>
      </w:r>
    </w:p>
    <w:p w14:paraId="5437A062" w14:textId="77777777" w:rsidR="00AE1FA6" w:rsidRPr="00AE1FA6" w:rsidRDefault="00AE1FA6" w:rsidP="00AE1FA6">
      <w:pPr>
        <w:rPr>
          <w:rFonts w:ascii="Times New Roman" w:hAnsi="Times New Roman" w:cs="Times New Roman"/>
          <w:sz w:val="20"/>
          <w:szCs w:val="20"/>
          <w:lang w:val="en-US"/>
        </w:rPr>
      </w:pPr>
    </w:p>
    <w:p w14:paraId="7510C0E4" w14:textId="77777777" w:rsidR="00AE1FA6" w:rsidRPr="00AE1FA6" w:rsidRDefault="00AE1FA6" w:rsidP="008E3E6C">
      <w:pPr>
        <w:rPr>
          <w:rFonts w:ascii="Times New Roman" w:hAnsi="Times New Roman" w:cs="Times New Roman"/>
          <w:b/>
          <w:sz w:val="20"/>
          <w:szCs w:val="20"/>
          <w:lang w:val="en-US"/>
        </w:rPr>
      </w:pPr>
      <w:bookmarkStart w:id="31" w:name="_Toc96332380"/>
      <w:r w:rsidRPr="00AE1FA6">
        <w:rPr>
          <w:rFonts w:ascii="Times New Roman" w:hAnsi="Times New Roman" w:cs="Times New Roman"/>
          <w:b/>
          <w:sz w:val="20"/>
          <w:szCs w:val="20"/>
          <w:lang w:val="en-US"/>
        </w:rPr>
        <w:t>Risk of bias assessment</w:t>
      </w:r>
      <w:bookmarkEnd w:id="31"/>
    </w:p>
    <w:p w14:paraId="1EC4DD3F"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Again, we investigate publication bias with a funnel plot and 2 formal tests. The contour enhanced funnel plot in fig. 5 detected one study in the light grey zone of the right side (0.00 ≤ p ≤ 0.01) and another study on the dark grey zone of the right side (0.05 ≤ p ≤ 0.10). There is a chance for some publication bias. </w:t>
      </w:r>
    </w:p>
    <w:p w14:paraId="01687B74" w14:textId="3D4A3C1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Next, we examine the risk of bias more formally. The p-values from the rank correlation and the Egger’s regression tests were 0.67 and 0.13, respectively. There is no indication of publication bias. Note that these results could have been affected by small number of studies (14 row</w:t>
      </w:r>
      <w:r w:rsidR="009516F5">
        <w:rPr>
          <w:rFonts w:ascii="Times New Roman" w:hAnsi="Times New Roman" w:cs="Times New Roman"/>
          <w:sz w:val="20"/>
          <w:szCs w:val="20"/>
          <w:lang w:val="en-US"/>
        </w:rPr>
        <w:t>s for PFS at 6 months and first-</w:t>
      </w:r>
      <w:r w:rsidRPr="00AE1FA6">
        <w:rPr>
          <w:rFonts w:ascii="Times New Roman" w:hAnsi="Times New Roman" w:cs="Times New Roman"/>
          <w:sz w:val="20"/>
          <w:szCs w:val="20"/>
          <w:lang w:val="en-US"/>
        </w:rPr>
        <w:t xml:space="preserve">line patients).  </w:t>
      </w:r>
    </w:p>
    <w:p w14:paraId="2054C225"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lastRenderedPageBreak/>
        <w:drawing>
          <wp:inline distT="0" distB="0" distL="0" distR="0" wp14:anchorId="0BFED9DC" wp14:editId="4AF87C34">
            <wp:extent cx="6031230" cy="3369945"/>
            <wp:effectExtent l="0" t="0" r="762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our_enhanced_funnel.PNG"/>
                    <pic:cNvPicPr/>
                  </pic:nvPicPr>
                  <pic:blipFill>
                    <a:blip r:embed="rId15">
                      <a:extLst>
                        <a:ext uri="{28A0092B-C50C-407E-A947-70E740481C1C}">
                          <a14:useLocalDpi xmlns:a14="http://schemas.microsoft.com/office/drawing/2010/main" val="0"/>
                        </a:ext>
                      </a:extLst>
                    </a:blip>
                    <a:stretch>
                      <a:fillRect/>
                    </a:stretch>
                  </pic:blipFill>
                  <pic:spPr>
                    <a:xfrm>
                      <a:off x="0" y="0"/>
                      <a:ext cx="6031230" cy="3369945"/>
                    </a:xfrm>
                    <a:prstGeom prst="rect">
                      <a:avLst/>
                    </a:prstGeom>
                  </pic:spPr>
                </pic:pic>
              </a:graphicData>
            </a:graphic>
          </wp:inline>
        </w:drawing>
      </w:r>
    </w:p>
    <w:p w14:paraId="6EA8D756" w14:textId="60C1E9C6" w:rsidR="00AE1FA6" w:rsidRPr="00AE1FA6" w:rsidRDefault="00AE1FA6" w:rsidP="00AE1FA6">
      <w:pPr>
        <w:rPr>
          <w:rFonts w:ascii="Times New Roman" w:hAnsi="Times New Roman" w:cs="Times New Roman"/>
          <w:bCs/>
          <w:sz w:val="20"/>
          <w:szCs w:val="20"/>
          <w:lang w:val="en-US"/>
        </w:rPr>
      </w:pPr>
      <w:r w:rsidRPr="00AE1FA6">
        <w:rPr>
          <w:rFonts w:ascii="Times New Roman" w:hAnsi="Times New Roman" w:cs="Times New Roman"/>
          <w:bCs/>
          <w:sz w:val="20"/>
          <w:szCs w:val="20"/>
          <w:lang w:val="en-US"/>
        </w:rPr>
        <w:t xml:space="preserve">Fig. </w:t>
      </w:r>
      <w:r w:rsidR="008E3E6C">
        <w:rPr>
          <w:rFonts w:ascii="Times New Roman" w:hAnsi="Times New Roman" w:cs="Times New Roman"/>
          <w:bCs/>
          <w:sz w:val="20"/>
          <w:szCs w:val="20"/>
          <w:lang w:val="en-US"/>
        </w:rPr>
        <w:t>A4</w:t>
      </w:r>
      <w:r w:rsidRPr="00AE1FA6">
        <w:rPr>
          <w:rFonts w:ascii="Times New Roman" w:hAnsi="Times New Roman" w:cs="Times New Roman"/>
          <w:bCs/>
          <w:sz w:val="20"/>
          <w:szCs w:val="20"/>
          <w:lang w:val="en-US"/>
        </w:rPr>
        <w:t>. Contour enhanced funnel plot of</w:t>
      </w:r>
      <w:r w:rsidR="009516F5">
        <w:rPr>
          <w:rFonts w:ascii="Times New Roman" w:hAnsi="Times New Roman" w:cs="Times New Roman"/>
          <w:bCs/>
          <w:sz w:val="20"/>
          <w:szCs w:val="20"/>
          <w:lang w:val="en-US"/>
        </w:rPr>
        <w:t xml:space="preserve"> LPS for PFS at 6 months (first-</w:t>
      </w:r>
      <w:r w:rsidRPr="00AE1FA6">
        <w:rPr>
          <w:rFonts w:ascii="Times New Roman" w:hAnsi="Times New Roman" w:cs="Times New Roman"/>
          <w:bCs/>
          <w:sz w:val="20"/>
          <w:szCs w:val="20"/>
          <w:lang w:val="en-US"/>
        </w:rPr>
        <w:t>line patients).</w:t>
      </w:r>
    </w:p>
    <w:p w14:paraId="397710DE" w14:textId="2DCED44F" w:rsidR="00AE1FA6" w:rsidRPr="00AE1FA6" w:rsidRDefault="00AE1FA6" w:rsidP="00AE1FA6">
      <w:pPr>
        <w:rPr>
          <w:rFonts w:ascii="Times New Roman" w:hAnsi="Times New Roman" w:cs="Times New Roman"/>
          <w:sz w:val="20"/>
          <w:szCs w:val="20"/>
          <w:lang w:val="en-US"/>
        </w:rPr>
      </w:pPr>
    </w:p>
    <w:p w14:paraId="27CEEA98" w14:textId="77777777" w:rsidR="00AE1FA6" w:rsidRPr="00AE1FA6" w:rsidRDefault="00AE1FA6" w:rsidP="008E3E6C">
      <w:pPr>
        <w:rPr>
          <w:rFonts w:ascii="Times New Roman" w:hAnsi="Times New Roman" w:cs="Times New Roman"/>
          <w:b/>
          <w:sz w:val="20"/>
          <w:szCs w:val="20"/>
          <w:lang w:val="en-US"/>
        </w:rPr>
      </w:pPr>
      <w:bookmarkStart w:id="32" w:name="_Toc96332382"/>
      <w:r w:rsidRPr="00AE1FA6">
        <w:rPr>
          <w:rFonts w:ascii="Times New Roman" w:hAnsi="Times New Roman" w:cs="Times New Roman"/>
          <w:b/>
          <w:sz w:val="20"/>
          <w:szCs w:val="20"/>
          <w:lang w:val="en-US"/>
        </w:rPr>
        <w:t>Diagnostics for influential studies</w:t>
      </w:r>
      <w:bookmarkEnd w:id="32"/>
    </w:p>
    <w:p w14:paraId="480A89CF" w14:textId="59E6E908"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Externally standardized residuals produced the highest z-value of 2.90 for the study of ‘</w:t>
      </w:r>
      <w:proofErr w:type="spellStart"/>
      <w:r w:rsidRPr="00AE1FA6">
        <w:rPr>
          <w:rFonts w:ascii="Times New Roman" w:hAnsi="Times New Roman" w:cs="Times New Roman"/>
          <w:sz w:val="20"/>
          <w:szCs w:val="20"/>
          <w:lang w:val="en-US"/>
        </w:rPr>
        <w:t>Blay</w:t>
      </w:r>
      <w:proofErr w:type="spellEnd"/>
      <w:r w:rsidRPr="00AE1FA6">
        <w:rPr>
          <w:rFonts w:ascii="Times New Roman" w:hAnsi="Times New Roman" w:cs="Times New Roman"/>
          <w:sz w:val="20"/>
          <w:szCs w:val="20"/>
          <w:lang w:val="en-US"/>
        </w:rPr>
        <w:t xml:space="preserve"> 2014: Trabectedin’ </w:t>
      </w:r>
      <w:r w:rsidRPr="00AE1FA6">
        <w:rPr>
          <w:rFonts w:ascii="Times New Roman" w:hAnsi="Times New Roman" w:cs="Times New Roman"/>
          <w:sz w:val="20"/>
          <w:szCs w:val="20"/>
          <w:lang w:val="en-US"/>
        </w:rPr>
        <w:fldChar w:fldCharType="begin" w:fldLock="1"/>
      </w:r>
      <w:r w:rsidR="0000797A">
        <w:rPr>
          <w:rFonts w:ascii="Times New Roman" w:hAnsi="Times New Roman" w:cs="Times New Roman"/>
          <w:sz w:val="20"/>
          <w:szCs w:val="20"/>
          <w:lang w:val="en-US"/>
        </w:rPr>
        <w:instrText>ADDIN CSL_CITATION {"citationItems":[{"id":"ITEM-1","itemData":{"DOI":"10.1016/j.ejca.2014.01.012","ISSN":"18790852","PMID":"24512981","abstract":"This randomised phase III trial evaluated first-line trabectedin versus doxorubicin-based chemotherapy (DXCT) in patients with advanced/metastatic translocation-related sarcomas (TRS). Methods Patients were randomly assigned (1:1) to receive trabectedin 1.5 mg/m2 24-h intravenous (i.v.) infusion every 3 weeks (q3wk) (Arm A), or doxorubicin 75 mg/m2 i.v. q3wk, or doxorubicin 60 mg/m2 i.v. plus ifosfamide (range, 6-9 g/m2) i.v. q3wk (Arm B). Progression-free survival (PFS) by independent review was the primary efficacy end-point. Results One hundred and twenty-one patients were randomised; 88 of them had TRS confirmed by central pathology review (efficacy population). Twenty-nine PFS events were assessed by independent review (16 with trabectedin; 13 with DXCT). PFS showed non-significant difference between arms (stratified log rank test, p = 0.9573; hazard ratio = 0.86, p = 0.6992). At the time of this analysis, 63.9% and 58.3% of patients were alive in trabectedin and DXCT arms, respectively. There was no statistically significant difference in survival curves. Response rate according to Response Evaluation Criteria in Solid Tumours (RECIST) v.1.0 was significantly higher in DXCT arm (27.0% versus 5.9%), but response according to Choi criteria showed fewer differences between treatment arms (45.9% versus 37.3%). Safety profile was as expected for both arms, with higher incidence of severe neutropenia, alopecia and mucositis in the DXCT arm. Conclusion Neither trabectedin nor doxorubicin-based chemotherapy showed significant superiority in the first-line treatment of patients with advanced translocation-related sarcoma. © 2014 Elsevier Ltd. All rights reserved.","author":[{"dropping-particle":"","family":"Blay","given":"Jean Yves","non-dropping-particle":"","parse-names":false,"suffix":""},{"dropping-particle":"","family":"Leahy","given":"Michael G.","non-dropping-particle":"","parse-names":false,"suffix":""},{"dropping-particle":"","family":"Nguyen","given":"Binh Bui","non-dropping-particle":"","parse-names":false,"suffix":""},{"dropping-particle":"","family":"Patel","given":"Shreyaskumar R.","non-dropping-particle":"","parse-names":false,"suffix":""},{"dropping-particle":"","family":"Hohenberger","given":"Peter","non-dropping-particle":"","parse-names":false,"suffix":""},{"dropping-particle":"","family":"Santoro","given":"Armando","non-dropping-particle":"","parse-names":false,"suffix":""},{"dropping-particle":"","family":"Staddon","given":"Arthur P.","non-dropping-particle":"","parse-names":false,"suffix":""},{"dropping-particle":"","family":"Penel","given":"Nicolas","non-dropping-particle":"","parse-names":false,"suffix":""},{"dropping-particle":"","family":"Piperno-Neumann","given":"Sophie","non-dropping-particle":"","parse-names":false,"suffix":""},{"dropping-particle":"","family":"Hendifar","given":"Andrew","non-dropping-particle":"","parse-names":false,"suffix":""},{"dropping-particle":"","family":"Lardelli","given":"Pilar","non-dropping-particle":"","parse-names":false,"suffix":""},{"dropping-particle":"","family":"Nieto","given":"Antonio","non-dropping-particle":"","parse-names":false,"suffix":""},{"dropping-particle":"","family":"Alfaro","given":"Vicente","non-dropping-particle":"","parse-names":false,"suffix":""},{"dropping-particle":"","family":"Chawla","given":"Sant P.","non-dropping-particle":"","parse-names":false,"suffix":""}],"container-title":"European Journal of Cancer","id":"ITEM-1","issue":"6","issued":{"date-parts":[["2014"]]},"page":"1137-1147","publisher":"Elsevier Ltd","title":"Randomised phase III trial of trabectedin versus doxorubicin-based chemotherapy as first-line therapy in translocation-related sarcomas","type":"article-journal","volume":"50"},"uris":["http://www.mendeley.com/documents/?uuid=76933edf-ec11-4be8-ac33-692531b37822"]}],"mendeley":{"formattedCitation":"[11]","plainTextFormattedCitation":"[11]","previouslyFormattedCitation":"[11]"},"properties":{"noteIndex":0},"schema":"https://github.com/citation-style-language/schema/raw/master/csl-citation.json"}</w:instrText>
      </w:r>
      <w:r w:rsidRPr="00AE1FA6">
        <w:rPr>
          <w:rFonts w:ascii="Times New Roman" w:hAnsi="Times New Roman" w:cs="Times New Roman"/>
          <w:sz w:val="20"/>
          <w:szCs w:val="20"/>
          <w:lang w:val="en-US"/>
        </w:rPr>
        <w:fldChar w:fldCharType="separate"/>
      </w:r>
      <w:r w:rsidR="0000797A" w:rsidRPr="0000797A">
        <w:rPr>
          <w:rFonts w:ascii="Times New Roman" w:hAnsi="Times New Roman" w:cs="Times New Roman"/>
          <w:noProof/>
          <w:sz w:val="20"/>
          <w:szCs w:val="20"/>
          <w:lang w:val="en-US"/>
        </w:rPr>
        <w:t>[11]</w:t>
      </w:r>
      <w:r w:rsidRPr="00AE1FA6">
        <w:rPr>
          <w:rFonts w:ascii="Times New Roman" w:hAnsi="Times New Roman" w:cs="Times New Roman"/>
          <w:sz w:val="20"/>
          <w:szCs w:val="20"/>
          <w:lang w:val="en-US"/>
        </w:rPr>
        <w:fldChar w:fldCharType="end"/>
      </w:r>
      <w:r w:rsidRPr="00AE1FA6">
        <w:rPr>
          <w:rFonts w:ascii="Times New Roman" w:hAnsi="Times New Roman" w:cs="Times New Roman"/>
          <w:sz w:val="20"/>
          <w:szCs w:val="20"/>
          <w:lang w:val="en-US"/>
        </w:rPr>
        <w:t xml:space="preserve">. This suggests that it might be an influential outlier. </w:t>
      </w:r>
    </w:p>
    <w:p w14:paraId="575593B4"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The </w:t>
      </w:r>
      <w:proofErr w:type="spellStart"/>
      <w:r w:rsidRPr="00AE1FA6">
        <w:rPr>
          <w:rFonts w:ascii="Times New Roman" w:hAnsi="Times New Roman" w:cs="Times New Roman"/>
          <w:sz w:val="20"/>
          <w:szCs w:val="20"/>
          <w:lang w:val="en-US"/>
        </w:rPr>
        <w:t>Baujat</w:t>
      </w:r>
      <w:proofErr w:type="spellEnd"/>
      <w:r w:rsidRPr="00AE1FA6">
        <w:rPr>
          <w:rFonts w:ascii="Times New Roman" w:hAnsi="Times New Roman" w:cs="Times New Roman"/>
          <w:sz w:val="20"/>
          <w:szCs w:val="20"/>
          <w:lang w:val="en-US"/>
        </w:rPr>
        <w:t xml:space="preserve"> plot in fig. 7 projects line with number 12 (</w:t>
      </w:r>
      <w:proofErr w:type="spellStart"/>
      <w:r w:rsidRPr="00AE1FA6">
        <w:rPr>
          <w:rFonts w:ascii="Times New Roman" w:hAnsi="Times New Roman" w:cs="Times New Roman"/>
          <w:sz w:val="20"/>
          <w:szCs w:val="20"/>
          <w:lang w:val="en-US"/>
        </w:rPr>
        <w:t>Blay</w:t>
      </w:r>
      <w:proofErr w:type="spellEnd"/>
      <w:r w:rsidRPr="00AE1FA6">
        <w:rPr>
          <w:rFonts w:ascii="Times New Roman" w:hAnsi="Times New Roman" w:cs="Times New Roman"/>
          <w:sz w:val="20"/>
          <w:szCs w:val="20"/>
          <w:lang w:val="en-US"/>
        </w:rPr>
        <w:t xml:space="preserve"> 2014: Trabectedin) on the right corner. This study contributes to heterogeneity and is the most influential for the meta-analysis.</w:t>
      </w:r>
    </w:p>
    <w:p w14:paraId="09104180"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drawing>
          <wp:inline distT="0" distB="0" distL="0" distR="0" wp14:anchorId="54B7E23D" wp14:editId="2D6F0F4F">
            <wp:extent cx="6031230" cy="3357245"/>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aujat.PNG"/>
                    <pic:cNvPicPr/>
                  </pic:nvPicPr>
                  <pic:blipFill>
                    <a:blip r:embed="rId16">
                      <a:extLst>
                        <a:ext uri="{28A0092B-C50C-407E-A947-70E740481C1C}">
                          <a14:useLocalDpi xmlns:a14="http://schemas.microsoft.com/office/drawing/2010/main" val="0"/>
                        </a:ext>
                      </a:extLst>
                    </a:blip>
                    <a:stretch>
                      <a:fillRect/>
                    </a:stretch>
                  </pic:blipFill>
                  <pic:spPr>
                    <a:xfrm>
                      <a:off x="0" y="0"/>
                      <a:ext cx="6031230" cy="3357245"/>
                    </a:xfrm>
                    <a:prstGeom prst="rect">
                      <a:avLst/>
                    </a:prstGeom>
                  </pic:spPr>
                </pic:pic>
              </a:graphicData>
            </a:graphic>
          </wp:inline>
        </w:drawing>
      </w:r>
    </w:p>
    <w:p w14:paraId="4FAD8E8F" w14:textId="077BC045" w:rsidR="00AE1FA6" w:rsidRPr="00AE1FA6" w:rsidRDefault="008E3E6C" w:rsidP="00AE1FA6">
      <w:pPr>
        <w:rPr>
          <w:rFonts w:ascii="Times New Roman" w:hAnsi="Times New Roman" w:cs="Times New Roman"/>
          <w:bCs/>
          <w:sz w:val="20"/>
          <w:szCs w:val="20"/>
          <w:lang w:val="en-US"/>
        </w:rPr>
      </w:pPr>
      <w:r>
        <w:rPr>
          <w:rFonts w:ascii="Times New Roman" w:hAnsi="Times New Roman" w:cs="Times New Roman"/>
          <w:bCs/>
          <w:sz w:val="20"/>
          <w:szCs w:val="20"/>
          <w:lang w:val="en-US"/>
        </w:rPr>
        <w:t>Fig. A5</w:t>
      </w:r>
      <w:r w:rsidR="00AE1FA6" w:rsidRPr="00AE1FA6">
        <w:rPr>
          <w:rFonts w:ascii="Times New Roman" w:hAnsi="Times New Roman" w:cs="Times New Roman"/>
          <w:bCs/>
          <w:sz w:val="20"/>
          <w:szCs w:val="20"/>
          <w:lang w:val="en-US"/>
        </w:rPr>
        <w:t xml:space="preserve">. </w:t>
      </w:r>
      <w:proofErr w:type="spellStart"/>
      <w:r w:rsidR="00AE1FA6" w:rsidRPr="00AE1FA6">
        <w:rPr>
          <w:rFonts w:ascii="Times New Roman" w:hAnsi="Times New Roman" w:cs="Times New Roman"/>
          <w:bCs/>
          <w:sz w:val="20"/>
          <w:szCs w:val="20"/>
          <w:lang w:val="en-US"/>
        </w:rPr>
        <w:t>Baujat</w:t>
      </w:r>
      <w:proofErr w:type="spellEnd"/>
      <w:r w:rsidR="00AE1FA6" w:rsidRPr="00AE1FA6">
        <w:rPr>
          <w:rFonts w:ascii="Times New Roman" w:hAnsi="Times New Roman" w:cs="Times New Roman"/>
          <w:bCs/>
          <w:sz w:val="20"/>
          <w:szCs w:val="20"/>
          <w:lang w:val="en-US"/>
        </w:rPr>
        <w:t xml:space="preserve"> plot of the stu</w:t>
      </w:r>
      <w:r w:rsidR="009516F5">
        <w:rPr>
          <w:rFonts w:ascii="Times New Roman" w:hAnsi="Times New Roman" w:cs="Times New Roman"/>
          <w:bCs/>
          <w:sz w:val="20"/>
          <w:szCs w:val="20"/>
          <w:lang w:val="en-US"/>
        </w:rPr>
        <w:t>dies for PFS at 6 months (first-</w:t>
      </w:r>
      <w:r w:rsidR="00AE1FA6" w:rsidRPr="00AE1FA6">
        <w:rPr>
          <w:rFonts w:ascii="Times New Roman" w:hAnsi="Times New Roman" w:cs="Times New Roman"/>
          <w:bCs/>
          <w:sz w:val="20"/>
          <w:szCs w:val="20"/>
          <w:lang w:val="en-US"/>
        </w:rPr>
        <w:t>line patients).</w:t>
      </w:r>
    </w:p>
    <w:p w14:paraId="5042F397" w14:textId="77777777" w:rsidR="00AE1FA6" w:rsidRPr="00AE1FA6" w:rsidRDefault="00AE1FA6" w:rsidP="00AE1FA6">
      <w:pPr>
        <w:rPr>
          <w:rFonts w:ascii="Times New Roman" w:hAnsi="Times New Roman" w:cs="Times New Roman"/>
          <w:sz w:val="20"/>
          <w:szCs w:val="20"/>
          <w:lang w:val="en-US"/>
        </w:rPr>
      </w:pPr>
    </w:p>
    <w:p w14:paraId="3387DA6C" w14:textId="77777777" w:rsidR="00AE1FA6" w:rsidRPr="00AE1FA6" w:rsidRDefault="00AE1FA6" w:rsidP="008E3E6C">
      <w:pPr>
        <w:rPr>
          <w:rFonts w:ascii="Times New Roman" w:hAnsi="Times New Roman" w:cs="Times New Roman"/>
          <w:b/>
          <w:sz w:val="20"/>
          <w:szCs w:val="20"/>
          <w:lang w:val="en-US"/>
        </w:rPr>
      </w:pPr>
      <w:bookmarkStart w:id="33" w:name="_Toc96332383"/>
      <w:r w:rsidRPr="00AE1FA6">
        <w:rPr>
          <w:rFonts w:ascii="Times New Roman" w:hAnsi="Times New Roman" w:cs="Times New Roman"/>
          <w:b/>
          <w:sz w:val="20"/>
          <w:szCs w:val="20"/>
          <w:lang w:val="en-US"/>
        </w:rPr>
        <w:t>Sensitivity meta-analysis</w:t>
      </w:r>
      <w:bookmarkEnd w:id="33"/>
    </w:p>
    <w:p w14:paraId="7DD330A8"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In this subsection, we perform a sensitivity analysis removing the study of </w:t>
      </w:r>
      <w:proofErr w:type="spellStart"/>
      <w:r w:rsidRPr="00AE1FA6">
        <w:rPr>
          <w:rFonts w:ascii="Times New Roman" w:hAnsi="Times New Roman" w:cs="Times New Roman"/>
          <w:sz w:val="20"/>
          <w:szCs w:val="20"/>
          <w:lang w:val="en-US"/>
        </w:rPr>
        <w:t>Blay</w:t>
      </w:r>
      <w:proofErr w:type="spellEnd"/>
      <w:r w:rsidRPr="00AE1FA6">
        <w:rPr>
          <w:rFonts w:ascii="Times New Roman" w:hAnsi="Times New Roman" w:cs="Times New Roman"/>
          <w:sz w:val="20"/>
          <w:szCs w:val="20"/>
          <w:lang w:val="en-US"/>
        </w:rPr>
        <w:t xml:space="preserve"> 2014: Trabectedin from the database and re-fitting a random effects model.  </w:t>
      </w:r>
    </w:p>
    <w:p w14:paraId="29FE8B8D" w14:textId="77777777" w:rsidR="00AE1FA6" w:rsidRPr="00AE1FA6" w:rsidRDefault="00AE1FA6" w:rsidP="00AE1FA6">
      <w:pPr>
        <w:rPr>
          <w:rFonts w:ascii="Times New Roman" w:hAnsi="Times New Roman" w:cs="Times New Roman"/>
          <w:sz w:val="20"/>
          <w:szCs w:val="20"/>
          <w:lang w:val="en-US"/>
        </w:rPr>
      </w:pPr>
    </w:p>
    <w:p w14:paraId="253C7711"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drawing>
          <wp:inline distT="0" distB="0" distL="0" distR="0" wp14:anchorId="18AB18AD" wp14:editId="76DE698E">
            <wp:extent cx="5883639" cy="3536502"/>
            <wp:effectExtent l="0" t="0" r="317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fs6m_first_without_blay2014_trabectedin.PNG"/>
                    <pic:cNvPicPr/>
                  </pic:nvPicPr>
                  <pic:blipFill>
                    <a:blip r:embed="rId17">
                      <a:extLst>
                        <a:ext uri="{28A0092B-C50C-407E-A947-70E740481C1C}">
                          <a14:useLocalDpi xmlns:a14="http://schemas.microsoft.com/office/drawing/2010/main" val="0"/>
                        </a:ext>
                      </a:extLst>
                    </a:blip>
                    <a:stretch>
                      <a:fillRect/>
                    </a:stretch>
                  </pic:blipFill>
                  <pic:spPr>
                    <a:xfrm>
                      <a:off x="0" y="0"/>
                      <a:ext cx="5896817" cy="3544423"/>
                    </a:xfrm>
                    <a:prstGeom prst="rect">
                      <a:avLst/>
                    </a:prstGeom>
                  </pic:spPr>
                </pic:pic>
              </a:graphicData>
            </a:graphic>
          </wp:inline>
        </w:drawing>
      </w:r>
    </w:p>
    <w:p w14:paraId="1BB08EA9" w14:textId="440DE738" w:rsidR="00AE1FA6" w:rsidRPr="00AE1FA6" w:rsidRDefault="008E3E6C" w:rsidP="00AE1FA6">
      <w:pPr>
        <w:rPr>
          <w:rFonts w:ascii="Times New Roman" w:hAnsi="Times New Roman" w:cs="Times New Roman"/>
          <w:bCs/>
          <w:sz w:val="20"/>
          <w:szCs w:val="20"/>
          <w:lang w:val="en-US"/>
        </w:rPr>
      </w:pPr>
      <w:r>
        <w:rPr>
          <w:rFonts w:ascii="Times New Roman" w:hAnsi="Times New Roman" w:cs="Times New Roman"/>
          <w:bCs/>
          <w:sz w:val="20"/>
          <w:szCs w:val="20"/>
          <w:lang w:val="en-US"/>
        </w:rPr>
        <w:t>Fig. A6</w:t>
      </w:r>
      <w:r w:rsidR="00AE1FA6" w:rsidRPr="00AE1FA6">
        <w:rPr>
          <w:rFonts w:ascii="Times New Roman" w:hAnsi="Times New Roman" w:cs="Times New Roman"/>
          <w:bCs/>
          <w:sz w:val="20"/>
          <w:szCs w:val="20"/>
          <w:lang w:val="en-US"/>
        </w:rPr>
        <w:t xml:space="preserve">. Forest plot of LPS for PFS at 6 months excluding </w:t>
      </w:r>
      <w:r w:rsidR="009516F5">
        <w:rPr>
          <w:rFonts w:ascii="Times New Roman" w:hAnsi="Times New Roman" w:cs="Times New Roman"/>
          <w:bCs/>
          <w:sz w:val="20"/>
          <w:szCs w:val="20"/>
          <w:lang w:val="en-US"/>
        </w:rPr>
        <w:t>‘</w:t>
      </w:r>
      <w:proofErr w:type="spellStart"/>
      <w:r w:rsidR="009516F5">
        <w:rPr>
          <w:rFonts w:ascii="Times New Roman" w:hAnsi="Times New Roman" w:cs="Times New Roman"/>
          <w:bCs/>
          <w:sz w:val="20"/>
          <w:szCs w:val="20"/>
          <w:lang w:val="en-US"/>
        </w:rPr>
        <w:t>Blay</w:t>
      </w:r>
      <w:proofErr w:type="spellEnd"/>
      <w:r w:rsidR="009516F5">
        <w:rPr>
          <w:rFonts w:ascii="Times New Roman" w:hAnsi="Times New Roman" w:cs="Times New Roman"/>
          <w:bCs/>
          <w:sz w:val="20"/>
          <w:szCs w:val="20"/>
          <w:lang w:val="en-US"/>
        </w:rPr>
        <w:t xml:space="preserve"> 2014: Trabectedin' (first-</w:t>
      </w:r>
      <w:r w:rsidR="00AE1FA6" w:rsidRPr="00AE1FA6">
        <w:rPr>
          <w:rFonts w:ascii="Times New Roman" w:hAnsi="Times New Roman" w:cs="Times New Roman"/>
          <w:bCs/>
          <w:sz w:val="20"/>
          <w:szCs w:val="20"/>
          <w:lang w:val="en-US"/>
        </w:rPr>
        <w:t>line patients).</w:t>
      </w:r>
    </w:p>
    <w:p w14:paraId="5F5DA7CF" w14:textId="77777777" w:rsidR="00AE1FA6" w:rsidRPr="00AE1FA6" w:rsidRDefault="00AE1FA6" w:rsidP="00AE1FA6">
      <w:pPr>
        <w:rPr>
          <w:rFonts w:ascii="Times New Roman" w:hAnsi="Times New Roman" w:cs="Times New Roman"/>
          <w:sz w:val="20"/>
          <w:szCs w:val="20"/>
          <w:lang w:val="en-US"/>
        </w:rPr>
      </w:pPr>
    </w:p>
    <w:p w14:paraId="26FB95CE"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Overall effect size of the meta-analysis decreased to 0.53 (0.43-0.63) from 0.56 (0.45-0.67). Overall heterogeneity dropped slightly from 63% (p &lt; 0.01) to 56% (p &lt; 0.01). The study was removed from the non-recommended treatments. The estimate of the subgroup has been recalculated to 0.41 (0.26 – 0.57) from 0.48 (0.31 – 0.66). Heterogeneity was decreased from 76% (p &lt; 0.01) to 63% (p = 0.03). Test of moderator with drugs grouped as recommended or not is not significant (p = 0.06). </w:t>
      </w:r>
    </w:p>
    <w:p w14:paraId="1CAEBF01" w14:textId="77777777" w:rsidR="00AE1FA6" w:rsidRPr="00AE1FA6" w:rsidRDefault="00AE1FA6" w:rsidP="00AE1FA6">
      <w:pPr>
        <w:rPr>
          <w:rFonts w:ascii="Times New Roman" w:hAnsi="Times New Roman" w:cs="Times New Roman"/>
          <w:sz w:val="20"/>
          <w:szCs w:val="20"/>
          <w:lang w:val="en-US"/>
        </w:rPr>
      </w:pPr>
    </w:p>
    <w:p w14:paraId="76E2418E" w14:textId="77777777" w:rsidR="00AE1FA6" w:rsidRPr="00AE1FA6" w:rsidRDefault="00AE1FA6" w:rsidP="00AE1FA6">
      <w:pPr>
        <w:rPr>
          <w:rFonts w:ascii="Times New Roman" w:hAnsi="Times New Roman" w:cs="Times New Roman"/>
          <w:sz w:val="20"/>
          <w:szCs w:val="20"/>
          <w:lang w:val="en-US"/>
        </w:rPr>
      </w:pPr>
    </w:p>
    <w:p w14:paraId="60F9EDA1" w14:textId="77777777" w:rsidR="00AE1FA6" w:rsidRPr="00AE1FA6" w:rsidRDefault="00AE1FA6" w:rsidP="008E3E6C">
      <w:pPr>
        <w:rPr>
          <w:rFonts w:ascii="Times New Roman" w:hAnsi="Times New Roman" w:cs="Times New Roman"/>
          <w:b/>
          <w:sz w:val="20"/>
          <w:szCs w:val="20"/>
          <w:lang w:val="en-US"/>
        </w:rPr>
      </w:pPr>
      <w:bookmarkStart w:id="34" w:name="_Toc96332384"/>
      <w:r w:rsidRPr="00AE1FA6">
        <w:rPr>
          <w:rFonts w:ascii="Times New Roman" w:hAnsi="Times New Roman" w:cs="Times New Roman"/>
          <w:b/>
          <w:sz w:val="20"/>
          <w:szCs w:val="20"/>
          <w:lang w:val="en-US"/>
        </w:rPr>
        <w:t>Meta-regressions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521"/>
      </w:tblGrid>
      <w:tr w:rsidR="00AE1FA6" w:rsidRPr="00AE1FA6" w14:paraId="5714F36E" w14:textId="77777777" w:rsidTr="00AE1FA6">
        <w:tc>
          <w:tcPr>
            <w:tcW w:w="4744" w:type="dxa"/>
          </w:tcPr>
          <w:p w14:paraId="6F1E1BDE"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Moderator</w:t>
            </w:r>
          </w:p>
          <w:p w14:paraId="71200071" w14:textId="77777777" w:rsidR="00AE1FA6" w:rsidRPr="008E3E6C" w:rsidRDefault="00AE1FA6" w:rsidP="00AE1FA6">
            <w:pPr>
              <w:rPr>
                <w:rFonts w:ascii="Times New Roman" w:hAnsi="Times New Roman" w:cs="Times New Roman"/>
                <w:b/>
                <w:bCs/>
                <w:sz w:val="16"/>
                <w:szCs w:val="16"/>
                <w:lang w:val="en-US"/>
              </w:rPr>
            </w:pPr>
          </w:p>
        </w:tc>
        <w:tc>
          <w:tcPr>
            <w:tcW w:w="4744" w:type="dxa"/>
          </w:tcPr>
          <w:p w14:paraId="73BDE55C"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Dichotomization </w:t>
            </w:r>
            <w:r w:rsidRPr="008E3E6C">
              <w:rPr>
                <w:rFonts w:ascii="Times New Roman" w:hAnsi="Times New Roman" w:cs="Times New Roman"/>
                <w:sz w:val="16"/>
                <w:szCs w:val="16"/>
                <w:lang w:val="en-US"/>
              </w:rPr>
              <w:t>(first group reference, count of studies in parenthesis)</w:t>
            </w:r>
          </w:p>
        </w:tc>
      </w:tr>
      <w:tr w:rsidR="00AE1FA6" w:rsidRPr="00AE1FA6" w14:paraId="30EB7727" w14:textId="77777777" w:rsidTr="00AE1FA6">
        <w:tc>
          <w:tcPr>
            <w:tcW w:w="4744" w:type="dxa"/>
          </w:tcPr>
          <w:p w14:paraId="59CBAA49"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Phase of the trial</w:t>
            </w:r>
          </w:p>
        </w:tc>
        <w:tc>
          <w:tcPr>
            <w:tcW w:w="4744" w:type="dxa"/>
          </w:tcPr>
          <w:p w14:paraId="75509ED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 (4), greater than 2 (10)</w:t>
            </w:r>
          </w:p>
        </w:tc>
      </w:tr>
      <w:tr w:rsidR="00AE1FA6" w:rsidRPr="00AE1FA6" w14:paraId="7C861FD6" w14:textId="77777777" w:rsidTr="00AE1FA6">
        <w:tc>
          <w:tcPr>
            <w:tcW w:w="4744" w:type="dxa"/>
          </w:tcPr>
          <w:p w14:paraId="5446D82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 xml:space="preserve">Study design </w:t>
            </w:r>
          </w:p>
        </w:tc>
        <w:tc>
          <w:tcPr>
            <w:tcW w:w="4744" w:type="dxa"/>
          </w:tcPr>
          <w:p w14:paraId="3CE01B5A"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Randomized (13), non-randomized (1)</w:t>
            </w:r>
          </w:p>
        </w:tc>
      </w:tr>
      <w:tr w:rsidR="00AE1FA6" w:rsidRPr="00AE1FA6" w14:paraId="7367EF9B" w14:textId="77777777" w:rsidTr="00AE1FA6">
        <w:tc>
          <w:tcPr>
            <w:tcW w:w="4744" w:type="dxa"/>
          </w:tcPr>
          <w:p w14:paraId="40805445"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Year of activation</w:t>
            </w:r>
          </w:p>
        </w:tc>
        <w:tc>
          <w:tcPr>
            <w:tcW w:w="4744" w:type="dxa"/>
          </w:tcPr>
          <w:p w14:paraId="162DBAE7"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2000-2010 (9), 2011-2015 (5)</w:t>
            </w:r>
          </w:p>
        </w:tc>
      </w:tr>
      <w:tr w:rsidR="00AE1FA6" w:rsidRPr="00AE1FA6" w14:paraId="02B48593" w14:textId="77777777" w:rsidTr="00AE1FA6">
        <w:tc>
          <w:tcPr>
            <w:tcW w:w="4744" w:type="dxa"/>
          </w:tcPr>
          <w:p w14:paraId="755FF648"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Sample size</w:t>
            </w:r>
          </w:p>
        </w:tc>
        <w:tc>
          <w:tcPr>
            <w:tcW w:w="4744" w:type="dxa"/>
          </w:tcPr>
          <w:p w14:paraId="7D78146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10-24 (10), &gt;24 (4)</w:t>
            </w:r>
          </w:p>
        </w:tc>
      </w:tr>
    </w:tbl>
    <w:p w14:paraId="62750223"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Again, there is only two non-randomized studies. Thus, we did not consider study design as a moderator.</w:t>
      </w:r>
    </w:p>
    <w:p w14:paraId="3DDFD93A" w14:textId="77777777" w:rsidR="00AE1FA6" w:rsidRPr="00AE1FA6" w:rsidRDefault="00AE1FA6" w:rsidP="00AE1FA6">
      <w:pPr>
        <w:rPr>
          <w:rFonts w:ascii="Times New Roman" w:hAnsi="Times New Roman" w:cs="Times New Roman"/>
          <w:sz w:val="20"/>
          <w:szCs w:val="20"/>
          <w:lang w:val="en-US"/>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1750"/>
        <w:gridCol w:w="1750"/>
        <w:gridCol w:w="1750"/>
        <w:gridCol w:w="1750"/>
      </w:tblGrid>
      <w:tr w:rsidR="00AE1FA6" w:rsidRPr="00AE1FA6" w14:paraId="2273DB7C" w14:textId="77777777" w:rsidTr="00AE1FA6">
        <w:tc>
          <w:tcPr>
            <w:tcW w:w="2488" w:type="dxa"/>
          </w:tcPr>
          <w:p w14:paraId="4F9D4EC0"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lastRenderedPageBreak/>
              <w:t xml:space="preserve">Moderator </w:t>
            </w:r>
          </w:p>
          <w:p w14:paraId="60E2FCEE"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(univariate analysis)</w:t>
            </w:r>
          </w:p>
        </w:tc>
        <w:tc>
          <w:tcPr>
            <w:tcW w:w="1750" w:type="dxa"/>
          </w:tcPr>
          <w:p w14:paraId="7F0E26DA"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Estimated PFS (vs ref level)</w:t>
            </w:r>
          </w:p>
        </w:tc>
        <w:tc>
          <w:tcPr>
            <w:tcW w:w="1750" w:type="dxa"/>
          </w:tcPr>
          <w:p w14:paraId="5CF564B7"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Test for moderator</w:t>
            </w:r>
          </w:p>
          <w:p w14:paraId="4D25B37F"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P-value</w:t>
            </w:r>
          </w:p>
        </w:tc>
        <w:tc>
          <w:tcPr>
            <w:tcW w:w="1750" w:type="dxa"/>
          </w:tcPr>
          <w:p w14:paraId="3A63E202"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Residual heterogeneity (I</w:t>
            </w:r>
            <w:r w:rsidRPr="008E3E6C">
              <w:rPr>
                <w:rFonts w:ascii="Times New Roman" w:hAnsi="Times New Roman" w:cs="Times New Roman"/>
                <w:b/>
                <w:bCs/>
                <w:sz w:val="16"/>
                <w:szCs w:val="16"/>
                <w:vertAlign w:val="superscript"/>
                <w:lang w:val="en-US"/>
              </w:rPr>
              <w:t>2</w:t>
            </w:r>
            <w:r w:rsidRPr="008E3E6C">
              <w:rPr>
                <w:rFonts w:ascii="Times New Roman" w:hAnsi="Times New Roman" w:cs="Times New Roman"/>
                <w:b/>
                <w:bCs/>
                <w:sz w:val="16"/>
                <w:szCs w:val="16"/>
                <w:lang w:val="en-US"/>
              </w:rPr>
              <w:t>)</w:t>
            </w:r>
          </w:p>
          <w:p w14:paraId="24E23C85" w14:textId="77777777" w:rsidR="00AE1FA6" w:rsidRPr="008E3E6C" w:rsidRDefault="00AE1FA6" w:rsidP="00AE1FA6">
            <w:pPr>
              <w:rPr>
                <w:rFonts w:ascii="Times New Roman" w:hAnsi="Times New Roman" w:cs="Times New Roman"/>
                <w:b/>
                <w:bCs/>
                <w:sz w:val="16"/>
                <w:szCs w:val="16"/>
                <w:lang w:val="en-US"/>
              </w:rPr>
            </w:pPr>
          </w:p>
        </w:tc>
        <w:tc>
          <w:tcPr>
            <w:tcW w:w="1750" w:type="dxa"/>
          </w:tcPr>
          <w:p w14:paraId="16389356"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Test for residual heterogeneity </w:t>
            </w:r>
          </w:p>
          <w:p w14:paraId="1378F5A1"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P-value</w:t>
            </w:r>
          </w:p>
        </w:tc>
      </w:tr>
      <w:tr w:rsidR="00AE1FA6" w:rsidRPr="00AE1FA6" w14:paraId="78FCA2F9" w14:textId="77777777" w:rsidTr="00AE1FA6">
        <w:tc>
          <w:tcPr>
            <w:tcW w:w="2488" w:type="dxa"/>
          </w:tcPr>
          <w:p w14:paraId="51B7EE2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Phase of the trial:</w:t>
            </w:r>
          </w:p>
          <w:p w14:paraId="18381A4C"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greater than 2</w:t>
            </w:r>
          </w:p>
        </w:tc>
        <w:tc>
          <w:tcPr>
            <w:tcW w:w="1750" w:type="dxa"/>
          </w:tcPr>
          <w:p w14:paraId="3B559E11"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0.60 (vs 0.46)</w:t>
            </w:r>
          </w:p>
        </w:tc>
        <w:tc>
          <w:tcPr>
            <w:tcW w:w="1750" w:type="dxa"/>
          </w:tcPr>
          <w:p w14:paraId="5E9DBE74"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0.28</w:t>
            </w:r>
          </w:p>
        </w:tc>
        <w:tc>
          <w:tcPr>
            <w:tcW w:w="1750" w:type="dxa"/>
          </w:tcPr>
          <w:p w14:paraId="64A03E88"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63.68%</w:t>
            </w:r>
          </w:p>
        </w:tc>
        <w:tc>
          <w:tcPr>
            <w:tcW w:w="1750" w:type="dxa"/>
          </w:tcPr>
          <w:p w14:paraId="728BD1C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r w:rsidR="00AE1FA6" w:rsidRPr="00AE1FA6" w14:paraId="7E90D96C" w14:textId="77777777" w:rsidTr="00AE1FA6">
        <w:tc>
          <w:tcPr>
            <w:tcW w:w="2488" w:type="dxa"/>
          </w:tcPr>
          <w:p w14:paraId="0F053441"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Year of activation:</w:t>
            </w:r>
          </w:p>
          <w:p w14:paraId="55B2569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2011-2015</w:t>
            </w:r>
          </w:p>
        </w:tc>
        <w:tc>
          <w:tcPr>
            <w:tcW w:w="1750" w:type="dxa"/>
          </w:tcPr>
          <w:p w14:paraId="35B0A271"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0.50 (vs 0.60)</w:t>
            </w:r>
          </w:p>
        </w:tc>
        <w:tc>
          <w:tcPr>
            <w:tcW w:w="1750" w:type="dxa"/>
          </w:tcPr>
          <w:p w14:paraId="54549CBF"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0.39</w:t>
            </w:r>
          </w:p>
        </w:tc>
        <w:tc>
          <w:tcPr>
            <w:tcW w:w="1750" w:type="dxa"/>
          </w:tcPr>
          <w:p w14:paraId="4D0E211B"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64.73%</w:t>
            </w:r>
          </w:p>
        </w:tc>
        <w:tc>
          <w:tcPr>
            <w:tcW w:w="1750" w:type="dxa"/>
          </w:tcPr>
          <w:p w14:paraId="3218DADB"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r w:rsidR="00AE1FA6" w:rsidRPr="00AE1FA6" w14:paraId="16E7D281" w14:textId="77777777" w:rsidTr="00AE1FA6">
        <w:tc>
          <w:tcPr>
            <w:tcW w:w="2488" w:type="dxa"/>
          </w:tcPr>
          <w:p w14:paraId="15F20A95"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Sample size: &gt;24</w:t>
            </w:r>
          </w:p>
        </w:tc>
        <w:tc>
          <w:tcPr>
            <w:tcW w:w="1750" w:type="dxa"/>
          </w:tcPr>
          <w:p w14:paraId="018CC3D5"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0.59 (vs 0.54)</w:t>
            </w:r>
          </w:p>
        </w:tc>
        <w:tc>
          <w:tcPr>
            <w:tcW w:w="1750" w:type="dxa"/>
          </w:tcPr>
          <w:p w14:paraId="104183B8"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0.67</w:t>
            </w:r>
          </w:p>
        </w:tc>
        <w:tc>
          <w:tcPr>
            <w:tcW w:w="1750" w:type="dxa"/>
          </w:tcPr>
          <w:p w14:paraId="3C66EC4F"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64.75%</w:t>
            </w:r>
          </w:p>
        </w:tc>
        <w:tc>
          <w:tcPr>
            <w:tcW w:w="1750" w:type="dxa"/>
          </w:tcPr>
          <w:p w14:paraId="53845619"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bl>
    <w:p w14:paraId="56835509" w14:textId="77777777" w:rsidR="00AE1FA6" w:rsidRPr="00AE1FA6" w:rsidRDefault="00AE1FA6" w:rsidP="00AE1FA6">
      <w:pPr>
        <w:rPr>
          <w:rFonts w:ascii="Times New Roman" w:hAnsi="Times New Roman" w:cs="Times New Roman"/>
          <w:sz w:val="20"/>
          <w:szCs w:val="20"/>
          <w:lang w:val="en-US"/>
        </w:rPr>
      </w:pPr>
    </w:p>
    <w:p w14:paraId="076220A0"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For studies of phase greater than 2 the effect size is increased. The omnibus test for the effect of the moderator provided a p-value of 0.28, not statistically significant. Residual heterogeneity is 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63.68%, p &lt; 0.01).  </w:t>
      </w:r>
    </w:p>
    <w:p w14:paraId="5A8A523F"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A year of activation between 2011 and 2015 has a negative effect on the proportion of PFS against a study activated </w:t>
      </w:r>
      <w:proofErr w:type="gramStart"/>
      <w:r w:rsidRPr="00AE1FA6">
        <w:rPr>
          <w:rFonts w:ascii="Times New Roman" w:hAnsi="Times New Roman" w:cs="Times New Roman"/>
          <w:sz w:val="20"/>
          <w:szCs w:val="20"/>
          <w:lang w:val="en-US"/>
        </w:rPr>
        <w:t>between 2000-2010,</w:t>
      </w:r>
      <w:proofErr w:type="gramEnd"/>
      <w:r w:rsidRPr="00AE1FA6">
        <w:rPr>
          <w:rFonts w:ascii="Times New Roman" w:hAnsi="Times New Roman" w:cs="Times New Roman"/>
          <w:sz w:val="20"/>
          <w:szCs w:val="20"/>
          <w:lang w:val="en-US"/>
        </w:rPr>
        <w:t xml:space="preserve"> but not statistically significant (p = 0.39). Residual heterogeneity is 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64.73%, p &lt; 0.01). </w:t>
      </w:r>
    </w:p>
    <w:p w14:paraId="0782169A"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A sample size above 24 patients has a positive effect (0.21 units added to the intercept) on the observed proportion, however not significant (p = 0.67). Again, residual heterogeneity is high (I</w:t>
      </w:r>
      <w:r w:rsidRPr="00AE1FA6">
        <w:rPr>
          <w:rFonts w:ascii="Times New Roman" w:hAnsi="Times New Roman" w:cs="Times New Roman"/>
          <w:sz w:val="20"/>
          <w:szCs w:val="20"/>
          <w:vertAlign w:val="superscript"/>
          <w:lang w:val="en-US"/>
        </w:rPr>
        <w:t xml:space="preserve">2 </w:t>
      </w:r>
      <w:r w:rsidRPr="00AE1FA6">
        <w:rPr>
          <w:rFonts w:ascii="Times New Roman" w:hAnsi="Times New Roman" w:cs="Times New Roman"/>
          <w:sz w:val="20"/>
          <w:szCs w:val="20"/>
          <w:lang w:val="en-US"/>
        </w:rPr>
        <w:t xml:space="preserve">= 64.75%, p &lt; 0.01). </w:t>
      </w:r>
    </w:p>
    <w:p w14:paraId="24A9D203"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We did not perform any multivariate moderator analysis as none of these moderators was statistically significant and residual heterogeneity was high.</w:t>
      </w:r>
    </w:p>
    <w:p w14:paraId="21EA7C2E" w14:textId="77777777" w:rsidR="00AE1FA6" w:rsidRPr="00AE1FA6" w:rsidRDefault="00AE1FA6" w:rsidP="00AE1FA6">
      <w:pPr>
        <w:rPr>
          <w:rFonts w:ascii="Times New Roman" w:hAnsi="Times New Roman" w:cs="Times New Roman"/>
          <w:sz w:val="20"/>
          <w:szCs w:val="20"/>
          <w:lang w:val="en-US"/>
        </w:rPr>
      </w:pPr>
    </w:p>
    <w:p w14:paraId="3BAAC84D" w14:textId="77777777" w:rsidR="00AE1FA6" w:rsidRPr="008E3E6C" w:rsidRDefault="00AE1FA6" w:rsidP="008E3E6C">
      <w:pPr>
        <w:pStyle w:val="Heading3"/>
        <w:rPr>
          <w:rFonts w:ascii="Times New Roman" w:hAnsi="Times New Roman" w:cs="Times New Roman"/>
          <w:b/>
          <w:color w:val="auto"/>
          <w:sz w:val="20"/>
          <w:szCs w:val="20"/>
          <w:lang w:val="en-US"/>
        </w:rPr>
      </w:pPr>
      <w:bookmarkStart w:id="35" w:name="_Toc96332385"/>
      <w:bookmarkStart w:id="36" w:name="_Toc97281449"/>
      <w:r w:rsidRPr="008E3E6C">
        <w:rPr>
          <w:rFonts w:ascii="Times New Roman" w:hAnsi="Times New Roman" w:cs="Times New Roman"/>
          <w:b/>
          <w:color w:val="auto"/>
          <w:sz w:val="20"/>
          <w:szCs w:val="20"/>
          <w:lang w:val="en-US"/>
        </w:rPr>
        <w:t>Analysis for pre-treated patients at 3 months</w:t>
      </w:r>
      <w:bookmarkEnd w:id="35"/>
      <w:bookmarkEnd w:id="36"/>
    </w:p>
    <w:p w14:paraId="21D318C7"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Our database consists of 17 trials, corresponding to 19 different therapeutic combinations (19 lines in long format). </w:t>
      </w:r>
    </w:p>
    <w:p w14:paraId="3A6A45DD" w14:textId="77777777" w:rsidR="00AE1FA6" w:rsidRPr="00AE1FA6" w:rsidRDefault="00AE1FA6" w:rsidP="00AE1FA6">
      <w:pPr>
        <w:rPr>
          <w:rFonts w:ascii="Times New Roman" w:hAnsi="Times New Roman" w:cs="Times New Roman"/>
          <w:sz w:val="20"/>
          <w:szCs w:val="20"/>
          <w:lang w:val="en-US"/>
        </w:rPr>
      </w:pPr>
    </w:p>
    <w:p w14:paraId="1A06F246" w14:textId="77777777" w:rsidR="00AE1FA6" w:rsidRPr="00AE1FA6" w:rsidRDefault="00AE1FA6" w:rsidP="00AE1FA6">
      <w:pPr>
        <w:rPr>
          <w:rFonts w:ascii="Times New Roman" w:hAnsi="Times New Roman" w:cs="Times New Roman"/>
          <w:sz w:val="20"/>
          <w:szCs w:val="20"/>
          <w:lang w:val="en-US"/>
        </w:rPr>
      </w:pPr>
    </w:p>
    <w:p w14:paraId="178929BE" w14:textId="77777777" w:rsidR="00AE1FA6" w:rsidRPr="00AE1FA6" w:rsidRDefault="00AE1FA6" w:rsidP="008E3E6C">
      <w:pPr>
        <w:rPr>
          <w:rFonts w:ascii="Times New Roman" w:hAnsi="Times New Roman" w:cs="Times New Roman"/>
          <w:b/>
          <w:sz w:val="20"/>
          <w:szCs w:val="20"/>
          <w:lang w:val="en-US"/>
        </w:rPr>
      </w:pPr>
      <w:bookmarkStart w:id="37" w:name="_Toc96332386"/>
      <w:r w:rsidRPr="00AE1FA6">
        <w:rPr>
          <w:rFonts w:ascii="Times New Roman" w:hAnsi="Times New Roman" w:cs="Times New Roman"/>
          <w:b/>
          <w:sz w:val="20"/>
          <w:szCs w:val="20"/>
          <w:lang w:val="en-US"/>
        </w:rPr>
        <w:t>Risk of bias assessment</w:t>
      </w:r>
      <w:bookmarkEnd w:id="37"/>
    </w:p>
    <w:p w14:paraId="04132E5A"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We examine the risk of publication bias with a contour-enhanced funnel plot and formal diagnostic tests. </w:t>
      </w:r>
    </w:p>
    <w:p w14:paraId="6EE5DB61"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In figure 9, studies are symmetrically distributed and inside the borders. There is no evidence of publication bias. The rank correlation test produced a p-value of 0.89 and the Egger’s regression test a p-value of 0.80 using a mixed-effects meta-regression model. There is no indication of publication from the formal examination diagnostics.    </w:t>
      </w:r>
    </w:p>
    <w:p w14:paraId="031E0A48" w14:textId="77777777" w:rsidR="00AE1FA6" w:rsidRPr="00AE1FA6" w:rsidRDefault="00AE1FA6" w:rsidP="00AE1FA6">
      <w:pPr>
        <w:rPr>
          <w:rFonts w:ascii="Times New Roman" w:hAnsi="Times New Roman" w:cs="Times New Roman"/>
          <w:sz w:val="20"/>
          <w:szCs w:val="20"/>
          <w:lang w:val="en-US"/>
        </w:rPr>
      </w:pPr>
    </w:p>
    <w:p w14:paraId="327D3151"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lastRenderedPageBreak/>
        <w:drawing>
          <wp:inline distT="0" distB="0" distL="0" distR="0" wp14:anchorId="4D845C14" wp14:editId="69CD4FE4">
            <wp:extent cx="6031230" cy="3253105"/>
            <wp:effectExtent l="0" t="0" r="762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ontour_enhanced_funnel.PNG"/>
                    <pic:cNvPicPr/>
                  </pic:nvPicPr>
                  <pic:blipFill>
                    <a:blip r:embed="rId18">
                      <a:extLst>
                        <a:ext uri="{28A0092B-C50C-407E-A947-70E740481C1C}">
                          <a14:useLocalDpi xmlns:a14="http://schemas.microsoft.com/office/drawing/2010/main" val="0"/>
                        </a:ext>
                      </a:extLst>
                    </a:blip>
                    <a:stretch>
                      <a:fillRect/>
                    </a:stretch>
                  </pic:blipFill>
                  <pic:spPr>
                    <a:xfrm>
                      <a:off x="0" y="0"/>
                      <a:ext cx="6031230" cy="3253105"/>
                    </a:xfrm>
                    <a:prstGeom prst="rect">
                      <a:avLst/>
                    </a:prstGeom>
                  </pic:spPr>
                </pic:pic>
              </a:graphicData>
            </a:graphic>
          </wp:inline>
        </w:drawing>
      </w:r>
    </w:p>
    <w:p w14:paraId="72F6B6D5" w14:textId="158A880E" w:rsidR="00AE1FA6" w:rsidRPr="008E3E6C" w:rsidRDefault="008E3E6C" w:rsidP="00AE1FA6">
      <w:pPr>
        <w:rPr>
          <w:rFonts w:ascii="Times New Roman" w:hAnsi="Times New Roman" w:cs="Times New Roman"/>
          <w:bCs/>
          <w:sz w:val="20"/>
          <w:szCs w:val="20"/>
          <w:lang w:val="en-US"/>
        </w:rPr>
      </w:pPr>
      <w:r>
        <w:rPr>
          <w:rFonts w:ascii="Times New Roman" w:hAnsi="Times New Roman" w:cs="Times New Roman"/>
          <w:bCs/>
          <w:sz w:val="20"/>
          <w:szCs w:val="20"/>
          <w:lang w:val="en-US"/>
        </w:rPr>
        <w:t>Fig. A7</w:t>
      </w:r>
      <w:r w:rsidR="00AE1FA6" w:rsidRPr="00AE1FA6">
        <w:rPr>
          <w:rFonts w:ascii="Times New Roman" w:hAnsi="Times New Roman" w:cs="Times New Roman"/>
          <w:bCs/>
          <w:sz w:val="20"/>
          <w:szCs w:val="20"/>
          <w:lang w:val="en-US"/>
        </w:rPr>
        <w:t>. Contour enhanced funnel plot of LPS for PFS at 3</w:t>
      </w:r>
      <w:r>
        <w:rPr>
          <w:rFonts w:ascii="Times New Roman" w:hAnsi="Times New Roman" w:cs="Times New Roman"/>
          <w:bCs/>
          <w:sz w:val="20"/>
          <w:szCs w:val="20"/>
          <w:lang w:val="en-US"/>
        </w:rPr>
        <w:t xml:space="preserve"> months (pre-treated patients).</w:t>
      </w:r>
    </w:p>
    <w:p w14:paraId="7DD1011C" w14:textId="77777777" w:rsidR="00AE1FA6" w:rsidRPr="00AE1FA6" w:rsidRDefault="00AE1FA6" w:rsidP="00AE1FA6">
      <w:pPr>
        <w:rPr>
          <w:rFonts w:ascii="Times New Roman" w:hAnsi="Times New Roman" w:cs="Times New Roman"/>
          <w:sz w:val="20"/>
          <w:szCs w:val="20"/>
          <w:lang w:val="en-US"/>
        </w:rPr>
      </w:pPr>
    </w:p>
    <w:p w14:paraId="56249990" w14:textId="77777777" w:rsidR="00AE1FA6" w:rsidRPr="00AE1FA6" w:rsidRDefault="00AE1FA6" w:rsidP="008E3E6C">
      <w:pPr>
        <w:rPr>
          <w:rFonts w:ascii="Times New Roman" w:hAnsi="Times New Roman" w:cs="Times New Roman"/>
          <w:b/>
          <w:sz w:val="20"/>
          <w:szCs w:val="20"/>
          <w:lang w:val="en-US"/>
        </w:rPr>
      </w:pPr>
      <w:bookmarkStart w:id="38" w:name="_Toc96332388"/>
      <w:r w:rsidRPr="00AE1FA6">
        <w:rPr>
          <w:rFonts w:ascii="Times New Roman" w:hAnsi="Times New Roman" w:cs="Times New Roman"/>
          <w:b/>
          <w:sz w:val="20"/>
          <w:szCs w:val="20"/>
          <w:lang w:val="en-US"/>
        </w:rPr>
        <w:t>Diagnostics for influential studies</w:t>
      </w:r>
      <w:bookmarkEnd w:id="38"/>
    </w:p>
    <w:p w14:paraId="55241608" w14:textId="5A194BBB"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Examination of the externally standardized residuals shows that study in line 16 ‘Samuels 2017: </w:t>
      </w:r>
      <w:proofErr w:type="spellStart"/>
      <w:r w:rsidRPr="00AE1FA6">
        <w:rPr>
          <w:rFonts w:ascii="Times New Roman" w:hAnsi="Times New Roman" w:cs="Times New Roman"/>
          <w:sz w:val="20"/>
          <w:szCs w:val="20"/>
          <w:lang w:val="en-US"/>
        </w:rPr>
        <w:t>Pazopanib</w:t>
      </w:r>
      <w:proofErr w:type="spellEnd"/>
      <w:r w:rsidRPr="00AE1FA6">
        <w:rPr>
          <w:rFonts w:ascii="Times New Roman" w:hAnsi="Times New Roman" w:cs="Times New Roman"/>
          <w:sz w:val="20"/>
          <w:szCs w:val="20"/>
          <w:lang w:val="en-US"/>
        </w:rPr>
        <w:t xml:space="preserve">’ </w:t>
      </w:r>
      <w:r w:rsidRPr="00AE1FA6">
        <w:rPr>
          <w:rFonts w:ascii="Times New Roman" w:hAnsi="Times New Roman" w:cs="Times New Roman"/>
          <w:sz w:val="20"/>
          <w:szCs w:val="20"/>
          <w:lang w:val="en-US"/>
        </w:rPr>
        <w:fldChar w:fldCharType="begin" w:fldLock="1"/>
      </w:r>
      <w:r w:rsidR="00826352">
        <w:rPr>
          <w:rFonts w:ascii="Times New Roman" w:hAnsi="Times New Roman" w:cs="Times New Roman"/>
          <w:sz w:val="20"/>
          <w:szCs w:val="20"/>
          <w:lang w:val="en-US"/>
        </w:rPr>
        <w:instrText>ADDIN CSL_CITATION {"citationItems":[{"id":"ITEM-1","itemData":{"DOI":"10.1002/cncr.30926","ISSN":"10970142","PMID":"28832986","abstract":"BACKGROUND: This phase 2, single-arm, multicenter study was designed to determine the treatment activity and safety of single-agent pazopanib in patients with unresectable or metastatic liposarcoma. METHODS: Eligible patients had high-grade or intermediate-grade liposarcoma with measurable tumors that were unresectable or metastatic, documented disease progression, and had received any number of prior treatments, excluding previous treatment with a vascular endothelial growth factor inhibitor or a tyrosine kinase inhibitor. Patients received oral pazopanib 800 mg once daily for 28-day cycles. Tumor response was evaluated by local radiology assessments every 3 cycles. The primary endpoint was the progression-free rate (PFR) at 12 weeks (PFR12). RESULTS: Forty-one patients were enrolled. The PFR12 was 68.3% (95% confidence interval [CI], 51.9%-81.9%), which was significantly greater than the null hypothesis value of 40% (P =.0002). At 24 weeks, 39% of patients (95% CI, 24.2%-55.5%) remained progression free, and 44% experienced tumor control (partial response or stable disease). The median progression-free survival was 4.4 months (95% CI, 3.2-6.5 months), and the median overall survival was 12.6 months (95% CI, 8.5-16.2 months). The most common adverse events overall were nausea (39%), hypertension (36.6%), diarrhea (34.1%), and fatigue (29.3%), which were typically less than grade 3. There were 5 deaths on study (12.2%), 3 of which were from possible complications of therapy. CONCLUSIONS: The current study provides evidence of potential activity of pazopanib in the liposarcoma subset of patients with soft tissue sarcoma that was specifically excluded from the phase 3 PALETTE trial of other soft tissue sarcoma types. Cancer 2017;123:4640-4647. © 2017 American Cancer Society.","author":[{"dropping-particle":"","family":"Samuels","given":"Brian L.","non-dropping-particle":"","parse-names":false,"suffix":""},{"dropping-particle":"","family":"Chawla","given":"Sant P.","non-dropping-particle":"","parse-names":false,"suffix":""},{"dropping-particle":"","family":"Somaiah","given":"Neeta","non-dropping-particle":"","parse-names":false,"suffix":""},{"dropping-particle":"","family":"Staddon","given":"Arthur P.","non-dropping-particle":"","parse-names":false,"suffix":""},{"dropping-particle":"","family":"Skubitz","given":"Keith M.","non-dropping-particle":"","parse-names":false,"suffix":""},{"dropping-particle":"","family":"Milhem","given":"Mohammed M.","non-dropping-particle":"","parse-names":false,"suffix":""},{"dropping-particle":"","family":"Kaiser","given":"Pamela E.","non-dropping-particle":"","parse-names":false,"suffix":""},{"dropping-particle":"","family":"Portnoy","given":"David C.","non-dropping-particle":"","parse-names":false,"suffix":""},{"dropping-particle":"","family":"Priebat","given":"Dennis A.","non-dropping-particle":"","parse-names":false,"suffix":""},{"dropping-particle":"","family":"Walker","given":"Mark S.","non-dropping-particle":"","parse-names":false,"suffix":""},{"dropping-particle":"","family":"Stepanski","given":"Edward J.","non-dropping-particle":"","parse-names":false,"suffix":""}],"container-title":"Cancer","id":"ITEM-1","issue":"23","issued":{"date-parts":[["2017"]]},"page":"4640-4647","title":"Results of a prospective phase 2 study of pazopanib in patients with advanced intermediate-grade or high-grade liposarcoma","type":"article-journal","volume":"123"},"uris":["http://www.mendeley.com/documents/?uuid=98595ef4-e8f6-4553-8568-7bbf81f4d0ff"]}],"mendeley":{"formattedCitation":"[9]","plainTextFormattedCitation":"[9]","previouslyFormattedCitation":"[9]"},"properties":{"noteIndex":0},"schema":"https://github.com/citation-style-language/schema/raw/master/csl-citation.json"}</w:instrText>
      </w:r>
      <w:r w:rsidRPr="00AE1FA6">
        <w:rPr>
          <w:rFonts w:ascii="Times New Roman" w:hAnsi="Times New Roman" w:cs="Times New Roman"/>
          <w:sz w:val="20"/>
          <w:szCs w:val="20"/>
          <w:lang w:val="en-US"/>
        </w:rPr>
        <w:fldChar w:fldCharType="separate"/>
      </w:r>
      <w:r w:rsidR="00826352" w:rsidRPr="00826352">
        <w:rPr>
          <w:rFonts w:ascii="Times New Roman" w:hAnsi="Times New Roman" w:cs="Times New Roman"/>
          <w:noProof/>
          <w:sz w:val="20"/>
          <w:szCs w:val="20"/>
          <w:lang w:val="en-US"/>
        </w:rPr>
        <w:t>[9]</w:t>
      </w:r>
      <w:r w:rsidRPr="00AE1FA6">
        <w:rPr>
          <w:rFonts w:ascii="Times New Roman" w:hAnsi="Times New Roman" w:cs="Times New Roman"/>
          <w:sz w:val="20"/>
          <w:szCs w:val="20"/>
          <w:lang w:val="en-US"/>
        </w:rPr>
        <w:fldChar w:fldCharType="end"/>
      </w:r>
      <w:r w:rsidRPr="00AE1FA6">
        <w:rPr>
          <w:rFonts w:ascii="Times New Roman" w:hAnsi="Times New Roman" w:cs="Times New Roman"/>
          <w:sz w:val="20"/>
          <w:szCs w:val="20"/>
          <w:lang w:val="en-US"/>
        </w:rPr>
        <w:t xml:space="preserve"> has the highest z-value of 1.72 so it is potentially influential for the meta-analysis. </w:t>
      </w:r>
    </w:p>
    <w:p w14:paraId="646E203F"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The </w:t>
      </w:r>
      <w:proofErr w:type="spellStart"/>
      <w:r w:rsidRPr="00AE1FA6">
        <w:rPr>
          <w:rFonts w:ascii="Times New Roman" w:hAnsi="Times New Roman" w:cs="Times New Roman"/>
          <w:sz w:val="20"/>
          <w:szCs w:val="20"/>
          <w:lang w:val="en-US"/>
        </w:rPr>
        <w:t>Baujat</w:t>
      </w:r>
      <w:proofErr w:type="spellEnd"/>
      <w:r w:rsidRPr="00AE1FA6">
        <w:rPr>
          <w:rFonts w:ascii="Times New Roman" w:hAnsi="Times New Roman" w:cs="Times New Roman"/>
          <w:sz w:val="20"/>
          <w:szCs w:val="20"/>
          <w:lang w:val="en-US"/>
        </w:rPr>
        <w:t xml:space="preserve"> plot in fig. 11 projects line with number 10 on the upper right corner. ‘Samuels 2017: </w:t>
      </w:r>
      <w:proofErr w:type="spellStart"/>
      <w:r w:rsidRPr="00AE1FA6">
        <w:rPr>
          <w:rFonts w:ascii="Times New Roman" w:hAnsi="Times New Roman" w:cs="Times New Roman"/>
          <w:sz w:val="20"/>
          <w:szCs w:val="20"/>
          <w:lang w:val="en-US"/>
        </w:rPr>
        <w:t>Pazopanib</w:t>
      </w:r>
      <w:proofErr w:type="spellEnd"/>
      <w:r w:rsidRPr="00AE1FA6">
        <w:rPr>
          <w:rFonts w:ascii="Times New Roman" w:hAnsi="Times New Roman" w:cs="Times New Roman"/>
          <w:sz w:val="20"/>
          <w:szCs w:val="20"/>
          <w:lang w:val="en-US"/>
        </w:rPr>
        <w:t>’ seems to contribute to the highest amount of heterogeneity (based on squared Pearson residuals) and to be the third most influential (fitted values).</w:t>
      </w:r>
    </w:p>
    <w:p w14:paraId="6FD80DF0"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drawing>
          <wp:inline distT="0" distB="0" distL="0" distR="0" wp14:anchorId="595ACA53" wp14:editId="0B10BBE1">
            <wp:extent cx="6031230" cy="3335655"/>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aujat.PNG"/>
                    <pic:cNvPicPr/>
                  </pic:nvPicPr>
                  <pic:blipFill>
                    <a:blip r:embed="rId19">
                      <a:extLst>
                        <a:ext uri="{28A0092B-C50C-407E-A947-70E740481C1C}">
                          <a14:useLocalDpi xmlns:a14="http://schemas.microsoft.com/office/drawing/2010/main" val="0"/>
                        </a:ext>
                      </a:extLst>
                    </a:blip>
                    <a:stretch>
                      <a:fillRect/>
                    </a:stretch>
                  </pic:blipFill>
                  <pic:spPr>
                    <a:xfrm>
                      <a:off x="0" y="0"/>
                      <a:ext cx="6031230" cy="3335655"/>
                    </a:xfrm>
                    <a:prstGeom prst="rect">
                      <a:avLst/>
                    </a:prstGeom>
                  </pic:spPr>
                </pic:pic>
              </a:graphicData>
            </a:graphic>
          </wp:inline>
        </w:drawing>
      </w:r>
    </w:p>
    <w:p w14:paraId="4E9BB675" w14:textId="07B27974" w:rsidR="00AE1FA6" w:rsidRPr="00AE1FA6" w:rsidRDefault="008E3E6C" w:rsidP="00AE1FA6">
      <w:pPr>
        <w:rPr>
          <w:rFonts w:ascii="Times New Roman" w:hAnsi="Times New Roman" w:cs="Times New Roman"/>
          <w:bCs/>
          <w:sz w:val="20"/>
          <w:szCs w:val="20"/>
          <w:lang w:val="en-US"/>
        </w:rPr>
      </w:pPr>
      <w:r>
        <w:rPr>
          <w:rFonts w:ascii="Times New Roman" w:hAnsi="Times New Roman" w:cs="Times New Roman"/>
          <w:bCs/>
          <w:sz w:val="20"/>
          <w:szCs w:val="20"/>
          <w:lang w:val="en-US"/>
        </w:rPr>
        <w:t>Fig. A8</w:t>
      </w:r>
      <w:r w:rsidR="00AE1FA6" w:rsidRPr="00AE1FA6">
        <w:rPr>
          <w:rFonts w:ascii="Times New Roman" w:hAnsi="Times New Roman" w:cs="Times New Roman"/>
          <w:bCs/>
          <w:sz w:val="20"/>
          <w:szCs w:val="20"/>
          <w:lang w:val="en-US"/>
        </w:rPr>
        <w:t xml:space="preserve">. </w:t>
      </w:r>
      <w:proofErr w:type="spellStart"/>
      <w:r w:rsidR="00AE1FA6" w:rsidRPr="00AE1FA6">
        <w:rPr>
          <w:rFonts w:ascii="Times New Roman" w:hAnsi="Times New Roman" w:cs="Times New Roman"/>
          <w:bCs/>
          <w:sz w:val="20"/>
          <w:szCs w:val="20"/>
          <w:lang w:val="en-US"/>
        </w:rPr>
        <w:t>Baujat</w:t>
      </w:r>
      <w:proofErr w:type="spellEnd"/>
      <w:r w:rsidR="00AE1FA6" w:rsidRPr="00AE1FA6">
        <w:rPr>
          <w:rFonts w:ascii="Times New Roman" w:hAnsi="Times New Roman" w:cs="Times New Roman"/>
          <w:bCs/>
          <w:sz w:val="20"/>
          <w:szCs w:val="20"/>
          <w:lang w:val="en-US"/>
        </w:rPr>
        <w:t xml:space="preserve"> plot of the LPS studies for PFS at 3 months (pre-treated patients).</w:t>
      </w:r>
    </w:p>
    <w:p w14:paraId="46B39386" w14:textId="77777777" w:rsidR="00AE1FA6" w:rsidRPr="00AE1FA6" w:rsidRDefault="00AE1FA6" w:rsidP="00AE1FA6">
      <w:pPr>
        <w:rPr>
          <w:rFonts w:ascii="Times New Roman" w:hAnsi="Times New Roman" w:cs="Times New Roman"/>
          <w:sz w:val="20"/>
          <w:szCs w:val="20"/>
          <w:lang w:val="en-US"/>
        </w:rPr>
      </w:pPr>
    </w:p>
    <w:p w14:paraId="722F6088" w14:textId="77777777" w:rsidR="00AE1FA6" w:rsidRPr="00AE1FA6" w:rsidRDefault="00AE1FA6" w:rsidP="008E3E6C">
      <w:pPr>
        <w:rPr>
          <w:rFonts w:ascii="Times New Roman" w:hAnsi="Times New Roman" w:cs="Times New Roman"/>
          <w:b/>
          <w:sz w:val="20"/>
          <w:szCs w:val="20"/>
          <w:lang w:val="en-US"/>
        </w:rPr>
      </w:pPr>
      <w:bookmarkStart w:id="39" w:name="_Toc96332389"/>
      <w:r w:rsidRPr="00AE1FA6">
        <w:rPr>
          <w:rFonts w:ascii="Times New Roman" w:hAnsi="Times New Roman" w:cs="Times New Roman"/>
          <w:b/>
          <w:sz w:val="20"/>
          <w:szCs w:val="20"/>
          <w:lang w:val="en-US"/>
        </w:rPr>
        <w:t>Sensitivity meta-analysis</w:t>
      </w:r>
      <w:bookmarkEnd w:id="39"/>
    </w:p>
    <w:p w14:paraId="1E972DFB"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We perform a sensitivity meta-analysis to focus on the impact of ‘Samuels 2017: </w:t>
      </w:r>
      <w:proofErr w:type="spellStart"/>
      <w:r w:rsidRPr="00AE1FA6">
        <w:rPr>
          <w:rFonts w:ascii="Times New Roman" w:hAnsi="Times New Roman" w:cs="Times New Roman"/>
          <w:sz w:val="20"/>
          <w:szCs w:val="20"/>
          <w:lang w:val="en-US"/>
        </w:rPr>
        <w:t>Pazopanib</w:t>
      </w:r>
      <w:proofErr w:type="spellEnd"/>
      <w:r w:rsidRPr="00AE1FA6">
        <w:rPr>
          <w:rFonts w:ascii="Times New Roman" w:hAnsi="Times New Roman" w:cs="Times New Roman"/>
          <w:sz w:val="20"/>
          <w:szCs w:val="20"/>
          <w:lang w:val="en-US"/>
        </w:rPr>
        <w:t>’ for the random-effects model.</w:t>
      </w:r>
    </w:p>
    <w:p w14:paraId="28CBB14E"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drawing>
          <wp:inline distT="0" distB="0" distL="0" distR="0" wp14:anchorId="1C046588" wp14:editId="6FB7CE1F">
            <wp:extent cx="6031230" cy="451993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fs3m_pretreated_without_samuels2017_pazopanib.PNG"/>
                    <pic:cNvPicPr/>
                  </pic:nvPicPr>
                  <pic:blipFill>
                    <a:blip r:embed="rId20">
                      <a:extLst>
                        <a:ext uri="{28A0092B-C50C-407E-A947-70E740481C1C}">
                          <a14:useLocalDpi xmlns:a14="http://schemas.microsoft.com/office/drawing/2010/main" val="0"/>
                        </a:ext>
                      </a:extLst>
                    </a:blip>
                    <a:stretch>
                      <a:fillRect/>
                    </a:stretch>
                  </pic:blipFill>
                  <pic:spPr>
                    <a:xfrm>
                      <a:off x="0" y="0"/>
                      <a:ext cx="6031230" cy="4519930"/>
                    </a:xfrm>
                    <a:prstGeom prst="rect">
                      <a:avLst/>
                    </a:prstGeom>
                  </pic:spPr>
                </pic:pic>
              </a:graphicData>
            </a:graphic>
          </wp:inline>
        </w:drawing>
      </w:r>
    </w:p>
    <w:p w14:paraId="295DBCE0" w14:textId="384F2A85" w:rsidR="00AE1FA6" w:rsidRPr="00AE1FA6" w:rsidRDefault="008E3E6C" w:rsidP="00AE1FA6">
      <w:pPr>
        <w:rPr>
          <w:rFonts w:ascii="Times New Roman" w:hAnsi="Times New Roman" w:cs="Times New Roman"/>
          <w:bCs/>
          <w:sz w:val="20"/>
          <w:szCs w:val="20"/>
          <w:lang w:val="en-US"/>
        </w:rPr>
      </w:pPr>
      <w:r>
        <w:rPr>
          <w:rFonts w:ascii="Times New Roman" w:hAnsi="Times New Roman" w:cs="Times New Roman"/>
          <w:bCs/>
          <w:sz w:val="20"/>
          <w:szCs w:val="20"/>
          <w:lang w:val="en-US"/>
        </w:rPr>
        <w:t>Fig. A9</w:t>
      </w:r>
      <w:r w:rsidR="00AE1FA6" w:rsidRPr="00AE1FA6">
        <w:rPr>
          <w:rFonts w:ascii="Times New Roman" w:hAnsi="Times New Roman" w:cs="Times New Roman"/>
          <w:bCs/>
          <w:sz w:val="20"/>
          <w:szCs w:val="20"/>
          <w:lang w:val="en-US"/>
        </w:rPr>
        <w:t xml:space="preserve">. Forest plot of LPS for PFS at 3 months excluding ‘Samuels 2017: </w:t>
      </w:r>
      <w:proofErr w:type="spellStart"/>
      <w:r w:rsidR="00AE1FA6" w:rsidRPr="00AE1FA6">
        <w:rPr>
          <w:rFonts w:ascii="Times New Roman" w:hAnsi="Times New Roman" w:cs="Times New Roman"/>
          <w:bCs/>
          <w:sz w:val="20"/>
          <w:szCs w:val="20"/>
          <w:lang w:val="en-US"/>
        </w:rPr>
        <w:t>Pazopanib</w:t>
      </w:r>
      <w:proofErr w:type="spellEnd"/>
      <w:r w:rsidR="00AE1FA6" w:rsidRPr="00AE1FA6">
        <w:rPr>
          <w:rFonts w:ascii="Times New Roman" w:hAnsi="Times New Roman" w:cs="Times New Roman"/>
          <w:bCs/>
          <w:sz w:val="20"/>
          <w:szCs w:val="20"/>
          <w:lang w:val="en-US"/>
        </w:rPr>
        <w:t>’ (pre-treated patients).</w:t>
      </w:r>
    </w:p>
    <w:p w14:paraId="0C23B86B" w14:textId="77777777" w:rsidR="00AE1FA6" w:rsidRPr="00AE1FA6" w:rsidRDefault="00AE1FA6" w:rsidP="00AE1FA6">
      <w:pPr>
        <w:rPr>
          <w:rFonts w:ascii="Times New Roman" w:hAnsi="Times New Roman" w:cs="Times New Roman"/>
          <w:sz w:val="20"/>
          <w:szCs w:val="20"/>
          <w:lang w:val="en-US"/>
        </w:rPr>
      </w:pPr>
    </w:p>
    <w:p w14:paraId="51668895"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There is a slight decrease in the overall effect size from 0.49 (0.40 – 0.57) to 0.47 (0.39 – 0.55). Overall heterogeneity was barely reduced to 74% p &lt; 0.01 (from 75% p &lt; 0.01). Study was removed from the non-recommended group of drugs. The recalculated estimate for this group is 0.40 (0.30 – 0.50) from 0.42 (0.33 – 0.52). Heterogeneity of the non-recommended subgroup dropped from 71% (p &lt; 0.01) to 65% (p &lt; 0.01). Based on the omnibus chi-square test for moderators, there is still statistically significant difference between the subgroups (p &lt; 0.01). Findings indicate that the excluded study is not that much influential. </w:t>
      </w:r>
    </w:p>
    <w:p w14:paraId="6592A04E" w14:textId="77777777" w:rsidR="00AE1FA6" w:rsidRPr="00AE1FA6" w:rsidRDefault="00AE1FA6" w:rsidP="00AE1FA6">
      <w:pPr>
        <w:rPr>
          <w:rFonts w:ascii="Times New Roman" w:hAnsi="Times New Roman" w:cs="Times New Roman"/>
          <w:sz w:val="20"/>
          <w:szCs w:val="20"/>
          <w:lang w:val="en-US"/>
        </w:rPr>
      </w:pPr>
    </w:p>
    <w:p w14:paraId="451CCAEB" w14:textId="77777777" w:rsidR="00AE1FA6" w:rsidRPr="00AE1FA6" w:rsidRDefault="00AE1FA6" w:rsidP="008E3E6C">
      <w:pPr>
        <w:rPr>
          <w:rFonts w:ascii="Times New Roman" w:hAnsi="Times New Roman" w:cs="Times New Roman"/>
          <w:b/>
          <w:sz w:val="20"/>
          <w:szCs w:val="20"/>
          <w:lang w:val="en-US"/>
        </w:rPr>
      </w:pPr>
      <w:bookmarkStart w:id="40" w:name="_Toc96332390"/>
      <w:r w:rsidRPr="00AE1FA6">
        <w:rPr>
          <w:rFonts w:ascii="Times New Roman" w:hAnsi="Times New Roman" w:cs="Times New Roman"/>
          <w:b/>
          <w:sz w:val="20"/>
          <w:szCs w:val="20"/>
          <w:lang w:val="en-US"/>
        </w:rPr>
        <w:t>Meta-regressions</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521"/>
      </w:tblGrid>
      <w:tr w:rsidR="00AE1FA6" w:rsidRPr="00AE1FA6" w14:paraId="79E8BC6D" w14:textId="77777777" w:rsidTr="00AE1FA6">
        <w:tc>
          <w:tcPr>
            <w:tcW w:w="4744" w:type="dxa"/>
          </w:tcPr>
          <w:p w14:paraId="7CA17980"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Moderator</w:t>
            </w:r>
          </w:p>
          <w:p w14:paraId="59BF256D" w14:textId="77777777" w:rsidR="00AE1FA6" w:rsidRPr="008E3E6C" w:rsidRDefault="00AE1FA6" w:rsidP="00AE1FA6">
            <w:pPr>
              <w:rPr>
                <w:rFonts w:ascii="Times New Roman" w:hAnsi="Times New Roman" w:cs="Times New Roman"/>
                <w:b/>
                <w:bCs/>
                <w:sz w:val="16"/>
                <w:szCs w:val="16"/>
                <w:lang w:val="en-US"/>
              </w:rPr>
            </w:pPr>
          </w:p>
        </w:tc>
        <w:tc>
          <w:tcPr>
            <w:tcW w:w="4744" w:type="dxa"/>
          </w:tcPr>
          <w:p w14:paraId="150B9F3E"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Dichotomization </w:t>
            </w:r>
            <w:r w:rsidRPr="008E3E6C">
              <w:rPr>
                <w:rFonts w:ascii="Times New Roman" w:hAnsi="Times New Roman" w:cs="Times New Roman"/>
                <w:sz w:val="16"/>
                <w:szCs w:val="16"/>
                <w:lang w:val="en-US"/>
              </w:rPr>
              <w:t>(first group reference, count of studies in parenthesis)</w:t>
            </w:r>
          </w:p>
        </w:tc>
      </w:tr>
      <w:tr w:rsidR="00AE1FA6" w:rsidRPr="00AE1FA6" w14:paraId="5854C42D" w14:textId="77777777" w:rsidTr="00AE1FA6">
        <w:tc>
          <w:tcPr>
            <w:tcW w:w="4744" w:type="dxa"/>
          </w:tcPr>
          <w:p w14:paraId="7091968F"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Phase of the trial</w:t>
            </w:r>
          </w:p>
        </w:tc>
        <w:tc>
          <w:tcPr>
            <w:tcW w:w="4744" w:type="dxa"/>
          </w:tcPr>
          <w:p w14:paraId="1C49DA9F"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 (14), greater than 2 (5)</w:t>
            </w:r>
          </w:p>
        </w:tc>
      </w:tr>
      <w:tr w:rsidR="00AE1FA6" w:rsidRPr="00AE1FA6" w14:paraId="2B593F66" w14:textId="77777777" w:rsidTr="00AE1FA6">
        <w:tc>
          <w:tcPr>
            <w:tcW w:w="4744" w:type="dxa"/>
          </w:tcPr>
          <w:p w14:paraId="46F6D7F3"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 xml:space="preserve">Study design </w:t>
            </w:r>
          </w:p>
        </w:tc>
        <w:tc>
          <w:tcPr>
            <w:tcW w:w="4744" w:type="dxa"/>
          </w:tcPr>
          <w:p w14:paraId="06C76ACF"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Randomized (6), non-randomized (13)</w:t>
            </w:r>
          </w:p>
        </w:tc>
      </w:tr>
      <w:tr w:rsidR="00AE1FA6" w:rsidRPr="00AE1FA6" w14:paraId="2D2145C1" w14:textId="77777777" w:rsidTr="00AE1FA6">
        <w:tc>
          <w:tcPr>
            <w:tcW w:w="4744" w:type="dxa"/>
          </w:tcPr>
          <w:p w14:paraId="19E1E860"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Year of activation</w:t>
            </w:r>
          </w:p>
        </w:tc>
        <w:tc>
          <w:tcPr>
            <w:tcW w:w="4744" w:type="dxa"/>
          </w:tcPr>
          <w:p w14:paraId="0A9C66D2"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2000-2010 (7), 2011-2015 (12)</w:t>
            </w:r>
          </w:p>
        </w:tc>
      </w:tr>
      <w:tr w:rsidR="00AE1FA6" w:rsidRPr="00AE1FA6" w14:paraId="09329CF3" w14:textId="77777777" w:rsidTr="00AE1FA6">
        <w:tc>
          <w:tcPr>
            <w:tcW w:w="4744" w:type="dxa"/>
          </w:tcPr>
          <w:p w14:paraId="707DD12E"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lastRenderedPageBreak/>
              <w:t>Sample size</w:t>
            </w:r>
          </w:p>
        </w:tc>
        <w:tc>
          <w:tcPr>
            <w:tcW w:w="4744" w:type="dxa"/>
          </w:tcPr>
          <w:p w14:paraId="25CECA4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10-24 (7), &gt;24 (12)</w:t>
            </w:r>
          </w:p>
        </w:tc>
      </w:tr>
    </w:tbl>
    <w:p w14:paraId="75BBCE9F" w14:textId="77777777" w:rsidR="00AE1FA6" w:rsidRPr="00AE1FA6" w:rsidRDefault="00AE1FA6" w:rsidP="00AE1FA6">
      <w:pPr>
        <w:rPr>
          <w:rFonts w:ascii="Times New Roman" w:hAnsi="Times New Roman" w:cs="Times New Roman"/>
          <w:sz w:val="20"/>
          <w:szCs w:val="20"/>
          <w:lang w:val="en-US"/>
        </w:rPr>
      </w:pPr>
    </w:p>
    <w:p w14:paraId="40F29A61"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Potential moderators were examined for the PFS at 3 months (pre-treated patients). All subgroup analyses were conducted with a mixed-effects model. A random-effects model was used to combine the study effects and the fixed effects model was used to test whether these effects vary significantly across the subgroups. </w:t>
      </w:r>
    </w:p>
    <w:p w14:paraId="36195561" w14:textId="77777777" w:rsidR="00AE1FA6" w:rsidRPr="00AE1FA6" w:rsidRDefault="00AE1FA6" w:rsidP="00AE1FA6">
      <w:pPr>
        <w:rPr>
          <w:rFonts w:ascii="Times New Roman" w:hAnsi="Times New Roman" w:cs="Times New Roman"/>
          <w:sz w:val="20"/>
          <w:szCs w:val="20"/>
          <w:lang w:val="en-US"/>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1750"/>
        <w:gridCol w:w="1750"/>
        <w:gridCol w:w="1750"/>
        <w:gridCol w:w="1750"/>
      </w:tblGrid>
      <w:tr w:rsidR="00AE1FA6" w:rsidRPr="00AE1FA6" w14:paraId="1D4BF158" w14:textId="77777777" w:rsidTr="00AE1FA6">
        <w:tc>
          <w:tcPr>
            <w:tcW w:w="2488" w:type="dxa"/>
          </w:tcPr>
          <w:p w14:paraId="04ED316D"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Moderator </w:t>
            </w:r>
          </w:p>
          <w:p w14:paraId="1A8DC524"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(univariate analysis)</w:t>
            </w:r>
          </w:p>
        </w:tc>
        <w:tc>
          <w:tcPr>
            <w:tcW w:w="1750" w:type="dxa"/>
          </w:tcPr>
          <w:p w14:paraId="4BD0C5CD"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Estimated PFS (vs ref level)</w:t>
            </w:r>
          </w:p>
        </w:tc>
        <w:tc>
          <w:tcPr>
            <w:tcW w:w="1750" w:type="dxa"/>
          </w:tcPr>
          <w:p w14:paraId="23412D81"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Test for moderator</w:t>
            </w:r>
          </w:p>
          <w:p w14:paraId="167B7426"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P-value</w:t>
            </w:r>
          </w:p>
        </w:tc>
        <w:tc>
          <w:tcPr>
            <w:tcW w:w="1750" w:type="dxa"/>
          </w:tcPr>
          <w:p w14:paraId="192397D2"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Residual heterogeneity (I</w:t>
            </w:r>
            <w:r w:rsidRPr="008E3E6C">
              <w:rPr>
                <w:rFonts w:ascii="Times New Roman" w:hAnsi="Times New Roman" w:cs="Times New Roman"/>
                <w:b/>
                <w:bCs/>
                <w:sz w:val="16"/>
                <w:szCs w:val="16"/>
                <w:vertAlign w:val="superscript"/>
                <w:lang w:val="en-US"/>
              </w:rPr>
              <w:t>2</w:t>
            </w:r>
            <w:r w:rsidRPr="008E3E6C">
              <w:rPr>
                <w:rFonts w:ascii="Times New Roman" w:hAnsi="Times New Roman" w:cs="Times New Roman"/>
                <w:b/>
                <w:bCs/>
                <w:sz w:val="16"/>
                <w:szCs w:val="16"/>
                <w:lang w:val="en-US"/>
              </w:rPr>
              <w:t>)</w:t>
            </w:r>
          </w:p>
        </w:tc>
        <w:tc>
          <w:tcPr>
            <w:tcW w:w="1750" w:type="dxa"/>
          </w:tcPr>
          <w:p w14:paraId="058407BE"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Test for residual heterogeneity </w:t>
            </w:r>
          </w:p>
          <w:p w14:paraId="3529BD32"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P-value</w:t>
            </w:r>
          </w:p>
        </w:tc>
      </w:tr>
      <w:tr w:rsidR="00AE1FA6" w:rsidRPr="00AE1FA6" w14:paraId="73BF1835" w14:textId="77777777" w:rsidTr="00AE1FA6">
        <w:tc>
          <w:tcPr>
            <w:tcW w:w="2488" w:type="dxa"/>
          </w:tcPr>
          <w:p w14:paraId="05769011"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Phase of the trial:</w:t>
            </w:r>
          </w:p>
          <w:p w14:paraId="3081A083"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greater than 2</w:t>
            </w:r>
          </w:p>
        </w:tc>
        <w:tc>
          <w:tcPr>
            <w:tcW w:w="1750" w:type="dxa"/>
          </w:tcPr>
          <w:p w14:paraId="77F78E3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0.47 (vs 0.50)</w:t>
            </w:r>
          </w:p>
        </w:tc>
        <w:tc>
          <w:tcPr>
            <w:tcW w:w="1750" w:type="dxa"/>
          </w:tcPr>
          <w:p w14:paraId="6F18B364"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0.76</w:t>
            </w:r>
          </w:p>
        </w:tc>
        <w:tc>
          <w:tcPr>
            <w:tcW w:w="1750" w:type="dxa"/>
          </w:tcPr>
          <w:p w14:paraId="21A6FFA3"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75.95%</w:t>
            </w:r>
          </w:p>
        </w:tc>
        <w:tc>
          <w:tcPr>
            <w:tcW w:w="1750" w:type="dxa"/>
          </w:tcPr>
          <w:p w14:paraId="1EA9D0E1"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r w:rsidR="00AE1FA6" w:rsidRPr="00AE1FA6" w14:paraId="61FFD81B" w14:textId="77777777" w:rsidTr="00AE1FA6">
        <w:tc>
          <w:tcPr>
            <w:tcW w:w="2488" w:type="dxa"/>
          </w:tcPr>
          <w:p w14:paraId="0510AC9B"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 xml:space="preserve">Study design: </w:t>
            </w:r>
          </w:p>
          <w:p w14:paraId="6BBA79D1"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 xml:space="preserve">non-randomized </w:t>
            </w:r>
          </w:p>
        </w:tc>
        <w:tc>
          <w:tcPr>
            <w:tcW w:w="1750" w:type="dxa"/>
          </w:tcPr>
          <w:p w14:paraId="6BE03A03"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0.52 (vs 0.42)</w:t>
            </w:r>
          </w:p>
        </w:tc>
        <w:tc>
          <w:tcPr>
            <w:tcW w:w="1750" w:type="dxa"/>
          </w:tcPr>
          <w:p w14:paraId="141E854C"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0.24</w:t>
            </w:r>
          </w:p>
        </w:tc>
        <w:tc>
          <w:tcPr>
            <w:tcW w:w="1750" w:type="dxa"/>
          </w:tcPr>
          <w:p w14:paraId="71EC5FF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73.24%</w:t>
            </w:r>
          </w:p>
        </w:tc>
        <w:tc>
          <w:tcPr>
            <w:tcW w:w="1750" w:type="dxa"/>
          </w:tcPr>
          <w:p w14:paraId="142B73A2"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r w:rsidR="00AE1FA6" w:rsidRPr="00AE1FA6" w14:paraId="11314DEC" w14:textId="77777777" w:rsidTr="00AE1FA6">
        <w:tc>
          <w:tcPr>
            <w:tcW w:w="2488" w:type="dxa"/>
          </w:tcPr>
          <w:p w14:paraId="2F125DE0"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Year of activation:</w:t>
            </w:r>
          </w:p>
          <w:p w14:paraId="6EA81A9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2011-2015</w:t>
            </w:r>
          </w:p>
        </w:tc>
        <w:tc>
          <w:tcPr>
            <w:tcW w:w="1750" w:type="dxa"/>
          </w:tcPr>
          <w:p w14:paraId="4210DFE2"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0.51 (vs 0.44)</w:t>
            </w:r>
          </w:p>
        </w:tc>
        <w:tc>
          <w:tcPr>
            <w:tcW w:w="1750" w:type="dxa"/>
          </w:tcPr>
          <w:p w14:paraId="1C69B074"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0.40</w:t>
            </w:r>
          </w:p>
        </w:tc>
        <w:tc>
          <w:tcPr>
            <w:tcW w:w="1750" w:type="dxa"/>
          </w:tcPr>
          <w:p w14:paraId="1DA31355"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76.18%</w:t>
            </w:r>
          </w:p>
        </w:tc>
        <w:tc>
          <w:tcPr>
            <w:tcW w:w="1750" w:type="dxa"/>
          </w:tcPr>
          <w:p w14:paraId="14295868"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r w:rsidR="00AE1FA6" w:rsidRPr="00AE1FA6" w14:paraId="0CEB4BB0" w14:textId="77777777" w:rsidTr="00AE1FA6">
        <w:tc>
          <w:tcPr>
            <w:tcW w:w="2488" w:type="dxa"/>
          </w:tcPr>
          <w:p w14:paraId="2B871CCB"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Sample size: &gt;24</w:t>
            </w:r>
          </w:p>
        </w:tc>
        <w:tc>
          <w:tcPr>
            <w:tcW w:w="1750" w:type="dxa"/>
          </w:tcPr>
          <w:p w14:paraId="79686B37"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0.51 (vs 0.42)</w:t>
            </w:r>
          </w:p>
        </w:tc>
        <w:tc>
          <w:tcPr>
            <w:tcW w:w="1750" w:type="dxa"/>
          </w:tcPr>
          <w:p w14:paraId="35E60428"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0.39</w:t>
            </w:r>
          </w:p>
        </w:tc>
        <w:tc>
          <w:tcPr>
            <w:tcW w:w="1750" w:type="dxa"/>
          </w:tcPr>
          <w:p w14:paraId="543A5104"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75.80%</w:t>
            </w:r>
          </w:p>
        </w:tc>
        <w:tc>
          <w:tcPr>
            <w:tcW w:w="1750" w:type="dxa"/>
          </w:tcPr>
          <w:p w14:paraId="5C42E22A"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bl>
    <w:p w14:paraId="39C35E07" w14:textId="77777777" w:rsidR="00AE1FA6" w:rsidRPr="00AE1FA6" w:rsidRDefault="00AE1FA6" w:rsidP="00AE1FA6">
      <w:pPr>
        <w:rPr>
          <w:rFonts w:ascii="Times New Roman" w:hAnsi="Times New Roman" w:cs="Times New Roman"/>
          <w:sz w:val="20"/>
          <w:szCs w:val="20"/>
          <w:lang w:val="en-US"/>
        </w:rPr>
      </w:pPr>
    </w:p>
    <w:p w14:paraId="16FB0A23"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Studies of phase greater than 2 decrease the effect size. The omnibus test for the effect of the moderator based on a chi-square distribution with 1 </w:t>
      </w:r>
      <w:proofErr w:type="spellStart"/>
      <w:proofErr w:type="gramStart"/>
      <w:r w:rsidRPr="00AE1FA6">
        <w:rPr>
          <w:rFonts w:ascii="Times New Roman" w:hAnsi="Times New Roman" w:cs="Times New Roman"/>
          <w:sz w:val="20"/>
          <w:szCs w:val="20"/>
          <w:lang w:val="en-US"/>
        </w:rPr>
        <w:t>df</w:t>
      </w:r>
      <w:proofErr w:type="spellEnd"/>
      <w:proofErr w:type="gramEnd"/>
      <w:r w:rsidRPr="00AE1FA6">
        <w:rPr>
          <w:rFonts w:ascii="Times New Roman" w:hAnsi="Times New Roman" w:cs="Times New Roman"/>
          <w:sz w:val="20"/>
          <w:szCs w:val="20"/>
          <w:lang w:val="en-US"/>
        </w:rPr>
        <w:t xml:space="preserve"> provided a p-value of 0.76 (not significant). Residual heterogeneity is 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75.95%, p &lt; 0.01). This moderator is not able to explain part of the heterogeneity. </w:t>
      </w:r>
    </w:p>
    <w:p w14:paraId="37C0A127"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For the pre-treated population, a non-randomized design increases the effect size at 3 months. There is no difference between randomized and non-randomized trials (p = 0.24). Residual heterogeneity is high (73.24%, p &lt; 0.01). </w:t>
      </w:r>
    </w:p>
    <w:p w14:paraId="73F33719"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A year of activation </w:t>
      </w:r>
      <w:proofErr w:type="gramStart"/>
      <w:r w:rsidRPr="00AE1FA6">
        <w:rPr>
          <w:rFonts w:ascii="Times New Roman" w:hAnsi="Times New Roman" w:cs="Times New Roman"/>
          <w:sz w:val="20"/>
          <w:szCs w:val="20"/>
          <w:lang w:val="en-US"/>
        </w:rPr>
        <w:t>between 2011-2015</w:t>
      </w:r>
      <w:proofErr w:type="gramEnd"/>
      <w:r w:rsidRPr="00AE1FA6">
        <w:rPr>
          <w:rFonts w:ascii="Times New Roman" w:hAnsi="Times New Roman" w:cs="Times New Roman"/>
          <w:sz w:val="20"/>
          <w:szCs w:val="20"/>
          <w:lang w:val="en-US"/>
        </w:rPr>
        <w:t xml:space="preserve"> has a positive effect on the estimate. However, there no statistically significant difference between the 2 subgroups (2011-2015 against 2000-2010) as p = 0.40. Residual heterogeneity is high (75.80%, p &lt; 0.01).</w:t>
      </w:r>
    </w:p>
    <w:p w14:paraId="5495A36E"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A sample size above 24 patients has a slightly positive effect on the observed proportion versus a sample size of 24 or less. This effect is not statistically significant (p = 0.39). Residual heterogeneity is 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75.80%, p &lt; 0.01). </w:t>
      </w:r>
    </w:p>
    <w:p w14:paraId="0BAB9BCA"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No moderators were found significant. Consequently, no multivariate moderator analysis was performed.</w:t>
      </w:r>
    </w:p>
    <w:p w14:paraId="51844C47" w14:textId="77777777" w:rsidR="00AE1FA6" w:rsidRPr="00AE1FA6" w:rsidRDefault="00AE1FA6" w:rsidP="00AE1FA6">
      <w:pPr>
        <w:rPr>
          <w:rFonts w:ascii="Times New Roman" w:hAnsi="Times New Roman" w:cs="Times New Roman"/>
          <w:sz w:val="20"/>
          <w:szCs w:val="20"/>
          <w:lang w:val="en-US"/>
        </w:rPr>
      </w:pPr>
    </w:p>
    <w:p w14:paraId="5B6F2CF6" w14:textId="77777777" w:rsidR="00AE1FA6" w:rsidRPr="008E3E6C" w:rsidRDefault="00AE1FA6" w:rsidP="008E3E6C">
      <w:pPr>
        <w:pStyle w:val="Heading3"/>
        <w:rPr>
          <w:rFonts w:ascii="Times New Roman" w:hAnsi="Times New Roman" w:cs="Times New Roman"/>
          <w:b/>
          <w:color w:val="auto"/>
          <w:sz w:val="20"/>
          <w:szCs w:val="20"/>
          <w:lang w:val="en-US"/>
        </w:rPr>
      </w:pPr>
      <w:bookmarkStart w:id="41" w:name="_Toc96332391"/>
      <w:bookmarkStart w:id="42" w:name="_Toc97281450"/>
      <w:r w:rsidRPr="008E3E6C">
        <w:rPr>
          <w:rFonts w:ascii="Times New Roman" w:hAnsi="Times New Roman" w:cs="Times New Roman"/>
          <w:b/>
          <w:color w:val="auto"/>
          <w:sz w:val="20"/>
          <w:szCs w:val="20"/>
          <w:lang w:val="en-US"/>
        </w:rPr>
        <w:t>Analysis for pre-treated patients at 6 months</w:t>
      </w:r>
      <w:bookmarkEnd w:id="41"/>
      <w:bookmarkEnd w:id="42"/>
    </w:p>
    <w:p w14:paraId="531CCC28" w14:textId="392BC4E1"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For this case, the EORTC database consists of 17 trials and 19 treatment monotherapies or combinations. Here, PFS at 6 months could not be retrieved for ‘Schöffski 2013: </w:t>
      </w:r>
      <w:proofErr w:type="spellStart"/>
      <w:r w:rsidRPr="00AE1FA6">
        <w:rPr>
          <w:rFonts w:ascii="Times New Roman" w:hAnsi="Times New Roman" w:cs="Times New Roman"/>
          <w:sz w:val="20"/>
          <w:szCs w:val="20"/>
          <w:lang w:val="en-US"/>
        </w:rPr>
        <w:t>Cixutumumab</w:t>
      </w:r>
      <w:proofErr w:type="spellEnd"/>
      <w:r w:rsidRPr="00AE1FA6">
        <w:rPr>
          <w:rFonts w:ascii="Times New Roman" w:hAnsi="Times New Roman" w:cs="Times New Roman"/>
          <w:sz w:val="20"/>
          <w:szCs w:val="20"/>
          <w:lang w:val="en-US"/>
        </w:rPr>
        <w:t xml:space="preserve">’ </w:t>
      </w:r>
      <w:r w:rsidRPr="00AE1FA6">
        <w:rPr>
          <w:rFonts w:ascii="Times New Roman" w:hAnsi="Times New Roman" w:cs="Times New Roman"/>
          <w:sz w:val="20"/>
          <w:szCs w:val="20"/>
          <w:lang w:val="en-US"/>
        </w:rPr>
        <w:fldChar w:fldCharType="begin" w:fldLock="1"/>
      </w:r>
      <w:r w:rsidR="0000797A">
        <w:rPr>
          <w:rFonts w:ascii="Times New Roman" w:hAnsi="Times New Roman" w:cs="Times New Roman"/>
          <w:sz w:val="20"/>
          <w:szCs w:val="20"/>
          <w:lang w:val="en-US"/>
        </w:rPr>
        <w:instrText>ADDIN CSL_CITATION {"citationItems":[{"id":"ITEM-1","itemData":{"DOI":"10.1016/j.ejca.2013.06.010","ISSN":"09598049","PMID":"23835252","abstract":"Background Cixutumumab (IMC-A12), a fully human immunoglobulin G1 (IgG1) monoclonal antibody, exerts preclinical activity in several sarcoma models and may be effective for the treatment of these tumours. Methods In this open-label, multicentre, phase 2 study, patients with previously treated advanced or metastatic rhabdomyosarcoma, leiomyosarcoma, adipocytic sarcoma, synovial sarcoma or Ewing family of tumours received intravenous cixutumumab (10 mg/kg) for 1 h every other week until disease progression or discontinuation. The primary end-point was the progression-free survival rate (PFR), defined as stable disease or better at 12 weeks. In each tier of disease histology, Simon's optimum 2-stage design was applied (PFR at 12 weeks P0 = 20%, P1 = 40%, $α$ = 0.10, $β$ = 0.10). Stage 1 enrolled 17 patients in each disease group/tier, with at least four patients with stable disease or better required at 12 weeks to proceed to stage 2. Results A total of 113 patients were enrolled; all tiers except adipocytic sarcoma were closed after stage 1 due to futility. The 12-week PFR was 12% for rhabdomyosarcoma (n = 17), 14% for leiomyosarcoma (n = 22), 32% for adipocytic sarcoma (n = 37), 18% for synovial sarcoma (n = 17) and 11% for Ewing family of tumours (n = 18). Median progression-free survival (weeks) was 6.1 for rhabdomyosarcoma, 6.0 for leiomyosarcoma, 12.1 for adipocytic sarcoma, 6.4 for synovial sarcoma and 6.4 for Ewing family of tumours. Among all patients, the most frequent treatment-emergent adverse events (AEs) were nausea (26%), fatigue (23%), diarrhoea (23%) and hyperglycaemia (20%). Conclusions Patients with adipocytic sarcoma may benefit from treatment with cixutumumab. Cixutumumab treatment was well tolerated, with limited gastrointestinal AEs, fatigue and hyperglycaemia. ©2013 Elsevier Ltd. All rights reserved.","author":[{"dropping-particle":"","family":"Schöffski","given":"P","non-dropping-particle":"","parse-names":false,"suffix":""},{"dropping-particle":"","family":"Adkins","given":"D","non-dropping-particle":"","parse-names":false,"suffix":""},{"dropping-particle":"","family":"Blay","given":"J Y","non-dropping-particle":"","parse-names":false,"suffix":""},{"dropping-particle":"","family":"Gil","given":"T","non-dropping-particle":"","parse-names":false,"suffix":""},{"dropping-particle":"","family":"Elias","given":"A D","non-dropping-particle":"","parse-names":false,"suffix":""},{"dropping-particle":"","family":"Rutkowski","given":"P","non-dropping-particle":"","parse-names":false,"suffix":""},{"dropping-particle":"","family":"Pennock","given":"G K","non-dropping-particle":"","parse-names":false,"suffix":""},{"dropping-particle":"","family":"Youssoufian","given":"H","non-dropping-particle":"","parse-names":false,"suffix":""},{"dropping-particle":"","family":"Gelderblom","given":"H","non-dropping-particle":"","parse-names":false,"suffix":""},{"dropping-particle":"","family":"Willey","given":"R","non-dropping-particle":"","parse-names":false,"suffix":""},{"dropping-particle":"","family":"Grebennik","given":"D O","non-dropping-particle":"","parse-names":false,"suffix":""}],"container-title":"European Journal of Cancer","id":"ITEM-1","issue":"15","issued":{"date-parts":[["2013"]]},"page":"3219-3228","title":"An open-label, phase 2 study evaluating the efficacy and safety of the anti-IGF-1R antibody cixutumumab in patients with previously treated advanced or metastatic soft-tissue sarcoma or Ewing family of tumours","type":"article-journal","volume":"49"},"uris":["http://www.mendeley.com/documents/?uuid=de3fb265-6874-4d64-a14a-1d65d5d709da"]}],"mendeley":{"formattedCitation":"[25]","plainTextFormattedCitation":"[25]","previouslyFormattedCitation":"[25]"},"properties":{"noteIndex":0},"schema":"https://github.com/citation-style-language/schema/raw/master/csl-citation.json"}</w:instrText>
      </w:r>
      <w:r w:rsidRPr="00AE1FA6">
        <w:rPr>
          <w:rFonts w:ascii="Times New Roman" w:hAnsi="Times New Roman" w:cs="Times New Roman"/>
          <w:sz w:val="20"/>
          <w:szCs w:val="20"/>
          <w:lang w:val="en-US"/>
        </w:rPr>
        <w:fldChar w:fldCharType="separate"/>
      </w:r>
      <w:r w:rsidR="00826352" w:rsidRPr="00826352">
        <w:rPr>
          <w:rFonts w:ascii="Times New Roman" w:hAnsi="Times New Roman" w:cs="Times New Roman"/>
          <w:noProof/>
          <w:sz w:val="20"/>
          <w:szCs w:val="20"/>
          <w:lang w:val="en-US"/>
        </w:rPr>
        <w:t>[25]</w:t>
      </w:r>
      <w:r w:rsidRPr="00AE1FA6">
        <w:rPr>
          <w:rFonts w:ascii="Times New Roman" w:hAnsi="Times New Roman" w:cs="Times New Roman"/>
          <w:sz w:val="20"/>
          <w:szCs w:val="20"/>
          <w:lang w:val="en-US"/>
        </w:rPr>
        <w:fldChar w:fldCharType="end"/>
      </w:r>
      <w:r w:rsidRPr="00AE1FA6">
        <w:rPr>
          <w:rFonts w:ascii="Times New Roman" w:hAnsi="Times New Roman" w:cs="Times New Roman"/>
          <w:sz w:val="20"/>
          <w:szCs w:val="20"/>
          <w:lang w:val="en-US"/>
        </w:rPr>
        <w:t xml:space="preserve"> but was available for ‘Chawla 2011: </w:t>
      </w:r>
      <w:proofErr w:type="spellStart"/>
      <w:r w:rsidRPr="00AE1FA6">
        <w:rPr>
          <w:rFonts w:ascii="Times New Roman" w:hAnsi="Times New Roman" w:cs="Times New Roman"/>
          <w:sz w:val="20"/>
          <w:szCs w:val="20"/>
          <w:lang w:val="en-US"/>
        </w:rPr>
        <w:t>Ridaforolimus</w:t>
      </w:r>
      <w:proofErr w:type="spellEnd"/>
      <w:r w:rsidRPr="00AE1FA6">
        <w:rPr>
          <w:rFonts w:ascii="Times New Roman" w:hAnsi="Times New Roman" w:cs="Times New Roman"/>
          <w:sz w:val="20"/>
          <w:szCs w:val="20"/>
          <w:lang w:val="en-US"/>
        </w:rPr>
        <w:t xml:space="preserve">’ </w:t>
      </w:r>
      <w:r w:rsidRPr="00AE1FA6">
        <w:rPr>
          <w:rFonts w:ascii="Times New Roman" w:hAnsi="Times New Roman" w:cs="Times New Roman"/>
          <w:sz w:val="20"/>
          <w:szCs w:val="20"/>
          <w:lang w:val="en-US"/>
        </w:rPr>
        <w:fldChar w:fldCharType="begin" w:fldLock="1"/>
      </w:r>
      <w:r w:rsidR="0000797A">
        <w:rPr>
          <w:rFonts w:ascii="Times New Roman" w:hAnsi="Times New Roman" w:cs="Times New Roman"/>
          <w:sz w:val="20"/>
          <w:szCs w:val="20"/>
          <w:lang w:val="en-US"/>
        </w:rPr>
        <w:instrText>ADDIN CSL_CITATION {"citationItems":[{"id":"ITEM-1","itemData":{"DOI":"10.1200/JCO.2011.35.6329","ISSN":"15277755","abstract":"Purpose: Ridaforolimus is an inhibitor of mammalian target of rapamycin, an integral component of the phosphatidyl 3-kinase/AKT signaling pathway, with early evidence of activity in sarcomas. This multicenter, open-label, single-arm, phase II trial was conducted to assess the antitumor activity of ridaforolimus in patients with distinct subtypes of advanced sarcomas. Patients and Methods: Patients with metastatic or unresectable soft tissue or bone sarcomas received ridaforolimus 12.5 mg administered as a 30-minute intravenous infusion once daily for 5 days every 2 weeks. The primary end point was clinical benefit response (CBR) rate (complete response or partial response [PR] or stable disease ≥ 16 weeks). Safety, progression-free survival (PFS), overall survival (OS), time to progression, and duration of response were also evaluated. Results: A total of 212 patients were treated in four separate histologic cohorts. In this heavily pretreated population, 61 patients (28.8%) achieved CBR. Median PFS was 15.3 weeks; median OS was 40 weeks. Response Evaluation Criteria in Solid Tumors (RECIST) confirmed response rate was 1.9%, with four patients achieving confirmed PR (two with osteosarcoma, one with spindle cell sarcoma, and one with malignant fibrous histiocytoma). Archival tumor protein markers analyzed were not correlated with CBR. Related adverse events were generally mild or moderate and consisted primarily of stomatitis, mucosal inflammation, mouth ulceration, rash, and fatigue. Conclusion: Single-agent ridaforolimus in patients with advanced and pretreated sarcomas led to PFS results that compare favorably with historical metrics. A phase III trial based on these data will further define ridaforolimus activity in sarcomas. © 2011 by American Society of Clinical Oncology.","author":[{"dropping-particle":"","family":"Chawla","given":"Sant P.","non-dropping-particle":"","parse-names":false,"suffix":""},{"dropping-particle":"","family":"Staddon","given":"Arthur P.","non-dropping-particle":"","parse-names":false,"suffix":""},{"dropping-particle":"","family":"Baker","given":"Laurence H.","non-dropping-particle":"","parse-names":false,"suffix":""},{"dropping-particle":"","family":"Schuetze","given":"Scott M.","non-dropping-particle":"","parse-names":false,"suffix":""},{"dropping-particle":"","family":"Tolcher","given":"Anthony W.","non-dropping-particle":"","parse-names":false,"suffix":""},{"dropping-particle":"","family":"D'Amato","given":"Gina Z.","non-dropping-particle":"","parse-names":false,"suffix":""},{"dropping-particle":"","family":"Blay","given":"Jean Yves","non-dropping-particle":"","parse-names":false,"suffix":""},{"dropping-particle":"","family":"Mita","given":"Monica M.","non-dropping-particle":"","parse-names":false,"suffix":""},{"dropping-particle":"","family":"Sankhala","given":"Kamalesh K.","non-dropping-particle":"","parse-names":false,"suffix":""},{"dropping-particle":"","family":"Berk","given":"Lori","non-dropping-particle":"","parse-names":false,"suffix":""},{"dropping-particle":"","family":"Rivera","given":"Victor M.","non-dropping-particle":"","parse-names":false,"suffix":""},{"dropping-particle":"","family":"Clackson","given":"Tim","non-dropping-particle":"","parse-names":false,"suffix":""},{"dropping-particle":"","family":"Loewy","given":"John W.","non-dropping-particle":"","parse-names":false,"suffix":""},{"dropping-particle":"","family":"Haluska","given":"Frank G.","non-dropping-particle":"","parse-names":false,"suffix":""},{"dropping-particle":"","family":"Demetri","given":"George D.","non-dropping-particle":"","parse-names":false,"suffix":""}],"container-title":"Journal of Clinical Oncology","id":"ITEM-1","issue":"1","issued":{"date-parts":[["2012"]]},"page":"78-84","title":"Phase II study of the mammalian target of rapamycin inhibitor ridaforolimus in patients with advanced bone and soft tissue sarcomas","type":"article-journal","volume":"30"},"uris":["http://www.mendeley.com/documents/?uuid=11663682-a42f-4a09-8f2f-9f12931c572a"]}],"mendeley":{"formattedCitation":"[26]","plainTextFormattedCitation":"[26]","previouslyFormattedCitation":"[26]"},"properties":{"noteIndex":0},"schema":"https://github.com/citation-style-language/schema/raw/master/csl-citation.json"}</w:instrText>
      </w:r>
      <w:r w:rsidRPr="00AE1FA6">
        <w:rPr>
          <w:rFonts w:ascii="Times New Roman" w:hAnsi="Times New Roman" w:cs="Times New Roman"/>
          <w:sz w:val="20"/>
          <w:szCs w:val="20"/>
          <w:lang w:val="en-US"/>
        </w:rPr>
        <w:fldChar w:fldCharType="separate"/>
      </w:r>
      <w:r w:rsidR="00826352" w:rsidRPr="00826352">
        <w:rPr>
          <w:rFonts w:ascii="Times New Roman" w:hAnsi="Times New Roman" w:cs="Times New Roman"/>
          <w:noProof/>
          <w:sz w:val="20"/>
          <w:szCs w:val="20"/>
          <w:lang w:val="en-US"/>
        </w:rPr>
        <w:t>[26]</w:t>
      </w:r>
      <w:r w:rsidRPr="00AE1FA6">
        <w:rPr>
          <w:rFonts w:ascii="Times New Roman" w:hAnsi="Times New Roman" w:cs="Times New Roman"/>
          <w:sz w:val="20"/>
          <w:szCs w:val="20"/>
          <w:lang w:val="en-US"/>
        </w:rPr>
        <w:fldChar w:fldCharType="end"/>
      </w:r>
      <w:r w:rsidRPr="00AE1FA6">
        <w:rPr>
          <w:rFonts w:ascii="Times New Roman" w:hAnsi="Times New Roman" w:cs="Times New Roman"/>
          <w:sz w:val="20"/>
          <w:szCs w:val="20"/>
          <w:lang w:val="en-US"/>
        </w:rPr>
        <w:t xml:space="preserve"> (which was unavailable for PFS at 3 months).</w:t>
      </w:r>
    </w:p>
    <w:p w14:paraId="12D0FEDD" w14:textId="77777777" w:rsidR="00AE1FA6" w:rsidRPr="00AE1FA6" w:rsidRDefault="00AE1FA6" w:rsidP="00AE1FA6">
      <w:pPr>
        <w:rPr>
          <w:rFonts w:ascii="Times New Roman" w:hAnsi="Times New Roman" w:cs="Times New Roman"/>
          <w:sz w:val="20"/>
          <w:szCs w:val="20"/>
          <w:lang w:val="en-US"/>
        </w:rPr>
      </w:pPr>
    </w:p>
    <w:p w14:paraId="76CE2013" w14:textId="77777777" w:rsidR="00AE1FA6" w:rsidRPr="00AE1FA6" w:rsidRDefault="00AE1FA6" w:rsidP="00AE1FA6">
      <w:pPr>
        <w:rPr>
          <w:rFonts w:ascii="Times New Roman" w:hAnsi="Times New Roman" w:cs="Times New Roman"/>
          <w:sz w:val="20"/>
          <w:szCs w:val="20"/>
          <w:lang w:val="en-US"/>
        </w:rPr>
      </w:pPr>
    </w:p>
    <w:p w14:paraId="5CB17728" w14:textId="77777777" w:rsidR="00AE1FA6" w:rsidRPr="00AE1FA6" w:rsidRDefault="00AE1FA6" w:rsidP="008E3E6C">
      <w:pPr>
        <w:rPr>
          <w:rFonts w:ascii="Times New Roman" w:hAnsi="Times New Roman" w:cs="Times New Roman"/>
          <w:b/>
          <w:sz w:val="20"/>
          <w:szCs w:val="20"/>
          <w:lang w:val="en-US"/>
        </w:rPr>
      </w:pPr>
      <w:bookmarkStart w:id="43" w:name="_Toc96332392"/>
      <w:r w:rsidRPr="00AE1FA6">
        <w:rPr>
          <w:rFonts w:ascii="Times New Roman" w:hAnsi="Times New Roman" w:cs="Times New Roman"/>
          <w:b/>
          <w:sz w:val="20"/>
          <w:szCs w:val="20"/>
          <w:lang w:val="en-US"/>
        </w:rPr>
        <w:t>Risk of bias assessment</w:t>
      </w:r>
      <w:bookmarkEnd w:id="43"/>
    </w:p>
    <w:p w14:paraId="1F3515EC"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The contour enhanced funnel plot does not show any study outside the borders. However, there is asymmetry in the distribution of the trials especially for larger standard errors. There is indication of publication bias (could also be citation bias or heterogeneity in the trials). </w:t>
      </w:r>
    </w:p>
    <w:p w14:paraId="5296B0C9" w14:textId="77777777" w:rsidR="00AE1FA6" w:rsidRPr="00AE1FA6" w:rsidRDefault="00AE1FA6" w:rsidP="00AE1FA6">
      <w:pPr>
        <w:rPr>
          <w:rFonts w:ascii="Times New Roman" w:hAnsi="Times New Roman" w:cs="Times New Roman"/>
          <w:sz w:val="20"/>
          <w:szCs w:val="20"/>
          <w:lang w:val="en-US"/>
        </w:rPr>
      </w:pPr>
    </w:p>
    <w:p w14:paraId="7A08F5BE"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lastRenderedPageBreak/>
        <w:drawing>
          <wp:inline distT="0" distB="0" distL="0" distR="0" wp14:anchorId="796B728B" wp14:editId="2A16454B">
            <wp:extent cx="6031230" cy="339725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ontour_enhanced_funnel.PNG"/>
                    <pic:cNvPicPr/>
                  </pic:nvPicPr>
                  <pic:blipFill>
                    <a:blip r:embed="rId21">
                      <a:extLst>
                        <a:ext uri="{28A0092B-C50C-407E-A947-70E740481C1C}">
                          <a14:useLocalDpi xmlns:a14="http://schemas.microsoft.com/office/drawing/2010/main" val="0"/>
                        </a:ext>
                      </a:extLst>
                    </a:blip>
                    <a:stretch>
                      <a:fillRect/>
                    </a:stretch>
                  </pic:blipFill>
                  <pic:spPr>
                    <a:xfrm>
                      <a:off x="0" y="0"/>
                      <a:ext cx="6031230" cy="3397250"/>
                    </a:xfrm>
                    <a:prstGeom prst="rect">
                      <a:avLst/>
                    </a:prstGeom>
                  </pic:spPr>
                </pic:pic>
              </a:graphicData>
            </a:graphic>
          </wp:inline>
        </w:drawing>
      </w:r>
    </w:p>
    <w:p w14:paraId="44C87B5A" w14:textId="05EAAB94" w:rsidR="00AE1FA6" w:rsidRPr="00AE1FA6" w:rsidRDefault="008E3E6C" w:rsidP="00AE1FA6">
      <w:pPr>
        <w:rPr>
          <w:rFonts w:ascii="Times New Roman" w:hAnsi="Times New Roman" w:cs="Times New Roman"/>
          <w:bCs/>
          <w:sz w:val="20"/>
          <w:szCs w:val="20"/>
          <w:lang w:val="en-US"/>
        </w:rPr>
      </w:pPr>
      <w:r>
        <w:rPr>
          <w:rFonts w:ascii="Times New Roman" w:hAnsi="Times New Roman" w:cs="Times New Roman"/>
          <w:bCs/>
          <w:sz w:val="20"/>
          <w:szCs w:val="20"/>
          <w:lang w:val="en-US"/>
        </w:rPr>
        <w:t>Fig. A10</w:t>
      </w:r>
      <w:r w:rsidR="00AE1FA6" w:rsidRPr="00AE1FA6">
        <w:rPr>
          <w:rFonts w:ascii="Times New Roman" w:hAnsi="Times New Roman" w:cs="Times New Roman"/>
          <w:bCs/>
          <w:sz w:val="20"/>
          <w:szCs w:val="20"/>
          <w:lang w:val="en-US"/>
        </w:rPr>
        <w:t>. Contour enhanced funnel plot of LPS for PFS at 6 months (pre-treated patients).</w:t>
      </w:r>
    </w:p>
    <w:p w14:paraId="5A30F2F3" w14:textId="77777777" w:rsidR="00AE1FA6" w:rsidRPr="00AE1FA6" w:rsidRDefault="00AE1FA6" w:rsidP="00AE1FA6">
      <w:pPr>
        <w:rPr>
          <w:rFonts w:ascii="Times New Roman" w:hAnsi="Times New Roman" w:cs="Times New Roman"/>
          <w:sz w:val="20"/>
          <w:szCs w:val="20"/>
          <w:lang w:val="en-US"/>
        </w:rPr>
      </w:pPr>
    </w:p>
    <w:p w14:paraId="22E54A84"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We also performed the 2 formal tests. The rank correlation test produced a p-value of 0.02 and the Egger’s regression test also a p-value of 0.02. There is indication of funnel plot asymmetry from the formal tests which could imply publication bias.  </w:t>
      </w:r>
    </w:p>
    <w:p w14:paraId="616327E1" w14:textId="77777777" w:rsidR="008E3E6C" w:rsidRDefault="008E3E6C" w:rsidP="008E3E6C">
      <w:pPr>
        <w:rPr>
          <w:rFonts w:ascii="Times New Roman" w:hAnsi="Times New Roman" w:cs="Times New Roman"/>
          <w:sz w:val="20"/>
          <w:szCs w:val="20"/>
          <w:lang w:val="en-US"/>
        </w:rPr>
      </w:pPr>
      <w:bookmarkStart w:id="44" w:name="_Toc96332394"/>
    </w:p>
    <w:p w14:paraId="49AEEBFF" w14:textId="77777777" w:rsidR="008E3E6C" w:rsidRDefault="008E3E6C" w:rsidP="008E3E6C">
      <w:pPr>
        <w:rPr>
          <w:rFonts w:ascii="Times New Roman" w:hAnsi="Times New Roman" w:cs="Times New Roman"/>
          <w:sz w:val="20"/>
          <w:szCs w:val="20"/>
          <w:lang w:val="en-US"/>
        </w:rPr>
      </w:pPr>
    </w:p>
    <w:p w14:paraId="219961A8" w14:textId="55F240DB" w:rsidR="00AE1FA6" w:rsidRPr="00AE1FA6" w:rsidRDefault="00AE1FA6" w:rsidP="008E3E6C">
      <w:pPr>
        <w:rPr>
          <w:rFonts w:ascii="Times New Roman" w:hAnsi="Times New Roman" w:cs="Times New Roman"/>
          <w:b/>
          <w:sz w:val="20"/>
          <w:szCs w:val="20"/>
          <w:lang w:val="en-US"/>
        </w:rPr>
      </w:pPr>
      <w:r w:rsidRPr="00AE1FA6">
        <w:rPr>
          <w:rFonts w:ascii="Times New Roman" w:hAnsi="Times New Roman" w:cs="Times New Roman"/>
          <w:b/>
          <w:sz w:val="20"/>
          <w:szCs w:val="20"/>
          <w:lang w:val="en-US"/>
        </w:rPr>
        <w:t>Diagnostics for influential studies</w:t>
      </w:r>
      <w:bookmarkEnd w:id="44"/>
    </w:p>
    <w:p w14:paraId="1444344A" w14:textId="50E2DB69"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The externally standardized residuals of the studies were calculated. Values &gt; 2 or 3 may indicate an influential outlier for the meta-analysis. Exclusion of the most influential study from the database may lead to significant changes in the fitted meta-analytic model. Line 10 with study ‘Samuels 2017: </w:t>
      </w:r>
      <w:proofErr w:type="spellStart"/>
      <w:r w:rsidRPr="00AE1FA6">
        <w:rPr>
          <w:rFonts w:ascii="Times New Roman" w:hAnsi="Times New Roman" w:cs="Times New Roman"/>
          <w:sz w:val="20"/>
          <w:szCs w:val="20"/>
          <w:lang w:val="en-US"/>
        </w:rPr>
        <w:t>Pazopanib</w:t>
      </w:r>
      <w:proofErr w:type="spellEnd"/>
      <w:r w:rsidRPr="00AE1FA6">
        <w:rPr>
          <w:rFonts w:ascii="Times New Roman" w:hAnsi="Times New Roman" w:cs="Times New Roman"/>
          <w:sz w:val="20"/>
          <w:szCs w:val="20"/>
          <w:lang w:val="en-US"/>
        </w:rPr>
        <w:t xml:space="preserve">’ </w:t>
      </w:r>
      <w:r w:rsidRPr="00AE1FA6">
        <w:rPr>
          <w:rFonts w:ascii="Times New Roman" w:hAnsi="Times New Roman" w:cs="Times New Roman"/>
          <w:sz w:val="20"/>
          <w:szCs w:val="20"/>
          <w:lang w:val="en-US"/>
        </w:rPr>
        <w:fldChar w:fldCharType="begin" w:fldLock="1"/>
      </w:r>
      <w:r w:rsidR="00826352">
        <w:rPr>
          <w:rFonts w:ascii="Times New Roman" w:hAnsi="Times New Roman" w:cs="Times New Roman"/>
          <w:sz w:val="20"/>
          <w:szCs w:val="20"/>
          <w:lang w:val="en-US"/>
        </w:rPr>
        <w:instrText>ADDIN CSL_CITATION {"citationItems":[{"id":"ITEM-1","itemData":{"DOI":"10.1002/cncr.30926","ISSN":"10970142","PMID":"28832986","abstract":"BACKGROUND: This phase 2, single-arm, multicenter study was designed to determine the treatment activity and safety of single-agent pazopanib in patients with unresectable or metastatic liposarcoma. METHODS: Eligible patients had high-grade or intermediate-grade liposarcoma with measurable tumors that were unresectable or metastatic, documented disease progression, and had received any number of prior treatments, excluding previous treatment with a vascular endothelial growth factor inhibitor or a tyrosine kinase inhibitor. Patients received oral pazopanib 800 mg once daily for 28-day cycles. Tumor response was evaluated by local radiology assessments every 3 cycles. The primary endpoint was the progression-free rate (PFR) at 12 weeks (PFR12). RESULTS: Forty-one patients were enrolled. The PFR12 was 68.3% (95% confidence interval [CI], 51.9%-81.9%), which was significantly greater than the null hypothesis value of 40% (P =.0002). At 24 weeks, 39% of patients (95% CI, 24.2%-55.5%) remained progression free, and 44% experienced tumor control (partial response or stable disease). The median progression-free survival was 4.4 months (95% CI, 3.2-6.5 months), and the median overall survival was 12.6 months (95% CI, 8.5-16.2 months). The most common adverse events overall were nausea (39%), hypertension (36.6%), diarrhea (34.1%), and fatigue (29.3%), which were typically less than grade 3. There were 5 deaths on study (12.2%), 3 of which were from possible complications of therapy. CONCLUSIONS: The current study provides evidence of potential activity of pazopanib in the liposarcoma subset of patients with soft tissue sarcoma that was specifically excluded from the phase 3 PALETTE trial of other soft tissue sarcoma types. Cancer 2017;123:4640-4647. © 2017 American Cancer Society.","author":[{"dropping-particle":"","family":"Samuels","given":"Brian L.","non-dropping-particle":"","parse-names":false,"suffix":""},{"dropping-particle":"","family":"Chawla","given":"Sant P.","non-dropping-particle":"","parse-names":false,"suffix":""},{"dropping-particle":"","family":"Somaiah","given":"Neeta","non-dropping-particle":"","parse-names":false,"suffix":""},{"dropping-particle":"","family":"Staddon","given":"Arthur P.","non-dropping-particle":"","parse-names":false,"suffix":""},{"dropping-particle":"","family":"Skubitz","given":"Keith M.","non-dropping-particle":"","parse-names":false,"suffix":""},{"dropping-particle":"","family":"Milhem","given":"Mohammed M.","non-dropping-particle":"","parse-names":false,"suffix":""},{"dropping-particle":"","family":"Kaiser","given":"Pamela E.","non-dropping-particle":"","parse-names":false,"suffix":""},{"dropping-particle":"","family":"Portnoy","given":"David C.","non-dropping-particle":"","parse-names":false,"suffix":""},{"dropping-particle":"","family":"Priebat","given":"Dennis A.","non-dropping-particle":"","parse-names":false,"suffix":""},{"dropping-particle":"","family":"Walker","given":"Mark S.","non-dropping-particle":"","parse-names":false,"suffix":""},{"dropping-particle":"","family":"Stepanski","given":"Edward J.","non-dropping-particle":"","parse-names":false,"suffix":""}],"container-title":"Cancer","id":"ITEM-1","issue":"23","issued":{"date-parts":[["2017"]]},"page":"4640-4647","title":"Results of a prospective phase 2 study of pazopanib in patients with advanced intermediate-grade or high-grade liposarcoma","type":"article-journal","volume":"123"},"uris":["http://www.mendeley.com/documents/?uuid=98595ef4-e8f6-4553-8568-7bbf81f4d0ff"]}],"mendeley":{"formattedCitation":"[9]","plainTextFormattedCitation":"[9]","previouslyFormattedCitation":"[9]"},"properties":{"noteIndex":0},"schema":"https://github.com/citation-style-language/schema/raw/master/csl-citation.json"}</w:instrText>
      </w:r>
      <w:r w:rsidRPr="00AE1FA6">
        <w:rPr>
          <w:rFonts w:ascii="Times New Roman" w:hAnsi="Times New Roman" w:cs="Times New Roman"/>
          <w:sz w:val="20"/>
          <w:szCs w:val="20"/>
          <w:lang w:val="en-US"/>
        </w:rPr>
        <w:fldChar w:fldCharType="separate"/>
      </w:r>
      <w:r w:rsidR="00826352" w:rsidRPr="00826352">
        <w:rPr>
          <w:rFonts w:ascii="Times New Roman" w:hAnsi="Times New Roman" w:cs="Times New Roman"/>
          <w:noProof/>
          <w:sz w:val="20"/>
          <w:szCs w:val="20"/>
          <w:lang w:val="en-US"/>
        </w:rPr>
        <w:t>[9]</w:t>
      </w:r>
      <w:r w:rsidRPr="00AE1FA6">
        <w:rPr>
          <w:rFonts w:ascii="Times New Roman" w:hAnsi="Times New Roman" w:cs="Times New Roman"/>
          <w:sz w:val="20"/>
          <w:szCs w:val="20"/>
          <w:lang w:val="en-US"/>
        </w:rPr>
        <w:fldChar w:fldCharType="end"/>
      </w:r>
      <w:r w:rsidRPr="00AE1FA6">
        <w:rPr>
          <w:rFonts w:ascii="Times New Roman" w:hAnsi="Times New Roman" w:cs="Times New Roman"/>
          <w:sz w:val="20"/>
          <w:szCs w:val="20"/>
          <w:lang w:val="en-US"/>
        </w:rPr>
        <w:t xml:space="preserve"> has the highest z-value of 1.71. </w:t>
      </w:r>
    </w:p>
    <w:p w14:paraId="1796AE96"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The </w:t>
      </w:r>
      <w:proofErr w:type="spellStart"/>
      <w:r w:rsidRPr="00AE1FA6">
        <w:rPr>
          <w:rFonts w:ascii="Times New Roman" w:hAnsi="Times New Roman" w:cs="Times New Roman"/>
          <w:sz w:val="20"/>
          <w:szCs w:val="20"/>
          <w:lang w:val="en-US"/>
        </w:rPr>
        <w:t>baujat</w:t>
      </w:r>
      <w:proofErr w:type="spellEnd"/>
      <w:r w:rsidRPr="00AE1FA6">
        <w:rPr>
          <w:rFonts w:ascii="Times New Roman" w:hAnsi="Times New Roman" w:cs="Times New Roman"/>
          <w:sz w:val="20"/>
          <w:szCs w:val="20"/>
          <w:lang w:val="en-US"/>
        </w:rPr>
        <w:t xml:space="preserve"> plot (fig. 15) projects this study to the upper right corner. This study contributes the most to heterogeneity (squared Pearson residuals) and it is the fourth most influential based on the fitted values on the y-axis. </w:t>
      </w:r>
    </w:p>
    <w:p w14:paraId="0AB470B6"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lastRenderedPageBreak/>
        <w:drawing>
          <wp:inline distT="0" distB="0" distL="0" distR="0" wp14:anchorId="2BA348D5" wp14:editId="322DDC96">
            <wp:extent cx="6031230" cy="327977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aujat.PNG"/>
                    <pic:cNvPicPr/>
                  </pic:nvPicPr>
                  <pic:blipFill>
                    <a:blip r:embed="rId22">
                      <a:extLst>
                        <a:ext uri="{28A0092B-C50C-407E-A947-70E740481C1C}">
                          <a14:useLocalDpi xmlns:a14="http://schemas.microsoft.com/office/drawing/2010/main" val="0"/>
                        </a:ext>
                      </a:extLst>
                    </a:blip>
                    <a:stretch>
                      <a:fillRect/>
                    </a:stretch>
                  </pic:blipFill>
                  <pic:spPr>
                    <a:xfrm>
                      <a:off x="0" y="0"/>
                      <a:ext cx="6031230" cy="3279775"/>
                    </a:xfrm>
                    <a:prstGeom prst="rect">
                      <a:avLst/>
                    </a:prstGeom>
                  </pic:spPr>
                </pic:pic>
              </a:graphicData>
            </a:graphic>
          </wp:inline>
        </w:drawing>
      </w:r>
    </w:p>
    <w:p w14:paraId="47549CC8" w14:textId="71B4F76A" w:rsidR="00AE1FA6" w:rsidRPr="00AE1FA6" w:rsidRDefault="008E3E6C" w:rsidP="00AE1FA6">
      <w:pPr>
        <w:rPr>
          <w:rFonts w:ascii="Times New Roman" w:hAnsi="Times New Roman" w:cs="Times New Roman"/>
          <w:bCs/>
          <w:sz w:val="20"/>
          <w:szCs w:val="20"/>
          <w:lang w:val="en-US"/>
        </w:rPr>
      </w:pPr>
      <w:r>
        <w:rPr>
          <w:rFonts w:ascii="Times New Roman" w:hAnsi="Times New Roman" w:cs="Times New Roman"/>
          <w:bCs/>
          <w:sz w:val="20"/>
          <w:szCs w:val="20"/>
          <w:lang w:val="en-US"/>
        </w:rPr>
        <w:t>Fig. A11</w:t>
      </w:r>
      <w:r w:rsidR="00AE1FA6" w:rsidRPr="00AE1FA6">
        <w:rPr>
          <w:rFonts w:ascii="Times New Roman" w:hAnsi="Times New Roman" w:cs="Times New Roman"/>
          <w:bCs/>
          <w:sz w:val="20"/>
          <w:szCs w:val="20"/>
          <w:lang w:val="en-US"/>
        </w:rPr>
        <w:t xml:space="preserve">. </w:t>
      </w:r>
      <w:proofErr w:type="spellStart"/>
      <w:r w:rsidR="00AE1FA6" w:rsidRPr="00AE1FA6">
        <w:rPr>
          <w:rFonts w:ascii="Times New Roman" w:hAnsi="Times New Roman" w:cs="Times New Roman"/>
          <w:bCs/>
          <w:sz w:val="20"/>
          <w:szCs w:val="20"/>
          <w:lang w:val="en-US"/>
        </w:rPr>
        <w:t>Baujat</w:t>
      </w:r>
      <w:proofErr w:type="spellEnd"/>
      <w:r w:rsidR="00AE1FA6" w:rsidRPr="00AE1FA6">
        <w:rPr>
          <w:rFonts w:ascii="Times New Roman" w:hAnsi="Times New Roman" w:cs="Times New Roman"/>
          <w:bCs/>
          <w:sz w:val="20"/>
          <w:szCs w:val="20"/>
          <w:lang w:val="en-US"/>
        </w:rPr>
        <w:t xml:space="preserve"> plot of the LPS studies for PFS at 6 months (pre-treated patients).</w:t>
      </w:r>
    </w:p>
    <w:p w14:paraId="140F7402" w14:textId="77777777" w:rsidR="00AE1FA6" w:rsidRPr="00AE1FA6" w:rsidRDefault="00AE1FA6" w:rsidP="00AE1FA6">
      <w:pPr>
        <w:rPr>
          <w:rFonts w:ascii="Times New Roman" w:hAnsi="Times New Roman" w:cs="Times New Roman"/>
          <w:sz w:val="20"/>
          <w:szCs w:val="20"/>
          <w:lang w:val="en-US"/>
        </w:rPr>
      </w:pPr>
    </w:p>
    <w:p w14:paraId="2FE231EA" w14:textId="77777777" w:rsidR="00AE1FA6" w:rsidRPr="00AE1FA6" w:rsidRDefault="00AE1FA6" w:rsidP="00AE1FA6">
      <w:pPr>
        <w:rPr>
          <w:rFonts w:ascii="Times New Roman" w:hAnsi="Times New Roman" w:cs="Times New Roman"/>
          <w:sz w:val="20"/>
          <w:szCs w:val="20"/>
          <w:lang w:val="en-US"/>
        </w:rPr>
      </w:pPr>
    </w:p>
    <w:p w14:paraId="13A1B8E6" w14:textId="77777777" w:rsidR="00AE1FA6" w:rsidRPr="00AE1FA6" w:rsidRDefault="00AE1FA6" w:rsidP="008E3E6C">
      <w:pPr>
        <w:rPr>
          <w:rFonts w:ascii="Times New Roman" w:hAnsi="Times New Roman" w:cs="Times New Roman"/>
          <w:b/>
          <w:sz w:val="20"/>
          <w:szCs w:val="20"/>
          <w:lang w:val="en-US"/>
        </w:rPr>
      </w:pPr>
      <w:bookmarkStart w:id="45" w:name="_Toc96332395"/>
      <w:r w:rsidRPr="00AE1FA6">
        <w:rPr>
          <w:rFonts w:ascii="Times New Roman" w:hAnsi="Times New Roman" w:cs="Times New Roman"/>
          <w:b/>
          <w:sz w:val="20"/>
          <w:szCs w:val="20"/>
          <w:lang w:val="en-US"/>
        </w:rPr>
        <w:t>Sensitivity meta-analysis</w:t>
      </w:r>
      <w:bookmarkEnd w:id="45"/>
    </w:p>
    <w:p w14:paraId="3E3F0FB2" w14:textId="1C83D1C4"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To investigate the effect of the aforementioned study, we performed a sensitivity meta-analysis removing it from the database. We fit a </w:t>
      </w:r>
      <w:proofErr w:type="spellStart"/>
      <w:r w:rsidRPr="00AE1FA6">
        <w:rPr>
          <w:rFonts w:ascii="Times New Roman" w:hAnsi="Times New Roman" w:cs="Times New Roman"/>
          <w:sz w:val="20"/>
          <w:szCs w:val="20"/>
          <w:lang w:val="en-US"/>
        </w:rPr>
        <w:t>DerSimonian</w:t>
      </w:r>
      <w:proofErr w:type="spellEnd"/>
      <w:r w:rsidRPr="00AE1FA6">
        <w:rPr>
          <w:rFonts w:ascii="Times New Roman" w:hAnsi="Times New Roman" w:cs="Times New Roman"/>
          <w:sz w:val="20"/>
          <w:szCs w:val="20"/>
          <w:lang w:val="en-US"/>
        </w:rPr>
        <w:t xml:space="preserve"> and Laird random-effects model (forest plot in fig. 16). The overall effect size slightly decreases to 0.27 (0.22 – 0.33) from 0.28 (0.22 – 0.34). Overall heterogeneity slightly increased from 66% to 67% (p &lt; 0.01). Study was removed from the non-recommended group of drugs. The estimated effect size of this subgroup decreased to 0.20 (0.14 – 0.26) from 0.21 (0.16 – 0.28). Heterogeneity of the subgroup decreased from 58% (p &lt; 0.01) to 51% (p = 0.02). Based on the omnibus chi-square test for moderators, there is significant difference between the subgroups (p &lt; 0.01).  Note that the study of line 1 ‘</w:t>
      </w:r>
      <w:proofErr w:type="spellStart"/>
      <w:r w:rsidRPr="00AE1FA6">
        <w:rPr>
          <w:rFonts w:ascii="Times New Roman" w:hAnsi="Times New Roman" w:cs="Times New Roman"/>
          <w:sz w:val="20"/>
          <w:szCs w:val="20"/>
          <w:lang w:val="en-US"/>
        </w:rPr>
        <w:t>Schuetze</w:t>
      </w:r>
      <w:proofErr w:type="spellEnd"/>
      <w:r w:rsidRPr="00AE1FA6">
        <w:rPr>
          <w:rFonts w:ascii="Times New Roman" w:hAnsi="Times New Roman" w:cs="Times New Roman"/>
          <w:sz w:val="20"/>
          <w:szCs w:val="20"/>
          <w:lang w:val="en-US"/>
        </w:rPr>
        <w:t xml:space="preserve"> 2016: </w:t>
      </w:r>
      <w:proofErr w:type="spellStart"/>
      <w:r w:rsidRPr="00AE1FA6">
        <w:rPr>
          <w:rFonts w:ascii="Times New Roman" w:hAnsi="Times New Roman" w:cs="Times New Roman"/>
          <w:sz w:val="20"/>
          <w:szCs w:val="20"/>
          <w:lang w:val="en-US"/>
        </w:rPr>
        <w:t>Dasatinib</w:t>
      </w:r>
      <w:proofErr w:type="spellEnd"/>
      <w:r w:rsidRPr="00AE1FA6">
        <w:rPr>
          <w:rFonts w:ascii="Times New Roman" w:hAnsi="Times New Roman" w:cs="Times New Roman"/>
          <w:sz w:val="20"/>
          <w:szCs w:val="20"/>
          <w:lang w:val="en-US"/>
        </w:rPr>
        <w:t xml:space="preserve">’ </w:t>
      </w:r>
      <w:r w:rsidRPr="00AE1FA6">
        <w:rPr>
          <w:rFonts w:ascii="Times New Roman" w:hAnsi="Times New Roman" w:cs="Times New Roman"/>
          <w:sz w:val="20"/>
          <w:szCs w:val="20"/>
          <w:lang w:val="en-US"/>
        </w:rPr>
        <w:fldChar w:fldCharType="begin" w:fldLock="1"/>
      </w:r>
      <w:r w:rsidR="0000797A">
        <w:rPr>
          <w:rFonts w:ascii="Times New Roman" w:hAnsi="Times New Roman" w:cs="Times New Roman"/>
          <w:sz w:val="20"/>
          <w:szCs w:val="20"/>
          <w:lang w:val="en-US"/>
        </w:rPr>
        <w:instrText>ADDIN CSL_CITATION {"citationItems":[{"id":"ITEM-1","itemData":{"DOI":"10.1002/cncr.29858","ISSN":"10970142","PMID":"26710211","abstract":"BACKGROUND Dasatinib exhibited activity in preclinical models of sarcoma. The Sarcoma Alliance for Research through Collaboration (SARC) conducted a multicenter, phase 2 trial of dasatinib in patients with advanced sarcoma. METHODS Patients received dasatinib twice daily. The primary objective was to estimate the clinical benefit rate (CBR) (complete response or partial response within 6 months or stable disease duration of ≥6 months) with a target of ≥25%. Patients were enrolled into 1 of 7 different cohorts and assessed by imaging every 8 weeks using Choi criteria tumor response and a Bayesian hierarchical design. For each subtype, enrollment was stopped after a minimum of 9 patients were treated if there was a &lt;1% chance the CBR was ≥25%. RESULTS A total of 200 patients were enrolled. Accrual was stopped early in 5 cohorts because of low CBR. The leiomyosarcoma (LMS) and undifferentiated pleomorphic sarcoma (UPS) cohorts fully accrued and 6 of 47 and 8 of 42 evaluable patients, respectively, exhibited clinical benefit. The probability that the CBR was ≥25% in the LMS and UPS cohorts was 0.008 and 0.10, respectively. The median progression-free survival ranged from 0.9 months in patients with rhabdomyosarcoma to 2.2 months in patients with LMS. The median overall survival was 8.6 months. The most frequent adverse events were constitutional, gastrointestinal, and respiratory, and 36% of patients required dose reduction for toxicity. Serious adverse events attributed to therapy occurred in 11% of patients. CONCLUSIONS Dasatinib may have activity in patients with UPS but is inactive as a single agent in the other sarcoma subtypes included herein. The Bayesian design allowed for the early termination of accrual in 5 subtypes because of lack of drug activity.","author":[{"dropping-particle":"","family":"Schuetze","given":"Scott M","non-dropping-particle":"","parse-names":false,"suffix":""},{"dropping-particle":"","family":"Wathen","given":"J Kyle","non-dropping-particle":"","parse-names":false,"suffix":""},{"dropping-particle":"","family":"Lucas","given":"David R","non-dropping-particle":"","parse-names":false,"suffix":""},{"dropping-particle":"","family":"Choy","given":"Edwin","non-dropping-particle":"","parse-names":false,"suffix":""},{"dropping-particle":"","family":"Samuels","given":"Brian L","non-dropping-particle":"","parse-names":false,"suffix":""},{"dropping-particle":"","family":"Staddon","given":"Arthur P","non-dropping-particle":"","parse-names":false,"suffix":""},{"dropping-particle":"","family":"Ganjoo","given":"Kristen N","non-dropping-particle":"","parse-names":false,"suffix":""},{"dropping-particle":"","family":"Mehren","given":"Margaret","non-dropping-particle":"Von","parse-names":false,"suffix":""},{"dropping-particle":"","family":"Chow","given":"Warren A","non-dropping-particle":"","parse-names":false,"suffix":""},{"dropping-particle":"","family":"Loeb","given":"David M","non-dropping-particle":"","parse-names":false,"suffix":""},{"dropping-particle":"","family":"Tawbi","given":"Hussein A","non-dropping-particle":"","parse-names":false,"suffix":""},{"dropping-particle":"","family":"Rushing","given":"Daniel A","non-dropping-particle":"","parse-names":false,"suffix":""},{"dropping-particle":"","family":"Patel","given":"Shreyaskumar R","non-dropping-particle":"","parse-names":false,"suffix":""},{"dropping-particle":"","family":"Thomas","given":"Dafydd G","non-dropping-particle":"","parse-names":false,"suffix":""},{"dropping-particle":"","family":"Chugh","given":"Rashmi","non-dropping-particle":"","parse-names":false,"suffix":""},{"dropping-particle":"","family":"Reinke","given":"Denise K","non-dropping-particle":"","parse-names":false,"suffix":""},{"dropping-particle":"","family":"Baker","given":"Laurence H","non-dropping-particle":"","parse-names":false,"suffix":""}],"container-title":"Cancer","id":"ITEM-1","issue":"6","issued":{"date-parts":[["2016"]]},"page":"868-874","title":"SARC009: Phase 2 study of dasatinib in patients with previously treated, high-grade, advanced sarcoma","type":"article-journal","volume":"122"},"uris":["http://www.mendeley.com/documents/?uuid=8ad353a9-acea-4da7-bda8-a2b92b425c63"]}],"mendeley":{"formattedCitation":"[27]","plainTextFormattedCitation":"[27]","previouslyFormattedCitation":"[27]"},"properties":{"noteIndex":0},"schema":"https://github.com/citation-style-language/schema/raw/master/csl-citation.json"}</w:instrText>
      </w:r>
      <w:r w:rsidRPr="00AE1FA6">
        <w:rPr>
          <w:rFonts w:ascii="Times New Roman" w:hAnsi="Times New Roman" w:cs="Times New Roman"/>
          <w:sz w:val="20"/>
          <w:szCs w:val="20"/>
          <w:lang w:val="en-US"/>
        </w:rPr>
        <w:fldChar w:fldCharType="separate"/>
      </w:r>
      <w:r w:rsidR="00826352" w:rsidRPr="00826352">
        <w:rPr>
          <w:rFonts w:ascii="Times New Roman" w:hAnsi="Times New Roman" w:cs="Times New Roman"/>
          <w:noProof/>
          <w:sz w:val="20"/>
          <w:szCs w:val="20"/>
          <w:lang w:val="en-US"/>
        </w:rPr>
        <w:t>[27]</w:t>
      </w:r>
      <w:r w:rsidRPr="00AE1FA6">
        <w:rPr>
          <w:rFonts w:ascii="Times New Roman" w:hAnsi="Times New Roman" w:cs="Times New Roman"/>
          <w:sz w:val="20"/>
          <w:szCs w:val="20"/>
          <w:lang w:val="en-US"/>
        </w:rPr>
        <w:fldChar w:fldCharType="end"/>
      </w:r>
      <w:r w:rsidRPr="00AE1FA6">
        <w:rPr>
          <w:rFonts w:ascii="Times New Roman" w:hAnsi="Times New Roman" w:cs="Times New Roman"/>
          <w:sz w:val="20"/>
          <w:szCs w:val="20"/>
          <w:lang w:val="en-US"/>
        </w:rPr>
        <w:t xml:space="preserve"> has 0/11 patients progression-free and alive at 6 months but it is not influential because of its small weight (1.0%). </w:t>
      </w:r>
    </w:p>
    <w:p w14:paraId="1449E5BA"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noProof/>
          <w:sz w:val="20"/>
          <w:szCs w:val="20"/>
          <w:lang w:eastAsia="en-GB"/>
        </w:rPr>
        <w:lastRenderedPageBreak/>
        <w:drawing>
          <wp:inline distT="0" distB="0" distL="0" distR="0" wp14:anchorId="24742BBA" wp14:editId="17BE521E">
            <wp:extent cx="6031230" cy="4446905"/>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fs6m_pretreated_without_samuels2017_trabectedin.PNG"/>
                    <pic:cNvPicPr/>
                  </pic:nvPicPr>
                  <pic:blipFill>
                    <a:blip r:embed="rId23">
                      <a:extLst>
                        <a:ext uri="{28A0092B-C50C-407E-A947-70E740481C1C}">
                          <a14:useLocalDpi xmlns:a14="http://schemas.microsoft.com/office/drawing/2010/main" val="0"/>
                        </a:ext>
                      </a:extLst>
                    </a:blip>
                    <a:stretch>
                      <a:fillRect/>
                    </a:stretch>
                  </pic:blipFill>
                  <pic:spPr>
                    <a:xfrm>
                      <a:off x="0" y="0"/>
                      <a:ext cx="6031230" cy="4446905"/>
                    </a:xfrm>
                    <a:prstGeom prst="rect">
                      <a:avLst/>
                    </a:prstGeom>
                  </pic:spPr>
                </pic:pic>
              </a:graphicData>
            </a:graphic>
          </wp:inline>
        </w:drawing>
      </w:r>
    </w:p>
    <w:p w14:paraId="71FEBDAD" w14:textId="0ABDE232" w:rsidR="00AE1FA6" w:rsidRPr="00AE1FA6" w:rsidRDefault="008E3E6C" w:rsidP="00AE1FA6">
      <w:pPr>
        <w:rPr>
          <w:rFonts w:ascii="Times New Roman" w:hAnsi="Times New Roman" w:cs="Times New Roman"/>
          <w:bCs/>
          <w:sz w:val="20"/>
          <w:szCs w:val="20"/>
          <w:lang w:val="en-US"/>
        </w:rPr>
      </w:pPr>
      <w:r>
        <w:rPr>
          <w:rFonts w:ascii="Times New Roman" w:hAnsi="Times New Roman" w:cs="Times New Roman"/>
          <w:bCs/>
          <w:sz w:val="20"/>
          <w:szCs w:val="20"/>
          <w:lang w:val="en-US"/>
        </w:rPr>
        <w:t>Fig. A12</w:t>
      </w:r>
      <w:r w:rsidR="00AE1FA6" w:rsidRPr="00AE1FA6">
        <w:rPr>
          <w:rFonts w:ascii="Times New Roman" w:hAnsi="Times New Roman" w:cs="Times New Roman"/>
          <w:bCs/>
          <w:sz w:val="20"/>
          <w:szCs w:val="20"/>
          <w:lang w:val="en-US"/>
        </w:rPr>
        <w:t xml:space="preserve">. Forest plot of LPS for PFS at 6 months excluding ‘Samuels 2017: </w:t>
      </w:r>
      <w:proofErr w:type="spellStart"/>
      <w:r w:rsidR="00AE1FA6" w:rsidRPr="00AE1FA6">
        <w:rPr>
          <w:rFonts w:ascii="Times New Roman" w:hAnsi="Times New Roman" w:cs="Times New Roman"/>
          <w:bCs/>
          <w:sz w:val="20"/>
          <w:szCs w:val="20"/>
          <w:lang w:val="en-US"/>
        </w:rPr>
        <w:t>Pazopanib</w:t>
      </w:r>
      <w:proofErr w:type="spellEnd"/>
      <w:r w:rsidR="00AE1FA6" w:rsidRPr="00AE1FA6">
        <w:rPr>
          <w:rFonts w:ascii="Times New Roman" w:hAnsi="Times New Roman" w:cs="Times New Roman"/>
          <w:bCs/>
          <w:sz w:val="20"/>
          <w:szCs w:val="20"/>
          <w:lang w:val="en-US"/>
        </w:rPr>
        <w:t xml:space="preserve"> (pre-treated patients).</w:t>
      </w:r>
    </w:p>
    <w:p w14:paraId="54BF7D06" w14:textId="77777777" w:rsidR="00AE1FA6" w:rsidRPr="00AE1FA6" w:rsidRDefault="00AE1FA6" w:rsidP="00AE1FA6">
      <w:pPr>
        <w:rPr>
          <w:rFonts w:ascii="Times New Roman" w:hAnsi="Times New Roman" w:cs="Times New Roman"/>
          <w:sz w:val="20"/>
          <w:szCs w:val="20"/>
          <w:lang w:val="en-US"/>
        </w:rPr>
      </w:pPr>
    </w:p>
    <w:p w14:paraId="512C2DAA" w14:textId="77777777" w:rsidR="00AE1FA6" w:rsidRPr="00AE1FA6" w:rsidRDefault="00AE1FA6" w:rsidP="008E3E6C">
      <w:pPr>
        <w:rPr>
          <w:rFonts w:ascii="Times New Roman" w:hAnsi="Times New Roman" w:cs="Times New Roman"/>
          <w:b/>
          <w:sz w:val="20"/>
          <w:szCs w:val="20"/>
          <w:lang w:val="en-US"/>
        </w:rPr>
      </w:pPr>
      <w:bookmarkStart w:id="46" w:name="_Toc96332396"/>
      <w:r w:rsidRPr="00AE1FA6">
        <w:rPr>
          <w:rFonts w:ascii="Times New Roman" w:hAnsi="Times New Roman" w:cs="Times New Roman"/>
          <w:b/>
          <w:sz w:val="20"/>
          <w:szCs w:val="20"/>
          <w:lang w:val="en-US"/>
        </w:rPr>
        <w:t>Meta-regressions</w:t>
      </w:r>
      <w:bookmarkEnd w:id="46"/>
    </w:p>
    <w:p w14:paraId="26E0AE79" w14:textId="77777777" w:rsidR="00AE1FA6" w:rsidRPr="00AE1FA6" w:rsidRDefault="00AE1FA6" w:rsidP="00AE1FA6">
      <w:pPr>
        <w:rPr>
          <w:rFonts w:ascii="Times New Roman" w:hAnsi="Times New Roman"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521"/>
      </w:tblGrid>
      <w:tr w:rsidR="00AE1FA6" w:rsidRPr="00AE1FA6" w14:paraId="2087CED6" w14:textId="77777777" w:rsidTr="00AE1FA6">
        <w:tc>
          <w:tcPr>
            <w:tcW w:w="4744" w:type="dxa"/>
          </w:tcPr>
          <w:p w14:paraId="14921806"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Moderator</w:t>
            </w:r>
          </w:p>
          <w:p w14:paraId="43B05D45" w14:textId="77777777" w:rsidR="00AE1FA6" w:rsidRPr="008E3E6C" w:rsidRDefault="00AE1FA6" w:rsidP="00AE1FA6">
            <w:pPr>
              <w:rPr>
                <w:rFonts w:ascii="Times New Roman" w:hAnsi="Times New Roman" w:cs="Times New Roman"/>
                <w:b/>
                <w:bCs/>
                <w:sz w:val="16"/>
                <w:szCs w:val="16"/>
                <w:lang w:val="en-US"/>
              </w:rPr>
            </w:pPr>
          </w:p>
        </w:tc>
        <w:tc>
          <w:tcPr>
            <w:tcW w:w="4744" w:type="dxa"/>
          </w:tcPr>
          <w:p w14:paraId="5FF6F7A8"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Dichotomization </w:t>
            </w:r>
            <w:r w:rsidRPr="008E3E6C">
              <w:rPr>
                <w:rFonts w:ascii="Times New Roman" w:hAnsi="Times New Roman" w:cs="Times New Roman"/>
                <w:sz w:val="16"/>
                <w:szCs w:val="16"/>
                <w:lang w:val="en-US"/>
              </w:rPr>
              <w:t>(first group reference, count of studies in parenthesis)</w:t>
            </w:r>
          </w:p>
        </w:tc>
      </w:tr>
      <w:tr w:rsidR="00AE1FA6" w:rsidRPr="00AE1FA6" w14:paraId="01A9700A" w14:textId="77777777" w:rsidTr="00AE1FA6">
        <w:tc>
          <w:tcPr>
            <w:tcW w:w="4744" w:type="dxa"/>
          </w:tcPr>
          <w:p w14:paraId="1516A350"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Phase of the trial</w:t>
            </w:r>
          </w:p>
        </w:tc>
        <w:tc>
          <w:tcPr>
            <w:tcW w:w="4744" w:type="dxa"/>
          </w:tcPr>
          <w:p w14:paraId="2083F70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 (14), greater than 2 (5)</w:t>
            </w:r>
          </w:p>
        </w:tc>
      </w:tr>
      <w:tr w:rsidR="00AE1FA6" w:rsidRPr="00AE1FA6" w14:paraId="407B0D35" w14:textId="77777777" w:rsidTr="00AE1FA6">
        <w:tc>
          <w:tcPr>
            <w:tcW w:w="4744" w:type="dxa"/>
          </w:tcPr>
          <w:p w14:paraId="5C3BD997"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 xml:space="preserve">Study design </w:t>
            </w:r>
          </w:p>
        </w:tc>
        <w:tc>
          <w:tcPr>
            <w:tcW w:w="4744" w:type="dxa"/>
          </w:tcPr>
          <w:p w14:paraId="7F176B44"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Randomized (6), non-randomized (13)</w:t>
            </w:r>
          </w:p>
        </w:tc>
      </w:tr>
      <w:tr w:rsidR="00AE1FA6" w:rsidRPr="00AE1FA6" w14:paraId="30C4EDB9" w14:textId="77777777" w:rsidTr="00AE1FA6">
        <w:tc>
          <w:tcPr>
            <w:tcW w:w="4744" w:type="dxa"/>
          </w:tcPr>
          <w:p w14:paraId="4BB68DAF"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Year of activation</w:t>
            </w:r>
          </w:p>
        </w:tc>
        <w:tc>
          <w:tcPr>
            <w:tcW w:w="4744" w:type="dxa"/>
          </w:tcPr>
          <w:p w14:paraId="35664DD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2000-2010 (7), 2011-2015 (12)</w:t>
            </w:r>
          </w:p>
        </w:tc>
      </w:tr>
      <w:tr w:rsidR="00AE1FA6" w:rsidRPr="00AE1FA6" w14:paraId="11C75340" w14:textId="77777777" w:rsidTr="00AE1FA6">
        <w:tc>
          <w:tcPr>
            <w:tcW w:w="4744" w:type="dxa"/>
          </w:tcPr>
          <w:p w14:paraId="0DE0AA07"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Sample size</w:t>
            </w:r>
          </w:p>
        </w:tc>
        <w:tc>
          <w:tcPr>
            <w:tcW w:w="4744" w:type="dxa"/>
          </w:tcPr>
          <w:p w14:paraId="7EE77D85"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10-24 (7), &gt;24 (12)</w:t>
            </w:r>
          </w:p>
        </w:tc>
      </w:tr>
    </w:tbl>
    <w:p w14:paraId="26D18283" w14:textId="77777777" w:rsidR="00AE1FA6" w:rsidRPr="00AE1FA6" w:rsidRDefault="00AE1FA6" w:rsidP="00AE1FA6">
      <w:pPr>
        <w:rPr>
          <w:rFonts w:ascii="Times New Roman" w:hAnsi="Times New Roman" w:cs="Times New Roman"/>
          <w:sz w:val="20"/>
          <w:szCs w:val="20"/>
          <w:lang w:val="en-US"/>
        </w:rPr>
      </w:pPr>
    </w:p>
    <w:p w14:paraId="4E88A146" w14:textId="77777777" w:rsidR="00AE1FA6" w:rsidRPr="00AE1FA6" w:rsidRDefault="00AE1FA6" w:rsidP="00AE1FA6">
      <w:pPr>
        <w:rPr>
          <w:rFonts w:ascii="Times New Roman" w:hAnsi="Times New Roman" w:cs="Times New Roman"/>
          <w:sz w:val="20"/>
          <w:szCs w:val="20"/>
          <w:lang w:val="en-US"/>
        </w:rPr>
      </w:pPr>
    </w:p>
    <w:p w14:paraId="6A9FD16B" w14:textId="77777777" w:rsidR="00AE1FA6" w:rsidRPr="00AE1FA6" w:rsidRDefault="00AE1FA6" w:rsidP="00AE1FA6">
      <w:pPr>
        <w:rPr>
          <w:rFonts w:ascii="Times New Roman" w:hAnsi="Times New Roman" w:cs="Times New Roman"/>
          <w:sz w:val="20"/>
          <w:szCs w:val="20"/>
          <w:lang w:val="en-US"/>
        </w:rPr>
      </w:pPr>
    </w:p>
    <w:p w14:paraId="1031F1A8" w14:textId="77777777" w:rsidR="00AE1FA6" w:rsidRPr="00AE1FA6" w:rsidRDefault="00AE1FA6" w:rsidP="00AE1FA6">
      <w:pPr>
        <w:rPr>
          <w:rFonts w:ascii="Times New Roman" w:hAnsi="Times New Roman" w:cs="Times New Roman"/>
          <w:sz w:val="20"/>
          <w:szCs w:val="20"/>
          <w:lang w:val="en-US"/>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1750"/>
        <w:gridCol w:w="1750"/>
        <w:gridCol w:w="1750"/>
        <w:gridCol w:w="1750"/>
      </w:tblGrid>
      <w:tr w:rsidR="00AE1FA6" w:rsidRPr="00AE1FA6" w14:paraId="1388CEA1" w14:textId="77777777" w:rsidTr="00AE1FA6">
        <w:tc>
          <w:tcPr>
            <w:tcW w:w="2488" w:type="dxa"/>
          </w:tcPr>
          <w:p w14:paraId="67107034"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Moderator </w:t>
            </w:r>
          </w:p>
          <w:p w14:paraId="7CAD613D"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(univariate analysis)</w:t>
            </w:r>
          </w:p>
        </w:tc>
        <w:tc>
          <w:tcPr>
            <w:tcW w:w="1750" w:type="dxa"/>
          </w:tcPr>
          <w:p w14:paraId="22786603"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Estimated PFS (vs ref level)</w:t>
            </w:r>
          </w:p>
        </w:tc>
        <w:tc>
          <w:tcPr>
            <w:tcW w:w="1750" w:type="dxa"/>
          </w:tcPr>
          <w:p w14:paraId="7FEE3683"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Test for moderator</w:t>
            </w:r>
          </w:p>
          <w:p w14:paraId="70AE2CFC"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P-value</w:t>
            </w:r>
          </w:p>
        </w:tc>
        <w:tc>
          <w:tcPr>
            <w:tcW w:w="1750" w:type="dxa"/>
          </w:tcPr>
          <w:p w14:paraId="6500A0E0"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Residual heterogeneity (I</w:t>
            </w:r>
            <w:r w:rsidRPr="008E3E6C">
              <w:rPr>
                <w:rFonts w:ascii="Times New Roman" w:hAnsi="Times New Roman" w:cs="Times New Roman"/>
                <w:b/>
                <w:bCs/>
                <w:sz w:val="16"/>
                <w:szCs w:val="16"/>
                <w:vertAlign w:val="superscript"/>
                <w:lang w:val="en-US"/>
              </w:rPr>
              <w:t>2</w:t>
            </w:r>
            <w:r w:rsidRPr="008E3E6C">
              <w:rPr>
                <w:rFonts w:ascii="Times New Roman" w:hAnsi="Times New Roman" w:cs="Times New Roman"/>
                <w:b/>
                <w:bCs/>
                <w:sz w:val="16"/>
                <w:szCs w:val="16"/>
                <w:lang w:val="en-US"/>
              </w:rPr>
              <w:t>)</w:t>
            </w:r>
          </w:p>
          <w:p w14:paraId="6428AFC7" w14:textId="77777777" w:rsidR="00AE1FA6" w:rsidRPr="008E3E6C" w:rsidRDefault="00AE1FA6" w:rsidP="00AE1FA6">
            <w:pPr>
              <w:rPr>
                <w:rFonts w:ascii="Times New Roman" w:hAnsi="Times New Roman" w:cs="Times New Roman"/>
                <w:b/>
                <w:bCs/>
                <w:sz w:val="16"/>
                <w:szCs w:val="16"/>
                <w:lang w:val="en-US"/>
              </w:rPr>
            </w:pPr>
          </w:p>
        </w:tc>
        <w:tc>
          <w:tcPr>
            <w:tcW w:w="1750" w:type="dxa"/>
          </w:tcPr>
          <w:p w14:paraId="07EC4F8C"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 xml:space="preserve">Test for residual heterogeneity </w:t>
            </w:r>
          </w:p>
          <w:p w14:paraId="0FB450B4" w14:textId="77777777" w:rsidR="00AE1FA6" w:rsidRPr="008E3E6C" w:rsidRDefault="00AE1FA6" w:rsidP="00AE1FA6">
            <w:pPr>
              <w:rPr>
                <w:rFonts w:ascii="Times New Roman" w:hAnsi="Times New Roman" w:cs="Times New Roman"/>
                <w:b/>
                <w:bCs/>
                <w:sz w:val="16"/>
                <w:szCs w:val="16"/>
                <w:lang w:val="en-US"/>
              </w:rPr>
            </w:pPr>
            <w:r w:rsidRPr="008E3E6C">
              <w:rPr>
                <w:rFonts w:ascii="Times New Roman" w:hAnsi="Times New Roman" w:cs="Times New Roman"/>
                <w:b/>
                <w:bCs/>
                <w:sz w:val="16"/>
                <w:szCs w:val="16"/>
                <w:lang w:val="en-US"/>
              </w:rPr>
              <w:t>P-value</w:t>
            </w:r>
          </w:p>
        </w:tc>
      </w:tr>
      <w:tr w:rsidR="00AE1FA6" w:rsidRPr="00AE1FA6" w14:paraId="157772A5" w14:textId="77777777" w:rsidTr="00AE1FA6">
        <w:tc>
          <w:tcPr>
            <w:tcW w:w="2488" w:type="dxa"/>
          </w:tcPr>
          <w:p w14:paraId="026BA3A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lastRenderedPageBreak/>
              <w:t>Phase of the trial:</w:t>
            </w:r>
          </w:p>
          <w:p w14:paraId="7672C543"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greater than 2</w:t>
            </w:r>
          </w:p>
        </w:tc>
        <w:tc>
          <w:tcPr>
            <w:tcW w:w="1750" w:type="dxa"/>
          </w:tcPr>
          <w:p w14:paraId="2C069BFF"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0.28 (vs 0.26)</w:t>
            </w:r>
          </w:p>
        </w:tc>
        <w:tc>
          <w:tcPr>
            <w:tcW w:w="1750" w:type="dxa"/>
          </w:tcPr>
          <w:p w14:paraId="149B4B6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0.80</w:t>
            </w:r>
          </w:p>
        </w:tc>
        <w:tc>
          <w:tcPr>
            <w:tcW w:w="1750" w:type="dxa"/>
          </w:tcPr>
          <w:p w14:paraId="24A83FA7"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67.95%</w:t>
            </w:r>
          </w:p>
        </w:tc>
        <w:tc>
          <w:tcPr>
            <w:tcW w:w="1750" w:type="dxa"/>
          </w:tcPr>
          <w:p w14:paraId="659EBAF7"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r w:rsidR="00AE1FA6" w:rsidRPr="00AE1FA6" w14:paraId="28AD1462" w14:textId="77777777" w:rsidTr="00AE1FA6">
        <w:tc>
          <w:tcPr>
            <w:tcW w:w="2488" w:type="dxa"/>
          </w:tcPr>
          <w:p w14:paraId="2275E069"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 xml:space="preserve">Study design: </w:t>
            </w:r>
          </w:p>
          <w:p w14:paraId="1F2EE607"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 xml:space="preserve">non-randomized </w:t>
            </w:r>
          </w:p>
        </w:tc>
        <w:tc>
          <w:tcPr>
            <w:tcW w:w="1750" w:type="dxa"/>
          </w:tcPr>
          <w:p w14:paraId="653B51C3"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0.28 (vs 0.25)</w:t>
            </w:r>
          </w:p>
        </w:tc>
        <w:tc>
          <w:tcPr>
            <w:tcW w:w="1750" w:type="dxa"/>
          </w:tcPr>
          <w:p w14:paraId="2FBCA10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0.60</w:t>
            </w:r>
          </w:p>
        </w:tc>
        <w:tc>
          <w:tcPr>
            <w:tcW w:w="1750" w:type="dxa"/>
          </w:tcPr>
          <w:p w14:paraId="727A2E54"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67.56%</w:t>
            </w:r>
          </w:p>
        </w:tc>
        <w:tc>
          <w:tcPr>
            <w:tcW w:w="1750" w:type="dxa"/>
          </w:tcPr>
          <w:p w14:paraId="545053D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r w:rsidR="00AE1FA6" w:rsidRPr="00AE1FA6" w14:paraId="381D4EAD" w14:textId="77777777" w:rsidTr="00AE1FA6">
        <w:tc>
          <w:tcPr>
            <w:tcW w:w="2488" w:type="dxa"/>
          </w:tcPr>
          <w:p w14:paraId="12F3ACB3"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Year of activation:</w:t>
            </w:r>
          </w:p>
          <w:p w14:paraId="2935123D"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2011-2015</w:t>
            </w:r>
          </w:p>
        </w:tc>
        <w:tc>
          <w:tcPr>
            <w:tcW w:w="1750" w:type="dxa"/>
          </w:tcPr>
          <w:p w14:paraId="74098560"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0.31 (vs 0.19)</w:t>
            </w:r>
          </w:p>
        </w:tc>
        <w:tc>
          <w:tcPr>
            <w:tcW w:w="1750" w:type="dxa"/>
          </w:tcPr>
          <w:p w14:paraId="2C4E9E33"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0.09</w:t>
            </w:r>
          </w:p>
        </w:tc>
        <w:tc>
          <w:tcPr>
            <w:tcW w:w="1750" w:type="dxa"/>
          </w:tcPr>
          <w:p w14:paraId="5F17DAC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64.99%</w:t>
            </w:r>
          </w:p>
        </w:tc>
        <w:tc>
          <w:tcPr>
            <w:tcW w:w="1750" w:type="dxa"/>
          </w:tcPr>
          <w:p w14:paraId="3130CC60"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r w:rsidR="00AE1FA6" w:rsidRPr="00AE1FA6" w14:paraId="7CFBCD6A" w14:textId="77777777" w:rsidTr="00AE1FA6">
        <w:tc>
          <w:tcPr>
            <w:tcW w:w="2488" w:type="dxa"/>
          </w:tcPr>
          <w:p w14:paraId="5760077B"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Sample size: &gt;24</w:t>
            </w:r>
          </w:p>
        </w:tc>
        <w:tc>
          <w:tcPr>
            <w:tcW w:w="1750" w:type="dxa"/>
          </w:tcPr>
          <w:p w14:paraId="1A0BE23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0.28 (vs 0.23)</w:t>
            </w:r>
          </w:p>
        </w:tc>
        <w:tc>
          <w:tcPr>
            <w:tcW w:w="1750" w:type="dxa"/>
          </w:tcPr>
          <w:p w14:paraId="54F1F401"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0.53</w:t>
            </w:r>
          </w:p>
        </w:tc>
        <w:tc>
          <w:tcPr>
            <w:tcW w:w="1750" w:type="dxa"/>
          </w:tcPr>
          <w:p w14:paraId="612AA1A7"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67.93%</w:t>
            </w:r>
          </w:p>
        </w:tc>
        <w:tc>
          <w:tcPr>
            <w:tcW w:w="1750" w:type="dxa"/>
          </w:tcPr>
          <w:p w14:paraId="3B8874F6" w14:textId="77777777" w:rsidR="00AE1FA6" w:rsidRPr="008E3E6C" w:rsidRDefault="00AE1FA6" w:rsidP="00AE1FA6">
            <w:pPr>
              <w:rPr>
                <w:rFonts w:ascii="Times New Roman" w:hAnsi="Times New Roman" w:cs="Times New Roman"/>
                <w:sz w:val="16"/>
                <w:szCs w:val="16"/>
                <w:lang w:val="en-US"/>
              </w:rPr>
            </w:pPr>
            <w:r w:rsidRPr="008E3E6C">
              <w:rPr>
                <w:rFonts w:ascii="Times New Roman" w:hAnsi="Times New Roman" w:cs="Times New Roman"/>
                <w:sz w:val="16"/>
                <w:szCs w:val="16"/>
                <w:lang w:val="en-US"/>
              </w:rPr>
              <w:t>&lt; 0.01</w:t>
            </w:r>
          </w:p>
        </w:tc>
      </w:tr>
    </w:tbl>
    <w:p w14:paraId="630469B8" w14:textId="77777777" w:rsidR="00AE1FA6" w:rsidRPr="00AE1FA6" w:rsidRDefault="00AE1FA6" w:rsidP="00AE1FA6">
      <w:pPr>
        <w:rPr>
          <w:rFonts w:ascii="Times New Roman" w:hAnsi="Times New Roman" w:cs="Times New Roman"/>
          <w:sz w:val="20"/>
          <w:szCs w:val="20"/>
          <w:lang w:val="en-US"/>
        </w:rPr>
      </w:pPr>
    </w:p>
    <w:p w14:paraId="3B58AEC1"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Studies of phase greater than 2 (phase 2|3, phase 3, phase 4) increase the effect size. The omnibus test for the effect of the moderator based on a chi-square distribution with 1 degree of freedom provided a p-value of 0.80 (not significant). Residual heterogeneity is 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67.95%, p &lt; 0.01).</w:t>
      </w:r>
    </w:p>
    <w:p w14:paraId="54350611"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A non-randomized study versus randomized increases the effect size. The difference between the groups is statistically not significant (p-value = 0.60). Residual heterogeneity is 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67.56%, p &lt; 0.01).</w:t>
      </w:r>
    </w:p>
    <w:p w14:paraId="11369FDB"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A study activated </w:t>
      </w:r>
      <w:proofErr w:type="gramStart"/>
      <w:r w:rsidRPr="00AE1FA6">
        <w:rPr>
          <w:rFonts w:ascii="Times New Roman" w:hAnsi="Times New Roman" w:cs="Times New Roman"/>
          <w:sz w:val="20"/>
          <w:szCs w:val="20"/>
          <w:lang w:val="en-US"/>
        </w:rPr>
        <w:t>between 2011–2015 versus 2000–2010 increases</w:t>
      </w:r>
      <w:proofErr w:type="gramEnd"/>
      <w:r w:rsidRPr="00AE1FA6">
        <w:rPr>
          <w:rFonts w:ascii="Times New Roman" w:hAnsi="Times New Roman" w:cs="Times New Roman"/>
          <w:sz w:val="20"/>
          <w:szCs w:val="20"/>
          <w:lang w:val="en-US"/>
        </w:rPr>
        <w:t xml:space="preserve"> the effect size. This increase is not significant (p = 0.09). Residual heterogeneity is 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67.93%, p &lt; 0.01).</w:t>
      </w:r>
    </w:p>
    <w:p w14:paraId="779F5AB0"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A sample size &gt; 24 versus less than 24 increases the estimate. Based on the test for moderators this difference is not significant (p = 0.53). Residual heterogeneity is high (I</w:t>
      </w:r>
      <w:r w:rsidRPr="00AE1FA6">
        <w:rPr>
          <w:rFonts w:ascii="Times New Roman" w:hAnsi="Times New Roman" w:cs="Times New Roman"/>
          <w:sz w:val="20"/>
          <w:szCs w:val="20"/>
          <w:vertAlign w:val="superscript"/>
          <w:lang w:val="en-US"/>
        </w:rPr>
        <w:t>2</w:t>
      </w:r>
      <w:r w:rsidRPr="00AE1FA6">
        <w:rPr>
          <w:rFonts w:ascii="Times New Roman" w:hAnsi="Times New Roman" w:cs="Times New Roman"/>
          <w:sz w:val="20"/>
          <w:szCs w:val="20"/>
          <w:lang w:val="en-US"/>
        </w:rPr>
        <w:t xml:space="preserve"> = 67.93%, p &lt; 0.01).</w:t>
      </w:r>
    </w:p>
    <w:p w14:paraId="376712BD" w14:textId="77777777" w:rsidR="00AE1FA6" w:rsidRPr="00AE1FA6" w:rsidRDefault="00AE1FA6" w:rsidP="00AE1FA6">
      <w:pPr>
        <w:rPr>
          <w:rFonts w:ascii="Times New Roman" w:hAnsi="Times New Roman" w:cs="Times New Roman"/>
          <w:sz w:val="20"/>
          <w:szCs w:val="20"/>
          <w:lang w:val="en-US"/>
        </w:rPr>
      </w:pPr>
      <w:r w:rsidRPr="00AE1FA6">
        <w:rPr>
          <w:rFonts w:ascii="Times New Roman" w:hAnsi="Times New Roman" w:cs="Times New Roman"/>
          <w:sz w:val="20"/>
          <w:szCs w:val="20"/>
          <w:lang w:val="en-US"/>
        </w:rPr>
        <w:t xml:space="preserve">As there were no significant moderators in the univariate analyses, we did not perform multivariate moderator analysis. </w:t>
      </w:r>
    </w:p>
    <w:p w14:paraId="12AA3896" w14:textId="77777777" w:rsidR="00AE1FA6" w:rsidRPr="0099368B" w:rsidRDefault="00AE1FA6" w:rsidP="00A00C87">
      <w:pPr>
        <w:rPr>
          <w:rFonts w:ascii="Times New Roman" w:hAnsi="Times New Roman" w:cs="Times New Roman"/>
          <w:sz w:val="20"/>
          <w:szCs w:val="20"/>
          <w:lang w:val="en-US"/>
        </w:rPr>
      </w:pPr>
    </w:p>
    <w:p w14:paraId="0DEB97CB" w14:textId="77777777" w:rsidR="00A00C87" w:rsidRPr="0099368B" w:rsidRDefault="00A00C87" w:rsidP="00A00C87">
      <w:pPr>
        <w:rPr>
          <w:rFonts w:ascii="Times New Roman" w:hAnsi="Times New Roman" w:cs="Times New Roman"/>
          <w:sz w:val="20"/>
          <w:szCs w:val="20"/>
          <w:lang w:val="en-US"/>
        </w:rPr>
      </w:pPr>
    </w:p>
    <w:p w14:paraId="0EF9F007" w14:textId="126D9B16" w:rsidR="002F6DCC" w:rsidRPr="0099368B" w:rsidRDefault="00A00C87" w:rsidP="002F6DCC">
      <w:pPr>
        <w:keepNext/>
        <w:numPr>
          <w:ilvl w:val="1"/>
          <w:numId w:val="3"/>
        </w:numPr>
        <w:tabs>
          <w:tab w:val="num" w:pos="851"/>
        </w:tabs>
        <w:spacing w:before="120" w:after="120" w:line="240" w:lineRule="auto"/>
        <w:ind w:left="851" w:hanging="851"/>
        <w:outlineLvl w:val="1"/>
        <w:rPr>
          <w:rFonts w:ascii="Times New Roman" w:eastAsia="Times New Roman" w:hAnsi="Times New Roman" w:cs="Times New Roman"/>
          <w:b/>
          <w:sz w:val="20"/>
          <w:szCs w:val="20"/>
          <w:lang w:val="en-US"/>
        </w:rPr>
      </w:pPr>
      <w:bookmarkStart w:id="47" w:name="_Toc97281451"/>
      <w:r w:rsidRPr="0099368B">
        <w:rPr>
          <w:rFonts w:ascii="Times New Roman" w:eastAsia="Times New Roman" w:hAnsi="Times New Roman" w:cs="Times New Roman"/>
          <w:b/>
          <w:sz w:val="20"/>
          <w:szCs w:val="20"/>
          <w:lang w:val="en-US"/>
        </w:rPr>
        <w:t xml:space="preserve">Statistical inference for </w:t>
      </w:r>
      <w:r w:rsidR="00AE1FA6">
        <w:rPr>
          <w:rFonts w:ascii="Times New Roman" w:eastAsia="Times New Roman" w:hAnsi="Times New Roman" w:cs="Times New Roman"/>
          <w:b/>
          <w:sz w:val="20"/>
          <w:szCs w:val="20"/>
          <w:lang w:val="en-US"/>
        </w:rPr>
        <w:t>synovial sarcoma (SS)</w:t>
      </w:r>
      <w:bookmarkEnd w:id="47"/>
    </w:p>
    <w:p w14:paraId="3AB74C6A" w14:textId="77777777" w:rsidR="00834707" w:rsidRPr="00834707" w:rsidRDefault="00834707" w:rsidP="0037787D">
      <w:pPr>
        <w:spacing w:before="60" w:after="120" w:line="240" w:lineRule="auto"/>
        <w:jc w:val="both"/>
        <w:rPr>
          <w:rFonts w:ascii="Times New Roman" w:eastAsia="Times New Roman" w:hAnsi="Times New Roman" w:cs="Times New Roman"/>
          <w:sz w:val="20"/>
          <w:szCs w:val="20"/>
          <w:lang w:val="en-US"/>
        </w:rPr>
      </w:pPr>
    </w:p>
    <w:p w14:paraId="10587990" w14:textId="565F7422"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We present at separate subsections the risk of bias assessment, corresponding meta-analyses, diagnostics for influential studies, and sensitivity meta-analysis for the studies available. Meta-regressions are not performed here due to the limited number of </w:t>
      </w:r>
      <w:r w:rsidR="009516F5">
        <w:rPr>
          <w:rFonts w:ascii="Times New Roman" w:eastAsia="Times New Roman" w:hAnsi="Times New Roman" w:cs="Times New Roman"/>
          <w:sz w:val="20"/>
          <w:szCs w:val="20"/>
          <w:lang w:val="en-US"/>
        </w:rPr>
        <w:t>studies for first-</w:t>
      </w:r>
      <w:r w:rsidRPr="008E3E6C">
        <w:rPr>
          <w:rFonts w:ascii="Times New Roman" w:eastAsia="Times New Roman" w:hAnsi="Times New Roman" w:cs="Times New Roman"/>
          <w:sz w:val="20"/>
          <w:szCs w:val="20"/>
          <w:lang w:val="en-US"/>
        </w:rPr>
        <w:t xml:space="preserve">line patients. </w:t>
      </w:r>
    </w:p>
    <w:p w14:paraId="2D3C389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7A53EA4B"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00503F9A" w14:textId="56593A69" w:rsidR="008E3E6C" w:rsidRPr="008E3E6C" w:rsidRDefault="009516F5" w:rsidP="008E3E6C">
      <w:pPr>
        <w:pStyle w:val="Heading3"/>
        <w:rPr>
          <w:rFonts w:ascii="Times New Roman" w:hAnsi="Times New Roman" w:cs="Times New Roman"/>
          <w:b/>
          <w:color w:val="auto"/>
          <w:sz w:val="20"/>
          <w:szCs w:val="20"/>
          <w:lang w:val="en-US"/>
        </w:rPr>
      </w:pPr>
      <w:bookmarkStart w:id="48" w:name="_Toc96332398"/>
      <w:bookmarkStart w:id="49" w:name="_Toc97281452"/>
      <w:r>
        <w:rPr>
          <w:rFonts w:ascii="Times New Roman" w:hAnsi="Times New Roman" w:cs="Times New Roman"/>
          <w:b/>
          <w:color w:val="auto"/>
          <w:sz w:val="20"/>
          <w:szCs w:val="20"/>
          <w:lang w:val="en-US"/>
        </w:rPr>
        <w:t>Analysis for first-</w:t>
      </w:r>
      <w:r w:rsidR="008E3E6C" w:rsidRPr="008E3E6C">
        <w:rPr>
          <w:rFonts w:ascii="Times New Roman" w:hAnsi="Times New Roman" w:cs="Times New Roman"/>
          <w:b/>
          <w:color w:val="auto"/>
          <w:sz w:val="20"/>
          <w:szCs w:val="20"/>
          <w:lang w:val="en-US"/>
        </w:rPr>
        <w:t>line patients at 3 months</w:t>
      </w:r>
      <w:bookmarkEnd w:id="48"/>
      <w:bookmarkEnd w:id="49"/>
    </w:p>
    <w:p w14:paraId="21A4B045" w14:textId="45428E4D"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Our databas</w:t>
      </w:r>
      <w:r w:rsidR="009516F5">
        <w:rPr>
          <w:rFonts w:ascii="Times New Roman" w:eastAsia="Times New Roman" w:hAnsi="Times New Roman" w:cs="Times New Roman"/>
          <w:sz w:val="20"/>
          <w:szCs w:val="20"/>
          <w:lang w:val="en-US"/>
        </w:rPr>
        <w:t>e consists of 3 trials on first-</w:t>
      </w:r>
      <w:r w:rsidRPr="008E3E6C">
        <w:rPr>
          <w:rFonts w:ascii="Times New Roman" w:eastAsia="Times New Roman" w:hAnsi="Times New Roman" w:cs="Times New Roman"/>
          <w:sz w:val="20"/>
          <w:szCs w:val="20"/>
          <w:lang w:val="en-US"/>
        </w:rPr>
        <w:t xml:space="preserve">line treatment, corresponding to 5 different therapeutic combinations. </w:t>
      </w:r>
    </w:p>
    <w:p w14:paraId="460AF8D2"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2DF86988" w14:textId="77777777" w:rsidR="008E3E6C" w:rsidRPr="008E3E6C" w:rsidRDefault="008E3E6C" w:rsidP="008E3E6C">
      <w:pPr>
        <w:spacing w:before="60" w:after="120" w:line="240" w:lineRule="auto"/>
        <w:jc w:val="both"/>
        <w:rPr>
          <w:rFonts w:ascii="Times New Roman" w:eastAsia="Times New Roman" w:hAnsi="Times New Roman" w:cs="Times New Roman"/>
          <w:b/>
          <w:sz w:val="20"/>
          <w:szCs w:val="20"/>
          <w:lang w:val="en-US"/>
        </w:rPr>
      </w:pPr>
      <w:bookmarkStart w:id="50" w:name="_Toc96332399"/>
      <w:r w:rsidRPr="008E3E6C">
        <w:rPr>
          <w:rFonts w:ascii="Times New Roman" w:eastAsia="Times New Roman" w:hAnsi="Times New Roman" w:cs="Times New Roman"/>
          <w:b/>
          <w:sz w:val="20"/>
          <w:szCs w:val="20"/>
          <w:lang w:val="en-US"/>
        </w:rPr>
        <w:t>Risk of bias assessment</w:t>
      </w:r>
      <w:bookmarkEnd w:id="50"/>
    </w:p>
    <w:p w14:paraId="2DF546B2"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We investigate publication bias based on a funnel plot and 2 formal tests. We show the contour enhanced funnel plot in fig 17. Graph is centered at residual value 0.5 (no effect under the null hypothesis). There are shaped regions for various levels of statistical significance for the points (see the label). There is 1 study in the dark grey zone (0.05 ≤ p ≤ 0.10) on the right side. </w:t>
      </w:r>
    </w:p>
    <w:p w14:paraId="35A5EEA9"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39C194A0"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lastRenderedPageBreak/>
        <w:drawing>
          <wp:inline distT="0" distB="0" distL="0" distR="0" wp14:anchorId="50634B9C" wp14:editId="0C5881C2">
            <wp:extent cx="6031230" cy="3402330"/>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ntour_enhanced_funnel.PNG"/>
                    <pic:cNvPicPr/>
                  </pic:nvPicPr>
                  <pic:blipFill>
                    <a:blip r:embed="rId24">
                      <a:extLst>
                        <a:ext uri="{28A0092B-C50C-407E-A947-70E740481C1C}">
                          <a14:useLocalDpi xmlns:a14="http://schemas.microsoft.com/office/drawing/2010/main" val="0"/>
                        </a:ext>
                      </a:extLst>
                    </a:blip>
                    <a:stretch>
                      <a:fillRect/>
                    </a:stretch>
                  </pic:blipFill>
                  <pic:spPr>
                    <a:xfrm>
                      <a:off x="0" y="0"/>
                      <a:ext cx="6031230" cy="3402330"/>
                    </a:xfrm>
                    <a:prstGeom prst="rect">
                      <a:avLst/>
                    </a:prstGeom>
                  </pic:spPr>
                </pic:pic>
              </a:graphicData>
            </a:graphic>
          </wp:inline>
        </w:drawing>
      </w:r>
    </w:p>
    <w:p w14:paraId="526F7FB0" w14:textId="67CA3731"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Fig.</w:t>
      </w:r>
      <w:r>
        <w:rPr>
          <w:rFonts w:ascii="Times New Roman" w:eastAsia="Times New Roman" w:hAnsi="Times New Roman" w:cs="Times New Roman"/>
          <w:bCs/>
          <w:sz w:val="20"/>
          <w:szCs w:val="20"/>
          <w:lang w:val="en-US"/>
        </w:rPr>
        <w:t xml:space="preserve"> A13</w:t>
      </w:r>
      <w:r w:rsidRPr="008E3E6C">
        <w:rPr>
          <w:rFonts w:ascii="Times New Roman" w:eastAsia="Times New Roman" w:hAnsi="Times New Roman" w:cs="Times New Roman"/>
          <w:bCs/>
          <w:sz w:val="20"/>
          <w:szCs w:val="20"/>
          <w:lang w:val="en-US"/>
        </w:rPr>
        <w:t>. Contour enhanced funnel plot o</w:t>
      </w:r>
      <w:r w:rsidR="009516F5">
        <w:rPr>
          <w:rFonts w:ascii="Times New Roman" w:eastAsia="Times New Roman" w:hAnsi="Times New Roman" w:cs="Times New Roman"/>
          <w:bCs/>
          <w:sz w:val="20"/>
          <w:szCs w:val="20"/>
          <w:lang w:val="en-US"/>
        </w:rPr>
        <w:t>f SS for PFS at 3 months (first-</w:t>
      </w:r>
      <w:r w:rsidRPr="008E3E6C">
        <w:rPr>
          <w:rFonts w:ascii="Times New Roman" w:eastAsia="Times New Roman" w:hAnsi="Times New Roman" w:cs="Times New Roman"/>
          <w:bCs/>
          <w:sz w:val="20"/>
          <w:szCs w:val="20"/>
          <w:lang w:val="en-US"/>
        </w:rPr>
        <w:t>line patients).</w:t>
      </w:r>
    </w:p>
    <w:p w14:paraId="1A825A4E" w14:textId="77777777"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p>
    <w:p w14:paraId="15CF343C"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We performed 2 formal tests: (1) the rank correlation test for funnel plot asymmetry, and (2) Egger’s regression test for funnel plot asymmetry. Rank correlation test provided a p-value of 0.08 and Egger’s regression test a p-value of 0.16. Publication bias cannot be excluded as because of the very limited sample size the tests were severely underpowered.  </w:t>
      </w:r>
    </w:p>
    <w:p w14:paraId="3839F281"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22191BED" w14:textId="77777777" w:rsidR="008E3E6C" w:rsidRPr="008E3E6C" w:rsidRDefault="008E3E6C" w:rsidP="008E3E6C">
      <w:pPr>
        <w:spacing w:before="60" w:after="120" w:line="240" w:lineRule="auto"/>
        <w:jc w:val="both"/>
        <w:rPr>
          <w:rFonts w:ascii="Times New Roman" w:eastAsia="Times New Roman" w:hAnsi="Times New Roman" w:cs="Times New Roman"/>
          <w:b/>
          <w:sz w:val="20"/>
          <w:szCs w:val="20"/>
          <w:lang w:val="en-US"/>
        </w:rPr>
      </w:pPr>
      <w:bookmarkStart w:id="51" w:name="_Toc96332401"/>
      <w:r w:rsidRPr="008E3E6C">
        <w:rPr>
          <w:rFonts w:ascii="Times New Roman" w:eastAsia="Times New Roman" w:hAnsi="Times New Roman" w:cs="Times New Roman"/>
          <w:b/>
          <w:sz w:val="20"/>
          <w:szCs w:val="20"/>
          <w:lang w:val="en-US"/>
        </w:rPr>
        <w:t>Diagnostics for influential studies</w:t>
      </w:r>
      <w:bookmarkEnd w:id="51"/>
    </w:p>
    <w:p w14:paraId="38511D81" w14:textId="2E7AA498"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We examine the externally standardized residuals of the studies. Z values &gt; 2 or 3 show an influential outlier (its exclusion may lead to significant changes in the fitted meta-analytic model). Study line 3 of Judson 2014: </w:t>
      </w:r>
      <w:proofErr w:type="spellStart"/>
      <w:r w:rsidRPr="008E3E6C">
        <w:rPr>
          <w:rFonts w:ascii="Times New Roman" w:eastAsia="Times New Roman" w:hAnsi="Times New Roman" w:cs="Times New Roman"/>
          <w:sz w:val="20"/>
          <w:szCs w:val="20"/>
          <w:lang w:val="en-US"/>
        </w:rPr>
        <w:t>Doxorubicin+Ifosfamide</w:t>
      </w:r>
      <w:proofErr w:type="spellEnd"/>
      <w:r w:rsidRPr="008E3E6C">
        <w:rPr>
          <w:rFonts w:ascii="Times New Roman" w:eastAsia="Times New Roman" w:hAnsi="Times New Roman" w:cs="Times New Roman"/>
          <w:sz w:val="20"/>
          <w:szCs w:val="20"/>
          <w:lang w:val="en-US"/>
        </w:rPr>
        <w:t xml:space="preserve"> </w:t>
      </w:r>
      <w:r w:rsidRPr="008E3E6C">
        <w:rPr>
          <w:rFonts w:ascii="Times New Roman" w:eastAsia="Times New Roman" w:hAnsi="Times New Roman" w:cs="Times New Roman"/>
          <w:sz w:val="20"/>
          <w:szCs w:val="20"/>
          <w:lang w:val="en-US"/>
        </w:rPr>
        <w:fldChar w:fldCharType="begin" w:fldLock="1"/>
      </w:r>
      <w:r w:rsidR="0000797A">
        <w:rPr>
          <w:rFonts w:ascii="Times New Roman" w:eastAsia="Times New Roman" w:hAnsi="Times New Roman" w:cs="Times New Roman"/>
          <w:sz w:val="20"/>
          <w:szCs w:val="20"/>
          <w:lang w:val="en-US"/>
        </w:rPr>
        <w:instrText>ADDIN CSL_CITATION {"citationItems":[{"id":"ITEM-1","itemData":{"DOI":"10.1016/S1470-2045(14)70063-4","ISSN":"14745488","PMID":"24618336","abstract":"Background: Effective targeted treatment is unavailable for most sarcomas and doxorubicin and ifosfamide-which have been used to treat soft-tissue sarcoma for more than 30 years-still have an important role. Whether doxorubicin alone or the combination of doxorubicin and ifosfamide should be used routinely is still controversial. We assessed whether dose intensification of doxorubicin with ifosfamide improves survival of patients with advanced soft-tissue sarcoma compared with doxorubicin alone. Methods: We did this phase 3 randomised controlled trial (EORTC 62012) at 38 hospitals in ten countries. We included patients with locally advanced, unresectable, or metastatic high-grade soft-tissue sarcoma, age 18-60 years with a WHO performance status of 0 or 1. They were randomly assigned (1:1) by the minimisation method to either doxorubicin (75 mg/m2 by intravenous bolus on day 1 or 72 h continuous intravenous infusion) or intensified doxorubicin (75 mg/m2; 25 mg/m2 per day, days 1-3) plus ifosfamide (10 g/m2 over 4 days with mesna and pegfilgrastim) as first-line treatment. Randomisation was stratified by centre, performance status (0 vs 1), age (&lt;50 vs ≥50 years), presence of liver metastases, and histopathological grade (2 vs 3). Patients were treated every 3 weeks till progression or unacceptable toxic effects for up to six cycles. The primary endpoint was overall survival in the intention-to-treat population. The trial is registered with ClinicalTrials.gov, number NCT00061984. Findings: Between April 30, 2003, and May 25, 2010, 228 patients were randomly assigned to receive doxorubicin and 227 to receive doxorubicin and ifosfamide. Median follow-up was 56 months (IQR 31-77) in the doxorubicin only group and 59 months (36-72) in the combination group. There was no significant difference in overall survival between groups (median overall survival 12·8 months [95·5% CI 10·5-14·3] in the doxorubicin group vs 14·3 months [12·5-16·5] in the doxorubicin and ifosfamide group; hazard ratio [HR] 0·83 [95·5% CI 0·67-1·03]; stratified log-rank test p=0·076). Median progression-free survival was significantly higher for the doxorubicin and ifosfamide group (7·4 months [95% CI 6·6-8·3]) than for the doxorubicin group (4·6 months [2·9-5·6]; HR 0·74 [95% CI 0·60-0·90], stratified log-rank test p=0·003). More patients in the doxorubicin and ifosfamide group than in the doxorubicin group had an overall response (60 [26%] of 227 patients vs 31 [14%] of 228; p&lt;0·0006). T…","author":[{"dropping-particle":"","family":"Judson","given":"Ian","non-dropping-particle":"","parse-names":false,"suffix":""},{"dropping-particle":"","family":"Verweij","given":"Jaap","non-dropping-particle":"","parse-names":false,"suffix":""},{"dropping-particle":"","family":"Gelderblom","given":"Hans","non-dropping-particle":"","parse-names":false,"suffix":""},{"dropping-particle":"","family":"Hartmann","given":"Jörg T","non-dropping-particle":"","parse-names":false,"suffix":""},{"dropping-particle":"","family":"Schöffski","given":"Patrick","non-dropping-particle":"","parse-names":false,"suffix":""},{"dropping-particle":"","family":"Blay","given":"Jean Yves","non-dropping-particle":"","parse-names":false,"suffix":""},{"dropping-particle":"","family":"Kerst","given":"J Martijn","non-dropping-particle":"","parse-names":false,"suffix":""},{"dropping-particle":"","family":"Sufliarsky","given":"Josef","non-dropping-particle":"","parse-names":false,"suffix":""},{"dropping-particle":"","family":"Whelan","given":"Jeremy","non-dropping-particle":"","parse-names":false,"suffix":""},{"dropping-particle":"","family":"Hohenberger","given":"Peter","non-dropping-particle":"","parse-names":false,"suffix":""},{"dropping-particle":"","family":"Krarup-Hansen","given":"Anders","non-dropping-particle":"","parse-names":false,"suffix":""},{"dropping-particle":"","family":"Alcindor","given":"Thierry","non-dropping-particle":"","parse-names":false,"suffix":""},{"dropping-particle":"","family":"Marreaud","given":"Sandrine","non-dropping-particle":"","parse-names":false,"suffix":""},{"dropping-particle":"","family":"Litière","given":"Saskia","non-dropping-particle":"","parse-names":false,"suffix":""},{"dropping-particle":"","family":"Hermans","given":"Catherine","non-dropping-particle":"","parse-names":false,"suffix":""},{"dropping-particle":"","family":"Fisher","given":"Cyril","non-dropping-particle":"","parse-names":false,"suffix":""},{"dropping-particle":"","family":"Hogendoorn","given":"Pancras C W","non-dropping-particle":"","parse-names":false,"suffix":""},{"dropping-particle":"","family":"Dei Tos","given":"A Paolo","non-dropping-particle":"","parse-names":false,"suffix":""},{"dropping-particle":"","family":"Graaf","given":"Winette T A","non-dropping-particle":"Van der","parse-names":false,"suffix":""}],"container-title":"The Lancet Oncology","id":"ITEM-1","issue":"4","issued":{"date-parts":[["2014"]]},"page":"415-423","title":"Doxorubicin alone versus intensified doxorubicin plus ifosfamide for first-line treatment of advanced or metastatic soft-tissue sarcoma: A randomised controlled phase 3 trial","type":"article-journal","volume":"15"},"uris":["http://www.mendeley.com/documents/?uuid=2eb16b24-393e-4466-a09d-dd7285c5ca5f"]}],"mendeley":{"formattedCitation":"[28]","plainTextFormattedCitation":"[28]","previouslyFormattedCitation":"[28]"},"properties":{"noteIndex":0},"schema":"https://github.com/citation-style-language/schema/raw/master/csl-citation.json"}</w:instrText>
      </w:r>
      <w:r w:rsidRPr="008E3E6C">
        <w:rPr>
          <w:rFonts w:ascii="Times New Roman" w:eastAsia="Times New Roman" w:hAnsi="Times New Roman" w:cs="Times New Roman"/>
          <w:sz w:val="20"/>
          <w:szCs w:val="20"/>
          <w:lang w:val="en-US"/>
        </w:rPr>
        <w:fldChar w:fldCharType="separate"/>
      </w:r>
      <w:r w:rsidR="00826352" w:rsidRPr="00826352">
        <w:rPr>
          <w:rFonts w:ascii="Times New Roman" w:eastAsia="Times New Roman" w:hAnsi="Times New Roman" w:cs="Times New Roman"/>
          <w:noProof/>
          <w:sz w:val="20"/>
          <w:szCs w:val="20"/>
          <w:lang w:val="en-US"/>
        </w:rPr>
        <w:t>[28]</w:t>
      </w:r>
      <w:r w:rsidRPr="008E3E6C">
        <w:rPr>
          <w:rFonts w:ascii="Times New Roman" w:eastAsia="Times New Roman" w:hAnsi="Times New Roman" w:cs="Times New Roman"/>
          <w:sz w:val="20"/>
          <w:szCs w:val="20"/>
          <w:lang w:val="en-US"/>
        </w:rPr>
        <w:fldChar w:fldCharType="end"/>
      </w:r>
      <w:r w:rsidRPr="008E3E6C">
        <w:rPr>
          <w:rFonts w:ascii="Times New Roman" w:eastAsia="Times New Roman" w:hAnsi="Times New Roman" w:cs="Times New Roman"/>
          <w:sz w:val="20"/>
          <w:szCs w:val="20"/>
          <w:lang w:val="en-US"/>
        </w:rPr>
        <w:t xml:space="preserve"> had a value of 2.37.  </w:t>
      </w:r>
    </w:p>
    <w:p w14:paraId="1AE59F81"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We used the </w:t>
      </w:r>
      <w:proofErr w:type="spellStart"/>
      <w:r w:rsidRPr="008E3E6C">
        <w:rPr>
          <w:rFonts w:ascii="Times New Roman" w:eastAsia="Times New Roman" w:hAnsi="Times New Roman" w:cs="Times New Roman"/>
          <w:sz w:val="20"/>
          <w:szCs w:val="20"/>
          <w:lang w:val="en-US"/>
        </w:rPr>
        <w:t>Baujat</w:t>
      </w:r>
      <w:proofErr w:type="spellEnd"/>
      <w:r w:rsidRPr="008E3E6C">
        <w:rPr>
          <w:rFonts w:ascii="Times New Roman" w:eastAsia="Times New Roman" w:hAnsi="Times New Roman" w:cs="Times New Roman"/>
          <w:sz w:val="20"/>
          <w:szCs w:val="20"/>
          <w:lang w:val="en-US"/>
        </w:rPr>
        <w:t xml:space="preserve"> plot (figure 19) as a diagnostic tool to detect sources of heterogeneity and potentially influential studies. Study with number 3 (Judson 2014: </w:t>
      </w:r>
      <w:proofErr w:type="spellStart"/>
      <w:r w:rsidRPr="008E3E6C">
        <w:rPr>
          <w:rFonts w:ascii="Times New Roman" w:eastAsia="Times New Roman" w:hAnsi="Times New Roman" w:cs="Times New Roman"/>
          <w:sz w:val="20"/>
          <w:szCs w:val="20"/>
          <w:lang w:val="en-US"/>
        </w:rPr>
        <w:t>Doxorubicin+Ifosfamide</w:t>
      </w:r>
      <w:proofErr w:type="spellEnd"/>
      <w:r w:rsidRPr="008E3E6C">
        <w:rPr>
          <w:rFonts w:ascii="Times New Roman" w:eastAsia="Times New Roman" w:hAnsi="Times New Roman" w:cs="Times New Roman"/>
          <w:sz w:val="20"/>
          <w:szCs w:val="20"/>
          <w:lang w:val="en-US"/>
        </w:rPr>
        <w:t xml:space="preserve">) is projected on the right upper corner (contributes to heterogeneity and is the most influential).   </w:t>
      </w:r>
    </w:p>
    <w:p w14:paraId="7624CFD5"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7D46128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lastRenderedPageBreak/>
        <w:drawing>
          <wp:inline distT="0" distB="0" distL="0" distR="0" wp14:anchorId="68996976" wp14:editId="606FC262">
            <wp:extent cx="6031230" cy="3329940"/>
            <wp:effectExtent l="0" t="0" r="762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baujat.PNG"/>
                    <pic:cNvPicPr/>
                  </pic:nvPicPr>
                  <pic:blipFill>
                    <a:blip r:embed="rId25">
                      <a:extLst>
                        <a:ext uri="{28A0092B-C50C-407E-A947-70E740481C1C}">
                          <a14:useLocalDpi xmlns:a14="http://schemas.microsoft.com/office/drawing/2010/main" val="0"/>
                        </a:ext>
                      </a:extLst>
                    </a:blip>
                    <a:stretch>
                      <a:fillRect/>
                    </a:stretch>
                  </pic:blipFill>
                  <pic:spPr>
                    <a:xfrm>
                      <a:off x="0" y="0"/>
                      <a:ext cx="6031230" cy="3329940"/>
                    </a:xfrm>
                    <a:prstGeom prst="rect">
                      <a:avLst/>
                    </a:prstGeom>
                  </pic:spPr>
                </pic:pic>
              </a:graphicData>
            </a:graphic>
          </wp:inline>
        </w:drawing>
      </w:r>
    </w:p>
    <w:p w14:paraId="044140C7" w14:textId="59DCF17C"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 xml:space="preserve">Fig. </w:t>
      </w:r>
      <w:r>
        <w:rPr>
          <w:rFonts w:ascii="Times New Roman" w:eastAsia="Times New Roman" w:hAnsi="Times New Roman" w:cs="Times New Roman"/>
          <w:bCs/>
          <w:sz w:val="20"/>
          <w:szCs w:val="20"/>
          <w:lang w:val="en-US"/>
        </w:rPr>
        <w:t>A14</w:t>
      </w:r>
      <w:r w:rsidRPr="008E3E6C">
        <w:rPr>
          <w:rFonts w:ascii="Times New Roman" w:eastAsia="Times New Roman" w:hAnsi="Times New Roman" w:cs="Times New Roman"/>
          <w:bCs/>
          <w:sz w:val="20"/>
          <w:szCs w:val="20"/>
          <w:lang w:val="en-US"/>
        </w:rPr>
        <w:t xml:space="preserve">. </w:t>
      </w:r>
      <w:proofErr w:type="spellStart"/>
      <w:r w:rsidRPr="008E3E6C">
        <w:rPr>
          <w:rFonts w:ascii="Times New Roman" w:eastAsia="Times New Roman" w:hAnsi="Times New Roman" w:cs="Times New Roman"/>
          <w:bCs/>
          <w:sz w:val="20"/>
          <w:szCs w:val="20"/>
          <w:lang w:val="en-US"/>
        </w:rPr>
        <w:t>Baujat</w:t>
      </w:r>
      <w:proofErr w:type="spellEnd"/>
      <w:r w:rsidRPr="008E3E6C">
        <w:rPr>
          <w:rFonts w:ascii="Times New Roman" w:eastAsia="Times New Roman" w:hAnsi="Times New Roman" w:cs="Times New Roman"/>
          <w:bCs/>
          <w:sz w:val="20"/>
          <w:szCs w:val="20"/>
          <w:lang w:val="en-US"/>
        </w:rPr>
        <w:t xml:space="preserve"> plot of the SS stu</w:t>
      </w:r>
      <w:r w:rsidR="009516F5">
        <w:rPr>
          <w:rFonts w:ascii="Times New Roman" w:eastAsia="Times New Roman" w:hAnsi="Times New Roman" w:cs="Times New Roman"/>
          <w:bCs/>
          <w:sz w:val="20"/>
          <w:szCs w:val="20"/>
          <w:lang w:val="en-US"/>
        </w:rPr>
        <w:t>dies for PFS at 3 months (first-</w:t>
      </w:r>
      <w:r w:rsidRPr="008E3E6C">
        <w:rPr>
          <w:rFonts w:ascii="Times New Roman" w:eastAsia="Times New Roman" w:hAnsi="Times New Roman" w:cs="Times New Roman"/>
          <w:bCs/>
          <w:sz w:val="20"/>
          <w:szCs w:val="20"/>
          <w:lang w:val="en-US"/>
        </w:rPr>
        <w:t>line patients).</w:t>
      </w:r>
    </w:p>
    <w:p w14:paraId="565EB84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0AD07F85" w14:textId="77777777" w:rsidR="008E3E6C" w:rsidRPr="008E3E6C" w:rsidRDefault="008E3E6C" w:rsidP="008E3E6C">
      <w:pPr>
        <w:spacing w:before="60" w:after="120" w:line="240" w:lineRule="auto"/>
        <w:jc w:val="both"/>
        <w:rPr>
          <w:rFonts w:ascii="Times New Roman" w:eastAsia="Times New Roman" w:hAnsi="Times New Roman" w:cs="Times New Roman"/>
          <w:b/>
          <w:sz w:val="20"/>
          <w:szCs w:val="20"/>
          <w:lang w:val="en-US"/>
        </w:rPr>
      </w:pPr>
      <w:bookmarkStart w:id="52" w:name="_Toc96332402"/>
      <w:r w:rsidRPr="008E3E6C">
        <w:rPr>
          <w:rFonts w:ascii="Times New Roman" w:eastAsia="Times New Roman" w:hAnsi="Times New Roman" w:cs="Times New Roman"/>
          <w:b/>
          <w:sz w:val="20"/>
          <w:szCs w:val="20"/>
          <w:lang w:val="en-US"/>
        </w:rPr>
        <w:t>Sensitivity meta-analysis</w:t>
      </w:r>
      <w:bookmarkEnd w:id="52"/>
    </w:p>
    <w:p w14:paraId="7BB8D13A"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To investigate the effect of ‘Judson 2014: </w:t>
      </w:r>
      <w:proofErr w:type="spellStart"/>
      <w:r w:rsidRPr="008E3E6C">
        <w:rPr>
          <w:rFonts w:ascii="Times New Roman" w:eastAsia="Times New Roman" w:hAnsi="Times New Roman" w:cs="Times New Roman"/>
          <w:sz w:val="20"/>
          <w:szCs w:val="20"/>
          <w:lang w:val="en-US"/>
        </w:rPr>
        <w:t>Doxorubicin+Ifosfamide</w:t>
      </w:r>
      <w:proofErr w:type="spellEnd"/>
      <w:r w:rsidRPr="008E3E6C">
        <w:rPr>
          <w:rFonts w:ascii="Times New Roman" w:eastAsia="Times New Roman" w:hAnsi="Times New Roman" w:cs="Times New Roman"/>
          <w:sz w:val="20"/>
          <w:szCs w:val="20"/>
          <w:lang w:val="en-US"/>
        </w:rPr>
        <w:t xml:space="preserve">’ which was found as influential in previous section, we performed a sensitivity analysis removing this treatment arm from the analysis and re-fitting the random-effects model. </w:t>
      </w:r>
    </w:p>
    <w:p w14:paraId="7C3F9BF2"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2F4E991D"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drawing>
          <wp:inline distT="0" distB="0" distL="0" distR="0" wp14:anchorId="3A8126BC" wp14:editId="07B7BAD0">
            <wp:extent cx="6031230" cy="2447290"/>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fs3m_first_without_Judson2014_doxoifos.PNG"/>
                    <pic:cNvPicPr/>
                  </pic:nvPicPr>
                  <pic:blipFill>
                    <a:blip r:embed="rId26">
                      <a:extLst>
                        <a:ext uri="{28A0092B-C50C-407E-A947-70E740481C1C}">
                          <a14:useLocalDpi xmlns:a14="http://schemas.microsoft.com/office/drawing/2010/main" val="0"/>
                        </a:ext>
                      </a:extLst>
                    </a:blip>
                    <a:stretch>
                      <a:fillRect/>
                    </a:stretch>
                  </pic:blipFill>
                  <pic:spPr>
                    <a:xfrm>
                      <a:off x="0" y="0"/>
                      <a:ext cx="6031230" cy="2447290"/>
                    </a:xfrm>
                    <a:prstGeom prst="rect">
                      <a:avLst/>
                    </a:prstGeom>
                  </pic:spPr>
                </pic:pic>
              </a:graphicData>
            </a:graphic>
          </wp:inline>
        </w:drawing>
      </w:r>
    </w:p>
    <w:p w14:paraId="7554AD4C" w14:textId="0328A4C7"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 xml:space="preserve">Fig. </w:t>
      </w:r>
      <w:r>
        <w:rPr>
          <w:rFonts w:ascii="Times New Roman" w:eastAsia="Times New Roman" w:hAnsi="Times New Roman" w:cs="Times New Roman"/>
          <w:bCs/>
          <w:sz w:val="20"/>
          <w:szCs w:val="20"/>
          <w:lang w:val="en-US"/>
        </w:rPr>
        <w:t>A15</w:t>
      </w:r>
      <w:r w:rsidRPr="008E3E6C">
        <w:rPr>
          <w:rFonts w:ascii="Times New Roman" w:eastAsia="Times New Roman" w:hAnsi="Times New Roman" w:cs="Times New Roman"/>
          <w:bCs/>
          <w:sz w:val="20"/>
          <w:szCs w:val="20"/>
          <w:lang w:val="en-US"/>
        </w:rPr>
        <w:t>. Forest plot of SS for PFS at 3 months excluding ‘Judson 2014:</w:t>
      </w:r>
      <w:r w:rsidR="009516F5">
        <w:rPr>
          <w:rFonts w:ascii="Times New Roman" w:eastAsia="Times New Roman" w:hAnsi="Times New Roman" w:cs="Times New Roman"/>
          <w:bCs/>
          <w:sz w:val="20"/>
          <w:szCs w:val="20"/>
          <w:lang w:val="en-US"/>
        </w:rPr>
        <w:t xml:space="preserve"> </w:t>
      </w:r>
      <w:proofErr w:type="spellStart"/>
      <w:r w:rsidR="009516F5">
        <w:rPr>
          <w:rFonts w:ascii="Times New Roman" w:eastAsia="Times New Roman" w:hAnsi="Times New Roman" w:cs="Times New Roman"/>
          <w:bCs/>
          <w:sz w:val="20"/>
          <w:szCs w:val="20"/>
          <w:lang w:val="en-US"/>
        </w:rPr>
        <w:t>Doxorubicin+Ifosfamide</w:t>
      </w:r>
      <w:proofErr w:type="spellEnd"/>
      <w:r w:rsidR="009516F5">
        <w:rPr>
          <w:rFonts w:ascii="Times New Roman" w:eastAsia="Times New Roman" w:hAnsi="Times New Roman" w:cs="Times New Roman"/>
          <w:bCs/>
          <w:sz w:val="20"/>
          <w:szCs w:val="20"/>
          <w:lang w:val="en-US"/>
        </w:rPr>
        <w:t>' (first-</w:t>
      </w:r>
      <w:r w:rsidRPr="008E3E6C">
        <w:rPr>
          <w:rFonts w:ascii="Times New Roman" w:eastAsia="Times New Roman" w:hAnsi="Times New Roman" w:cs="Times New Roman"/>
          <w:bCs/>
          <w:sz w:val="20"/>
          <w:szCs w:val="20"/>
          <w:lang w:val="en-US"/>
        </w:rPr>
        <w:t>line patients).</w:t>
      </w:r>
    </w:p>
    <w:p w14:paraId="4C892C8D"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457F0573" w14:textId="1AF548F8"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There is a decrease in the overall effect size of the meta-analysis from 0.74 (0.58 – 0.86) to 0.68 (0.57 – 0.77). Overall heterogeneity dropped significantly from 41% (p=0.15) to 0% (p = 0.61). This treatment arm was removed from the recommended treatment regimens. The estimate of the subgroup has been recalculated to 0.65 (0.50 – 0.77) from 0.74 (0.53 – 0.88). There is a big decrease in the group heterogeneity to 0%, p = 0.94 (from 64%, p = 0.06). Again, the difference between a regimen recommended versus a non-recommended is not statistically significant based on moderator’s test (p = 0.38). Findings indicate that ‘Judson 2014: </w:t>
      </w:r>
      <w:proofErr w:type="spellStart"/>
      <w:r w:rsidRPr="008E3E6C">
        <w:rPr>
          <w:rFonts w:ascii="Times New Roman" w:eastAsia="Times New Roman" w:hAnsi="Times New Roman" w:cs="Times New Roman"/>
          <w:sz w:val="20"/>
          <w:szCs w:val="20"/>
          <w:lang w:val="en-US"/>
        </w:rPr>
        <w:t>Doxorubicin+Ifosfamide</w:t>
      </w:r>
      <w:proofErr w:type="spellEnd"/>
      <w:r w:rsidRPr="008E3E6C">
        <w:rPr>
          <w:rFonts w:ascii="Times New Roman" w:eastAsia="Times New Roman" w:hAnsi="Times New Roman" w:cs="Times New Roman"/>
          <w:sz w:val="20"/>
          <w:szCs w:val="20"/>
          <w:lang w:val="en-US"/>
        </w:rPr>
        <w:t xml:space="preserve">' is </w:t>
      </w:r>
      <w:r w:rsidRPr="008E3E6C">
        <w:rPr>
          <w:rFonts w:ascii="Times New Roman" w:eastAsia="Times New Roman" w:hAnsi="Times New Roman" w:cs="Times New Roman"/>
          <w:sz w:val="20"/>
          <w:szCs w:val="20"/>
          <w:lang w:val="en-US"/>
        </w:rPr>
        <w:lastRenderedPageBreak/>
        <w:t>an influential study.   This sensitivity meta-analysis indicates that the results of the 3-month PFS f</w:t>
      </w:r>
      <w:r w:rsidR="009516F5">
        <w:rPr>
          <w:rFonts w:ascii="Times New Roman" w:eastAsia="Times New Roman" w:hAnsi="Times New Roman" w:cs="Times New Roman"/>
          <w:sz w:val="20"/>
          <w:szCs w:val="20"/>
          <w:lang w:val="en-US"/>
        </w:rPr>
        <w:t>or the SS first-</w:t>
      </w:r>
      <w:r w:rsidRPr="008E3E6C">
        <w:rPr>
          <w:rFonts w:ascii="Times New Roman" w:eastAsia="Times New Roman" w:hAnsi="Times New Roman" w:cs="Times New Roman"/>
          <w:sz w:val="20"/>
          <w:szCs w:val="20"/>
          <w:lang w:val="en-US"/>
        </w:rPr>
        <w:t xml:space="preserve">line patients are not robust which makes sense given the very limited number of available studies (5 rows from 3 trials).  </w:t>
      </w:r>
    </w:p>
    <w:p w14:paraId="3500D9A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7CAAC371" w14:textId="38D3CFEF" w:rsidR="008E3E6C" w:rsidRPr="008E3E6C" w:rsidRDefault="009516F5" w:rsidP="008E3E6C">
      <w:pPr>
        <w:pStyle w:val="Heading3"/>
        <w:rPr>
          <w:rFonts w:ascii="Times New Roman" w:hAnsi="Times New Roman" w:cs="Times New Roman"/>
          <w:b/>
          <w:color w:val="auto"/>
          <w:sz w:val="20"/>
          <w:szCs w:val="20"/>
          <w:lang w:val="en-US"/>
        </w:rPr>
      </w:pPr>
      <w:bookmarkStart w:id="53" w:name="_Toc96332403"/>
      <w:bookmarkStart w:id="54" w:name="_Toc97281453"/>
      <w:r>
        <w:rPr>
          <w:rFonts w:ascii="Times New Roman" w:hAnsi="Times New Roman" w:cs="Times New Roman"/>
          <w:b/>
          <w:color w:val="auto"/>
          <w:sz w:val="20"/>
          <w:szCs w:val="20"/>
          <w:lang w:val="en-US"/>
        </w:rPr>
        <w:t>Analysis for first-</w:t>
      </w:r>
      <w:r w:rsidR="008E3E6C" w:rsidRPr="008E3E6C">
        <w:rPr>
          <w:rFonts w:ascii="Times New Roman" w:hAnsi="Times New Roman" w:cs="Times New Roman"/>
          <w:b/>
          <w:color w:val="auto"/>
          <w:sz w:val="20"/>
          <w:szCs w:val="20"/>
          <w:lang w:val="en-US"/>
        </w:rPr>
        <w:t>line patients at 6 months</w:t>
      </w:r>
      <w:bookmarkEnd w:id="53"/>
      <w:bookmarkEnd w:id="54"/>
    </w:p>
    <w:p w14:paraId="3E18B5D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Our database consists of 3 trials covering 5 different therapeutic combinations. </w:t>
      </w:r>
    </w:p>
    <w:p w14:paraId="5504F99B"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3AE89CDB" w14:textId="77777777" w:rsidR="008E3E6C" w:rsidRPr="008E3E6C" w:rsidRDefault="008E3E6C" w:rsidP="008E3E6C">
      <w:pPr>
        <w:spacing w:before="60" w:after="120" w:line="240" w:lineRule="auto"/>
        <w:jc w:val="both"/>
        <w:rPr>
          <w:rFonts w:ascii="Times New Roman" w:eastAsia="Times New Roman" w:hAnsi="Times New Roman" w:cs="Times New Roman"/>
          <w:b/>
          <w:sz w:val="20"/>
          <w:szCs w:val="20"/>
          <w:lang w:val="en-US"/>
        </w:rPr>
      </w:pPr>
      <w:bookmarkStart w:id="55" w:name="_Toc96332404"/>
      <w:r w:rsidRPr="008E3E6C">
        <w:rPr>
          <w:rFonts w:ascii="Times New Roman" w:eastAsia="Times New Roman" w:hAnsi="Times New Roman" w:cs="Times New Roman"/>
          <w:b/>
          <w:sz w:val="20"/>
          <w:szCs w:val="20"/>
          <w:lang w:val="en-US"/>
        </w:rPr>
        <w:t>Risk of bias assessment</w:t>
      </w:r>
      <w:bookmarkEnd w:id="55"/>
    </w:p>
    <w:p w14:paraId="08D6467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Again, we investigate publication bias with a funnel plot and 2 formal tests. The contour enhanced funnel plot in fig. 21 did not detect studies outside the triangular borders. Publication bias cannot be excluded as it is challenging to visually inspect asymmetry because of the limited number of studies. </w:t>
      </w:r>
    </w:p>
    <w:p w14:paraId="1F5A12F5"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5D95FEAB"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5E57D2C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drawing>
          <wp:inline distT="0" distB="0" distL="0" distR="0" wp14:anchorId="2E86801A" wp14:editId="78ED244F">
            <wp:extent cx="6031230" cy="3312795"/>
            <wp:effectExtent l="0" t="0" r="7620" b="190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ontour_enhanced_funnel.PNG"/>
                    <pic:cNvPicPr/>
                  </pic:nvPicPr>
                  <pic:blipFill>
                    <a:blip r:embed="rId27">
                      <a:extLst>
                        <a:ext uri="{28A0092B-C50C-407E-A947-70E740481C1C}">
                          <a14:useLocalDpi xmlns:a14="http://schemas.microsoft.com/office/drawing/2010/main" val="0"/>
                        </a:ext>
                      </a:extLst>
                    </a:blip>
                    <a:stretch>
                      <a:fillRect/>
                    </a:stretch>
                  </pic:blipFill>
                  <pic:spPr>
                    <a:xfrm>
                      <a:off x="0" y="0"/>
                      <a:ext cx="6031230" cy="3312795"/>
                    </a:xfrm>
                    <a:prstGeom prst="rect">
                      <a:avLst/>
                    </a:prstGeom>
                  </pic:spPr>
                </pic:pic>
              </a:graphicData>
            </a:graphic>
          </wp:inline>
        </w:drawing>
      </w:r>
    </w:p>
    <w:p w14:paraId="6A3D9193" w14:textId="7A0445AA"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 xml:space="preserve">Fig. </w:t>
      </w:r>
      <w:r>
        <w:rPr>
          <w:rFonts w:ascii="Times New Roman" w:eastAsia="Times New Roman" w:hAnsi="Times New Roman" w:cs="Times New Roman"/>
          <w:bCs/>
          <w:sz w:val="20"/>
          <w:szCs w:val="20"/>
          <w:lang w:val="en-US"/>
        </w:rPr>
        <w:t>A16</w:t>
      </w:r>
      <w:r w:rsidRPr="008E3E6C">
        <w:rPr>
          <w:rFonts w:ascii="Times New Roman" w:eastAsia="Times New Roman" w:hAnsi="Times New Roman" w:cs="Times New Roman"/>
          <w:bCs/>
          <w:sz w:val="20"/>
          <w:szCs w:val="20"/>
          <w:lang w:val="en-US"/>
        </w:rPr>
        <w:t>. Contour enhanced funnel plot o</w:t>
      </w:r>
      <w:r w:rsidR="009516F5">
        <w:rPr>
          <w:rFonts w:ascii="Times New Roman" w:eastAsia="Times New Roman" w:hAnsi="Times New Roman" w:cs="Times New Roman"/>
          <w:bCs/>
          <w:sz w:val="20"/>
          <w:szCs w:val="20"/>
          <w:lang w:val="en-US"/>
        </w:rPr>
        <w:t>f SS for PFS at 6 months (first-</w:t>
      </w:r>
      <w:r w:rsidRPr="008E3E6C">
        <w:rPr>
          <w:rFonts w:ascii="Times New Roman" w:eastAsia="Times New Roman" w:hAnsi="Times New Roman" w:cs="Times New Roman"/>
          <w:bCs/>
          <w:sz w:val="20"/>
          <w:szCs w:val="20"/>
          <w:lang w:val="en-US"/>
        </w:rPr>
        <w:t>line patients).</w:t>
      </w:r>
    </w:p>
    <w:p w14:paraId="5706B59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3770CE4D"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Hence, we examine the risk of bias more formally. The p-values from the rank correlation and the Egger’s regression tests were 0.82 and 0.60, respectively. There is no indication of publication bias here. Note that these results might have been affected by the very limited number of studies.  </w:t>
      </w:r>
    </w:p>
    <w:p w14:paraId="6D8ADBA5"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03194540" w14:textId="77777777" w:rsidR="008E3E6C" w:rsidRPr="008E3E6C" w:rsidRDefault="008E3E6C" w:rsidP="008E3E6C">
      <w:pPr>
        <w:spacing w:before="60" w:after="120" w:line="240" w:lineRule="auto"/>
        <w:jc w:val="both"/>
        <w:rPr>
          <w:rFonts w:ascii="Times New Roman" w:eastAsia="Times New Roman" w:hAnsi="Times New Roman" w:cs="Times New Roman"/>
          <w:b/>
          <w:sz w:val="20"/>
          <w:szCs w:val="20"/>
          <w:lang w:val="en-US"/>
        </w:rPr>
      </w:pPr>
      <w:bookmarkStart w:id="56" w:name="_Toc96332406"/>
      <w:r w:rsidRPr="008E3E6C">
        <w:rPr>
          <w:rFonts w:ascii="Times New Roman" w:eastAsia="Times New Roman" w:hAnsi="Times New Roman" w:cs="Times New Roman"/>
          <w:b/>
          <w:sz w:val="20"/>
          <w:szCs w:val="20"/>
          <w:lang w:val="en-US"/>
        </w:rPr>
        <w:t>Diagnostics for influential studies</w:t>
      </w:r>
      <w:bookmarkEnd w:id="56"/>
    </w:p>
    <w:p w14:paraId="7B8268E9" w14:textId="0709BC9F"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Examination of the externally standardized residuals shows that study in line 3 ‘Judson 2014: Doxorubicin + Ifosfamide’ </w:t>
      </w:r>
      <w:r w:rsidRPr="008E3E6C">
        <w:rPr>
          <w:rFonts w:ascii="Times New Roman" w:eastAsia="Times New Roman" w:hAnsi="Times New Roman" w:cs="Times New Roman"/>
          <w:sz w:val="20"/>
          <w:szCs w:val="20"/>
          <w:lang w:val="en-US"/>
        </w:rPr>
        <w:fldChar w:fldCharType="begin" w:fldLock="1"/>
      </w:r>
      <w:r w:rsidR="0000797A">
        <w:rPr>
          <w:rFonts w:ascii="Times New Roman" w:eastAsia="Times New Roman" w:hAnsi="Times New Roman" w:cs="Times New Roman"/>
          <w:sz w:val="20"/>
          <w:szCs w:val="20"/>
          <w:lang w:val="en-US"/>
        </w:rPr>
        <w:instrText>ADDIN CSL_CITATION {"citationItems":[{"id":"ITEM-1","itemData":{"DOI":"10.1016/S1470-2045(14)70063-4","ISSN":"14745488","PMID":"24618336","abstract":"Background: Effective targeted treatment is unavailable for most sarcomas and doxorubicin and ifosfamide-which have been used to treat soft-tissue sarcoma for more than 30 years-still have an important role. Whether doxorubicin alone or the combination of doxorubicin and ifosfamide should be used routinely is still controversial. We assessed whether dose intensification of doxorubicin with ifosfamide improves survival of patients with advanced soft-tissue sarcoma compared with doxorubicin alone. Methods: We did this phase 3 randomised controlled trial (EORTC 62012) at 38 hospitals in ten countries. We included patients with locally advanced, unresectable, or metastatic high-grade soft-tissue sarcoma, age 18-60 years with a WHO performance status of 0 or 1. They were randomly assigned (1:1) by the minimisation method to either doxorubicin (75 mg/m2 by intravenous bolus on day 1 or 72 h continuous intravenous infusion) or intensified doxorubicin (75 mg/m2; 25 mg/m2 per day, days 1-3) plus ifosfamide (10 g/m2 over 4 days with mesna and pegfilgrastim) as first-line treatment. Randomisation was stratified by centre, performance status (0 vs 1), age (&lt;50 vs ≥50 years), presence of liver metastases, and histopathological grade (2 vs 3). Patients were treated every 3 weeks till progression or unacceptable toxic effects for up to six cycles. The primary endpoint was overall survival in the intention-to-treat population. The trial is registered with ClinicalTrials.gov, number NCT00061984. Findings: Between April 30, 2003, and May 25, 2010, 228 patients were randomly assigned to receive doxorubicin and 227 to receive doxorubicin and ifosfamide. Median follow-up was 56 months (IQR 31-77) in the doxorubicin only group and 59 months (36-72) in the combination group. There was no significant difference in overall survival between groups (median overall survival 12·8 months [95·5% CI 10·5-14·3] in the doxorubicin group vs 14·3 months [12·5-16·5] in the doxorubicin and ifosfamide group; hazard ratio [HR] 0·83 [95·5% CI 0·67-1·03]; stratified log-rank test p=0·076). Median progression-free survival was significantly higher for the doxorubicin and ifosfamide group (7·4 months [95% CI 6·6-8·3]) than for the doxorubicin group (4·6 months [2·9-5·6]; HR 0·74 [95% CI 0·60-0·90], stratified log-rank test p=0·003). More patients in the doxorubicin and ifosfamide group than in the doxorubicin group had an overall response (60 [26%] of 227 patients vs 31 [14%] of 228; p&lt;0·0006). T…","author":[{"dropping-particle":"","family":"Judson","given":"Ian","non-dropping-particle":"","parse-names":false,"suffix":""},{"dropping-particle":"","family":"Verweij","given":"Jaap","non-dropping-particle":"","parse-names":false,"suffix":""},{"dropping-particle":"","family":"Gelderblom","given":"Hans","non-dropping-particle":"","parse-names":false,"suffix":""},{"dropping-particle":"","family":"Hartmann","given":"Jörg T","non-dropping-particle":"","parse-names":false,"suffix":""},{"dropping-particle":"","family":"Schöffski","given":"Patrick","non-dropping-particle":"","parse-names":false,"suffix":""},{"dropping-particle":"","family":"Blay","given":"Jean Yves","non-dropping-particle":"","parse-names":false,"suffix":""},{"dropping-particle":"","family":"Kerst","given":"J Martijn","non-dropping-particle":"","parse-names":false,"suffix":""},{"dropping-particle":"","family":"Sufliarsky","given":"Josef","non-dropping-particle":"","parse-names":false,"suffix":""},{"dropping-particle":"","family":"Whelan","given":"Jeremy","non-dropping-particle":"","parse-names":false,"suffix":""},{"dropping-particle":"","family":"Hohenberger","given":"Peter","non-dropping-particle":"","parse-names":false,"suffix":""},{"dropping-particle":"","family":"Krarup-Hansen","given":"Anders","non-dropping-particle":"","parse-names":false,"suffix":""},{"dropping-particle":"","family":"Alcindor","given":"Thierry","non-dropping-particle":"","parse-names":false,"suffix":""},{"dropping-particle":"","family":"Marreaud","given":"Sandrine","non-dropping-particle":"","parse-names":false,"suffix":""},{"dropping-particle":"","family":"Litière","given":"Saskia","non-dropping-particle":"","parse-names":false,"suffix":""},{"dropping-particle":"","family":"Hermans","given":"Catherine","non-dropping-particle":"","parse-names":false,"suffix":""},{"dropping-particle":"","family":"Fisher","given":"Cyril","non-dropping-particle":"","parse-names":false,"suffix":""},{"dropping-particle":"","family":"Hogendoorn","given":"Pancras C W","non-dropping-particle":"","parse-names":false,"suffix":""},{"dropping-particle":"","family":"Dei Tos","given":"A Paolo","non-dropping-particle":"","parse-names":false,"suffix":""},{"dropping-particle":"","family":"Graaf","given":"Winette T A","non-dropping-particle":"Van der","parse-names":false,"suffix":""}],"container-title":"The Lancet Oncology","id":"ITEM-1","issue":"4","issued":{"date-parts":[["2014"]]},"page":"415-423","title":"Doxorubicin alone versus intensified doxorubicin plus ifosfamide for first-line treatment of advanced or metastatic soft-tissue sarcoma: A randomised controlled phase 3 trial","type":"article-journal","volume":"15"},"uris":["http://www.mendeley.com/documents/?uuid=2eb16b24-393e-4466-a09d-dd7285c5ca5f"]}],"mendeley":{"formattedCitation":"[28]","plainTextFormattedCitation":"[28]","previouslyFormattedCitation":"[28]"},"properties":{"noteIndex":0},"schema":"https://github.com/citation-style-language/schema/raw/master/csl-citation.json"}</w:instrText>
      </w:r>
      <w:r w:rsidRPr="008E3E6C">
        <w:rPr>
          <w:rFonts w:ascii="Times New Roman" w:eastAsia="Times New Roman" w:hAnsi="Times New Roman" w:cs="Times New Roman"/>
          <w:sz w:val="20"/>
          <w:szCs w:val="20"/>
          <w:lang w:val="en-US"/>
        </w:rPr>
        <w:fldChar w:fldCharType="separate"/>
      </w:r>
      <w:r w:rsidR="00826352" w:rsidRPr="00826352">
        <w:rPr>
          <w:rFonts w:ascii="Times New Roman" w:eastAsia="Times New Roman" w:hAnsi="Times New Roman" w:cs="Times New Roman"/>
          <w:noProof/>
          <w:sz w:val="20"/>
          <w:szCs w:val="20"/>
          <w:lang w:val="en-US"/>
        </w:rPr>
        <w:t>[28]</w:t>
      </w:r>
      <w:r w:rsidRPr="008E3E6C">
        <w:rPr>
          <w:rFonts w:ascii="Times New Roman" w:eastAsia="Times New Roman" w:hAnsi="Times New Roman" w:cs="Times New Roman"/>
          <w:sz w:val="20"/>
          <w:szCs w:val="20"/>
          <w:lang w:val="en-US"/>
        </w:rPr>
        <w:fldChar w:fldCharType="end"/>
      </w:r>
      <w:r w:rsidRPr="008E3E6C">
        <w:rPr>
          <w:rFonts w:ascii="Times New Roman" w:eastAsia="Times New Roman" w:hAnsi="Times New Roman" w:cs="Times New Roman"/>
          <w:sz w:val="20"/>
          <w:szCs w:val="20"/>
          <w:lang w:val="en-US"/>
        </w:rPr>
        <w:t xml:space="preserve"> has the highest z-value of 2.22, so it is potentially influential for the meta-analysis. </w:t>
      </w:r>
    </w:p>
    <w:p w14:paraId="54FFA97B"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The </w:t>
      </w:r>
      <w:proofErr w:type="spellStart"/>
      <w:r w:rsidRPr="008E3E6C">
        <w:rPr>
          <w:rFonts w:ascii="Times New Roman" w:eastAsia="Times New Roman" w:hAnsi="Times New Roman" w:cs="Times New Roman"/>
          <w:sz w:val="20"/>
          <w:szCs w:val="20"/>
          <w:lang w:val="en-US"/>
        </w:rPr>
        <w:t>Baujat</w:t>
      </w:r>
      <w:proofErr w:type="spellEnd"/>
      <w:r w:rsidRPr="008E3E6C">
        <w:rPr>
          <w:rFonts w:ascii="Times New Roman" w:eastAsia="Times New Roman" w:hAnsi="Times New Roman" w:cs="Times New Roman"/>
          <w:sz w:val="20"/>
          <w:szCs w:val="20"/>
          <w:lang w:val="en-US"/>
        </w:rPr>
        <w:t xml:space="preserve"> plot in fig. 23 projects line with number 3 on the upper right corner. ‘Judson 2014: Doxorubicin + Ifosfamide’ seems to contribute to the highest amount of heterogeneity (based on squared Pearson residuals) and to be the most influential (fitted values).</w:t>
      </w:r>
    </w:p>
    <w:p w14:paraId="6F15C7BF"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319CD217"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lastRenderedPageBreak/>
        <w:drawing>
          <wp:inline distT="0" distB="0" distL="0" distR="0" wp14:anchorId="7E2076C5" wp14:editId="3E794F3D">
            <wp:extent cx="6031230" cy="329882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baujat.PNG"/>
                    <pic:cNvPicPr/>
                  </pic:nvPicPr>
                  <pic:blipFill>
                    <a:blip r:embed="rId28">
                      <a:extLst>
                        <a:ext uri="{28A0092B-C50C-407E-A947-70E740481C1C}">
                          <a14:useLocalDpi xmlns:a14="http://schemas.microsoft.com/office/drawing/2010/main" val="0"/>
                        </a:ext>
                      </a:extLst>
                    </a:blip>
                    <a:stretch>
                      <a:fillRect/>
                    </a:stretch>
                  </pic:blipFill>
                  <pic:spPr>
                    <a:xfrm>
                      <a:off x="0" y="0"/>
                      <a:ext cx="6031230" cy="3298825"/>
                    </a:xfrm>
                    <a:prstGeom prst="rect">
                      <a:avLst/>
                    </a:prstGeom>
                  </pic:spPr>
                </pic:pic>
              </a:graphicData>
            </a:graphic>
          </wp:inline>
        </w:drawing>
      </w:r>
    </w:p>
    <w:p w14:paraId="68347ED1" w14:textId="48A85E38"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 xml:space="preserve">Fig. </w:t>
      </w:r>
      <w:r>
        <w:rPr>
          <w:rFonts w:ascii="Times New Roman" w:eastAsia="Times New Roman" w:hAnsi="Times New Roman" w:cs="Times New Roman"/>
          <w:bCs/>
          <w:sz w:val="20"/>
          <w:szCs w:val="20"/>
          <w:lang w:val="en-US"/>
        </w:rPr>
        <w:t>A17</w:t>
      </w:r>
      <w:r w:rsidRPr="008E3E6C">
        <w:rPr>
          <w:rFonts w:ascii="Times New Roman" w:eastAsia="Times New Roman" w:hAnsi="Times New Roman" w:cs="Times New Roman"/>
          <w:bCs/>
          <w:sz w:val="20"/>
          <w:szCs w:val="20"/>
          <w:lang w:val="en-US"/>
        </w:rPr>
        <w:t xml:space="preserve">. </w:t>
      </w:r>
      <w:proofErr w:type="spellStart"/>
      <w:r w:rsidRPr="008E3E6C">
        <w:rPr>
          <w:rFonts w:ascii="Times New Roman" w:eastAsia="Times New Roman" w:hAnsi="Times New Roman" w:cs="Times New Roman"/>
          <w:bCs/>
          <w:sz w:val="20"/>
          <w:szCs w:val="20"/>
          <w:lang w:val="en-US"/>
        </w:rPr>
        <w:t>Baujat</w:t>
      </w:r>
      <w:proofErr w:type="spellEnd"/>
      <w:r w:rsidRPr="008E3E6C">
        <w:rPr>
          <w:rFonts w:ascii="Times New Roman" w:eastAsia="Times New Roman" w:hAnsi="Times New Roman" w:cs="Times New Roman"/>
          <w:bCs/>
          <w:sz w:val="20"/>
          <w:szCs w:val="20"/>
          <w:lang w:val="en-US"/>
        </w:rPr>
        <w:t xml:space="preserve"> plot of the SS stu</w:t>
      </w:r>
      <w:r w:rsidR="009516F5">
        <w:rPr>
          <w:rFonts w:ascii="Times New Roman" w:eastAsia="Times New Roman" w:hAnsi="Times New Roman" w:cs="Times New Roman"/>
          <w:bCs/>
          <w:sz w:val="20"/>
          <w:szCs w:val="20"/>
          <w:lang w:val="en-US"/>
        </w:rPr>
        <w:t>dies for PFS at 6 months (first-</w:t>
      </w:r>
      <w:r w:rsidRPr="008E3E6C">
        <w:rPr>
          <w:rFonts w:ascii="Times New Roman" w:eastAsia="Times New Roman" w:hAnsi="Times New Roman" w:cs="Times New Roman"/>
          <w:bCs/>
          <w:sz w:val="20"/>
          <w:szCs w:val="20"/>
          <w:lang w:val="en-US"/>
        </w:rPr>
        <w:t>line patients).</w:t>
      </w:r>
    </w:p>
    <w:p w14:paraId="40F1F630"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1D7E563F"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12BF7B51" w14:textId="77777777" w:rsidR="008E3E6C" w:rsidRPr="008E3E6C" w:rsidRDefault="008E3E6C" w:rsidP="008E3E6C">
      <w:pPr>
        <w:spacing w:before="60" w:after="120" w:line="240" w:lineRule="auto"/>
        <w:jc w:val="both"/>
        <w:rPr>
          <w:rFonts w:ascii="Times New Roman" w:eastAsia="Times New Roman" w:hAnsi="Times New Roman" w:cs="Times New Roman"/>
          <w:b/>
          <w:sz w:val="20"/>
          <w:szCs w:val="20"/>
          <w:lang w:val="en-US"/>
        </w:rPr>
      </w:pPr>
      <w:bookmarkStart w:id="57" w:name="_Toc96332407"/>
      <w:r w:rsidRPr="008E3E6C">
        <w:rPr>
          <w:rFonts w:ascii="Times New Roman" w:eastAsia="Times New Roman" w:hAnsi="Times New Roman" w:cs="Times New Roman"/>
          <w:b/>
          <w:sz w:val="20"/>
          <w:szCs w:val="20"/>
          <w:lang w:val="en-US"/>
        </w:rPr>
        <w:t>Sensitivity meta-analysis</w:t>
      </w:r>
      <w:bookmarkEnd w:id="57"/>
    </w:p>
    <w:p w14:paraId="56EA906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In this subsection, we perform a sensitivity analysis removing the study of ‘Judson 2014: Doxorubicin + Ifosfamide’ from the database and re-fitting a random effects model.  </w:t>
      </w:r>
    </w:p>
    <w:p w14:paraId="7FB22E7B"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71AE22EF"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drawing>
          <wp:inline distT="0" distB="0" distL="0" distR="0" wp14:anchorId="4EE1BD49" wp14:editId="45278976">
            <wp:extent cx="6031230" cy="2433320"/>
            <wp:effectExtent l="0" t="0" r="762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fs6m_first_without_judson2014_doxoifos.PNG"/>
                    <pic:cNvPicPr/>
                  </pic:nvPicPr>
                  <pic:blipFill>
                    <a:blip r:embed="rId29">
                      <a:extLst>
                        <a:ext uri="{28A0092B-C50C-407E-A947-70E740481C1C}">
                          <a14:useLocalDpi xmlns:a14="http://schemas.microsoft.com/office/drawing/2010/main" val="0"/>
                        </a:ext>
                      </a:extLst>
                    </a:blip>
                    <a:stretch>
                      <a:fillRect/>
                    </a:stretch>
                  </pic:blipFill>
                  <pic:spPr>
                    <a:xfrm>
                      <a:off x="0" y="0"/>
                      <a:ext cx="6031230" cy="2433320"/>
                    </a:xfrm>
                    <a:prstGeom prst="rect">
                      <a:avLst/>
                    </a:prstGeom>
                  </pic:spPr>
                </pic:pic>
              </a:graphicData>
            </a:graphic>
          </wp:inline>
        </w:drawing>
      </w:r>
    </w:p>
    <w:p w14:paraId="407F2D93" w14:textId="2BBC2163"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Fig.</w:t>
      </w:r>
      <w:r>
        <w:rPr>
          <w:rFonts w:ascii="Times New Roman" w:eastAsia="Times New Roman" w:hAnsi="Times New Roman" w:cs="Times New Roman"/>
          <w:bCs/>
          <w:sz w:val="20"/>
          <w:szCs w:val="20"/>
          <w:lang w:val="en-US"/>
        </w:rPr>
        <w:t xml:space="preserve"> A18</w:t>
      </w:r>
      <w:r w:rsidRPr="008E3E6C">
        <w:rPr>
          <w:rFonts w:ascii="Times New Roman" w:eastAsia="Times New Roman" w:hAnsi="Times New Roman" w:cs="Times New Roman"/>
          <w:bCs/>
          <w:sz w:val="20"/>
          <w:szCs w:val="20"/>
          <w:lang w:val="en-US"/>
        </w:rPr>
        <w:t>. Forest plot of SS for PFS at 6 months excluding ‘Judson 2014: Doxoru</w:t>
      </w:r>
      <w:r w:rsidR="009516F5">
        <w:rPr>
          <w:rFonts w:ascii="Times New Roman" w:eastAsia="Times New Roman" w:hAnsi="Times New Roman" w:cs="Times New Roman"/>
          <w:bCs/>
          <w:sz w:val="20"/>
          <w:szCs w:val="20"/>
          <w:lang w:val="en-US"/>
        </w:rPr>
        <w:t>bicin + Ifosfamide’ (first-</w:t>
      </w:r>
      <w:r w:rsidRPr="008E3E6C">
        <w:rPr>
          <w:rFonts w:ascii="Times New Roman" w:eastAsia="Times New Roman" w:hAnsi="Times New Roman" w:cs="Times New Roman"/>
          <w:bCs/>
          <w:sz w:val="20"/>
          <w:szCs w:val="20"/>
          <w:lang w:val="en-US"/>
        </w:rPr>
        <w:t>line patients).</w:t>
      </w:r>
    </w:p>
    <w:p w14:paraId="6A0438E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3F077086"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Overall effect size of the meta-analysis decreased to 0.46 (0.29-0.64) from 0.56 (0.31 – 0.78). Overall heterogeneity dropped from 75% (p &lt; 0.01) to 47% (p = 0.13). The study was removed from the recommended treatments. The estimate of the subgroup has been recalculated to 0.41 (0.20 – 0.65) from 0.58 (0.27 – 0.84). Heterogeneity was decreased significantly from 83% (p&lt;0.01) to 0% (p = 0.65). Test of moderator with drugs grouped as recommended or not was not significant (p = 0.53). Again, results were not robust which can be attributed to the small number of studies (5 rows in long format).</w:t>
      </w:r>
    </w:p>
    <w:p w14:paraId="1B749B86"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637F2B29" w14:textId="77777777" w:rsidR="008E3E6C" w:rsidRPr="00867E3D" w:rsidRDefault="008E3E6C" w:rsidP="00867E3D">
      <w:pPr>
        <w:pStyle w:val="Heading3"/>
        <w:rPr>
          <w:rFonts w:ascii="Times New Roman" w:hAnsi="Times New Roman" w:cs="Times New Roman"/>
          <w:b/>
          <w:color w:val="auto"/>
          <w:sz w:val="20"/>
          <w:szCs w:val="20"/>
          <w:lang w:val="en-US"/>
        </w:rPr>
      </w:pPr>
      <w:bookmarkStart w:id="58" w:name="_Toc96332408"/>
      <w:bookmarkStart w:id="59" w:name="_Toc97281454"/>
      <w:r w:rsidRPr="00867E3D">
        <w:rPr>
          <w:rFonts w:ascii="Times New Roman" w:hAnsi="Times New Roman" w:cs="Times New Roman"/>
          <w:b/>
          <w:color w:val="auto"/>
          <w:sz w:val="20"/>
          <w:szCs w:val="20"/>
          <w:lang w:val="en-US"/>
        </w:rPr>
        <w:t>Analysis for pre-treated patients at 3 months</w:t>
      </w:r>
      <w:bookmarkEnd w:id="58"/>
      <w:bookmarkEnd w:id="59"/>
    </w:p>
    <w:p w14:paraId="20A7A8AD" w14:textId="65FB56AE"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Our database consists of 10 trials covering 10 different therapeutic combinations. Two of these trials were randomized (van der Graaf 2012 </w:t>
      </w:r>
      <w:r w:rsidRPr="008E3E6C">
        <w:rPr>
          <w:rFonts w:ascii="Times New Roman" w:eastAsia="Times New Roman" w:hAnsi="Times New Roman" w:cs="Times New Roman"/>
          <w:sz w:val="20"/>
          <w:szCs w:val="20"/>
          <w:lang w:val="en-US"/>
        </w:rPr>
        <w:fldChar w:fldCharType="begin" w:fldLock="1"/>
      </w:r>
      <w:r w:rsidR="0000797A">
        <w:rPr>
          <w:rFonts w:ascii="Times New Roman" w:eastAsia="Times New Roman" w:hAnsi="Times New Roman" w:cs="Times New Roman"/>
          <w:sz w:val="20"/>
          <w:szCs w:val="20"/>
          <w:lang w:val="en-US"/>
        </w:rPr>
        <w:instrText>ADDIN CSL_CITATION {"citationItems":[{"id":"ITEM-1","itemData":{"DOI":"10.1016/S0140-6736(12)60651-5","ISSN":"1474547X","PMID":"22595799","abstract":"Pazopanib, a multitargeted tyrosine kinase inhibitor, has single-agent activity in patients with advanced non-adipocytic soft-tissue sarcoma. We investigated the effect of pazopanib on progression-free survival in patients with metastatic non-adipocytic soft-tissue sarcoma after failure of standard chemotherapy. Methods This phase 3 study was done in 72 institutions, across 13 countries. Patients with angiogenesis inhibitornaive,metastatic soft-tissue sarcoma, progressing despite previous standard chemotherapy, were randomly assigned by an interactive voice randomisation system in a 2:1 ratio in permuted blocks (with block sizes of six) to receive either pazopanib 800 mg once daily or placebo, with no subsequent cross-over. Patients, investigators who gave the treatment, those assessing outcomes, and those who did the analysis were masked to the allocation. The primary endpoint was progression-free survival. Efficacy analysis was by intention to treat. The trial is registered with ClinicalTrials.gov, number NCT00753688. Findings 372 patients were registered and 369 were randomly assigned to receive pazopanib (n=246) or placebo (n=123). Median progression-free survival was 4·6 months (95% CI 3·7-4·8) for pazopanib compared with 1·6 months (0·9-1·8) for placebo (hazard ratio [HR] 0·31, 95% CI 0·24-0·40; p&lt;0·0001). Overall survival was 12·5 months (10·6-14·8) with pazopanib versus 10·7 months (8·7-12·8) with placebo (HR 0·86, 0·67-1·11; p=0·25). The most common adverse events were fatigue (60 in the placebo group [49%] vs 155 in the pazopanib group [65%]), diarrhoea (20 [16%] vs 138 [58%]), nausea (34 [28%] vs 129 [54%]), weight loss (25 [20%] vs 115 [48%]), and hypertension (8 [7%] vs 99 [41%]). The median relative dose intensity was 100% for placebo and 96% for pazopanib. Interpretation Pazopanib is a new treatment option for patients with metastatic non-adipocytic soft-tissue sarcoma after previous chemotherapy.","author":[{"dropping-particle":"","family":"Graaf","given":"Winette T A","non-dropping-particle":"Van Der","parse-names":false,"suffix":""},{"dropping-particle":"","family":"Blay","given":"Jean Yves","non-dropping-particle":"","parse-names":false,"suffix":""},{"dropping-particle":"","family":"Chawla","given":"Sant P","non-dropping-particle":"","parse-names":false,"suffix":""},{"dropping-particle":"","family":"Kim","given":"Dong Wan","non-dropping-particle":"","parse-names":false,"suffix":""},{"dropping-particle":"","family":"Bui-Nguyen","given":"Binh","non-dropping-particle":"","parse-names":false,"suffix":""},{"dropping-particle":"","family":"Casali","given":"Paolo G","non-dropping-particle":"","parse-names":false,"suffix":""},{"dropping-particle":"","family":"Schöffski","given":"Patrick","non-dropping-particle":"","parse-names":false,"suffix":""},{"dropping-particle":"","family":"Aglietta","given":"Massimo","non-dropping-particle":"","parse-names":false,"suffix":""},{"dropping-particle":"","family":"Staddon","given":"Arthur P","non-dropping-particle":"","parse-names":false,"suffix":""},{"dropping-particle":"","family":"Beppu","given":"Yasuo","non-dropping-particle":"","parse-names":false,"suffix":""},{"dropping-particle":"","family":"Cesne","given":"Axel","non-dropping-particle":"Le","parse-names":false,"suffix":""},{"dropping-particle":"","family":"Gelderblom","given":"Hans","non-dropping-particle":"","parse-names":false,"suffix":""},{"dropping-particle":"","family":"Judson","given":"Ian R","non-dropping-particle":"","parse-names":false,"suffix":""},{"dropping-particle":"","family":"Araki","given":"Nobuhito","non-dropping-particle":"","parse-names":false,"suffix":""},{"dropping-particle":"","family":"Ouali","given":"Monia","non-dropping-particle":"","parse-names":false,"suffix":""},{"dropping-particle":"","family":"Marreaud","given":"Sandrine","non-dropping-particle":"","parse-names":false,"suffix":""},{"dropping-particle":"","family":"Hodge","given":"Rachel","non-dropping-particle":"","parse-names":false,"suffix":""},{"dropping-particle":"","family":"Dewji","given":"Mohammed R","non-dropping-particle":"","parse-names":false,"suffix":""},{"dropping-particle":"","family":"Coens","given":"Corneel","non-dropping-particle":"","parse-names":false,"suffix":""},{"dropping-particle":"","family":"Demetri","given":"George D","non-dropping-particle":"","parse-names":false,"suffix":""},{"dropping-particle":"","family":"Fletcher","given":"Christopher D","non-dropping-particle":"","parse-names":false,"suffix":""},{"dropping-particle":"","family":"Dei Tos","given":"Angelo Paolo","non-dropping-particle":"","parse-names":false,"suffix":""},{"dropping-particle":"","family":"Hohenberger","given":"Peter","non-dropping-particle":"","parse-names":false,"suffix":""}],"container-title":"The Lancet","id":"ITEM-1","issue":"9829","issued":{"date-parts":[["2012"]]},"page":"1879-1886","title":"Pazopanib for metastatic soft-tissue sarcoma (PALETTE): A randomised, double-blind, placebo-controlled phase 3 trial","type":"article-journal","volume":"379"},"uris":["http://www.mendeley.com/documents/?uuid=c99c95d2-f75e-4c3b-a943-a7a03e0c565a"]}],"mendeley":{"formattedCitation":"[29]","plainTextFormattedCitation":"[29]","previouslyFormattedCitation":"[29]"},"properties":{"noteIndex":0},"schema":"https://github.com/citation-style-language/schema/raw/master/csl-citation.json"}</w:instrText>
      </w:r>
      <w:r w:rsidRPr="008E3E6C">
        <w:rPr>
          <w:rFonts w:ascii="Times New Roman" w:eastAsia="Times New Roman" w:hAnsi="Times New Roman" w:cs="Times New Roman"/>
          <w:sz w:val="20"/>
          <w:szCs w:val="20"/>
          <w:lang w:val="en-US"/>
        </w:rPr>
        <w:fldChar w:fldCharType="separate"/>
      </w:r>
      <w:r w:rsidR="00826352" w:rsidRPr="00826352">
        <w:rPr>
          <w:rFonts w:ascii="Times New Roman" w:eastAsia="Times New Roman" w:hAnsi="Times New Roman" w:cs="Times New Roman"/>
          <w:noProof/>
          <w:sz w:val="20"/>
          <w:szCs w:val="20"/>
          <w:lang w:val="en-US"/>
        </w:rPr>
        <w:t>[29]</w:t>
      </w:r>
      <w:r w:rsidRPr="008E3E6C">
        <w:rPr>
          <w:rFonts w:ascii="Times New Roman" w:eastAsia="Times New Roman" w:hAnsi="Times New Roman" w:cs="Times New Roman"/>
          <w:sz w:val="20"/>
          <w:szCs w:val="20"/>
          <w:lang w:val="en-US"/>
        </w:rPr>
        <w:fldChar w:fldCharType="end"/>
      </w:r>
      <w:r w:rsidRPr="008E3E6C">
        <w:rPr>
          <w:rFonts w:ascii="Times New Roman" w:eastAsia="Times New Roman" w:hAnsi="Times New Roman" w:cs="Times New Roman"/>
          <w:sz w:val="20"/>
          <w:szCs w:val="20"/>
          <w:lang w:val="en-US"/>
        </w:rPr>
        <w:t xml:space="preserve">, Mir 2016 </w:t>
      </w:r>
      <w:r w:rsidRPr="008E3E6C">
        <w:rPr>
          <w:rFonts w:ascii="Times New Roman" w:eastAsia="Times New Roman" w:hAnsi="Times New Roman" w:cs="Times New Roman"/>
          <w:sz w:val="20"/>
          <w:szCs w:val="20"/>
          <w:lang w:val="en-US"/>
        </w:rPr>
        <w:fldChar w:fldCharType="begin" w:fldLock="1"/>
      </w:r>
      <w:r w:rsidR="0000797A">
        <w:rPr>
          <w:rFonts w:ascii="Times New Roman" w:eastAsia="Times New Roman" w:hAnsi="Times New Roman" w:cs="Times New Roman"/>
          <w:sz w:val="20"/>
          <w:szCs w:val="20"/>
          <w:lang w:val="en-US"/>
        </w:rPr>
        <w:instrText>ADDIN CSL_CITATION {"citationItems":[{"id":"ITEM-1","itemData":{"DOI":"10.1016/S1470-2045(16)30507-1","ISSN":"14745488","abstract":"Background Regorafenib is a multikinase inhibitor with proven activity in refractory gastrointestinal stromal tumours and chemotherapy-refractory advanced colorectal cancers. We assessed this agent's efficacy and safety in patients with metastatic soft tissue sarcomas previously treated with anthracycline. Methods In this randomised, double-blind, phase 2 trial undertaken in France and Austria, we enrolled patients aged 18 years and older with advanced soft tissue sarcomas who had received previous doxorubicin or other anthracycline treatment. These patients were randomly assigned (1:1) into one of the following four cohorts: liposarcoma, leiomyosarcoma, synovial sarcoma, and other sarcomas. Participants were treated with oral regorafenib (160 mg per day 3 weeks on and 1 week off) or matched placebo. Patients receiving placebo were offered optional crossover in case of centrally confirmed disease progression. The random allocation schedule was computer-generated with permuted blocks of four patients, with two stratification factors: country (France or Austria) and previous exposure to pazopanib (yes or no). Eligibility criteria included patients with histologically proven advanced and inoperable soft tissue sarcomas with intolerance or failure to doxorubicin or other anthracycline-based chemotherapy and at least one unidimensionally or bidimensionally measurable lesion according to Response Evaluation Criteria in Solid Tumors (RECIST; version 1.1). The primary endpoint was RECIST-based progression-free survival after central radiological review in the intention-to-treat population. Patients, physicians, and radiologists of the panel were masked to treatment allocation. This study is still open for recruitment for an additional stratum (patients previously treated with pazopanib) and registered with ClinicalTrials.gov, NCT01900743. Findings From Aug 5, 2013, to Nov 26, 2014, 182 patients were randomly assigned to one of four cohorts and included in the final analysis. At the cutoff date (Jan 7, 2016), the number of required events was reached for the four cohorts. In the liposarcoma cohort, progression-free survival was 1·1 months (95% CI 0·9–2·3) with regorafenib versus 1·7 months (0·9–1·8) with placebo (HR 0·89 [95% CI 0·48–1·64] p=0·70). In the leiomyosarcoma cohort, progression-free survival was 3·7 months (95% CI 2·5–5·0) with regorafenib versus 1·8 (1·0–2·8) months with placebo (HR 0·46 [95% CI 0·46–0·80] p=0·0045). In the synovial sarcoma cohort, …","author":[{"dropping-particle":"","family":"Mir","given":"Olivier","non-dropping-particle":"","parse-names":false,"suffix":""},{"dropping-particle":"","family":"Brodowicz","given":"Thomas","non-dropping-particle":"","parse-names":false,"suffix":""},{"dropping-particle":"","family":"Italiano","given":"Antoine","non-dropping-particle":"","parse-names":false,"suffix":""},{"dropping-particle":"","family":"Wallet","given":"Jennifer","non-dropping-particle":"","parse-names":false,"suffix":""},{"dropping-particle":"","family":"Blay","given":"Jean Yves","non-dropping-particle":"","parse-names":false,"suffix":""},{"dropping-particle":"","family":"Bertucci","given":"François","non-dropping-particle":"","parse-names":false,"suffix":""},{"dropping-particle":"","family":"Chevreau","given":"Christine","non-dropping-particle":"","parse-names":false,"suffix":""},{"dropping-particle":"","family":"Piperno-Neumann","given":"Sophie","non-dropping-particle":"","parse-names":false,"suffix":""},{"dropping-particle":"","family":"Bompas","given":"Emmanuelle","non-dropping-particle":"","parse-names":false,"suffix":""},{"dropping-particle":"","family":"Salas","given":"Sébastien","non-dropping-particle":"","parse-names":false,"suffix":""},{"dropping-particle":"","family":"Perrin","given":"Christophe","non-dropping-particle":"","parse-names":false,"suffix":""},{"dropping-particle":"","family":"Delcambre","given":"Corinne","non-dropping-particle":"","parse-names":false,"suffix":""},{"dropping-particle":"","family":"Liegl-Atzwanger","given":"Bernadette","non-dropping-particle":"","parse-names":false,"suffix":""},{"dropping-particle":"","family":"Toulmonde","given":"Maud","non-dropping-particle":"","parse-names":false,"suffix":""},{"dropping-particle":"","family":"Dumont","given":"Sarah","non-dropping-particle":"","parse-names":false,"suffix":""},{"dropping-particle":"","family":"Ray-Coquard","given":"Isabelle","non-dropping-particle":"","parse-names":false,"suffix":""},{"dropping-particle":"","family":"Clisant","given":"Stéphanie","non-dropping-particle":"","parse-names":false,"suffix":""},{"dropping-particle":"","family":"Taieb","given":"Sophie","non-dropping-particle":"","parse-names":false,"suffix":""},{"dropping-particle":"","family":"Guillemet","given":"Cécile","non-dropping-particle":"","parse-names":false,"suffix":""},{"dropping-particle":"","family":"Rios","given":"Maria","non-dropping-particle":"","parse-names":false,"suffix":""},{"dropping-particle":"","family":"Collard","given":"Olivier","non-dropping-particle":"","parse-names":false,"suffix":""},{"dropping-particle":"","family":"Bozec","given":"Laurence","non-dropping-particle":"","parse-names":false,"suffix":""},{"dropping-particle":"","family":"Cupissol","given":"Didier","non-dropping-particle":"","parse-names":false,"suffix":""},{"dropping-particle":"","family":"Saada-Bouzid","given":"Esma","non-dropping-particle":"","parse-names":false,"suffix":""},{"dropping-particle":"","family":"Lemaignan","given":"Christine","non-dropping-particle":"","parse-names":false,"suffix":""},{"dropping-particle":"","family":"Eisterer","given":"Wolfgang","non-dropping-particle":"","parse-names":false,"suffix":""},{"dropping-particle":"","family":"Isambert","given":"Nicolas","non-dropping-particle":"","parse-names":false,"suffix":""},{"dropping-particle":"","family":"Chaigneau","given":"Loïc","non-dropping-particle":"","parse-names":false,"suffix":""},{"dropping-particle":"Le","family":"Cesne","given":"Axel","non-dropping-particle":"","parse-names":false,"suffix":""},{"dropping-particle":"","family":"Penel","given":"Nicolas","non-dropping-particle":"","parse-names":false,"suffix":""}],"container-title":"The Lancet Oncology","id":"ITEM-1","issue":"12","issued":{"date-parts":[["2016","12"]]},"page":"1732-1742","publisher":"Lancet Publishing Group","title":"Safety and efficacy of regorafenib in patients with advanced soft tissue sarcoma (REGOSARC): a randomised, double-blind, placebo-controlled, phase 2 trial","type":"article-journal","volume":"17"},"uris":["http://www.mendeley.com/documents/?uuid=9efbd762-8fcc-44db-88f2-1b4c7de5b67a"]}],"mendeley":{"formattedCitation":"[30]","plainTextFormattedCitation":"[30]","previouslyFormattedCitation":"[30]"},"properties":{"noteIndex":0},"schema":"https://github.com/citation-style-language/schema/raw/master/csl-citation.json"}</w:instrText>
      </w:r>
      <w:r w:rsidRPr="008E3E6C">
        <w:rPr>
          <w:rFonts w:ascii="Times New Roman" w:eastAsia="Times New Roman" w:hAnsi="Times New Roman" w:cs="Times New Roman"/>
          <w:sz w:val="20"/>
          <w:szCs w:val="20"/>
          <w:lang w:val="en-US"/>
        </w:rPr>
        <w:fldChar w:fldCharType="separate"/>
      </w:r>
      <w:r w:rsidR="00826352" w:rsidRPr="00826352">
        <w:rPr>
          <w:rFonts w:ascii="Times New Roman" w:eastAsia="Times New Roman" w:hAnsi="Times New Roman" w:cs="Times New Roman"/>
          <w:noProof/>
          <w:sz w:val="20"/>
          <w:szCs w:val="20"/>
          <w:lang w:val="en-US"/>
        </w:rPr>
        <w:t>[30]</w:t>
      </w:r>
      <w:r w:rsidRPr="008E3E6C">
        <w:rPr>
          <w:rFonts w:ascii="Times New Roman" w:eastAsia="Times New Roman" w:hAnsi="Times New Roman" w:cs="Times New Roman"/>
          <w:sz w:val="20"/>
          <w:szCs w:val="20"/>
          <w:lang w:val="en-US"/>
        </w:rPr>
        <w:fldChar w:fldCharType="end"/>
      </w:r>
      <w:r w:rsidRPr="008E3E6C">
        <w:rPr>
          <w:rFonts w:ascii="Times New Roman" w:eastAsia="Times New Roman" w:hAnsi="Times New Roman" w:cs="Times New Roman"/>
          <w:sz w:val="20"/>
          <w:szCs w:val="20"/>
          <w:lang w:val="en-US"/>
        </w:rPr>
        <w:t xml:space="preserve">). The control arms contained placebo treatment and were excluded from the analysis. </w:t>
      </w:r>
    </w:p>
    <w:p w14:paraId="5AFEB416"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784F9584" w14:textId="77777777" w:rsidR="008E3E6C" w:rsidRPr="008E3E6C" w:rsidRDefault="008E3E6C" w:rsidP="00867E3D">
      <w:pPr>
        <w:spacing w:before="60" w:after="120" w:line="240" w:lineRule="auto"/>
        <w:jc w:val="both"/>
        <w:rPr>
          <w:rFonts w:ascii="Times New Roman" w:eastAsia="Times New Roman" w:hAnsi="Times New Roman" w:cs="Times New Roman"/>
          <w:b/>
          <w:sz w:val="20"/>
          <w:szCs w:val="20"/>
          <w:lang w:val="en-US"/>
        </w:rPr>
      </w:pPr>
      <w:bookmarkStart w:id="60" w:name="_Toc96332409"/>
      <w:r w:rsidRPr="008E3E6C">
        <w:rPr>
          <w:rFonts w:ascii="Times New Roman" w:eastAsia="Times New Roman" w:hAnsi="Times New Roman" w:cs="Times New Roman"/>
          <w:b/>
          <w:sz w:val="20"/>
          <w:szCs w:val="20"/>
          <w:lang w:val="en-US"/>
        </w:rPr>
        <w:t>Risk of bias assessment</w:t>
      </w:r>
      <w:bookmarkEnd w:id="60"/>
    </w:p>
    <w:p w14:paraId="2027EDE1"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We examine the risk of publication bias with a contour-enhanced funnel plot and formal diagnostic tests. In figure 25, there is one studies in the dark grey zone (right side, 0.05 &lt; p ≤ 0.10) and one more in the grey zone (0.01 &lt; p ≤ 0.05). There seems to be some asymmetry in the study distribution.  The rank correlation test produced a p-value of 0.60 and the Egger’s regression test a p-value of 0.19. There is no indication of high risk for publication bias from the formal examination diagnostics.    </w:t>
      </w:r>
    </w:p>
    <w:p w14:paraId="36DD8D35"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6C7EF421"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drawing>
          <wp:inline distT="0" distB="0" distL="0" distR="0" wp14:anchorId="18D15BF2" wp14:editId="32C111DB">
            <wp:extent cx="6031230" cy="3213735"/>
            <wp:effectExtent l="0" t="0" r="762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ontour_enhanced_funnel.PNG"/>
                    <pic:cNvPicPr/>
                  </pic:nvPicPr>
                  <pic:blipFill>
                    <a:blip r:embed="rId30">
                      <a:extLst>
                        <a:ext uri="{28A0092B-C50C-407E-A947-70E740481C1C}">
                          <a14:useLocalDpi xmlns:a14="http://schemas.microsoft.com/office/drawing/2010/main" val="0"/>
                        </a:ext>
                      </a:extLst>
                    </a:blip>
                    <a:stretch>
                      <a:fillRect/>
                    </a:stretch>
                  </pic:blipFill>
                  <pic:spPr>
                    <a:xfrm>
                      <a:off x="0" y="0"/>
                      <a:ext cx="6031230" cy="3213735"/>
                    </a:xfrm>
                    <a:prstGeom prst="rect">
                      <a:avLst/>
                    </a:prstGeom>
                  </pic:spPr>
                </pic:pic>
              </a:graphicData>
            </a:graphic>
          </wp:inline>
        </w:drawing>
      </w:r>
    </w:p>
    <w:p w14:paraId="5D6899EF" w14:textId="580B374B"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 xml:space="preserve">Fig. </w:t>
      </w:r>
      <w:r w:rsidR="00867E3D">
        <w:rPr>
          <w:rFonts w:ascii="Times New Roman" w:eastAsia="Times New Roman" w:hAnsi="Times New Roman" w:cs="Times New Roman"/>
          <w:bCs/>
          <w:sz w:val="20"/>
          <w:szCs w:val="20"/>
          <w:lang w:val="en-US"/>
        </w:rPr>
        <w:t>A19</w:t>
      </w:r>
      <w:r w:rsidRPr="008E3E6C">
        <w:rPr>
          <w:rFonts w:ascii="Times New Roman" w:eastAsia="Times New Roman" w:hAnsi="Times New Roman" w:cs="Times New Roman"/>
          <w:bCs/>
          <w:sz w:val="20"/>
          <w:szCs w:val="20"/>
          <w:lang w:val="en-US"/>
        </w:rPr>
        <w:t>. Contour enhanced funnel plot of SS for PFS at 3 months (pre-treated patients).</w:t>
      </w:r>
    </w:p>
    <w:p w14:paraId="6E2956DE"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42F6833A"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06151639" w14:textId="77777777" w:rsidR="008E3E6C" w:rsidRPr="008E3E6C" w:rsidRDefault="008E3E6C" w:rsidP="00867E3D">
      <w:pPr>
        <w:spacing w:before="60" w:after="120" w:line="240" w:lineRule="auto"/>
        <w:jc w:val="both"/>
        <w:rPr>
          <w:rFonts w:ascii="Times New Roman" w:eastAsia="Times New Roman" w:hAnsi="Times New Roman" w:cs="Times New Roman"/>
          <w:b/>
          <w:sz w:val="20"/>
          <w:szCs w:val="20"/>
          <w:lang w:val="en-US"/>
        </w:rPr>
      </w:pPr>
      <w:bookmarkStart w:id="61" w:name="_Toc96332411"/>
      <w:r w:rsidRPr="008E3E6C">
        <w:rPr>
          <w:rFonts w:ascii="Times New Roman" w:eastAsia="Times New Roman" w:hAnsi="Times New Roman" w:cs="Times New Roman"/>
          <w:b/>
          <w:sz w:val="20"/>
          <w:szCs w:val="20"/>
          <w:lang w:val="en-US"/>
        </w:rPr>
        <w:t>Diagnostics for influential studies</w:t>
      </w:r>
      <w:bookmarkEnd w:id="61"/>
    </w:p>
    <w:p w14:paraId="72024D7D"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5D63AADF" w14:textId="739CF9B3"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Examination of the externally standardized residuals shows that studies in line 5 ‘Mir 2016: </w:t>
      </w:r>
      <w:proofErr w:type="spellStart"/>
      <w:r w:rsidRPr="008E3E6C">
        <w:rPr>
          <w:rFonts w:ascii="Times New Roman" w:eastAsia="Times New Roman" w:hAnsi="Times New Roman" w:cs="Times New Roman"/>
          <w:sz w:val="20"/>
          <w:szCs w:val="20"/>
          <w:lang w:val="en-US"/>
        </w:rPr>
        <w:t>Regorafenib</w:t>
      </w:r>
      <w:proofErr w:type="spellEnd"/>
      <w:r w:rsidRPr="008E3E6C">
        <w:rPr>
          <w:rFonts w:ascii="Times New Roman" w:eastAsia="Times New Roman" w:hAnsi="Times New Roman" w:cs="Times New Roman"/>
          <w:sz w:val="20"/>
          <w:szCs w:val="20"/>
          <w:lang w:val="en-US"/>
        </w:rPr>
        <w:t xml:space="preserve">’ </w:t>
      </w:r>
      <w:r w:rsidRPr="008E3E6C">
        <w:rPr>
          <w:rFonts w:ascii="Times New Roman" w:eastAsia="Times New Roman" w:hAnsi="Times New Roman" w:cs="Times New Roman"/>
          <w:sz w:val="20"/>
          <w:szCs w:val="20"/>
          <w:lang w:val="en-US"/>
        </w:rPr>
        <w:fldChar w:fldCharType="begin" w:fldLock="1"/>
      </w:r>
      <w:r w:rsidR="0000797A">
        <w:rPr>
          <w:rFonts w:ascii="Times New Roman" w:eastAsia="Times New Roman" w:hAnsi="Times New Roman" w:cs="Times New Roman"/>
          <w:sz w:val="20"/>
          <w:szCs w:val="20"/>
          <w:lang w:val="en-US"/>
        </w:rPr>
        <w:instrText>ADDIN CSL_CITATION {"citationItems":[{"id":"ITEM-1","itemData":{"DOI":"10.1016/S1470-2045(16)30507-1","ISSN":"14745488","abstract":"Background Regorafenib is a multikinase inhibitor with proven activity in refractory gastrointestinal stromal tumours and chemotherapy-refractory advanced colorectal cancers. We assessed this agent's efficacy and safety in patients with metastatic soft tissue sarcomas previously treated with anthracycline. Methods In this randomised, double-blind, phase 2 trial undertaken in France and Austria, we enrolled patients aged 18 years and older with advanced soft tissue sarcomas who had received previous doxorubicin or other anthracycline treatment. These patients were randomly assigned (1:1) into one of the following four cohorts: liposarcoma, leiomyosarcoma, synovial sarcoma, and other sarcomas. Participants were treated with oral regorafenib (160 mg per day 3 weeks on and 1 week off) or matched placebo. Patients receiving placebo were offered optional crossover in case of centrally confirmed disease progression. The random allocation schedule was computer-generated with permuted blocks of four patients, with two stratification factors: country (France or Austria) and previous exposure to pazopanib (yes or no). Eligibility criteria included patients with histologically proven advanced and inoperable soft tissue sarcomas with intolerance or failure to doxorubicin or other anthracycline-based chemotherapy and at least one unidimensionally or bidimensionally measurable lesion according to Response Evaluation Criteria in Solid Tumors (RECIST; version 1.1). The primary endpoint was RECIST-based progression-free survival after central radiological review in the intention-to-treat population. Patients, physicians, and radiologists of the panel were masked to treatment allocation. This study is still open for recruitment for an additional stratum (patients previously treated with pazopanib) and registered with ClinicalTrials.gov, NCT01900743. Findings From Aug 5, 2013, to Nov 26, 2014, 182 patients were randomly assigned to one of four cohorts and included in the final analysis. At the cutoff date (Jan 7, 2016), the number of required events was reached for the four cohorts. In the liposarcoma cohort, progression-free survival was 1·1 months (95% CI 0·9–2·3) with regorafenib versus 1·7 months (0·9–1·8) with placebo (HR 0·89 [95% CI 0·48–1·64] p=0·70). In the leiomyosarcoma cohort, progression-free survival was 3·7 months (95% CI 2·5–5·0) with regorafenib versus 1·8 (1·0–2·8) months with placebo (HR 0·46 [95% CI 0·46–0·80] p=0·0045). In the synovial sarcoma cohort, …","author":[{"dropping-particle":"","family":"Mir","given":"Olivier","non-dropping-particle":"","parse-names":false,"suffix":""},{"dropping-particle":"","family":"Brodowicz","given":"Thomas","non-dropping-particle":"","parse-names":false,"suffix":""},{"dropping-particle":"","family":"Italiano","given":"Antoine","non-dropping-particle":"","parse-names":false,"suffix":""},{"dropping-particle":"","family":"Wallet","given":"Jennifer","non-dropping-particle":"","parse-names":false,"suffix":""},{"dropping-particle":"","family":"Blay","given":"Jean Yves","non-dropping-particle":"","parse-names":false,"suffix":""},{"dropping-particle":"","family":"Bertucci","given":"François","non-dropping-particle":"","parse-names":false,"suffix":""},{"dropping-particle":"","family":"Chevreau","given":"Christine","non-dropping-particle":"","parse-names":false,"suffix":""},{"dropping-particle":"","family":"Piperno-Neumann","given":"Sophie","non-dropping-particle":"","parse-names":false,"suffix":""},{"dropping-particle":"","family":"Bompas","given":"Emmanuelle","non-dropping-particle":"","parse-names":false,"suffix":""},{"dropping-particle":"","family":"Salas","given":"Sébastien","non-dropping-particle":"","parse-names":false,"suffix":""},{"dropping-particle":"","family":"Perrin","given":"Christophe","non-dropping-particle":"","parse-names":false,"suffix":""},{"dropping-particle":"","family":"Delcambre","given":"Corinne","non-dropping-particle":"","parse-names":false,"suffix":""},{"dropping-particle":"","family":"Liegl-Atzwanger","given":"Bernadette","non-dropping-particle":"","parse-names":false,"suffix":""},{"dropping-particle":"","family":"Toulmonde","given":"Maud","non-dropping-particle":"","parse-names":false,"suffix":""},{"dropping-particle":"","family":"Dumont","given":"Sarah","non-dropping-particle":"","parse-names":false,"suffix":""},{"dropping-particle":"","family":"Ray-Coquard","given":"Isabelle","non-dropping-particle":"","parse-names":false,"suffix":""},{"dropping-particle":"","family":"Clisant","given":"Stéphanie","non-dropping-particle":"","parse-names":false,"suffix":""},{"dropping-particle":"","family":"Taieb","given":"Sophie","non-dropping-particle":"","parse-names":false,"suffix":""},{"dropping-particle":"","family":"Guillemet","given":"Cécile","non-dropping-particle":"","parse-names":false,"suffix":""},{"dropping-particle":"","family":"Rios","given":"Maria","non-dropping-particle":"","parse-names":false,"suffix":""},{"dropping-particle":"","family":"Collard","given":"Olivier","non-dropping-particle":"","parse-names":false,"suffix":""},{"dropping-particle":"","family":"Bozec","given":"Laurence","non-dropping-particle":"","parse-names":false,"suffix":""},{"dropping-particle":"","family":"Cupissol","given":"Didier","non-dropping-particle":"","parse-names":false,"suffix":""},{"dropping-particle":"","family":"Saada-Bouzid","given":"Esma","non-dropping-particle":"","parse-names":false,"suffix":""},{"dropping-particle":"","family":"Lemaignan","given":"Christine","non-dropping-particle":"","parse-names":false,"suffix":""},{"dropping-particle":"","family":"Eisterer","given":"Wolfgang","non-dropping-particle":"","parse-names":false,"suffix":""},{"dropping-particle":"","family":"Isambert","given":"Nicolas","non-dropping-particle":"","parse-names":false,"suffix":""},{"dropping-particle":"","family":"Chaigneau","given":"Loïc","non-dropping-particle":"","parse-names":false,"suffix":""},{"dropping-particle":"Le","family":"Cesne","given":"Axel","non-dropping-particle":"","parse-names":false,"suffix":""},{"dropping-particle":"","family":"Penel","given":"Nicolas","non-dropping-particle":"","parse-names":false,"suffix":""}],"container-title":"The Lancet Oncology","id":"ITEM-1","issue":"12","issued":{"date-parts":[["2016","12"]]},"page":"1732-1742","publisher":"Lancet Publishing Group","title":"Safety and efficacy of regorafenib in patients with advanced soft tissue sarcoma (REGOSARC): a randomised, double-blind, placebo-controlled, phase 2 trial","type":"article-journal","volume":"17"},"uris":["http://www.mendeley.com/documents/?uuid=9efbd762-8fcc-44db-88f2-1b4c7de5b67a"]}],"mendeley":{"formattedCitation":"[30]","plainTextFormattedCitation":"[30]","previouslyFormattedCitation":"[30]"},"properties":{"noteIndex":0},"schema":"https://github.com/citation-style-language/schema/raw/master/csl-citation.json"}</w:instrText>
      </w:r>
      <w:r w:rsidRPr="008E3E6C">
        <w:rPr>
          <w:rFonts w:ascii="Times New Roman" w:eastAsia="Times New Roman" w:hAnsi="Times New Roman" w:cs="Times New Roman"/>
          <w:sz w:val="20"/>
          <w:szCs w:val="20"/>
          <w:lang w:val="en-US"/>
        </w:rPr>
        <w:fldChar w:fldCharType="separate"/>
      </w:r>
      <w:r w:rsidR="00826352" w:rsidRPr="00826352">
        <w:rPr>
          <w:rFonts w:ascii="Times New Roman" w:eastAsia="Times New Roman" w:hAnsi="Times New Roman" w:cs="Times New Roman"/>
          <w:noProof/>
          <w:sz w:val="20"/>
          <w:szCs w:val="20"/>
          <w:lang w:val="en-US"/>
        </w:rPr>
        <w:t>[30]</w:t>
      </w:r>
      <w:r w:rsidRPr="008E3E6C">
        <w:rPr>
          <w:rFonts w:ascii="Times New Roman" w:eastAsia="Times New Roman" w:hAnsi="Times New Roman" w:cs="Times New Roman"/>
          <w:sz w:val="20"/>
          <w:szCs w:val="20"/>
          <w:lang w:val="en-US"/>
        </w:rPr>
        <w:fldChar w:fldCharType="end"/>
      </w:r>
      <w:r w:rsidRPr="008E3E6C">
        <w:rPr>
          <w:rFonts w:ascii="Times New Roman" w:eastAsia="Times New Roman" w:hAnsi="Times New Roman" w:cs="Times New Roman"/>
          <w:sz w:val="20"/>
          <w:szCs w:val="20"/>
          <w:lang w:val="en-US"/>
        </w:rPr>
        <w:t xml:space="preserve"> and line 6 ‘Robbins 2015: </w:t>
      </w:r>
      <w:proofErr w:type="spellStart"/>
      <w:r w:rsidRPr="008E3E6C">
        <w:rPr>
          <w:rFonts w:ascii="Times New Roman" w:eastAsia="Times New Roman" w:hAnsi="Times New Roman" w:cs="Times New Roman"/>
          <w:sz w:val="20"/>
          <w:szCs w:val="20"/>
          <w:lang w:val="en-US"/>
        </w:rPr>
        <w:t>Cyclosphosphamide</w:t>
      </w:r>
      <w:proofErr w:type="spellEnd"/>
      <w:r w:rsidRPr="008E3E6C">
        <w:rPr>
          <w:rFonts w:ascii="Times New Roman" w:eastAsia="Times New Roman" w:hAnsi="Times New Roman" w:cs="Times New Roman"/>
          <w:sz w:val="20"/>
          <w:szCs w:val="20"/>
          <w:lang w:val="en-US"/>
        </w:rPr>
        <w:t xml:space="preserve"> + </w:t>
      </w:r>
      <w:proofErr w:type="spellStart"/>
      <w:r w:rsidRPr="008E3E6C">
        <w:rPr>
          <w:rFonts w:ascii="Times New Roman" w:eastAsia="Times New Roman" w:hAnsi="Times New Roman" w:cs="Times New Roman"/>
          <w:sz w:val="20"/>
          <w:szCs w:val="20"/>
          <w:lang w:val="en-US"/>
        </w:rPr>
        <w:t>Fludarabine</w:t>
      </w:r>
      <w:proofErr w:type="spellEnd"/>
      <w:r w:rsidRPr="008E3E6C">
        <w:rPr>
          <w:rFonts w:ascii="Times New Roman" w:eastAsia="Times New Roman" w:hAnsi="Times New Roman" w:cs="Times New Roman"/>
          <w:sz w:val="20"/>
          <w:szCs w:val="20"/>
          <w:lang w:val="en-US"/>
        </w:rPr>
        <w:t xml:space="preserve"> + TCR transduced cells’ </w:t>
      </w:r>
      <w:r w:rsidRPr="008E3E6C">
        <w:rPr>
          <w:rFonts w:ascii="Times New Roman" w:eastAsia="Times New Roman" w:hAnsi="Times New Roman" w:cs="Times New Roman"/>
          <w:sz w:val="20"/>
          <w:szCs w:val="20"/>
          <w:lang w:val="en-US"/>
        </w:rPr>
        <w:fldChar w:fldCharType="begin" w:fldLock="1"/>
      </w:r>
      <w:r w:rsidR="0000797A">
        <w:rPr>
          <w:rFonts w:ascii="Times New Roman" w:eastAsia="Times New Roman" w:hAnsi="Times New Roman" w:cs="Times New Roman"/>
          <w:sz w:val="20"/>
          <w:szCs w:val="20"/>
          <w:lang w:val="en-US"/>
        </w:rPr>
        <w:instrText>ADDIN CSL_CITATION {"citationItems":[{"id":"ITEM-1","itemData":{"DOI":"10.1158/1078-0432.CCR-14-2708","ISSN":"15573265","PMID":"25538264","abstract":"Purpose: Although adoptive cell therapy can be highly effective for the treatment of patients with melanoma, the application of this approach to the treatment of other solid tumors has been limited. The observation that the cancer germline (CG) antigen NY-ESO-1 is expressed in 70% to 80% and in approximately 25% of patients with synovial cell sarcoma and melanoma, respectively, prompted us to perform this first-in-man clinical trial using the adoptive transfer of autologous peripheral blood mononuclear cells that were retrovirally transduced with an NY-ESO-1 -reactive T-cell receptor (TCR) to heavily pretreated patients bearing these metastatic cancers. Experimental Design: HLA-</w:instrText>
      </w:r>
      <w:r w:rsidR="0000797A">
        <w:rPr>
          <w:rFonts w:ascii="Cambria Math" w:eastAsia="Times New Roman" w:hAnsi="Cambria Math" w:cs="Cambria Math"/>
          <w:sz w:val="20"/>
          <w:szCs w:val="20"/>
          <w:lang w:val="en-US"/>
        </w:rPr>
        <w:instrText>∗</w:instrText>
      </w:r>
      <w:r w:rsidR="0000797A">
        <w:rPr>
          <w:rFonts w:ascii="Times New Roman" w:eastAsia="Times New Roman" w:hAnsi="Times New Roman" w:cs="Times New Roman"/>
          <w:sz w:val="20"/>
          <w:szCs w:val="20"/>
          <w:lang w:val="en-US"/>
        </w:rPr>
        <w:instrText>0201 patients with metastatic synovial cell sarcoma or melanoma refractory to standard treatments and whose cancers expressed NY-ESO-1 received autologous TCR-transduced T cells following a lymphodepleting preparative chemotherapy. Response rates using Response Evaluation Criteria in Solid Tumors (RECIST), as well as immunologic correlates of response, are presented in this report. Results: Eleven of 18 patients with NY-ESO-1+ synovial cell sarcomas (61%) and 11 of 20 patients with NY-ESO-1+ melanomas (55%) who received autologous T cells transduced with an NY-ESO-1-reactive TCR demonstrated objective clinical responses. The estimated overall 3- and 5-year survival rates for patients with synovial cell sarcoma were 38% and 14%, respectively, whereas the corresponding estimated survival rates for patients with melanoma were both 33%. Conclusions: The adoptive transfer of autologous T cells transduced with a retrovirus encoding a TCR against an HLA-A</w:instrText>
      </w:r>
      <w:r w:rsidR="0000797A">
        <w:rPr>
          <w:rFonts w:ascii="Cambria Math" w:eastAsia="Times New Roman" w:hAnsi="Cambria Math" w:cs="Cambria Math"/>
          <w:sz w:val="20"/>
          <w:szCs w:val="20"/>
          <w:lang w:val="en-US"/>
        </w:rPr>
        <w:instrText>∗</w:instrText>
      </w:r>
      <w:r w:rsidR="0000797A">
        <w:rPr>
          <w:rFonts w:ascii="Times New Roman" w:eastAsia="Times New Roman" w:hAnsi="Times New Roman" w:cs="Times New Roman"/>
          <w:sz w:val="20"/>
          <w:szCs w:val="20"/>
          <w:lang w:val="en-US"/>
        </w:rPr>
        <w:instrText>0201 restricted NY-ESO-1 epitope can be an effective therapy for some patients bearing synovial cell sarcomas and melanomas that are refractory to other treatments.","author":[{"dropping-particle":"","family":"Robbins","given":"Paul F.","non-dropping-particle":"","parse-names":false,"suffix":""},{"dropping-particle":"","family":"Kassim","given":"Sadik H.","non-dropping-particle":"","parse-names":false,"suffix":""},{"dropping-particle":"","family":"Tran","given":"Thai L.N.","non-dropping-particle":"","parse-names":false,"suffix":""},{"dropping-particle":"","family":"Crystal","given":"Jessica S.","non-dropping-particle":"","parse-names":false,"suffix":""},{"dropping-particle":"","family":"Morgan","given":"Richard A.","non-dropping-particle":"","parse-names":false,"suffix":""},{"dropping-particle":"","family":"Feldman","given":"Steven A.","non-dropping-particle":"","parse-names":false,"suffix":""},{"dropping-particle":"","family":"Yang","given":"James C.","non-dropping-particle":"","parse-names":false,"suffix":""},{"dropping-particle":"","family":"Dudley","given":"Mark E.","non-dropping-particle":"","parse-names":false,"suffix":""},{"dropping-particle":"","family":"Wunderlich","given":"John R.","non-dropping-particle":"","parse-names":false,"suffix":""},{"dropping-particle":"","family":"Sherry","given":"Richard M.","non-dropping-particle":"","parse-names":false,"suffix":""},{"dropping-particle":"","family":"Kammula","given":"Udai S.","non-dropping-particle":"","parse-names":false,"suffix":""},{"dropping-particle":"","family":"Hughes","given":"Marybeth S.","non-dropping-particle":"","parse-names":false,"suffix":""},{"dropping-particle":"","family":"Restifo","given":"Nicholas P.","non-dropping-particle":"","parse-names":false,"suffix":""},{"dropping-particle":"","family":"Raffeld","given":"Mark","non-dropping-particle":"","parse-names":false,"suffix":""},{"dropping-particle":"","family":"Lee","given":"Chyi Chia R.","non-dropping-particle":"","parse-names":false,"suffix":""},{"dropping-particle":"","family":"Li","given":"Yong F.","non-dropping-particle":"","parse-names":false,"suffix":""},{"dropping-particle":"","family":"El-Gamil","given":"Mona","non-dropping-particle":"","parse-names":false,"suffix":""},{"dropping-particle":"","family":"Rosenberg","given":"Steven A.","non-dropping-particle":"","parse-names":false,"suffix":""}],"container-title":"Clinical Cancer Research","id":"ITEM-1","issue":"5","issued":{"date-parts":[["2015"]]},"page":"1019-1027","title":"A pilot trial using lymphocytes genetically engineered with an NY-ESO-1-reactive T-cell receptor: Long-term follow-up and correlates with response","type":"article-journal","volume":"21"},"uris":["http://www.mendeley.com/documents/?uuid=074e71de-3dc8-4e0a-bcfd-f6809d0b7b89"]}],"mendeley":{"formattedCitation":"[31]","plainTextFormattedCitation":"[31]","previouslyFormattedCitation":"[31]"},"properties":{"noteIndex":0},"schema":"https://github.com/citation-style-language/schema/raw/master/csl-citation.json"}</w:instrText>
      </w:r>
      <w:r w:rsidRPr="008E3E6C">
        <w:rPr>
          <w:rFonts w:ascii="Times New Roman" w:eastAsia="Times New Roman" w:hAnsi="Times New Roman" w:cs="Times New Roman"/>
          <w:sz w:val="20"/>
          <w:szCs w:val="20"/>
          <w:lang w:val="en-US"/>
        </w:rPr>
        <w:fldChar w:fldCharType="separate"/>
      </w:r>
      <w:r w:rsidR="00826352" w:rsidRPr="00826352">
        <w:rPr>
          <w:rFonts w:ascii="Times New Roman" w:eastAsia="Times New Roman" w:hAnsi="Times New Roman" w:cs="Times New Roman"/>
          <w:noProof/>
          <w:sz w:val="20"/>
          <w:szCs w:val="20"/>
          <w:lang w:val="en-US"/>
        </w:rPr>
        <w:t>[31]</w:t>
      </w:r>
      <w:r w:rsidRPr="008E3E6C">
        <w:rPr>
          <w:rFonts w:ascii="Times New Roman" w:eastAsia="Times New Roman" w:hAnsi="Times New Roman" w:cs="Times New Roman"/>
          <w:sz w:val="20"/>
          <w:szCs w:val="20"/>
          <w:lang w:val="en-US"/>
        </w:rPr>
        <w:fldChar w:fldCharType="end"/>
      </w:r>
      <w:r w:rsidRPr="008E3E6C">
        <w:rPr>
          <w:rFonts w:ascii="Times New Roman" w:eastAsia="Times New Roman" w:hAnsi="Times New Roman" w:cs="Times New Roman"/>
          <w:sz w:val="20"/>
          <w:szCs w:val="20"/>
          <w:lang w:val="en-US"/>
        </w:rPr>
        <w:t xml:space="preserve"> have the highest z-value of 2.34 and 2.23, respectively. Both studies are potentially influential for the meta-analysis. The residual plots (not shown) indicate line 6 more influential. </w:t>
      </w:r>
    </w:p>
    <w:p w14:paraId="539F0D9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The </w:t>
      </w:r>
      <w:proofErr w:type="spellStart"/>
      <w:r w:rsidRPr="008E3E6C">
        <w:rPr>
          <w:rFonts w:ascii="Times New Roman" w:eastAsia="Times New Roman" w:hAnsi="Times New Roman" w:cs="Times New Roman"/>
          <w:sz w:val="20"/>
          <w:szCs w:val="20"/>
          <w:lang w:val="en-US"/>
        </w:rPr>
        <w:t>Baujat</w:t>
      </w:r>
      <w:proofErr w:type="spellEnd"/>
      <w:r w:rsidRPr="008E3E6C">
        <w:rPr>
          <w:rFonts w:ascii="Times New Roman" w:eastAsia="Times New Roman" w:hAnsi="Times New Roman" w:cs="Times New Roman"/>
          <w:sz w:val="20"/>
          <w:szCs w:val="20"/>
          <w:lang w:val="en-US"/>
        </w:rPr>
        <w:t xml:space="preserve"> plot in fig. 27 projects line with number 6 on the upper right corner. ‘Robbins 2015: </w:t>
      </w:r>
      <w:proofErr w:type="spellStart"/>
      <w:r w:rsidRPr="008E3E6C">
        <w:rPr>
          <w:rFonts w:ascii="Times New Roman" w:eastAsia="Times New Roman" w:hAnsi="Times New Roman" w:cs="Times New Roman"/>
          <w:sz w:val="20"/>
          <w:szCs w:val="20"/>
          <w:lang w:val="en-US"/>
        </w:rPr>
        <w:t>Cyclosphosphamide</w:t>
      </w:r>
      <w:proofErr w:type="spellEnd"/>
      <w:r w:rsidRPr="008E3E6C">
        <w:rPr>
          <w:rFonts w:ascii="Times New Roman" w:eastAsia="Times New Roman" w:hAnsi="Times New Roman" w:cs="Times New Roman"/>
          <w:sz w:val="20"/>
          <w:szCs w:val="20"/>
          <w:lang w:val="en-US"/>
        </w:rPr>
        <w:t xml:space="preserve"> + </w:t>
      </w:r>
      <w:proofErr w:type="spellStart"/>
      <w:r w:rsidRPr="008E3E6C">
        <w:rPr>
          <w:rFonts w:ascii="Times New Roman" w:eastAsia="Times New Roman" w:hAnsi="Times New Roman" w:cs="Times New Roman"/>
          <w:sz w:val="20"/>
          <w:szCs w:val="20"/>
          <w:lang w:val="en-US"/>
        </w:rPr>
        <w:t>Fludarabine</w:t>
      </w:r>
      <w:proofErr w:type="spellEnd"/>
      <w:r w:rsidRPr="008E3E6C">
        <w:rPr>
          <w:rFonts w:ascii="Times New Roman" w:eastAsia="Times New Roman" w:hAnsi="Times New Roman" w:cs="Times New Roman"/>
          <w:sz w:val="20"/>
          <w:szCs w:val="20"/>
          <w:lang w:val="en-US"/>
        </w:rPr>
        <w:t xml:space="preserve"> + TCR transduced cells’ seems to contribute to the second highest amount of heterogeneity (based on squared Pearson residuals) and to be the most influential (fitted values).</w:t>
      </w:r>
    </w:p>
    <w:p w14:paraId="17D95F3B"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09271A3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lastRenderedPageBreak/>
        <w:drawing>
          <wp:inline distT="0" distB="0" distL="0" distR="0" wp14:anchorId="0DF86A94" wp14:editId="0E1D79CC">
            <wp:extent cx="6031230" cy="3324860"/>
            <wp:effectExtent l="0" t="0" r="762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baujat.PNG"/>
                    <pic:cNvPicPr/>
                  </pic:nvPicPr>
                  <pic:blipFill>
                    <a:blip r:embed="rId31">
                      <a:extLst>
                        <a:ext uri="{28A0092B-C50C-407E-A947-70E740481C1C}">
                          <a14:useLocalDpi xmlns:a14="http://schemas.microsoft.com/office/drawing/2010/main" val="0"/>
                        </a:ext>
                      </a:extLst>
                    </a:blip>
                    <a:stretch>
                      <a:fillRect/>
                    </a:stretch>
                  </pic:blipFill>
                  <pic:spPr>
                    <a:xfrm>
                      <a:off x="0" y="0"/>
                      <a:ext cx="6031230" cy="3324860"/>
                    </a:xfrm>
                    <a:prstGeom prst="rect">
                      <a:avLst/>
                    </a:prstGeom>
                  </pic:spPr>
                </pic:pic>
              </a:graphicData>
            </a:graphic>
          </wp:inline>
        </w:drawing>
      </w:r>
    </w:p>
    <w:p w14:paraId="3C24E01C" w14:textId="565B3D15"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 xml:space="preserve">Fig. </w:t>
      </w:r>
      <w:r w:rsidR="00867E3D">
        <w:rPr>
          <w:rFonts w:ascii="Times New Roman" w:eastAsia="Times New Roman" w:hAnsi="Times New Roman" w:cs="Times New Roman"/>
          <w:bCs/>
          <w:sz w:val="20"/>
          <w:szCs w:val="20"/>
          <w:lang w:val="en-US"/>
        </w:rPr>
        <w:t>A20</w:t>
      </w:r>
      <w:r w:rsidRPr="008E3E6C">
        <w:rPr>
          <w:rFonts w:ascii="Times New Roman" w:eastAsia="Times New Roman" w:hAnsi="Times New Roman" w:cs="Times New Roman"/>
          <w:bCs/>
          <w:sz w:val="20"/>
          <w:szCs w:val="20"/>
          <w:lang w:val="en-US"/>
        </w:rPr>
        <w:t xml:space="preserve">. </w:t>
      </w:r>
      <w:proofErr w:type="spellStart"/>
      <w:r w:rsidRPr="008E3E6C">
        <w:rPr>
          <w:rFonts w:ascii="Times New Roman" w:eastAsia="Times New Roman" w:hAnsi="Times New Roman" w:cs="Times New Roman"/>
          <w:bCs/>
          <w:sz w:val="20"/>
          <w:szCs w:val="20"/>
          <w:lang w:val="en-US"/>
        </w:rPr>
        <w:t>Baujat</w:t>
      </w:r>
      <w:proofErr w:type="spellEnd"/>
      <w:r w:rsidRPr="008E3E6C">
        <w:rPr>
          <w:rFonts w:ascii="Times New Roman" w:eastAsia="Times New Roman" w:hAnsi="Times New Roman" w:cs="Times New Roman"/>
          <w:bCs/>
          <w:sz w:val="20"/>
          <w:szCs w:val="20"/>
          <w:lang w:val="en-US"/>
        </w:rPr>
        <w:t xml:space="preserve"> plot of the SS studies for PFS at 3 months (pre-treated patients).</w:t>
      </w:r>
    </w:p>
    <w:p w14:paraId="6DB653E2"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06BCEA69"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18796170" w14:textId="77777777" w:rsidR="008E3E6C" w:rsidRPr="008E3E6C" w:rsidRDefault="008E3E6C" w:rsidP="00867E3D">
      <w:pPr>
        <w:spacing w:before="60" w:after="120" w:line="240" w:lineRule="auto"/>
        <w:jc w:val="both"/>
        <w:rPr>
          <w:rFonts w:ascii="Times New Roman" w:eastAsia="Times New Roman" w:hAnsi="Times New Roman" w:cs="Times New Roman"/>
          <w:b/>
          <w:sz w:val="20"/>
          <w:szCs w:val="20"/>
          <w:lang w:val="en-US"/>
        </w:rPr>
      </w:pPr>
      <w:bookmarkStart w:id="62" w:name="_Toc96332412"/>
      <w:r w:rsidRPr="008E3E6C">
        <w:rPr>
          <w:rFonts w:ascii="Times New Roman" w:eastAsia="Times New Roman" w:hAnsi="Times New Roman" w:cs="Times New Roman"/>
          <w:b/>
          <w:sz w:val="20"/>
          <w:szCs w:val="20"/>
          <w:lang w:val="en-US"/>
        </w:rPr>
        <w:t>Sensitivity meta-analysis</w:t>
      </w:r>
      <w:bookmarkEnd w:id="62"/>
    </w:p>
    <w:p w14:paraId="039BCE5F"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We perform a sensitivity meta-analysis to focus on the impact of ‘Robbins 2015: </w:t>
      </w:r>
      <w:proofErr w:type="spellStart"/>
      <w:r w:rsidRPr="008E3E6C">
        <w:rPr>
          <w:rFonts w:ascii="Times New Roman" w:eastAsia="Times New Roman" w:hAnsi="Times New Roman" w:cs="Times New Roman"/>
          <w:sz w:val="20"/>
          <w:szCs w:val="20"/>
          <w:lang w:val="en-US"/>
        </w:rPr>
        <w:t>Cyclosphosphamide</w:t>
      </w:r>
      <w:proofErr w:type="spellEnd"/>
      <w:r w:rsidRPr="008E3E6C">
        <w:rPr>
          <w:rFonts w:ascii="Times New Roman" w:eastAsia="Times New Roman" w:hAnsi="Times New Roman" w:cs="Times New Roman"/>
          <w:sz w:val="20"/>
          <w:szCs w:val="20"/>
          <w:lang w:val="en-US"/>
        </w:rPr>
        <w:t xml:space="preserve"> + </w:t>
      </w:r>
      <w:proofErr w:type="spellStart"/>
      <w:r w:rsidRPr="008E3E6C">
        <w:rPr>
          <w:rFonts w:ascii="Times New Roman" w:eastAsia="Times New Roman" w:hAnsi="Times New Roman" w:cs="Times New Roman"/>
          <w:sz w:val="20"/>
          <w:szCs w:val="20"/>
          <w:lang w:val="en-US"/>
        </w:rPr>
        <w:t>Fludarabine</w:t>
      </w:r>
      <w:proofErr w:type="spellEnd"/>
      <w:r w:rsidRPr="008E3E6C">
        <w:rPr>
          <w:rFonts w:ascii="Times New Roman" w:eastAsia="Times New Roman" w:hAnsi="Times New Roman" w:cs="Times New Roman"/>
          <w:sz w:val="20"/>
          <w:szCs w:val="20"/>
          <w:lang w:val="en-US"/>
        </w:rPr>
        <w:t xml:space="preserve"> + TCR transduced cells’ for the random-effects model.</w:t>
      </w:r>
    </w:p>
    <w:p w14:paraId="0B48CD55"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02F9FFEA"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drawing>
          <wp:inline distT="0" distB="0" distL="0" distR="0" wp14:anchorId="1BD64C45" wp14:editId="0738BFA6">
            <wp:extent cx="6031230" cy="3334385"/>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fs3m_pretreated_without_robbins2015_coctail.PNG"/>
                    <pic:cNvPicPr/>
                  </pic:nvPicPr>
                  <pic:blipFill>
                    <a:blip r:embed="rId32">
                      <a:extLst>
                        <a:ext uri="{28A0092B-C50C-407E-A947-70E740481C1C}">
                          <a14:useLocalDpi xmlns:a14="http://schemas.microsoft.com/office/drawing/2010/main" val="0"/>
                        </a:ext>
                      </a:extLst>
                    </a:blip>
                    <a:stretch>
                      <a:fillRect/>
                    </a:stretch>
                  </pic:blipFill>
                  <pic:spPr>
                    <a:xfrm>
                      <a:off x="0" y="0"/>
                      <a:ext cx="6031230" cy="3334385"/>
                    </a:xfrm>
                    <a:prstGeom prst="rect">
                      <a:avLst/>
                    </a:prstGeom>
                  </pic:spPr>
                </pic:pic>
              </a:graphicData>
            </a:graphic>
          </wp:inline>
        </w:drawing>
      </w:r>
    </w:p>
    <w:p w14:paraId="4BDB52CE" w14:textId="3A7D7FDC"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 xml:space="preserve">Fig. </w:t>
      </w:r>
      <w:r w:rsidR="00867E3D">
        <w:rPr>
          <w:rFonts w:ascii="Times New Roman" w:eastAsia="Times New Roman" w:hAnsi="Times New Roman" w:cs="Times New Roman"/>
          <w:bCs/>
          <w:sz w:val="20"/>
          <w:szCs w:val="20"/>
          <w:lang w:val="en-US"/>
        </w:rPr>
        <w:t>A21</w:t>
      </w:r>
      <w:r w:rsidRPr="008E3E6C">
        <w:rPr>
          <w:rFonts w:ascii="Times New Roman" w:eastAsia="Times New Roman" w:hAnsi="Times New Roman" w:cs="Times New Roman"/>
          <w:bCs/>
          <w:sz w:val="20"/>
          <w:szCs w:val="20"/>
          <w:lang w:val="en-US"/>
        </w:rPr>
        <w:t xml:space="preserve">. Forest plot of SS for PFS at 3 months excluding ‘Robbins 2015: </w:t>
      </w:r>
      <w:proofErr w:type="spellStart"/>
      <w:r w:rsidRPr="008E3E6C">
        <w:rPr>
          <w:rFonts w:ascii="Times New Roman" w:eastAsia="Times New Roman" w:hAnsi="Times New Roman" w:cs="Times New Roman"/>
          <w:bCs/>
          <w:sz w:val="20"/>
          <w:szCs w:val="20"/>
          <w:lang w:val="en-US"/>
        </w:rPr>
        <w:t>Cyclosphosphamide</w:t>
      </w:r>
      <w:proofErr w:type="spellEnd"/>
      <w:r w:rsidRPr="008E3E6C">
        <w:rPr>
          <w:rFonts w:ascii="Times New Roman" w:eastAsia="Times New Roman" w:hAnsi="Times New Roman" w:cs="Times New Roman"/>
          <w:bCs/>
          <w:sz w:val="20"/>
          <w:szCs w:val="20"/>
          <w:lang w:val="en-US"/>
        </w:rPr>
        <w:t xml:space="preserve"> + </w:t>
      </w:r>
      <w:proofErr w:type="spellStart"/>
      <w:r w:rsidRPr="008E3E6C">
        <w:rPr>
          <w:rFonts w:ascii="Times New Roman" w:eastAsia="Times New Roman" w:hAnsi="Times New Roman" w:cs="Times New Roman"/>
          <w:bCs/>
          <w:sz w:val="20"/>
          <w:szCs w:val="20"/>
          <w:lang w:val="en-US"/>
        </w:rPr>
        <w:t>Fludarabine</w:t>
      </w:r>
      <w:proofErr w:type="spellEnd"/>
      <w:r w:rsidRPr="008E3E6C">
        <w:rPr>
          <w:rFonts w:ascii="Times New Roman" w:eastAsia="Times New Roman" w:hAnsi="Times New Roman" w:cs="Times New Roman"/>
          <w:bCs/>
          <w:sz w:val="20"/>
          <w:szCs w:val="20"/>
          <w:lang w:val="en-US"/>
        </w:rPr>
        <w:t xml:space="preserve"> + TCR transduced cells’ (pre-treated patients).</w:t>
      </w:r>
    </w:p>
    <w:p w14:paraId="3804756A"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1E19466A"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lastRenderedPageBreak/>
        <w:t xml:space="preserve">There is a decrease in the overall effect size from 0.45 (0.34 – 0.57) to 0.43 (0.34 – 0.52). The overall heterogeneity is just reduced to 71% p &lt; 0.01 (from 72% p &lt; 0.01). Study was removed from the non-recommended group of drugs. The recalculated estimate for this group is 0.32 (0.22 – 0.44) from 0.38 (0.26 – 0.52). Based on the omnibus chi-square test for moderators, this time there is statistically significant difference between the subgroups (p &lt; 0.01). Findings indicate that the excluded study might be influential for the PFS estimates. Results are not very robust.  </w:t>
      </w:r>
    </w:p>
    <w:p w14:paraId="4AAF215B"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3B9F7986"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7005DEDF" w14:textId="77777777" w:rsidR="008E3E6C" w:rsidRPr="008E3E6C" w:rsidRDefault="008E3E6C" w:rsidP="00867E3D">
      <w:pPr>
        <w:spacing w:before="60" w:after="120" w:line="240" w:lineRule="auto"/>
        <w:jc w:val="both"/>
        <w:rPr>
          <w:rFonts w:ascii="Times New Roman" w:eastAsia="Times New Roman" w:hAnsi="Times New Roman" w:cs="Times New Roman"/>
          <w:b/>
          <w:sz w:val="20"/>
          <w:szCs w:val="20"/>
          <w:lang w:val="en-US"/>
        </w:rPr>
      </w:pPr>
      <w:bookmarkStart w:id="63" w:name="_Toc96332413"/>
      <w:r w:rsidRPr="008E3E6C">
        <w:rPr>
          <w:rFonts w:ascii="Times New Roman" w:eastAsia="Times New Roman" w:hAnsi="Times New Roman" w:cs="Times New Roman"/>
          <w:b/>
          <w:sz w:val="20"/>
          <w:szCs w:val="20"/>
          <w:lang w:val="en-US"/>
        </w:rPr>
        <w:t>Meta-regressions</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521"/>
      </w:tblGrid>
      <w:tr w:rsidR="008E3E6C" w:rsidRPr="008E3E6C" w14:paraId="03D96868" w14:textId="77777777" w:rsidTr="00CE6808">
        <w:tc>
          <w:tcPr>
            <w:tcW w:w="4744" w:type="dxa"/>
          </w:tcPr>
          <w:p w14:paraId="2C43FF02"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Moderator</w:t>
            </w:r>
          </w:p>
          <w:p w14:paraId="479ABC14"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p>
        </w:tc>
        <w:tc>
          <w:tcPr>
            <w:tcW w:w="4744" w:type="dxa"/>
          </w:tcPr>
          <w:p w14:paraId="162E28A1"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 xml:space="preserve">Dichotomization </w:t>
            </w:r>
            <w:r w:rsidRPr="00867E3D">
              <w:rPr>
                <w:rFonts w:ascii="Times New Roman" w:eastAsia="Times New Roman" w:hAnsi="Times New Roman" w:cs="Times New Roman"/>
                <w:sz w:val="16"/>
                <w:szCs w:val="16"/>
                <w:lang w:val="en-US"/>
              </w:rPr>
              <w:t>(first group reference, count of studies in parenthesis)</w:t>
            </w:r>
          </w:p>
        </w:tc>
      </w:tr>
      <w:tr w:rsidR="008E3E6C" w:rsidRPr="008E3E6C" w14:paraId="3D560116" w14:textId="77777777" w:rsidTr="00CE6808">
        <w:tc>
          <w:tcPr>
            <w:tcW w:w="4744" w:type="dxa"/>
          </w:tcPr>
          <w:p w14:paraId="46870EEF"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Phase of the trial</w:t>
            </w:r>
          </w:p>
        </w:tc>
        <w:tc>
          <w:tcPr>
            <w:tcW w:w="4744" w:type="dxa"/>
          </w:tcPr>
          <w:p w14:paraId="4654C6A8"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2 (8), greater than 2 (2)</w:t>
            </w:r>
          </w:p>
        </w:tc>
      </w:tr>
      <w:tr w:rsidR="008E3E6C" w:rsidRPr="008E3E6C" w14:paraId="118D4D02" w14:textId="77777777" w:rsidTr="00CE6808">
        <w:tc>
          <w:tcPr>
            <w:tcW w:w="4744" w:type="dxa"/>
          </w:tcPr>
          <w:p w14:paraId="27746B9B"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 xml:space="preserve">Study design </w:t>
            </w:r>
          </w:p>
        </w:tc>
        <w:tc>
          <w:tcPr>
            <w:tcW w:w="4744" w:type="dxa"/>
          </w:tcPr>
          <w:p w14:paraId="3850DF24"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Randomized (2), non-randomized (8)</w:t>
            </w:r>
          </w:p>
        </w:tc>
      </w:tr>
      <w:tr w:rsidR="008E3E6C" w:rsidRPr="008E3E6C" w14:paraId="4A3E7B46" w14:textId="77777777" w:rsidTr="00CE6808">
        <w:tc>
          <w:tcPr>
            <w:tcW w:w="4744" w:type="dxa"/>
          </w:tcPr>
          <w:p w14:paraId="74D012E6"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Year of activation</w:t>
            </w:r>
          </w:p>
        </w:tc>
        <w:tc>
          <w:tcPr>
            <w:tcW w:w="4744" w:type="dxa"/>
          </w:tcPr>
          <w:p w14:paraId="6D720534"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2000-2008 (7), 2009-2015 (3)</w:t>
            </w:r>
          </w:p>
        </w:tc>
      </w:tr>
      <w:tr w:rsidR="008E3E6C" w:rsidRPr="008E3E6C" w14:paraId="44D63926" w14:textId="77777777" w:rsidTr="00CE6808">
        <w:tc>
          <w:tcPr>
            <w:tcW w:w="4744" w:type="dxa"/>
          </w:tcPr>
          <w:p w14:paraId="5A0C0F1C"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Sample size</w:t>
            </w:r>
          </w:p>
        </w:tc>
        <w:tc>
          <w:tcPr>
            <w:tcW w:w="4744" w:type="dxa"/>
          </w:tcPr>
          <w:p w14:paraId="1BAC877B"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10-21 (5), &gt;21 (5)</w:t>
            </w:r>
          </w:p>
        </w:tc>
      </w:tr>
    </w:tbl>
    <w:p w14:paraId="695B3ADF"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6BEE7592"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Potential moderators were examined for the PFS at 3 months (pre-treated patients). All subgroup analyses were conducted with a mixed-effects model. A random-effects model was used to combine the study effects and the fixed effects model was used to test whether these effects vary significantly across the subgroups. We only performed analyses for moderators including more than two study rows; here year of activation and sample size. </w:t>
      </w:r>
    </w:p>
    <w:p w14:paraId="362145D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35814736"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1750"/>
        <w:gridCol w:w="1750"/>
        <w:gridCol w:w="1750"/>
        <w:gridCol w:w="1750"/>
      </w:tblGrid>
      <w:tr w:rsidR="008E3E6C" w:rsidRPr="008E3E6C" w14:paraId="5E60AAF0" w14:textId="77777777" w:rsidTr="00CE6808">
        <w:tc>
          <w:tcPr>
            <w:tcW w:w="2488" w:type="dxa"/>
          </w:tcPr>
          <w:p w14:paraId="3B95B0FE"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 xml:space="preserve">Moderator </w:t>
            </w:r>
          </w:p>
          <w:p w14:paraId="78B3D9F6"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(univariate analysis)</w:t>
            </w:r>
          </w:p>
        </w:tc>
        <w:tc>
          <w:tcPr>
            <w:tcW w:w="1750" w:type="dxa"/>
          </w:tcPr>
          <w:p w14:paraId="26BD9C78"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Estimated PFS (vs ref level)</w:t>
            </w:r>
          </w:p>
        </w:tc>
        <w:tc>
          <w:tcPr>
            <w:tcW w:w="1750" w:type="dxa"/>
          </w:tcPr>
          <w:p w14:paraId="532862DC"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Test for moderator</w:t>
            </w:r>
          </w:p>
          <w:p w14:paraId="4F6585C3"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P-value</w:t>
            </w:r>
          </w:p>
        </w:tc>
        <w:tc>
          <w:tcPr>
            <w:tcW w:w="1750" w:type="dxa"/>
          </w:tcPr>
          <w:p w14:paraId="04C95CA4"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Residual heterogeneity (I</w:t>
            </w:r>
            <w:r w:rsidRPr="00867E3D">
              <w:rPr>
                <w:rFonts w:ascii="Times New Roman" w:eastAsia="Times New Roman" w:hAnsi="Times New Roman" w:cs="Times New Roman"/>
                <w:b/>
                <w:bCs/>
                <w:sz w:val="16"/>
                <w:szCs w:val="16"/>
                <w:vertAlign w:val="superscript"/>
                <w:lang w:val="en-US"/>
              </w:rPr>
              <w:t>2</w:t>
            </w:r>
            <w:r w:rsidRPr="00867E3D">
              <w:rPr>
                <w:rFonts w:ascii="Times New Roman" w:eastAsia="Times New Roman" w:hAnsi="Times New Roman" w:cs="Times New Roman"/>
                <w:b/>
                <w:bCs/>
                <w:sz w:val="16"/>
                <w:szCs w:val="16"/>
                <w:lang w:val="en-US"/>
              </w:rPr>
              <w:t>)</w:t>
            </w:r>
          </w:p>
        </w:tc>
        <w:tc>
          <w:tcPr>
            <w:tcW w:w="1750" w:type="dxa"/>
          </w:tcPr>
          <w:p w14:paraId="3BF3A80A"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 xml:space="preserve">Test for residual heterogeneity </w:t>
            </w:r>
          </w:p>
          <w:p w14:paraId="0D8264C6"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P-value</w:t>
            </w:r>
          </w:p>
        </w:tc>
      </w:tr>
      <w:tr w:rsidR="008E3E6C" w:rsidRPr="008E3E6C" w14:paraId="2950A8A1" w14:textId="77777777" w:rsidTr="00CE6808">
        <w:tc>
          <w:tcPr>
            <w:tcW w:w="2488" w:type="dxa"/>
          </w:tcPr>
          <w:p w14:paraId="3D8A9D11"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Year of activation:</w:t>
            </w:r>
          </w:p>
          <w:p w14:paraId="09B873E4"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2009-2015</w:t>
            </w:r>
          </w:p>
        </w:tc>
        <w:tc>
          <w:tcPr>
            <w:tcW w:w="1750" w:type="dxa"/>
          </w:tcPr>
          <w:p w14:paraId="044295B9"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0.57 (vs 0.41)</w:t>
            </w:r>
          </w:p>
        </w:tc>
        <w:tc>
          <w:tcPr>
            <w:tcW w:w="1750" w:type="dxa"/>
          </w:tcPr>
          <w:p w14:paraId="09768DE9"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0.28</w:t>
            </w:r>
          </w:p>
        </w:tc>
        <w:tc>
          <w:tcPr>
            <w:tcW w:w="1750" w:type="dxa"/>
          </w:tcPr>
          <w:p w14:paraId="242EE3DC"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71.56%</w:t>
            </w:r>
          </w:p>
        </w:tc>
        <w:tc>
          <w:tcPr>
            <w:tcW w:w="1750" w:type="dxa"/>
          </w:tcPr>
          <w:p w14:paraId="35E83BF3"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&lt; 0.01</w:t>
            </w:r>
          </w:p>
        </w:tc>
      </w:tr>
      <w:tr w:rsidR="008E3E6C" w:rsidRPr="008E3E6C" w14:paraId="6D7CB07F" w14:textId="77777777" w:rsidTr="00CE6808">
        <w:tc>
          <w:tcPr>
            <w:tcW w:w="2488" w:type="dxa"/>
          </w:tcPr>
          <w:p w14:paraId="1661E9AE"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Sample size: &gt;21</w:t>
            </w:r>
          </w:p>
        </w:tc>
        <w:tc>
          <w:tcPr>
            <w:tcW w:w="1750" w:type="dxa"/>
          </w:tcPr>
          <w:p w14:paraId="454E6CBC"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0.46 (vs 0.45)</w:t>
            </w:r>
          </w:p>
        </w:tc>
        <w:tc>
          <w:tcPr>
            <w:tcW w:w="1750" w:type="dxa"/>
          </w:tcPr>
          <w:p w14:paraId="6CAE4ECC"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0.97</w:t>
            </w:r>
          </w:p>
        </w:tc>
        <w:tc>
          <w:tcPr>
            <w:tcW w:w="1750" w:type="dxa"/>
          </w:tcPr>
          <w:p w14:paraId="7611D487"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74.83</w:t>
            </w:r>
          </w:p>
        </w:tc>
        <w:tc>
          <w:tcPr>
            <w:tcW w:w="1750" w:type="dxa"/>
          </w:tcPr>
          <w:p w14:paraId="251338F4"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&lt; 0.01</w:t>
            </w:r>
          </w:p>
        </w:tc>
      </w:tr>
    </w:tbl>
    <w:p w14:paraId="638BD96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071FC8D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A year of activation </w:t>
      </w:r>
      <w:proofErr w:type="gramStart"/>
      <w:r w:rsidRPr="008E3E6C">
        <w:rPr>
          <w:rFonts w:ascii="Times New Roman" w:eastAsia="Times New Roman" w:hAnsi="Times New Roman" w:cs="Times New Roman"/>
          <w:sz w:val="20"/>
          <w:szCs w:val="20"/>
          <w:lang w:val="en-US"/>
        </w:rPr>
        <w:t>between 2009-2015</w:t>
      </w:r>
      <w:proofErr w:type="gramEnd"/>
      <w:r w:rsidRPr="008E3E6C">
        <w:rPr>
          <w:rFonts w:ascii="Times New Roman" w:eastAsia="Times New Roman" w:hAnsi="Times New Roman" w:cs="Times New Roman"/>
          <w:sz w:val="20"/>
          <w:szCs w:val="20"/>
          <w:lang w:val="en-US"/>
        </w:rPr>
        <w:t xml:space="preserve"> has a positive effect on the estimate. However, there no statistically significant difference between the 2 subgroups (2009-2015 against 2000-2008) as p = 0.28. Residual heterogeneity is high (71.56%, p &lt; 0.01).</w:t>
      </w:r>
    </w:p>
    <w:p w14:paraId="6968AF1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A sample size above 21 patients has a slightly positive effect on the observed proportion versus a sample size of 21 or less. This effect is not statistically significant (p = 0.97). Residual heterogeneity is high (I</w:t>
      </w:r>
      <w:r w:rsidRPr="008E3E6C">
        <w:rPr>
          <w:rFonts w:ascii="Times New Roman" w:eastAsia="Times New Roman" w:hAnsi="Times New Roman" w:cs="Times New Roman"/>
          <w:sz w:val="20"/>
          <w:szCs w:val="20"/>
          <w:vertAlign w:val="superscript"/>
          <w:lang w:val="en-US"/>
        </w:rPr>
        <w:t>2</w:t>
      </w:r>
      <w:r w:rsidRPr="008E3E6C">
        <w:rPr>
          <w:rFonts w:ascii="Times New Roman" w:eastAsia="Times New Roman" w:hAnsi="Times New Roman" w:cs="Times New Roman"/>
          <w:sz w:val="20"/>
          <w:szCs w:val="20"/>
          <w:lang w:val="en-US"/>
        </w:rPr>
        <w:t xml:space="preserve"> = 74.83%, p &lt; 0.01). </w:t>
      </w:r>
    </w:p>
    <w:p w14:paraId="70117D56"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No moderators were found significant. Consequently, no multivariate moderator analysis was performed.</w:t>
      </w:r>
    </w:p>
    <w:p w14:paraId="6A023BBC"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72BA7FEC"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77CA7EC3"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2E6DECC3" w14:textId="77777777" w:rsidR="008E3E6C" w:rsidRPr="00867E3D" w:rsidRDefault="008E3E6C" w:rsidP="00867E3D">
      <w:pPr>
        <w:pStyle w:val="Heading3"/>
        <w:rPr>
          <w:rFonts w:ascii="Times New Roman" w:hAnsi="Times New Roman" w:cs="Times New Roman"/>
          <w:b/>
          <w:color w:val="auto"/>
          <w:sz w:val="20"/>
          <w:szCs w:val="20"/>
          <w:lang w:val="en-US"/>
        </w:rPr>
      </w:pPr>
      <w:bookmarkStart w:id="64" w:name="_Toc96332414"/>
      <w:bookmarkStart w:id="65" w:name="_Toc97281455"/>
      <w:r w:rsidRPr="00867E3D">
        <w:rPr>
          <w:rFonts w:ascii="Times New Roman" w:hAnsi="Times New Roman" w:cs="Times New Roman"/>
          <w:b/>
          <w:color w:val="auto"/>
          <w:sz w:val="20"/>
          <w:szCs w:val="20"/>
          <w:lang w:val="en-US"/>
        </w:rPr>
        <w:t>Analysis for pre-treated patients at 6 months</w:t>
      </w:r>
      <w:bookmarkEnd w:id="64"/>
      <w:bookmarkEnd w:id="65"/>
    </w:p>
    <w:p w14:paraId="4A20BA4C" w14:textId="6F43EECD"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The EORTC database included 9 trials covering 9 different therapeutic combinations. Information for PFS at 6 months could not be retrieved for ‘Schöffski 2013: </w:t>
      </w:r>
      <w:proofErr w:type="spellStart"/>
      <w:r w:rsidRPr="008E3E6C">
        <w:rPr>
          <w:rFonts w:ascii="Times New Roman" w:eastAsia="Times New Roman" w:hAnsi="Times New Roman" w:cs="Times New Roman"/>
          <w:sz w:val="20"/>
          <w:szCs w:val="20"/>
          <w:lang w:val="en-US"/>
        </w:rPr>
        <w:t>Cixutumumab</w:t>
      </w:r>
      <w:proofErr w:type="spellEnd"/>
      <w:r w:rsidRPr="008E3E6C">
        <w:rPr>
          <w:rFonts w:ascii="Times New Roman" w:eastAsia="Times New Roman" w:hAnsi="Times New Roman" w:cs="Times New Roman"/>
          <w:sz w:val="20"/>
          <w:szCs w:val="20"/>
          <w:lang w:val="en-US"/>
        </w:rPr>
        <w:t xml:space="preserve">’ </w:t>
      </w:r>
      <w:r w:rsidRPr="008E3E6C">
        <w:rPr>
          <w:rFonts w:ascii="Times New Roman" w:eastAsia="Times New Roman" w:hAnsi="Times New Roman" w:cs="Times New Roman"/>
          <w:sz w:val="20"/>
          <w:szCs w:val="20"/>
          <w:lang w:val="en-US"/>
        </w:rPr>
        <w:fldChar w:fldCharType="begin" w:fldLock="1"/>
      </w:r>
      <w:r w:rsidR="0000797A">
        <w:rPr>
          <w:rFonts w:ascii="Times New Roman" w:eastAsia="Times New Roman" w:hAnsi="Times New Roman" w:cs="Times New Roman"/>
          <w:sz w:val="20"/>
          <w:szCs w:val="20"/>
          <w:lang w:val="en-US"/>
        </w:rPr>
        <w:instrText>ADDIN CSL_CITATION {"citationItems":[{"id":"ITEM-1","itemData":{"DOI":"10.1016/j.ejca.2013.06.010","ISSN":"09598049","PMID":"23835252","abstract":"Background Cixutumumab (IMC-A12), a fully human immunoglobulin G1 (IgG1) monoclonal antibody, exerts preclinical activity in several sarcoma models and may be effective for the treatment of these tumours. Methods In this open-label, multicentre, phase 2 study, patients with previously treated advanced or metastatic rhabdomyosarcoma, leiomyosarcoma, adipocytic sarcoma, synovial sarcoma or Ewing family of tumours received intravenous cixutumumab (10 mg/kg) for 1 h every other week until disease progression or discontinuation. The primary end-point was the progression-free survival rate (PFR), defined as stable disease or better at 12 weeks. In each tier of disease histology, Simon's optimum 2-stage design was applied (PFR at 12 weeks P0 = 20%, P1 = 40%, $α$ = 0.10, $β$ = 0.10). Stage 1 enrolled 17 patients in each disease group/tier, with at least four patients with stable disease or better required at 12 weeks to proceed to stage 2. Results A total of 113 patients were enrolled; all tiers except adipocytic sarcoma were closed after stage 1 due to futility. The 12-week PFR was 12% for rhabdomyosarcoma (n = 17), 14% for leiomyosarcoma (n = 22), 32% for adipocytic sarcoma (n = 37), 18% for synovial sarcoma (n = 17) and 11% for Ewing family of tumours (n = 18). Median progression-free survival (weeks) was 6.1 for rhabdomyosarcoma, 6.0 for leiomyosarcoma, 12.1 for adipocytic sarcoma, 6.4 for synovial sarcoma and 6.4 for Ewing family of tumours. Among all patients, the most frequent treatment-emergent adverse events (AEs) were nausea (26%), fatigue (23%), diarrhoea (23%) and hyperglycaemia (20%). Conclusions Patients with adipocytic sarcoma may benefit from treatment with cixutumumab. Cixutumumab treatment was well tolerated, with limited gastrointestinal AEs, fatigue and hyperglycaemia. ©2013 Elsevier Ltd. All rights reserved.","author":[{"dropping-particle":"","family":"Schöffski","given":"P","non-dropping-particle":"","parse-names":false,"suffix":""},{"dropping-particle":"","family":"Adkins","given":"D","non-dropping-particle":"","parse-names":false,"suffix":""},{"dropping-particle":"","family":"Blay","given":"J Y","non-dropping-particle":"","parse-names":false,"suffix":""},{"dropping-particle":"","family":"Gil","given":"T","non-dropping-particle":"","parse-names":false,"suffix":""},{"dropping-particle":"","family":"Elias","given":"A D","non-dropping-particle":"","parse-names":false,"suffix":""},{"dropping-particle":"","family":"Rutkowski","given":"P","non-dropping-particle":"","parse-names":false,"suffix":""},{"dropping-particle":"","family":"Pennock","given":"G K","non-dropping-particle":"","parse-names":false,"suffix":""},{"dropping-particle":"","family":"Youssoufian","given":"H","non-dropping-particle":"","parse-names":false,"suffix":""},{"dropping-particle":"","family":"Gelderblom","given":"H","non-dropping-particle":"","parse-names":false,"suffix":""},{"dropping-particle":"","family":"Willey","given":"R","non-dropping-particle":"","parse-names":false,"suffix":""},{"dropping-particle":"","family":"Grebennik","given":"D O","non-dropping-particle":"","parse-names":false,"suffix":""}],"container-title":"European Journal of Cancer","id":"ITEM-1","issue":"15","issued":{"date-parts":[["2013"]]},"page":"3219-3228","title":"An open-label, phase 2 study evaluating the efficacy and safety of the anti-IGF-1R antibody cixutumumab in patients with previously treated advanced or metastatic soft-tissue sarcoma or Ewing family of tumours","type":"article-journal","volume":"49"},"uris":["http://www.mendeley.com/documents/?uuid=de3fb265-6874-4d64-a14a-1d65d5d709da"]}],"mendeley":{"formattedCitation":"[25]","plainTextFormattedCitation":"[25]","previouslyFormattedCitation":"[25]"},"properties":{"noteIndex":0},"schema":"https://github.com/citation-style-language/schema/raw/master/csl-citation.json"}</w:instrText>
      </w:r>
      <w:r w:rsidRPr="008E3E6C">
        <w:rPr>
          <w:rFonts w:ascii="Times New Roman" w:eastAsia="Times New Roman" w:hAnsi="Times New Roman" w:cs="Times New Roman"/>
          <w:sz w:val="20"/>
          <w:szCs w:val="20"/>
          <w:lang w:val="en-US"/>
        </w:rPr>
        <w:fldChar w:fldCharType="separate"/>
      </w:r>
      <w:r w:rsidR="00826352" w:rsidRPr="00826352">
        <w:rPr>
          <w:rFonts w:ascii="Times New Roman" w:eastAsia="Times New Roman" w:hAnsi="Times New Roman" w:cs="Times New Roman"/>
          <w:noProof/>
          <w:sz w:val="20"/>
          <w:szCs w:val="20"/>
          <w:lang w:val="en-US"/>
        </w:rPr>
        <w:t>[25]</w:t>
      </w:r>
      <w:r w:rsidRPr="008E3E6C">
        <w:rPr>
          <w:rFonts w:ascii="Times New Roman" w:eastAsia="Times New Roman" w:hAnsi="Times New Roman" w:cs="Times New Roman"/>
          <w:sz w:val="20"/>
          <w:szCs w:val="20"/>
          <w:lang w:val="en-US"/>
        </w:rPr>
        <w:fldChar w:fldCharType="end"/>
      </w:r>
      <w:r w:rsidRPr="008E3E6C">
        <w:rPr>
          <w:rFonts w:ascii="Times New Roman" w:eastAsia="Times New Roman" w:hAnsi="Times New Roman" w:cs="Times New Roman"/>
          <w:sz w:val="20"/>
          <w:szCs w:val="20"/>
          <w:lang w:val="en-US"/>
        </w:rPr>
        <w:t xml:space="preserve">. </w:t>
      </w:r>
    </w:p>
    <w:p w14:paraId="6497DE0F"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34452C76" w14:textId="77777777" w:rsidR="00867E3D" w:rsidRDefault="00867E3D" w:rsidP="00867E3D">
      <w:pPr>
        <w:spacing w:before="60" w:after="120" w:line="240" w:lineRule="auto"/>
        <w:jc w:val="both"/>
        <w:rPr>
          <w:rFonts w:ascii="Times New Roman" w:eastAsia="Times New Roman" w:hAnsi="Times New Roman" w:cs="Times New Roman"/>
          <w:b/>
          <w:sz w:val="20"/>
          <w:szCs w:val="20"/>
          <w:lang w:val="en-US"/>
        </w:rPr>
      </w:pPr>
      <w:bookmarkStart w:id="66" w:name="_Toc96332415"/>
    </w:p>
    <w:p w14:paraId="312EC73B" w14:textId="6364FCDA" w:rsidR="008E3E6C" w:rsidRPr="008E3E6C" w:rsidRDefault="008E3E6C" w:rsidP="00867E3D">
      <w:pPr>
        <w:spacing w:before="60" w:after="120" w:line="240" w:lineRule="auto"/>
        <w:jc w:val="both"/>
        <w:rPr>
          <w:rFonts w:ascii="Times New Roman" w:eastAsia="Times New Roman" w:hAnsi="Times New Roman" w:cs="Times New Roman"/>
          <w:b/>
          <w:sz w:val="20"/>
          <w:szCs w:val="20"/>
          <w:lang w:val="en-US"/>
        </w:rPr>
      </w:pPr>
      <w:r w:rsidRPr="008E3E6C">
        <w:rPr>
          <w:rFonts w:ascii="Times New Roman" w:eastAsia="Times New Roman" w:hAnsi="Times New Roman" w:cs="Times New Roman"/>
          <w:b/>
          <w:sz w:val="20"/>
          <w:szCs w:val="20"/>
          <w:lang w:val="en-US"/>
        </w:rPr>
        <w:lastRenderedPageBreak/>
        <w:t>Risk of bias assessment</w:t>
      </w:r>
      <w:bookmarkEnd w:id="66"/>
    </w:p>
    <w:p w14:paraId="6A9DFDD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The contour enhanced funnel plot shows no study with p ≤ 0.10. However, there seems to be some asymmetry between the studies on the right and on the left side of the plot for higher standard error values. </w:t>
      </w:r>
    </w:p>
    <w:p w14:paraId="4A203863"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511FFD8A"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drawing>
          <wp:inline distT="0" distB="0" distL="0" distR="0" wp14:anchorId="271CE8D8" wp14:editId="1B1D8063">
            <wp:extent cx="6031230" cy="3305175"/>
            <wp:effectExtent l="0" t="0" r="762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ontour_enhanced_funnel.PNG"/>
                    <pic:cNvPicPr/>
                  </pic:nvPicPr>
                  <pic:blipFill>
                    <a:blip r:embed="rId33">
                      <a:extLst>
                        <a:ext uri="{28A0092B-C50C-407E-A947-70E740481C1C}">
                          <a14:useLocalDpi xmlns:a14="http://schemas.microsoft.com/office/drawing/2010/main" val="0"/>
                        </a:ext>
                      </a:extLst>
                    </a:blip>
                    <a:stretch>
                      <a:fillRect/>
                    </a:stretch>
                  </pic:blipFill>
                  <pic:spPr>
                    <a:xfrm>
                      <a:off x="0" y="0"/>
                      <a:ext cx="6031230" cy="3305175"/>
                    </a:xfrm>
                    <a:prstGeom prst="rect">
                      <a:avLst/>
                    </a:prstGeom>
                  </pic:spPr>
                </pic:pic>
              </a:graphicData>
            </a:graphic>
          </wp:inline>
        </w:drawing>
      </w:r>
    </w:p>
    <w:p w14:paraId="534E6D39" w14:textId="17479FD3"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Fig.</w:t>
      </w:r>
      <w:r w:rsidR="00867E3D">
        <w:rPr>
          <w:rFonts w:ascii="Times New Roman" w:eastAsia="Times New Roman" w:hAnsi="Times New Roman" w:cs="Times New Roman"/>
          <w:bCs/>
          <w:sz w:val="20"/>
          <w:szCs w:val="20"/>
          <w:lang w:val="en-US"/>
        </w:rPr>
        <w:t xml:space="preserve"> A22</w:t>
      </w:r>
      <w:r w:rsidRPr="008E3E6C">
        <w:rPr>
          <w:rFonts w:ascii="Times New Roman" w:eastAsia="Times New Roman" w:hAnsi="Times New Roman" w:cs="Times New Roman"/>
          <w:bCs/>
          <w:sz w:val="20"/>
          <w:szCs w:val="20"/>
          <w:lang w:val="en-US"/>
        </w:rPr>
        <w:t>. Contour enhanced funnel plot of SS for PFS at 6 months (pre-treated patients).</w:t>
      </w:r>
    </w:p>
    <w:p w14:paraId="02C11899"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44D966D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634B4E53"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We also performed the 2 formal tests. The rank correlation test produced a p-value of 0.12 and the Egger’s regression test a p-value of 0.09. There is no indication of publication bias based on the formal tests.</w:t>
      </w:r>
    </w:p>
    <w:p w14:paraId="5B08BF89"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016BBD87"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1D52931A" w14:textId="77777777" w:rsidR="008E3E6C" w:rsidRPr="008E3E6C" w:rsidRDefault="008E3E6C" w:rsidP="00867E3D">
      <w:pPr>
        <w:spacing w:before="60" w:after="120" w:line="240" w:lineRule="auto"/>
        <w:jc w:val="both"/>
        <w:rPr>
          <w:rFonts w:ascii="Times New Roman" w:eastAsia="Times New Roman" w:hAnsi="Times New Roman" w:cs="Times New Roman"/>
          <w:b/>
          <w:sz w:val="20"/>
          <w:szCs w:val="20"/>
          <w:lang w:val="en-US"/>
        </w:rPr>
      </w:pPr>
      <w:bookmarkStart w:id="67" w:name="_Toc96332417"/>
      <w:r w:rsidRPr="008E3E6C">
        <w:rPr>
          <w:rFonts w:ascii="Times New Roman" w:eastAsia="Times New Roman" w:hAnsi="Times New Roman" w:cs="Times New Roman"/>
          <w:b/>
          <w:sz w:val="20"/>
          <w:szCs w:val="20"/>
          <w:lang w:val="en-US"/>
        </w:rPr>
        <w:t>Diagnostics for influential studies</w:t>
      </w:r>
      <w:bookmarkEnd w:id="67"/>
    </w:p>
    <w:p w14:paraId="03E202A0" w14:textId="371E603B"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The externally standardized residuals of the studies were calculated. Line 2 and 6 of studies ‘</w:t>
      </w:r>
      <w:proofErr w:type="spellStart"/>
      <w:r w:rsidRPr="008E3E6C">
        <w:rPr>
          <w:rFonts w:ascii="Times New Roman" w:eastAsia="Times New Roman" w:hAnsi="Times New Roman" w:cs="Times New Roman"/>
          <w:sz w:val="20"/>
          <w:szCs w:val="20"/>
          <w:lang w:val="en-US"/>
        </w:rPr>
        <w:t>Chugh</w:t>
      </w:r>
      <w:proofErr w:type="spellEnd"/>
      <w:r w:rsidRPr="008E3E6C">
        <w:rPr>
          <w:rFonts w:ascii="Times New Roman" w:eastAsia="Times New Roman" w:hAnsi="Times New Roman" w:cs="Times New Roman"/>
          <w:sz w:val="20"/>
          <w:szCs w:val="20"/>
          <w:lang w:val="en-US"/>
        </w:rPr>
        <w:t xml:space="preserve"> 2009: Imatinib’ </w:t>
      </w:r>
      <w:r w:rsidRPr="008E3E6C">
        <w:rPr>
          <w:rFonts w:ascii="Times New Roman" w:eastAsia="Times New Roman" w:hAnsi="Times New Roman" w:cs="Times New Roman"/>
          <w:sz w:val="20"/>
          <w:szCs w:val="20"/>
          <w:lang w:val="en-US"/>
        </w:rPr>
        <w:fldChar w:fldCharType="begin" w:fldLock="1"/>
      </w:r>
      <w:r w:rsidR="0000797A">
        <w:rPr>
          <w:rFonts w:ascii="Times New Roman" w:eastAsia="Times New Roman" w:hAnsi="Times New Roman" w:cs="Times New Roman"/>
          <w:sz w:val="20"/>
          <w:szCs w:val="20"/>
          <w:lang w:val="en-US"/>
        </w:rPr>
        <w:instrText>ADDIN CSL_CITATION {"citationItems":[{"id":"ITEM-1","itemData":{"DOI":"10.1200/JCO.2008.20.5054","ISSN":"0732183X","PMID":"19451433","abstract":"Purpose: The purpose of this trial was to assess the efficacy of imatinib in patients with one of 10 different subtypes of advanced sarcoma. Patients and Methods: Eligible patients were treated daily with imatinib dosed at 300 mg twice a day (for body-surface area ≥ 1.5 m2). The primary end point was response (clinical benefit response [CBR]), defined as complete (CR) or partial response (PR) at 2 months, or stable disease, CR, or PR at 4 months. Rules for early termination within each disease type were based on a Bayesian hierarchical probability model (BHM) accounting for correlation of the responses of the 10 subtypes. Available tissue samples were analyzed for molecules within the KIT/platelet-derived growth factor receptor (PDGFR) signal transduction pathway. Results: One hundred eighty-five assessable patients with one of 10 subtypes of sarcoma were treated. One CR and three PRs were achieved. A CBR was achieved in 28 patients treated overall and by subtype: two angiosarcomas (n = 16), 0 Ewing (n = 13), one fibrosarcoma (n = 12), six leiomyosarcomas (n = 29), seven liposarcomas (n = 31), three malignant fibrous histiocytomas (n = 30), five osteosarcomas (n = 27), one malignant peripheral-nerve sheath tumor (n = 7), 0 rhabdomyosarcoma (n = 2), and three synovial sarcomas (n = 22). Variable expression and mutations within the KIT/PDGFR pathway were observed. Conclusion: This is the first phase II study of a new agent in sarcoma to include sufficient patients with each of the common histologic subtypes to permit generalizable conclusions. The BHM is an effective method for studying rare diseases and their subtypes, when it is reasonable to assume that their response rates are exchangeable. Although rare dramatic responses were seen, imatinib is not an active agent in advanced sarcoma in these subtypes. © 2009 by American Society of Clinical Oncology.","author":[{"dropping-particle":"","family":"Chugh","given":"Rashmi","non-dropping-particle":"","parse-names":false,"suffix":""},{"dropping-particle":"","family":"Wathen","given":"J. Kyle","non-dropping-particle":"","parse-names":false,"suffix":""},{"dropping-particle":"","family":"Maki","given":"Robert G.","non-dropping-particle":"","parse-names":false,"suffix":""},{"dropping-particle":"","family":"Benjamin","given":"Robert S.","non-dropping-particle":"","parse-names":false,"suffix":""},{"dropping-particle":"","family":"Patel","given":"Shreyaskumar R.","non-dropping-particle":"","parse-names":false,"suffix":""},{"dropping-particle":"","family":"Myers","given":"Paul A.","non-dropping-particle":"","parse-names":false,"suffix":""},{"dropping-particle":"","family":"Priebat","given":"Dennis A.","non-dropping-particle":"","parse-names":false,"suffix":""},{"dropping-particle":"","family":"Reinke","given":"Denise K.","non-dropping-particle":"","parse-names":false,"suffix":""},{"dropping-particle":"","family":"Thomas","given":"Dafydd G.","non-dropping-particle":"","parse-names":false,"suffix":""},{"dropping-particle":"","family":"Keohan","given":"Mary L.","non-dropping-particle":"","parse-names":false,"suffix":""},{"dropping-particle":"","family":"Samuels","given":"Brian L.","non-dropping-particle":"","parse-names":false,"suffix":""},{"dropping-particle":"","family":"Baker","given":"Laurence H.","non-dropping-particle":"","parse-names":false,"suffix":""}],"container-title":"Journal of Clinical Oncology","id":"ITEM-1","issue":"19","issued":{"date-parts":[["2009"]]},"page":"3148-3153","title":"Phase II multicenter trial of imatinib in 10 histologic subtypes of sarcoma using a bayesian hierarchical statistical model","type":"article-journal","volume":"27"},"uris":["http://www.mendeley.com/documents/?uuid=dfb6e6f7-294c-4f92-8ecf-0d289ca82240"]}],"mendeley":{"formattedCitation":"[32]","plainTextFormattedCitation":"[32]","previouslyFormattedCitation":"[32]"},"properties":{"noteIndex":0},"schema":"https://github.com/citation-style-language/schema/raw/master/csl-citation.json"}</w:instrText>
      </w:r>
      <w:r w:rsidRPr="008E3E6C">
        <w:rPr>
          <w:rFonts w:ascii="Times New Roman" w:eastAsia="Times New Roman" w:hAnsi="Times New Roman" w:cs="Times New Roman"/>
          <w:sz w:val="20"/>
          <w:szCs w:val="20"/>
          <w:lang w:val="en-US"/>
        </w:rPr>
        <w:fldChar w:fldCharType="separate"/>
      </w:r>
      <w:r w:rsidR="00826352" w:rsidRPr="00826352">
        <w:rPr>
          <w:rFonts w:ascii="Times New Roman" w:eastAsia="Times New Roman" w:hAnsi="Times New Roman" w:cs="Times New Roman"/>
          <w:noProof/>
          <w:sz w:val="20"/>
          <w:szCs w:val="20"/>
          <w:lang w:val="en-US"/>
        </w:rPr>
        <w:t>[32]</w:t>
      </w:r>
      <w:r w:rsidRPr="008E3E6C">
        <w:rPr>
          <w:rFonts w:ascii="Times New Roman" w:eastAsia="Times New Roman" w:hAnsi="Times New Roman" w:cs="Times New Roman"/>
          <w:sz w:val="20"/>
          <w:szCs w:val="20"/>
          <w:lang w:val="en-US"/>
        </w:rPr>
        <w:fldChar w:fldCharType="end"/>
      </w:r>
      <w:r w:rsidRPr="008E3E6C">
        <w:rPr>
          <w:rFonts w:ascii="Times New Roman" w:eastAsia="Times New Roman" w:hAnsi="Times New Roman" w:cs="Times New Roman"/>
          <w:sz w:val="20"/>
          <w:szCs w:val="20"/>
          <w:lang w:val="en-US"/>
        </w:rPr>
        <w:t xml:space="preserve"> and ‘Robbins 2015: </w:t>
      </w:r>
      <w:proofErr w:type="spellStart"/>
      <w:r w:rsidRPr="008E3E6C">
        <w:rPr>
          <w:rFonts w:ascii="Times New Roman" w:eastAsia="Times New Roman" w:hAnsi="Times New Roman" w:cs="Times New Roman"/>
          <w:sz w:val="20"/>
          <w:szCs w:val="20"/>
          <w:lang w:val="en-US"/>
        </w:rPr>
        <w:t>Cyclosphosphamide</w:t>
      </w:r>
      <w:proofErr w:type="spellEnd"/>
      <w:r w:rsidRPr="008E3E6C">
        <w:rPr>
          <w:rFonts w:ascii="Times New Roman" w:eastAsia="Times New Roman" w:hAnsi="Times New Roman" w:cs="Times New Roman"/>
          <w:sz w:val="20"/>
          <w:szCs w:val="20"/>
          <w:lang w:val="en-US"/>
        </w:rPr>
        <w:t xml:space="preserve"> + </w:t>
      </w:r>
      <w:proofErr w:type="spellStart"/>
      <w:r w:rsidRPr="008E3E6C">
        <w:rPr>
          <w:rFonts w:ascii="Times New Roman" w:eastAsia="Times New Roman" w:hAnsi="Times New Roman" w:cs="Times New Roman"/>
          <w:sz w:val="20"/>
          <w:szCs w:val="20"/>
          <w:lang w:val="en-US"/>
        </w:rPr>
        <w:t>Fludarabine</w:t>
      </w:r>
      <w:proofErr w:type="spellEnd"/>
      <w:r w:rsidRPr="008E3E6C">
        <w:rPr>
          <w:rFonts w:ascii="Times New Roman" w:eastAsia="Times New Roman" w:hAnsi="Times New Roman" w:cs="Times New Roman"/>
          <w:sz w:val="20"/>
          <w:szCs w:val="20"/>
          <w:lang w:val="en-US"/>
        </w:rPr>
        <w:t xml:space="preserve"> + TCR transduced cells’ </w:t>
      </w:r>
      <w:r w:rsidRPr="008E3E6C">
        <w:rPr>
          <w:rFonts w:ascii="Times New Roman" w:eastAsia="Times New Roman" w:hAnsi="Times New Roman" w:cs="Times New Roman"/>
          <w:sz w:val="20"/>
          <w:szCs w:val="20"/>
          <w:lang w:val="en-US"/>
        </w:rPr>
        <w:fldChar w:fldCharType="begin" w:fldLock="1"/>
      </w:r>
      <w:r w:rsidR="0000797A">
        <w:rPr>
          <w:rFonts w:ascii="Times New Roman" w:eastAsia="Times New Roman" w:hAnsi="Times New Roman" w:cs="Times New Roman"/>
          <w:sz w:val="20"/>
          <w:szCs w:val="20"/>
          <w:lang w:val="en-US"/>
        </w:rPr>
        <w:instrText>ADDIN CSL_CITATION {"citationItems":[{"id":"ITEM-1","itemData":{"DOI":"10.1158/1078-0432.CCR-14-2708","ISSN":"15573265","PMID":"25538264","abstract":"Purpose: Although adoptive cell therapy can be highly effective for the treatment of patients with melanoma, the application of this approach to the treatment of other solid tumors has been limited. The observation that the cancer germline (CG) antigen NY-ESO-1 is expressed in 70% to 80% and in approximately 25% of patients with synovial cell sarcoma and melanoma, respectively, prompted us to perform this first-in-man clinical trial using the adoptive transfer of autologous peripheral blood mononuclear cells that were retrovirally transduced with an NY-ESO-1 -reactive T-cell receptor (TCR) to heavily pretreated patients bearing these metastatic cancers. Experimental Design: HLA-</w:instrText>
      </w:r>
      <w:r w:rsidR="0000797A">
        <w:rPr>
          <w:rFonts w:ascii="Cambria Math" w:eastAsia="Times New Roman" w:hAnsi="Cambria Math" w:cs="Cambria Math"/>
          <w:sz w:val="20"/>
          <w:szCs w:val="20"/>
          <w:lang w:val="en-US"/>
        </w:rPr>
        <w:instrText>∗</w:instrText>
      </w:r>
      <w:r w:rsidR="0000797A">
        <w:rPr>
          <w:rFonts w:ascii="Times New Roman" w:eastAsia="Times New Roman" w:hAnsi="Times New Roman" w:cs="Times New Roman"/>
          <w:sz w:val="20"/>
          <w:szCs w:val="20"/>
          <w:lang w:val="en-US"/>
        </w:rPr>
        <w:instrText>0201 patients with metastatic synovial cell sarcoma or melanoma refractory to standard treatments and whose cancers expressed NY-ESO-1 received autologous TCR-transduced T cells following a lymphodepleting preparative chemotherapy. Response rates using Response Evaluation Criteria in Solid Tumors (RECIST), as well as immunologic correlates of response, are presented in this report. Results: Eleven of 18 patients with NY-ESO-1+ synovial cell sarcomas (61%) and 11 of 20 patients with NY-ESO-1+ melanomas (55%) who received autologous T cells transduced with an NY-ESO-1-reactive TCR demonstrated objective clinical responses. The estimated overall 3- and 5-year survival rates for patients with synovial cell sarcoma were 38% and 14%, respectively, whereas the corresponding estimated survival rates for patients with melanoma were both 33%. Conclusions: The adoptive transfer of autologous T cells transduced with a retrovirus encoding a TCR against an HLA-A</w:instrText>
      </w:r>
      <w:r w:rsidR="0000797A">
        <w:rPr>
          <w:rFonts w:ascii="Cambria Math" w:eastAsia="Times New Roman" w:hAnsi="Cambria Math" w:cs="Cambria Math"/>
          <w:sz w:val="20"/>
          <w:szCs w:val="20"/>
          <w:lang w:val="en-US"/>
        </w:rPr>
        <w:instrText>∗</w:instrText>
      </w:r>
      <w:r w:rsidR="0000797A">
        <w:rPr>
          <w:rFonts w:ascii="Times New Roman" w:eastAsia="Times New Roman" w:hAnsi="Times New Roman" w:cs="Times New Roman"/>
          <w:sz w:val="20"/>
          <w:szCs w:val="20"/>
          <w:lang w:val="en-US"/>
        </w:rPr>
        <w:instrText>0201 restricted NY-ESO-1 epitope can be an effective therapy for some patients bearing synovial cell sarcomas and melanomas that are refractory to other treatments.","author":[{"dropping-particle":"","family":"Robbins","given":"Paul F.","non-dropping-particle":"","parse-names":false,"suffix":""},{"dropping-particle":"","family":"Kassim","given":"Sadik H.","non-dropping-particle":"","parse-names":false,"suffix":""},{"dropping-particle":"","family":"Tran","given":"Thai L.N.","non-dropping-particle":"","parse-names":false,"suffix":""},{"dropping-particle":"","family":"Crystal","given":"Jessica S.","non-dropping-particle":"","parse-names":false,"suffix":""},{"dropping-particle":"","family":"Morgan","given":"Richard A.","non-dropping-particle":"","parse-names":false,"suffix":""},{"dropping-particle":"","family":"Feldman","given":"Steven A.","non-dropping-particle":"","parse-names":false,"suffix":""},{"dropping-particle":"","family":"Yang","given":"James C.","non-dropping-particle":"","parse-names":false,"suffix":""},{"dropping-particle":"","family":"Dudley","given":"Mark E.","non-dropping-particle":"","parse-names":false,"suffix":""},{"dropping-particle":"","family":"Wunderlich","given":"John R.","non-dropping-particle":"","parse-names":false,"suffix":""},{"dropping-particle":"","family":"Sherry","given":"Richard M.","non-dropping-particle":"","parse-names":false,"suffix":""},{"dropping-particle":"","family":"Kammula","given":"Udai S.","non-dropping-particle":"","parse-names":false,"suffix":""},{"dropping-particle":"","family":"Hughes","given":"Marybeth S.","non-dropping-particle":"","parse-names":false,"suffix":""},{"dropping-particle":"","family":"Restifo","given":"Nicholas P.","non-dropping-particle":"","parse-names":false,"suffix":""},{"dropping-particle":"","family":"Raffeld","given":"Mark","non-dropping-particle":"","parse-names":false,"suffix":""},{"dropping-particle":"","family":"Lee","given":"Chyi Chia R.","non-dropping-particle":"","parse-names":false,"suffix":""},{"dropping-particle":"","family":"Li","given":"Yong F.","non-dropping-particle":"","parse-names":false,"suffix":""},{"dropping-particle":"","family":"El-Gamil","given":"Mona","non-dropping-particle":"","parse-names":false,"suffix":""},{"dropping-particle":"","family":"Rosenberg","given":"Steven A.","non-dropping-particle":"","parse-names":false,"suffix":""}],"container-title":"Clinical Cancer Research","id":"ITEM-1","issue":"5","issued":{"date-parts":[["2015"]]},"page":"1019-1027","title":"A pilot trial using lymphocytes genetically engineered with an NY-ESO-1-reactive T-cell receptor: Long-term follow-up and correlates with response","type":"article-journal","volume":"21"},"uris":["http://www.mendeley.com/documents/?uuid=074e71de-3dc8-4e0a-bcfd-f6809d0b7b89"]}],"mendeley":{"formattedCitation":"[31]","plainTextFormattedCitation":"[31]","previouslyFormattedCitation":"[31]"},"properties":{"noteIndex":0},"schema":"https://github.com/citation-style-language/schema/raw/master/csl-citation.json"}</w:instrText>
      </w:r>
      <w:r w:rsidRPr="008E3E6C">
        <w:rPr>
          <w:rFonts w:ascii="Times New Roman" w:eastAsia="Times New Roman" w:hAnsi="Times New Roman" w:cs="Times New Roman"/>
          <w:sz w:val="20"/>
          <w:szCs w:val="20"/>
          <w:lang w:val="en-US"/>
        </w:rPr>
        <w:fldChar w:fldCharType="separate"/>
      </w:r>
      <w:r w:rsidR="00826352" w:rsidRPr="00826352">
        <w:rPr>
          <w:rFonts w:ascii="Times New Roman" w:eastAsia="Times New Roman" w:hAnsi="Times New Roman" w:cs="Times New Roman"/>
          <w:noProof/>
          <w:sz w:val="20"/>
          <w:szCs w:val="20"/>
          <w:lang w:val="en-US"/>
        </w:rPr>
        <w:t>[31]</w:t>
      </w:r>
      <w:r w:rsidRPr="008E3E6C">
        <w:rPr>
          <w:rFonts w:ascii="Times New Roman" w:eastAsia="Times New Roman" w:hAnsi="Times New Roman" w:cs="Times New Roman"/>
          <w:sz w:val="20"/>
          <w:szCs w:val="20"/>
          <w:lang w:val="en-US"/>
        </w:rPr>
        <w:fldChar w:fldCharType="end"/>
      </w:r>
      <w:r w:rsidRPr="008E3E6C">
        <w:rPr>
          <w:rFonts w:ascii="Times New Roman" w:eastAsia="Times New Roman" w:hAnsi="Times New Roman" w:cs="Times New Roman"/>
          <w:sz w:val="20"/>
          <w:szCs w:val="20"/>
          <w:lang w:val="en-US"/>
        </w:rPr>
        <w:t xml:space="preserve"> have the highest z-values of -1.56 and 1.55, respectively.  </w:t>
      </w:r>
    </w:p>
    <w:p w14:paraId="108B5941"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The </w:t>
      </w:r>
      <w:proofErr w:type="spellStart"/>
      <w:r w:rsidRPr="008E3E6C">
        <w:rPr>
          <w:rFonts w:ascii="Times New Roman" w:eastAsia="Times New Roman" w:hAnsi="Times New Roman" w:cs="Times New Roman"/>
          <w:sz w:val="20"/>
          <w:szCs w:val="20"/>
          <w:lang w:val="en-US"/>
        </w:rPr>
        <w:t>baujat</w:t>
      </w:r>
      <w:proofErr w:type="spellEnd"/>
      <w:r w:rsidRPr="008E3E6C">
        <w:rPr>
          <w:rFonts w:ascii="Times New Roman" w:eastAsia="Times New Roman" w:hAnsi="Times New Roman" w:cs="Times New Roman"/>
          <w:sz w:val="20"/>
          <w:szCs w:val="20"/>
          <w:lang w:val="en-US"/>
        </w:rPr>
        <w:t xml:space="preserve"> plot (fig. 31) projects this study to the upper right side (number 6). This study is the 2nd most influential based on the fitted values on the y-axis and contributes the 2nd most to heterogeneity looking at the squared Pearson residuals (x-axis). </w:t>
      </w:r>
    </w:p>
    <w:p w14:paraId="4CEBD962"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lastRenderedPageBreak/>
        <w:drawing>
          <wp:inline distT="0" distB="0" distL="0" distR="0" wp14:anchorId="6267C558" wp14:editId="420AAF90">
            <wp:extent cx="6031230" cy="3295650"/>
            <wp:effectExtent l="0" t="0" r="762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baujat.PNG"/>
                    <pic:cNvPicPr/>
                  </pic:nvPicPr>
                  <pic:blipFill>
                    <a:blip r:embed="rId34">
                      <a:extLst>
                        <a:ext uri="{28A0092B-C50C-407E-A947-70E740481C1C}">
                          <a14:useLocalDpi xmlns:a14="http://schemas.microsoft.com/office/drawing/2010/main" val="0"/>
                        </a:ext>
                      </a:extLst>
                    </a:blip>
                    <a:stretch>
                      <a:fillRect/>
                    </a:stretch>
                  </pic:blipFill>
                  <pic:spPr>
                    <a:xfrm>
                      <a:off x="0" y="0"/>
                      <a:ext cx="6031230" cy="3295650"/>
                    </a:xfrm>
                    <a:prstGeom prst="rect">
                      <a:avLst/>
                    </a:prstGeom>
                  </pic:spPr>
                </pic:pic>
              </a:graphicData>
            </a:graphic>
          </wp:inline>
        </w:drawing>
      </w:r>
    </w:p>
    <w:p w14:paraId="0EFF60BB" w14:textId="48877260"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Fig.</w:t>
      </w:r>
      <w:r w:rsidR="00867E3D">
        <w:rPr>
          <w:rFonts w:ascii="Times New Roman" w:eastAsia="Times New Roman" w:hAnsi="Times New Roman" w:cs="Times New Roman"/>
          <w:bCs/>
          <w:sz w:val="20"/>
          <w:szCs w:val="20"/>
          <w:lang w:val="en-US"/>
        </w:rPr>
        <w:t xml:space="preserve"> A23</w:t>
      </w:r>
      <w:r w:rsidRPr="008E3E6C">
        <w:rPr>
          <w:rFonts w:ascii="Times New Roman" w:eastAsia="Times New Roman" w:hAnsi="Times New Roman" w:cs="Times New Roman"/>
          <w:bCs/>
          <w:sz w:val="20"/>
          <w:szCs w:val="20"/>
          <w:lang w:val="en-US"/>
        </w:rPr>
        <w:t xml:space="preserve">. </w:t>
      </w:r>
      <w:proofErr w:type="spellStart"/>
      <w:r w:rsidRPr="008E3E6C">
        <w:rPr>
          <w:rFonts w:ascii="Times New Roman" w:eastAsia="Times New Roman" w:hAnsi="Times New Roman" w:cs="Times New Roman"/>
          <w:bCs/>
          <w:sz w:val="20"/>
          <w:szCs w:val="20"/>
          <w:lang w:val="en-US"/>
        </w:rPr>
        <w:t>Baujat</w:t>
      </w:r>
      <w:proofErr w:type="spellEnd"/>
      <w:r w:rsidRPr="008E3E6C">
        <w:rPr>
          <w:rFonts w:ascii="Times New Roman" w:eastAsia="Times New Roman" w:hAnsi="Times New Roman" w:cs="Times New Roman"/>
          <w:bCs/>
          <w:sz w:val="20"/>
          <w:szCs w:val="20"/>
          <w:lang w:val="en-US"/>
        </w:rPr>
        <w:t xml:space="preserve"> plot of the SS studies for PFS at 6 months (pre-treated patients).</w:t>
      </w:r>
    </w:p>
    <w:p w14:paraId="762E92BD"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73C04E53" w14:textId="77777777" w:rsidR="008E3E6C" w:rsidRPr="008E3E6C" w:rsidRDefault="008E3E6C" w:rsidP="00867E3D">
      <w:pPr>
        <w:spacing w:before="60" w:after="120" w:line="240" w:lineRule="auto"/>
        <w:jc w:val="both"/>
        <w:rPr>
          <w:rFonts w:ascii="Times New Roman" w:eastAsia="Times New Roman" w:hAnsi="Times New Roman" w:cs="Times New Roman"/>
          <w:b/>
          <w:sz w:val="20"/>
          <w:szCs w:val="20"/>
          <w:lang w:val="en-US"/>
        </w:rPr>
      </w:pPr>
      <w:bookmarkStart w:id="68" w:name="_Toc96332418"/>
      <w:r w:rsidRPr="008E3E6C">
        <w:rPr>
          <w:rFonts w:ascii="Times New Roman" w:eastAsia="Times New Roman" w:hAnsi="Times New Roman" w:cs="Times New Roman"/>
          <w:b/>
          <w:sz w:val="20"/>
          <w:szCs w:val="20"/>
          <w:lang w:val="en-US"/>
        </w:rPr>
        <w:t>Sensitivity meta-analysis</w:t>
      </w:r>
      <w:bookmarkEnd w:id="68"/>
    </w:p>
    <w:p w14:paraId="3389B51F"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44F6408D"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We performed a sensitivity meta-analysis removing ‘Robbins 2015: </w:t>
      </w:r>
      <w:proofErr w:type="spellStart"/>
      <w:r w:rsidRPr="008E3E6C">
        <w:rPr>
          <w:rFonts w:ascii="Times New Roman" w:eastAsia="Times New Roman" w:hAnsi="Times New Roman" w:cs="Times New Roman"/>
          <w:sz w:val="20"/>
          <w:szCs w:val="20"/>
          <w:lang w:val="en-US"/>
        </w:rPr>
        <w:t>Cyclosphosphamide</w:t>
      </w:r>
      <w:proofErr w:type="spellEnd"/>
      <w:r w:rsidRPr="008E3E6C">
        <w:rPr>
          <w:rFonts w:ascii="Times New Roman" w:eastAsia="Times New Roman" w:hAnsi="Times New Roman" w:cs="Times New Roman"/>
          <w:sz w:val="20"/>
          <w:szCs w:val="20"/>
          <w:lang w:val="en-US"/>
        </w:rPr>
        <w:t xml:space="preserve"> + </w:t>
      </w:r>
      <w:proofErr w:type="spellStart"/>
      <w:r w:rsidRPr="008E3E6C">
        <w:rPr>
          <w:rFonts w:ascii="Times New Roman" w:eastAsia="Times New Roman" w:hAnsi="Times New Roman" w:cs="Times New Roman"/>
          <w:sz w:val="20"/>
          <w:szCs w:val="20"/>
          <w:lang w:val="en-US"/>
        </w:rPr>
        <w:t>Fludarabine</w:t>
      </w:r>
      <w:proofErr w:type="spellEnd"/>
      <w:r w:rsidRPr="008E3E6C">
        <w:rPr>
          <w:rFonts w:ascii="Times New Roman" w:eastAsia="Times New Roman" w:hAnsi="Times New Roman" w:cs="Times New Roman"/>
          <w:sz w:val="20"/>
          <w:szCs w:val="20"/>
          <w:lang w:val="en-US"/>
        </w:rPr>
        <w:t xml:space="preserve"> + TCR transduced cells’ from the database. We fit a </w:t>
      </w:r>
      <w:proofErr w:type="spellStart"/>
      <w:r w:rsidRPr="008E3E6C">
        <w:rPr>
          <w:rFonts w:ascii="Times New Roman" w:eastAsia="Times New Roman" w:hAnsi="Times New Roman" w:cs="Times New Roman"/>
          <w:sz w:val="20"/>
          <w:szCs w:val="20"/>
          <w:lang w:val="en-US"/>
        </w:rPr>
        <w:t>DerSimonian</w:t>
      </w:r>
      <w:proofErr w:type="spellEnd"/>
      <w:r w:rsidRPr="008E3E6C">
        <w:rPr>
          <w:rFonts w:ascii="Times New Roman" w:eastAsia="Times New Roman" w:hAnsi="Times New Roman" w:cs="Times New Roman"/>
          <w:sz w:val="20"/>
          <w:szCs w:val="20"/>
          <w:lang w:val="en-US"/>
        </w:rPr>
        <w:t xml:space="preserve"> and Laird random-effects model (forest plot in fig. 32). The overall effect size slightly decreased to 0.24 (0.16 – 0.34) from 0.25 (0.16 – 0.36). Overall heterogeneity is 64% (p &lt; 0.01). Study was removed from the non-recommended group of drugs. The estimated effect size of this subgroup decreased to 0.15 (0.08 – 0.27) from 0.19 (0.10 – 0.32). Based on the omnibus chi-square test for moderators, the difference between the subgroups is now statistically significant (p = 0.04).  Findings are more robust compared to 3 months. Nevertheless, the subgroups of drugs turn to be statistically different after the exclusion of the Robbins study (similar to PFS at 3 months). </w:t>
      </w:r>
    </w:p>
    <w:p w14:paraId="3617365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338C8EA2"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noProof/>
          <w:sz w:val="20"/>
          <w:szCs w:val="20"/>
          <w:lang w:eastAsia="en-GB"/>
        </w:rPr>
        <w:lastRenderedPageBreak/>
        <w:drawing>
          <wp:inline distT="0" distB="0" distL="0" distR="0" wp14:anchorId="2EFE050D" wp14:editId="6214801D">
            <wp:extent cx="6031230" cy="3162300"/>
            <wp:effectExtent l="0" t="0" r="762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fs6m_pretreated_without_robbins2015_coctail.PNG"/>
                    <pic:cNvPicPr/>
                  </pic:nvPicPr>
                  <pic:blipFill>
                    <a:blip r:embed="rId35">
                      <a:extLst>
                        <a:ext uri="{28A0092B-C50C-407E-A947-70E740481C1C}">
                          <a14:useLocalDpi xmlns:a14="http://schemas.microsoft.com/office/drawing/2010/main" val="0"/>
                        </a:ext>
                      </a:extLst>
                    </a:blip>
                    <a:stretch>
                      <a:fillRect/>
                    </a:stretch>
                  </pic:blipFill>
                  <pic:spPr>
                    <a:xfrm>
                      <a:off x="0" y="0"/>
                      <a:ext cx="6031230" cy="3162300"/>
                    </a:xfrm>
                    <a:prstGeom prst="rect">
                      <a:avLst/>
                    </a:prstGeom>
                  </pic:spPr>
                </pic:pic>
              </a:graphicData>
            </a:graphic>
          </wp:inline>
        </w:drawing>
      </w:r>
    </w:p>
    <w:p w14:paraId="3248AD53" w14:textId="67094EFF" w:rsidR="008E3E6C" w:rsidRPr="008E3E6C" w:rsidRDefault="008E3E6C" w:rsidP="008E3E6C">
      <w:pPr>
        <w:spacing w:before="60" w:after="120" w:line="240" w:lineRule="auto"/>
        <w:jc w:val="both"/>
        <w:rPr>
          <w:rFonts w:ascii="Times New Roman" w:eastAsia="Times New Roman" w:hAnsi="Times New Roman" w:cs="Times New Roman"/>
          <w:bCs/>
          <w:sz w:val="20"/>
          <w:szCs w:val="20"/>
          <w:lang w:val="en-US"/>
        </w:rPr>
      </w:pPr>
      <w:r w:rsidRPr="008E3E6C">
        <w:rPr>
          <w:rFonts w:ascii="Times New Roman" w:eastAsia="Times New Roman" w:hAnsi="Times New Roman" w:cs="Times New Roman"/>
          <w:bCs/>
          <w:sz w:val="20"/>
          <w:szCs w:val="20"/>
          <w:lang w:val="en-US"/>
        </w:rPr>
        <w:t>Fig.</w:t>
      </w:r>
      <w:r w:rsidR="00867E3D">
        <w:rPr>
          <w:rFonts w:ascii="Times New Roman" w:eastAsia="Times New Roman" w:hAnsi="Times New Roman" w:cs="Times New Roman"/>
          <w:bCs/>
          <w:sz w:val="20"/>
          <w:szCs w:val="20"/>
          <w:lang w:val="en-US"/>
        </w:rPr>
        <w:t xml:space="preserve"> A24</w:t>
      </w:r>
      <w:r w:rsidRPr="008E3E6C">
        <w:rPr>
          <w:rFonts w:ascii="Times New Roman" w:eastAsia="Times New Roman" w:hAnsi="Times New Roman" w:cs="Times New Roman"/>
          <w:bCs/>
          <w:sz w:val="20"/>
          <w:szCs w:val="20"/>
          <w:lang w:val="en-US"/>
        </w:rPr>
        <w:t xml:space="preserve">. Forest plot of SS for PFS at 6 months excluding ‘Robbins 2015: </w:t>
      </w:r>
      <w:proofErr w:type="spellStart"/>
      <w:r w:rsidRPr="008E3E6C">
        <w:rPr>
          <w:rFonts w:ascii="Times New Roman" w:eastAsia="Times New Roman" w:hAnsi="Times New Roman" w:cs="Times New Roman"/>
          <w:bCs/>
          <w:sz w:val="20"/>
          <w:szCs w:val="20"/>
          <w:lang w:val="en-US"/>
        </w:rPr>
        <w:t>Cyclosphosphamide</w:t>
      </w:r>
      <w:proofErr w:type="spellEnd"/>
      <w:r w:rsidRPr="008E3E6C">
        <w:rPr>
          <w:rFonts w:ascii="Times New Roman" w:eastAsia="Times New Roman" w:hAnsi="Times New Roman" w:cs="Times New Roman"/>
          <w:bCs/>
          <w:sz w:val="20"/>
          <w:szCs w:val="20"/>
          <w:lang w:val="en-US"/>
        </w:rPr>
        <w:t xml:space="preserve"> + </w:t>
      </w:r>
      <w:proofErr w:type="spellStart"/>
      <w:r w:rsidRPr="008E3E6C">
        <w:rPr>
          <w:rFonts w:ascii="Times New Roman" w:eastAsia="Times New Roman" w:hAnsi="Times New Roman" w:cs="Times New Roman"/>
          <w:bCs/>
          <w:sz w:val="20"/>
          <w:szCs w:val="20"/>
          <w:lang w:val="en-US"/>
        </w:rPr>
        <w:t>Fludarabine</w:t>
      </w:r>
      <w:proofErr w:type="spellEnd"/>
      <w:r w:rsidRPr="008E3E6C">
        <w:rPr>
          <w:rFonts w:ascii="Times New Roman" w:eastAsia="Times New Roman" w:hAnsi="Times New Roman" w:cs="Times New Roman"/>
          <w:bCs/>
          <w:sz w:val="20"/>
          <w:szCs w:val="20"/>
          <w:lang w:val="en-US"/>
        </w:rPr>
        <w:t xml:space="preserve"> + TCR transduced cells’ (pre-treated patients).</w:t>
      </w:r>
    </w:p>
    <w:p w14:paraId="292E262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6A79F683"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63F2EBB6" w14:textId="77777777" w:rsidR="008E3E6C" w:rsidRPr="008E3E6C" w:rsidRDefault="008E3E6C" w:rsidP="00867E3D">
      <w:pPr>
        <w:spacing w:before="60" w:after="120" w:line="240" w:lineRule="auto"/>
        <w:jc w:val="both"/>
        <w:rPr>
          <w:rFonts w:ascii="Times New Roman" w:eastAsia="Times New Roman" w:hAnsi="Times New Roman" w:cs="Times New Roman"/>
          <w:b/>
          <w:sz w:val="20"/>
          <w:szCs w:val="20"/>
          <w:lang w:val="en-US"/>
        </w:rPr>
      </w:pPr>
      <w:bookmarkStart w:id="69" w:name="_Toc96332419"/>
      <w:r w:rsidRPr="008E3E6C">
        <w:rPr>
          <w:rFonts w:ascii="Times New Roman" w:eastAsia="Times New Roman" w:hAnsi="Times New Roman" w:cs="Times New Roman"/>
          <w:b/>
          <w:sz w:val="20"/>
          <w:szCs w:val="20"/>
          <w:lang w:val="en-US"/>
        </w:rPr>
        <w:t>Meta-regressions</w:t>
      </w:r>
      <w:bookmarkEnd w:id="69"/>
    </w:p>
    <w:p w14:paraId="79498313"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521"/>
      </w:tblGrid>
      <w:tr w:rsidR="008E3E6C" w:rsidRPr="008E3E6C" w14:paraId="635E36E7" w14:textId="77777777" w:rsidTr="00CE6808">
        <w:tc>
          <w:tcPr>
            <w:tcW w:w="4744" w:type="dxa"/>
          </w:tcPr>
          <w:p w14:paraId="14366791"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Moderator</w:t>
            </w:r>
          </w:p>
          <w:p w14:paraId="062FDC4D"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p>
        </w:tc>
        <w:tc>
          <w:tcPr>
            <w:tcW w:w="4744" w:type="dxa"/>
          </w:tcPr>
          <w:p w14:paraId="75233968"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 xml:space="preserve">Dichotomization </w:t>
            </w:r>
            <w:r w:rsidRPr="00867E3D">
              <w:rPr>
                <w:rFonts w:ascii="Times New Roman" w:eastAsia="Times New Roman" w:hAnsi="Times New Roman" w:cs="Times New Roman"/>
                <w:sz w:val="16"/>
                <w:szCs w:val="16"/>
                <w:lang w:val="en-US"/>
              </w:rPr>
              <w:t>(first group reference, count of studies in parenthesis)</w:t>
            </w:r>
          </w:p>
        </w:tc>
      </w:tr>
      <w:tr w:rsidR="008E3E6C" w:rsidRPr="008E3E6C" w14:paraId="09B00613" w14:textId="77777777" w:rsidTr="00CE6808">
        <w:tc>
          <w:tcPr>
            <w:tcW w:w="4744" w:type="dxa"/>
          </w:tcPr>
          <w:p w14:paraId="306D19F4"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Phase of the trial</w:t>
            </w:r>
          </w:p>
        </w:tc>
        <w:tc>
          <w:tcPr>
            <w:tcW w:w="4744" w:type="dxa"/>
          </w:tcPr>
          <w:p w14:paraId="64897DE7"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2 (7), greater than 2 (2)</w:t>
            </w:r>
          </w:p>
        </w:tc>
      </w:tr>
      <w:tr w:rsidR="008E3E6C" w:rsidRPr="008E3E6C" w14:paraId="308E345E" w14:textId="77777777" w:rsidTr="00CE6808">
        <w:tc>
          <w:tcPr>
            <w:tcW w:w="4744" w:type="dxa"/>
          </w:tcPr>
          <w:p w14:paraId="40E5C3BF"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 xml:space="preserve">Study design </w:t>
            </w:r>
          </w:p>
        </w:tc>
        <w:tc>
          <w:tcPr>
            <w:tcW w:w="4744" w:type="dxa"/>
          </w:tcPr>
          <w:p w14:paraId="49933CBE"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Randomized (2), non-randomized (7)</w:t>
            </w:r>
          </w:p>
        </w:tc>
      </w:tr>
      <w:tr w:rsidR="008E3E6C" w:rsidRPr="008E3E6C" w14:paraId="4FC5681C" w14:textId="77777777" w:rsidTr="00CE6808">
        <w:tc>
          <w:tcPr>
            <w:tcW w:w="4744" w:type="dxa"/>
          </w:tcPr>
          <w:p w14:paraId="5A7BD0D7"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Year of activation</w:t>
            </w:r>
          </w:p>
        </w:tc>
        <w:tc>
          <w:tcPr>
            <w:tcW w:w="4744" w:type="dxa"/>
          </w:tcPr>
          <w:p w14:paraId="5B07A803"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2000-2008 (6), 2009-2015 (3)</w:t>
            </w:r>
          </w:p>
        </w:tc>
      </w:tr>
      <w:tr w:rsidR="008E3E6C" w:rsidRPr="008E3E6C" w14:paraId="03DC0829" w14:textId="77777777" w:rsidTr="00CE6808">
        <w:tc>
          <w:tcPr>
            <w:tcW w:w="4744" w:type="dxa"/>
          </w:tcPr>
          <w:p w14:paraId="6337DF06"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Sample size</w:t>
            </w:r>
          </w:p>
        </w:tc>
        <w:tc>
          <w:tcPr>
            <w:tcW w:w="4744" w:type="dxa"/>
          </w:tcPr>
          <w:p w14:paraId="7173D5C0"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10-21 (4), &gt;21 (5)</w:t>
            </w:r>
          </w:p>
        </w:tc>
      </w:tr>
    </w:tbl>
    <w:p w14:paraId="2B31C57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2F714564"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Similarly, we perform univariate meta-regressions only for the year of activation and sample size. </w:t>
      </w:r>
    </w:p>
    <w:p w14:paraId="277FDB08"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1750"/>
        <w:gridCol w:w="1750"/>
        <w:gridCol w:w="1750"/>
        <w:gridCol w:w="1750"/>
      </w:tblGrid>
      <w:tr w:rsidR="008E3E6C" w:rsidRPr="008E3E6C" w14:paraId="72B615F9" w14:textId="77777777" w:rsidTr="00CE6808">
        <w:tc>
          <w:tcPr>
            <w:tcW w:w="2488" w:type="dxa"/>
          </w:tcPr>
          <w:p w14:paraId="6F02833E"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 xml:space="preserve">Moderator </w:t>
            </w:r>
          </w:p>
          <w:p w14:paraId="4E71CA59"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(univariate analysis)</w:t>
            </w:r>
          </w:p>
        </w:tc>
        <w:tc>
          <w:tcPr>
            <w:tcW w:w="1750" w:type="dxa"/>
          </w:tcPr>
          <w:p w14:paraId="7E6C96AA"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Estimated PFS (vs ref level)</w:t>
            </w:r>
          </w:p>
        </w:tc>
        <w:tc>
          <w:tcPr>
            <w:tcW w:w="1750" w:type="dxa"/>
          </w:tcPr>
          <w:p w14:paraId="26DCEBE6"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Test for moderator</w:t>
            </w:r>
          </w:p>
          <w:p w14:paraId="04529F04"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P-value</w:t>
            </w:r>
          </w:p>
        </w:tc>
        <w:tc>
          <w:tcPr>
            <w:tcW w:w="1750" w:type="dxa"/>
          </w:tcPr>
          <w:p w14:paraId="70AB025D"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Residual heterogeneity (I</w:t>
            </w:r>
            <w:r w:rsidRPr="00867E3D">
              <w:rPr>
                <w:rFonts w:ascii="Times New Roman" w:eastAsia="Times New Roman" w:hAnsi="Times New Roman" w:cs="Times New Roman"/>
                <w:b/>
                <w:bCs/>
                <w:sz w:val="16"/>
                <w:szCs w:val="16"/>
                <w:vertAlign w:val="superscript"/>
                <w:lang w:val="en-US"/>
              </w:rPr>
              <w:t>2</w:t>
            </w:r>
            <w:r w:rsidRPr="00867E3D">
              <w:rPr>
                <w:rFonts w:ascii="Times New Roman" w:eastAsia="Times New Roman" w:hAnsi="Times New Roman" w:cs="Times New Roman"/>
                <w:b/>
                <w:bCs/>
                <w:sz w:val="16"/>
                <w:szCs w:val="16"/>
                <w:lang w:val="en-US"/>
              </w:rPr>
              <w:t>)</w:t>
            </w:r>
          </w:p>
          <w:p w14:paraId="6B86A68A"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p>
        </w:tc>
        <w:tc>
          <w:tcPr>
            <w:tcW w:w="1750" w:type="dxa"/>
          </w:tcPr>
          <w:p w14:paraId="27AFE69C"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 xml:space="preserve">Test for residual heterogeneity </w:t>
            </w:r>
          </w:p>
          <w:p w14:paraId="222EA67F" w14:textId="77777777" w:rsidR="008E3E6C" w:rsidRPr="00867E3D" w:rsidRDefault="008E3E6C" w:rsidP="008E3E6C">
            <w:pPr>
              <w:spacing w:before="60" w:after="120" w:line="240" w:lineRule="auto"/>
              <w:jc w:val="both"/>
              <w:rPr>
                <w:rFonts w:ascii="Times New Roman" w:eastAsia="Times New Roman" w:hAnsi="Times New Roman" w:cs="Times New Roman"/>
                <w:b/>
                <w:bCs/>
                <w:sz w:val="16"/>
                <w:szCs w:val="16"/>
                <w:lang w:val="en-US"/>
              </w:rPr>
            </w:pPr>
            <w:r w:rsidRPr="00867E3D">
              <w:rPr>
                <w:rFonts w:ascii="Times New Roman" w:eastAsia="Times New Roman" w:hAnsi="Times New Roman" w:cs="Times New Roman"/>
                <w:b/>
                <w:bCs/>
                <w:sz w:val="16"/>
                <w:szCs w:val="16"/>
                <w:lang w:val="en-US"/>
              </w:rPr>
              <w:t>P-value</w:t>
            </w:r>
          </w:p>
        </w:tc>
      </w:tr>
      <w:tr w:rsidR="008E3E6C" w:rsidRPr="008E3E6C" w14:paraId="0CD72182" w14:textId="77777777" w:rsidTr="00CE6808">
        <w:tc>
          <w:tcPr>
            <w:tcW w:w="2488" w:type="dxa"/>
          </w:tcPr>
          <w:p w14:paraId="4E75E85E"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Year of activation:</w:t>
            </w:r>
          </w:p>
          <w:p w14:paraId="1C60422E"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2009-2015</w:t>
            </w:r>
          </w:p>
        </w:tc>
        <w:tc>
          <w:tcPr>
            <w:tcW w:w="1750" w:type="dxa"/>
          </w:tcPr>
          <w:p w14:paraId="33D7A4FF"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0.28 (vs 0.22)</w:t>
            </w:r>
          </w:p>
        </w:tc>
        <w:tc>
          <w:tcPr>
            <w:tcW w:w="1750" w:type="dxa"/>
          </w:tcPr>
          <w:p w14:paraId="72E18CA5"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0.63</w:t>
            </w:r>
          </w:p>
        </w:tc>
        <w:tc>
          <w:tcPr>
            <w:tcW w:w="1750" w:type="dxa"/>
          </w:tcPr>
          <w:p w14:paraId="51DD971E"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65.91%</w:t>
            </w:r>
          </w:p>
        </w:tc>
        <w:tc>
          <w:tcPr>
            <w:tcW w:w="1750" w:type="dxa"/>
          </w:tcPr>
          <w:p w14:paraId="3CFB396F"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&lt; 0.01</w:t>
            </w:r>
          </w:p>
        </w:tc>
      </w:tr>
      <w:tr w:rsidR="008E3E6C" w:rsidRPr="008E3E6C" w14:paraId="4BAA20AE" w14:textId="77777777" w:rsidTr="00CE6808">
        <w:tc>
          <w:tcPr>
            <w:tcW w:w="2488" w:type="dxa"/>
          </w:tcPr>
          <w:p w14:paraId="342D24F6"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Sample size: &gt;21</w:t>
            </w:r>
          </w:p>
        </w:tc>
        <w:tc>
          <w:tcPr>
            <w:tcW w:w="1750" w:type="dxa"/>
          </w:tcPr>
          <w:p w14:paraId="42EFB5B4"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0.23 (vs 0.26)</w:t>
            </w:r>
          </w:p>
        </w:tc>
        <w:tc>
          <w:tcPr>
            <w:tcW w:w="1750" w:type="dxa"/>
          </w:tcPr>
          <w:p w14:paraId="011A870C"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0.80</w:t>
            </w:r>
          </w:p>
        </w:tc>
        <w:tc>
          <w:tcPr>
            <w:tcW w:w="1750" w:type="dxa"/>
          </w:tcPr>
          <w:p w14:paraId="71BB83DD"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65.56%</w:t>
            </w:r>
          </w:p>
        </w:tc>
        <w:tc>
          <w:tcPr>
            <w:tcW w:w="1750" w:type="dxa"/>
          </w:tcPr>
          <w:p w14:paraId="41BEB171" w14:textId="77777777" w:rsidR="008E3E6C" w:rsidRPr="00867E3D" w:rsidRDefault="008E3E6C" w:rsidP="008E3E6C">
            <w:pPr>
              <w:spacing w:before="60" w:after="120" w:line="240" w:lineRule="auto"/>
              <w:jc w:val="both"/>
              <w:rPr>
                <w:rFonts w:ascii="Times New Roman" w:eastAsia="Times New Roman" w:hAnsi="Times New Roman" w:cs="Times New Roman"/>
                <w:sz w:val="16"/>
                <w:szCs w:val="16"/>
                <w:lang w:val="en-US"/>
              </w:rPr>
            </w:pPr>
            <w:r w:rsidRPr="00867E3D">
              <w:rPr>
                <w:rFonts w:ascii="Times New Roman" w:eastAsia="Times New Roman" w:hAnsi="Times New Roman" w:cs="Times New Roman"/>
                <w:sz w:val="16"/>
                <w:szCs w:val="16"/>
                <w:lang w:val="en-US"/>
              </w:rPr>
              <w:t>&lt; 0.01</w:t>
            </w:r>
          </w:p>
        </w:tc>
      </w:tr>
    </w:tbl>
    <w:p w14:paraId="58B48AE0"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p>
    <w:p w14:paraId="2140A126"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 xml:space="preserve">A study activated </w:t>
      </w:r>
      <w:proofErr w:type="gramStart"/>
      <w:r w:rsidRPr="008E3E6C">
        <w:rPr>
          <w:rFonts w:ascii="Times New Roman" w:eastAsia="Times New Roman" w:hAnsi="Times New Roman" w:cs="Times New Roman"/>
          <w:sz w:val="20"/>
          <w:szCs w:val="20"/>
          <w:lang w:val="en-US"/>
        </w:rPr>
        <w:t>between 2009–2015 versus 2000–2008 increases</w:t>
      </w:r>
      <w:proofErr w:type="gramEnd"/>
      <w:r w:rsidRPr="008E3E6C">
        <w:rPr>
          <w:rFonts w:ascii="Times New Roman" w:eastAsia="Times New Roman" w:hAnsi="Times New Roman" w:cs="Times New Roman"/>
          <w:sz w:val="20"/>
          <w:szCs w:val="20"/>
          <w:lang w:val="en-US"/>
        </w:rPr>
        <w:t xml:space="preserve"> the effect size. This increase is not significant (p = 0.63). Residual heterogeneity is high (I</w:t>
      </w:r>
      <w:r w:rsidRPr="008E3E6C">
        <w:rPr>
          <w:rFonts w:ascii="Times New Roman" w:eastAsia="Times New Roman" w:hAnsi="Times New Roman" w:cs="Times New Roman"/>
          <w:sz w:val="20"/>
          <w:szCs w:val="20"/>
          <w:vertAlign w:val="superscript"/>
          <w:lang w:val="en-US"/>
        </w:rPr>
        <w:t>2</w:t>
      </w:r>
      <w:r w:rsidRPr="008E3E6C">
        <w:rPr>
          <w:rFonts w:ascii="Times New Roman" w:eastAsia="Times New Roman" w:hAnsi="Times New Roman" w:cs="Times New Roman"/>
          <w:sz w:val="20"/>
          <w:szCs w:val="20"/>
          <w:lang w:val="en-US"/>
        </w:rPr>
        <w:t xml:space="preserve"> = 65.91%, p &lt; 0.01).</w:t>
      </w:r>
    </w:p>
    <w:p w14:paraId="4772E640"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t>A sample size &gt; 21 versus less than 21 decreases the estimate. Based on the test for moderators this difference is not significant (p = 0.80). Residual heterogeneity is high (I</w:t>
      </w:r>
      <w:r w:rsidRPr="008E3E6C">
        <w:rPr>
          <w:rFonts w:ascii="Times New Roman" w:eastAsia="Times New Roman" w:hAnsi="Times New Roman" w:cs="Times New Roman"/>
          <w:sz w:val="20"/>
          <w:szCs w:val="20"/>
          <w:vertAlign w:val="superscript"/>
          <w:lang w:val="en-US"/>
        </w:rPr>
        <w:t>2</w:t>
      </w:r>
      <w:r w:rsidRPr="008E3E6C">
        <w:rPr>
          <w:rFonts w:ascii="Times New Roman" w:eastAsia="Times New Roman" w:hAnsi="Times New Roman" w:cs="Times New Roman"/>
          <w:sz w:val="20"/>
          <w:szCs w:val="20"/>
          <w:lang w:val="en-US"/>
        </w:rPr>
        <w:t xml:space="preserve"> = 65.56%, p &lt; 0.01).</w:t>
      </w:r>
    </w:p>
    <w:p w14:paraId="1DF80EFA" w14:textId="77777777" w:rsidR="008E3E6C" w:rsidRPr="008E3E6C" w:rsidRDefault="008E3E6C" w:rsidP="008E3E6C">
      <w:pPr>
        <w:spacing w:before="60" w:after="120" w:line="240" w:lineRule="auto"/>
        <w:jc w:val="both"/>
        <w:rPr>
          <w:rFonts w:ascii="Times New Roman" w:eastAsia="Times New Roman" w:hAnsi="Times New Roman" w:cs="Times New Roman"/>
          <w:sz w:val="20"/>
          <w:szCs w:val="20"/>
          <w:lang w:val="en-US"/>
        </w:rPr>
      </w:pPr>
      <w:r w:rsidRPr="008E3E6C">
        <w:rPr>
          <w:rFonts w:ascii="Times New Roman" w:eastAsia="Times New Roman" w:hAnsi="Times New Roman" w:cs="Times New Roman"/>
          <w:sz w:val="20"/>
          <w:szCs w:val="20"/>
          <w:lang w:val="en-US"/>
        </w:rPr>
        <w:lastRenderedPageBreak/>
        <w:t xml:space="preserve">As there were no significant moderators in the univariate analyses, we did not perform any multivariate moderator analysis. </w:t>
      </w:r>
    </w:p>
    <w:p w14:paraId="75F40EE9" w14:textId="2BFADF4A" w:rsidR="00583051" w:rsidRDefault="00583051" w:rsidP="0037787D">
      <w:pPr>
        <w:spacing w:before="60" w:after="120" w:line="240" w:lineRule="auto"/>
        <w:jc w:val="both"/>
        <w:rPr>
          <w:rFonts w:ascii="Times New Roman" w:eastAsia="Times New Roman" w:hAnsi="Times New Roman" w:cs="Times New Roman"/>
          <w:sz w:val="20"/>
          <w:szCs w:val="20"/>
          <w:lang w:val="en-US"/>
        </w:rPr>
      </w:pPr>
    </w:p>
    <w:p w14:paraId="5254D8AC" w14:textId="77777777" w:rsidR="008E3E6C" w:rsidRPr="0099368B" w:rsidRDefault="008E3E6C" w:rsidP="0037787D">
      <w:pPr>
        <w:spacing w:before="60" w:after="120" w:line="240" w:lineRule="auto"/>
        <w:jc w:val="both"/>
        <w:rPr>
          <w:rFonts w:ascii="Times New Roman" w:eastAsia="Times New Roman" w:hAnsi="Times New Roman" w:cs="Times New Roman"/>
          <w:sz w:val="20"/>
          <w:szCs w:val="20"/>
          <w:lang w:val="en-US"/>
        </w:rPr>
      </w:pPr>
    </w:p>
    <w:p w14:paraId="511C8BE7" w14:textId="442CE139" w:rsidR="00E3351A" w:rsidRPr="00E3351A" w:rsidRDefault="00A00C87" w:rsidP="00E3351A">
      <w:pPr>
        <w:pStyle w:val="Heading1"/>
        <w:rPr>
          <w:rFonts w:cs="Times New Roman"/>
          <w:sz w:val="20"/>
          <w:szCs w:val="20"/>
        </w:rPr>
      </w:pPr>
      <w:bookmarkStart w:id="70" w:name="_Toc97281456"/>
      <w:r w:rsidRPr="0099368B">
        <w:rPr>
          <w:rStyle w:val="Hyperlink"/>
          <w:rFonts w:cs="Times New Roman"/>
          <w:color w:val="171717" w:themeColor="background2" w:themeShade="1A"/>
          <w:sz w:val="20"/>
          <w:szCs w:val="20"/>
          <w:u w:val="none"/>
        </w:rPr>
        <w:t>References</w:t>
      </w:r>
      <w:bookmarkEnd w:id="70"/>
    </w:p>
    <w:p w14:paraId="28CB21F4" w14:textId="2F2ED8D9" w:rsidR="0000797A" w:rsidRPr="00E62CBD" w:rsidRDefault="00826352" w:rsidP="0000797A">
      <w:pPr>
        <w:widowControl w:val="0"/>
        <w:autoSpaceDE w:val="0"/>
        <w:autoSpaceDN w:val="0"/>
        <w:adjustRightInd w:val="0"/>
        <w:spacing w:line="240" w:lineRule="auto"/>
        <w:ind w:left="640" w:hanging="640"/>
        <w:rPr>
          <w:rFonts w:ascii="Times New Roman" w:hAnsi="Times New Roman" w:cs="Times New Roman"/>
          <w:noProof/>
          <w:sz w:val="20"/>
          <w:szCs w:val="24"/>
          <w:lang w:val="fr-BE"/>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00797A" w:rsidRPr="0000797A">
        <w:rPr>
          <w:rFonts w:ascii="Times New Roman" w:hAnsi="Times New Roman" w:cs="Times New Roman"/>
          <w:noProof/>
          <w:sz w:val="20"/>
          <w:szCs w:val="24"/>
        </w:rPr>
        <w:t>[1]</w:t>
      </w:r>
      <w:r w:rsidR="0000797A" w:rsidRPr="0000797A">
        <w:rPr>
          <w:rFonts w:ascii="Times New Roman" w:hAnsi="Times New Roman" w:cs="Times New Roman"/>
          <w:noProof/>
          <w:sz w:val="20"/>
          <w:szCs w:val="24"/>
        </w:rPr>
        <w:tab/>
        <w:t xml:space="preserve">Liberati A, Altman DG, Tetzlaff J, Mulrow C, Gøtzsche PC, Ioannidis JPA, et al. The PRISMA statement for reporting systematic reviews and meta-analyses of studies that evaluate health care interventions: explanation and elaboration. </w:t>
      </w:r>
      <w:r w:rsidR="0000797A" w:rsidRPr="00E62CBD">
        <w:rPr>
          <w:rFonts w:ascii="Times New Roman" w:hAnsi="Times New Roman" w:cs="Times New Roman"/>
          <w:noProof/>
          <w:sz w:val="20"/>
          <w:szCs w:val="24"/>
          <w:lang w:val="fr-BE"/>
        </w:rPr>
        <w:t>J Clin Epidemiol 2009;62:e1--e34. https://doi.org/10.1016/j.jclinepi.2009.06.006.</w:t>
      </w:r>
    </w:p>
    <w:p w14:paraId="13E2519B" w14:textId="77777777" w:rsidR="0000797A" w:rsidRPr="00E62CBD"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lang w:val="fr-BE"/>
        </w:rPr>
      </w:pPr>
      <w:r w:rsidRPr="00E62CBD">
        <w:rPr>
          <w:rFonts w:ascii="Times New Roman" w:hAnsi="Times New Roman" w:cs="Times New Roman"/>
          <w:noProof/>
          <w:sz w:val="20"/>
          <w:szCs w:val="24"/>
          <w:lang w:val="fr-BE"/>
        </w:rPr>
        <w:t>[2]</w:t>
      </w:r>
      <w:r w:rsidRPr="00E62CBD">
        <w:rPr>
          <w:rFonts w:ascii="Times New Roman" w:hAnsi="Times New Roman" w:cs="Times New Roman"/>
          <w:noProof/>
          <w:sz w:val="20"/>
          <w:szCs w:val="24"/>
          <w:lang w:val="fr-BE"/>
        </w:rPr>
        <w:tab/>
        <w:t xml:space="preserve">Maurel J, López-Pousa A, De Las Peñas R, Fra J, Martín J, Cruz J, et al. </w:t>
      </w:r>
      <w:r w:rsidRPr="0000797A">
        <w:rPr>
          <w:rFonts w:ascii="Times New Roman" w:hAnsi="Times New Roman" w:cs="Times New Roman"/>
          <w:noProof/>
          <w:sz w:val="20"/>
          <w:szCs w:val="24"/>
        </w:rPr>
        <w:t xml:space="preserve">Efficacy of sequential high-dose doxorubicin and ifosfamide compared with standard-dose doxorubicin in patients with advanced soft tissue sarcoma: An open-label randomized phase II study of the Spanish group for research on sarcomas. </w:t>
      </w:r>
      <w:r w:rsidRPr="00E62CBD">
        <w:rPr>
          <w:rFonts w:ascii="Times New Roman" w:hAnsi="Times New Roman" w:cs="Times New Roman"/>
          <w:noProof/>
          <w:sz w:val="20"/>
          <w:szCs w:val="24"/>
          <w:lang w:val="fr-BE"/>
        </w:rPr>
        <w:t>J Clin Oncol 2009;27:1893–8. https://doi.org/10.1200/JCO.2008.19.2930.</w:t>
      </w:r>
    </w:p>
    <w:p w14:paraId="6C61511E"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E62CBD">
        <w:rPr>
          <w:rFonts w:ascii="Times New Roman" w:hAnsi="Times New Roman" w:cs="Times New Roman"/>
          <w:noProof/>
          <w:sz w:val="20"/>
          <w:szCs w:val="24"/>
          <w:lang w:val="fr-BE"/>
        </w:rPr>
        <w:t>[3]</w:t>
      </w:r>
      <w:r w:rsidRPr="00E62CBD">
        <w:rPr>
          <w:rFonts w:ascii="Times New Roman" w:hAnsi="Times New Roman" w:cs="Times New Roman"/>
          <w:noProof/>
          <w:sz w:val="20"/>
          <w:szCs w:val="24"/>
          <w:lang w:val="fr-BE"/>
        </w:rPr>
        <w:tab/>
        <w:t xml:space="preserve">Bui-Nguyen B, Butrynski JE, Penel N, Blay JY, Isambert N, Milhem M, et al. </w:t>
      </w:r>
      <w:r w:rsidRPr="0000797A">
        <w:rPr>
          <w:rFonts w:ascii="Times New Roman" w:hAnsi="Times New Roman" w:cs="Times New Roman"/>
          <w:noProof/>
          <w:sz w:val="20"/>
          <w:szCs w:val="24"/>
        </w:rPr>
        <w:t>A phase IIb multicentre study comparing the efficacy of trabectedin to doxorubicin in patients with advanced or metastatic untreated soft tissue sarcoma: The TRUSTS trial. Eur J Cancer 2015;51:1312–20. https://doi.org/10.1016/j.ejca.2015.03.023.</w:t>
      </w:r>
    </w:p>
    <w:p w14:paraId="6C71D35F" w14:textId="77777777" w:rsidR="0000797A" w:rsidRPr="00E62CBD"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lang w:val="fr-BE"/>
        </w:rPr>
      </w:pPr>
      <w:r w:rsidRPr="0000797A">
        <w:rPr>
          <w:rFonts w:ascii="Times New Roman" w:hAnsi="Times New Roman" w:cs="Times New Roman"/>
          <w:noProof/>
          <w:sz w:val="20"/>
          <w:szCs w:val="24"/>
        </w:rPr>
        <w:t>[4]</w:t>
      </w:r>
      <w:r w:rsidRPr="0000797A">
        <w:rPr>
          <w:rFonts w:ascii="Times New Roman" w:hAnsi="Times New Roman" w:cs="Times New Roman"/>
          <w:noProof/>
          <w:sz w:val="20"/>
          <w:szCs w:val="24"/>
        </w:rPr>
        <w:tab/>
        <w:t xml:space="preserve">Gelderblom H, Blay JY, Seddon BM, Leahy M, Ray-Coquard I, Sleijfer S, et al. Brostallicin versus doxorubicin as first-line chemotherapy in patients with advanced or metastatic soft tissue sarcoma: An European Organisation for Research and Treatment of Cancer Soft Tissue and Bone Sarcoma Group randomised phase II and pharmacogeneti. </w:t>
      </w:r>
      <w:r w:rsidRPr="00E62CBD">
        <w:rPr>
          <w:rFonts w:ascii="Times New Roman" w:hAnsi="Times New Roman" w:cs="Times New Roman"/>
          <w:noProof/>
          <w:sz w:val="20"/>
          <w:szCs w:val="24"/>
          <w:lang w:val="fr-BE"/>
        </w:rPr>
        <w:t>Eur J Cancer 2014;50:388–96. https://doi.org/10.1016/j.ejca.2013.10.002.</w:t>
      </w:r>
    </w:p>
    <w:p w14:paraId="65C6DDDE"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E62CBD">
        <w:rPr>
          <w:rFonts w:ascii="Times New Roman" w:hAnsi="Times New Roman" w:cs="Times New Roman"/>
          <w:noProof/>
          <w:sz w:val="20"/>
          <w:szCs w:val="24"/>
          <w:lang w:val="fr-BE"/>
        </w:rPr>
        <w:t>[5]</w:t>
      </w:r>
      <w:r w:rsidRPr="00E62CBD">
        <w:rPr>
          <w:rFonts w:ascii="Times New Roman" w:hAnsi="Times New Roman" w:cs="Times New Roman"/>
          <w:noProof/>
          <w:sz w:val="20"/>
          <w:szCs w:val="24"/>
          <w:lang w:val="fr-BE"/>
        </w:rPr>
        <w:tab/>
        <w:t xml:space="preserve">Kawai A, Araki N, Sugiura H, Ueda T, Yonemoto T, Takahashi M, et al. </w:t>
      </w:r>
      <w:r w:rsidRPr="0000797A">
        <w:rPr>
          <w:rFonts w:ascii="Times New Roman" w:hAnsi="Times New Roman" w:cs="Times New Roman"/>
          <w:noProof/>
          <w:sz w:val="20"/>
          <w:szCs w:val="24"/>
        </w:rPr>
        <w:t>Trabectedin monotherapy after standard chemotherapy versus best supportive care in patients with advanced, translocation-related sarcoma: A randomised, open-label, phase 2 study. Lancet Oncol 2015;16:406–16. https://doi.org/10.1016/S1470-2045(15)70098-7.</w:t>
      </w:r>
    </w:p>
    <w:p w14:paraId="193A7F51"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[6]</w:t>
      </w:r>
      <w:r w:rsidRPr="0000797A">
        <w:rPr>
          <w:rFonts w:ascii="Times New Roman" w:hAnsi="Times New Roman" w:cs="Times New Roman"/>
          <w:noProof/>
          <w:sz w:val="20"/>
          <w:szCs w:val="24"/>
        </w:rPr>
        <w:tab/>
        <w:t>Dickson MA, Tap WD, Keohan ML, D’Angelo SP, Gounder MM, Antonescu CR, et al. Phase II trial of the CDK4 inhibitor PD0332991 in patients with advanced CDK4-amplified well-differentiated or dedifferentiated liposarcoma. J Clin Oncol 2013;31:2024–8. https://doi.org/10.1200/JCO.2012.46.5476.</w:t>
      </w:r>
    </w:p>
    <w:p w14:paraId="74330EF4" w14:textId="77777777" w:rsidR="0000797A" w:rsidRPr="00E62CBD"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lang w:val="fr-BE"/>
        </w:rPr>
      </w:pPr>
      <w:r w:rsidRPr="0000797A">
        <w:rPr>
          <w:rFonts w:ascii="Times New Roman" w:hAnsi="Times New Roman" w:cs="Times New Roman"/>
          <w:noProof/>
          <w:sz w:val="20"/>
          <w:szCs w:val="24"/>
        </w:rPr>
        <w:t>[7]</w:t>
      </w:r>
      <w:r w:rsidRPr="0000797A">
        <w:rPr>
          <w:rFonts w:ascii="Times New Roman" w:hAnsi="Times New Roman" w:cs="Times New Roman"/>
          <w:noProof/>
          <w:sz w:val="20"/>
          <w:szCs w:val="24"/>
        </w:rPr>
        <w:tab/>
        <w:t xml:space="preserve">Dickson MA, Schwartz GK, Louise Keohan M, D’Angelo SP, Gounder MM, Chi P, et al. Phase 2 Trial of the CDK4 inhibitor Palbociclib (PD0332991) at 125 mg dose in Well-Differentiated or Dedifferentiated Liposarcoma. </w:t>
      </w:r>
      <w:r w:rsidRPr="00E62CBD">
        <w:rPr>
          <w:rFonts w:ascii="Times New Roman" w:hAnsi="Times New Roman" w:cs="Times New Roman"/>
          <w:noProof/>
          <w:sz w:val="20"/>
          <w:szCs w:val="24"/>
          <w:lang w:val="fr-BE"/>
        </w:rPr>
        <w:t>JAMA Oncol 2016;2:937–40. https://doi.org/10.1001/jamaoncol.2016.0264.</w:t>
      </w:r>
    </w:p>
    <w:p w14:paraId="65D1A03F"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E62CBD">
        <w:rPr>
          <w:rFonts w:ascii="Times New Roman" w:hAnsi="Times New Roman" w:cs="Times New Roman"/>
          <w:noProof/>
          <w:sz w:val="20"/>
          <w:szCs w:val="24"/>
          <w:lang w:val="fr-BE"/>
        </w:rPr>
        <w:t>[8]</w:t>
      </w:r>
      <w:r w:rsidRPr="00E62CBD">
        <w:rPr>
          <w:rFonts w:ascii="Times New Roman" w:hAnsi="Times New Roman" w:cs="Times New Roman"/>
          <w:noProof/>
          <w:sz w:val="20"/>
          <w:szCs w:val="24"/>
          <w:lang w:val="fr-BE"/>
        </w:rPr>
        <w:tab/>
        <w:t xml:space="preserve">Toulmonde M, Le Cesne A, Piperno-Neumann S, Penel N, Chevreau C, Duffaud F, et al. </w:t>
      </w:r>
      <w:r w:rsidRPr="0000797A">
        <w:rPr>
          <w:rFonts w:ascii="Times New Roman" w:hAnsi="Times New Roman" w:cs="Times New Roman"/>
          <w:noProof/>
          <w:sz w:val="20"/>
          <w:szCs w:val="24"/>
        </w:rPr>
        <w:t>Aplidin in patients with advanced dedifferentiated liposarcomas: A French Sarcoma Group Single-Arm Phase II study. Ann Oncol 2015;26:1465–70. https://doi.org/10.1093/annonc/mdv195.</w:t>
      </w:r>
    </w:p>
    <w:p w14:paraId="35FD8999"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[9]</w:t>
      </w:r>
      <w:r w:rsidRPr="0000797A">
        <w:rPr>
          <w:rFonts w:ascii="Times New Roman" w:hAnsi="Times New Roman" w:cs="Times New Roman"/>
          <w:noProof/>
          <w:sz w:val="20"/>
          <w:szCs w:val="24"/>
        </w:rPr>
        <w:tab/>
        <w:t>Samuels BL, Chawla SP, Somaiah N, Staddon AP, Skubitz KM, Milhem MM, et al. Results of a prospective phase 2 study of pazopanib in patients with advanced intermediate-grade or high-grade liposarcoma. Cancer 2017;123:4640–7. https://doi.org/10.1002/cncr.30926.</w:t>
      </w:r>
    </w:p>
    <w:p w14:paraId="5A947DF5"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[10]</w:t>
      </w:r>
      <w:r w:rsidRPr="0000797A">
        <w:rPr>
          <w:rFonts w:ascii="Times New Roman" w:hAnsi="Times New Roman" w:cs="Times New Roman"/>
          <w:noProof/>
          <w:sz w:val="20"/>
          <w:szCs w:val="24"/>
        </w:rPr>
        <w:tab/>
        <w:t>Gronchi A, Miah AB, Dei Tos AP, Abecassis N, Bajpai J, Bauer S, et al. Soft tissue and visceral sarcomas: ESMO–EURACAN–GENTURIS Clinical Practice Guidelines for diagnosis, treatment and follow-up. Ann Oncol 2021;32:1348–65. https://doi.org/10.1016/j.annonc.2021.07.006.</w:t>
      </w:r>
    </w:p>
    <w:p w14:paraId="0DB115DF"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[11]</w:t>
      </w:r>
      <w:r w:rsidRPr="0000797A">
        <w:rPr>
          <w:rFonts w:ascii="Times New Roman" w:hAnsi="Times New Roman" w:cs="Times New Roman"/>
          <w:noProof/>
          <w:sz w:val="20"/>
          <w:szCs w:val="24"/>
        </w:rPr>
        <w:tab/>
        <w:t>Blay JY, Leahy MG, Nguyen BB, Patel SR, Hohenberger P, Santoro A, et al. Randomised phase III trial of trabectedin versus doxorubicin-based chemotherapy as first-line therapy in translocation-related sarcomas. Eur J Cancer 2014;50:1137–47. https://doi.org/10.1016/j.ejca.2014.01.012.</w:t>
      </w:r>
    </w:p>
    <w:p w14:paraId="5DA0B4C5"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[12]</w:t>
      </w:r>
      <w:r w:rsidRPr="0000797A">
        <w:rPr>
          <w:rFonts w:ascii="Times New Roman" w:hAnsi="Times New Roman" w:cs="Times New Roman"/>
          <w:noProof/>
          <w:sz w:val="20"/>
          <w:szCs w:val="24"/>
        </w:rPr>
        <w:tab/>
        <w:t>Ray-Coquard I, Le Cesne A, Whelan JS, Schoffski P, Bui BN, Verweij J, et al. A Phase II Study of Gefitinib for Patients with Advanced HER-1 Expressing Synovial Sarcoma Refractory to Doxorubicin-Containing Regimens. Oncologist 2008;13:467–73. https://doi.org/10.1634/theoncologist.2008-0065.</w:t>
      </w:r>
    </w:p>
    <w:p w14:paraId="7943E293"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[13]</w:t>
      </w:r>
      <w:r w:rsidRPr="0000797A">
        <w:rPr>
          <w:rFonts w:ascii="Times New Roman" w:hAnsi="Times New Roman" w:cs="Times New Roman"/>
          <w:noProof/>
          <w:sz w:val="20"/>
          <w:szCs w:val="24"/>
        </w:rPr>
        <w:tab/>
        <w:t>Dersimonian R, Laird N. Meta-Analysis in Clinical Trials. Control Clin Trials 1986;7:177–88.</w:t>
      </w:r>
    </w:p>
    <w:p w14:paraId="3C5808A7"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lastRenderedPageBreak/>
        <w:t>[14]</w:t>
      </w:r>
      <w:r w:rsidRPr="0000797A">
        <w:rPr>
          <w:rFonts w:ascii="Times New Roman" w:hAnsi="Times New Roman" w:cs="Times New Roman"/>
          <w:noProof/>
          <w:sz w:val="20"/>
          <w:szCs w:val="24"/>
        </w:rPr>
        <w:tab/>
        <w:t>Dersimonian R, Laird N. Meta-Analysis in Clinical Trials Revisited. Contemp Clin Trials 2015;45:139–45. https://doi.org/10.1016/j.cct.2015.09.002.Meta-Analysis.</w:t>
      </w:r>
    </w:p>
    <w:p w14:paraId="1850D433"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[15]</w:t>
      </w:r>
      <w:r w:rsidRPr="0000797A">
        <w:rPr>
          <w:rFonts w:ascii="Times New Roman" w:hAnsi="Times New Roman" w:cs="Times New Roman"/>
          <w:noProof/>
          <w:sz w:val="20"/>
          <w:szCs w:val="24"/>
        </w:rPr>
        <w:tab/>
        <w:t>Borenstein M, Hedges L V., Higgins JPT, Rothstein HR. Introduction to Meta-Analysis. John Wiley &amp; Sons; 2011.</w:t>
      </w:r>
    </w:p>
    <w:p w14:paraId="6FE960B9"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[16]</w:t>
      </w:r>
      <w:r w:rsidRPr="0000797A">
        <w:rPr>
          <w:rFonts w:ascii="Times New Roman" w:hAnsi="Times New Roman" w:cs="Times New Roman"/>
          <w:noProof/>
          <w:sz w:val="20"/>
          <w:szCs w:val="24"/>
        </w:rPr>
        <w:tab/>
        <w:t>Viechtbauer W, Cheung MW-L. Outlier and influence diagnostics for meta-analysis. Res Synth Methods 2010;1:112–25. https://doi.org/10.1002/jrsm.11.</w:t>
      </w:r>
    </w:p>
    <w:p w14:paraId="67307BE3"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[17]</w:t>
      </w:r>
      <w:r w:rsidRPr="0000797A">
        <w:rPr>
          <w:rFonts w:ascii="Times New Roman" w:hAnsi="Times New Roman" w:cs="Times New Roman"/>
          <w:noProof/>
          <w:sz w:val="20"/>
          <w:szCs w:val="24"/>
        </w:rPr>
        <w:tab/>
        <w:t>Baujat B, Mahé C, Pignon JP, Hill C. A graphical method for exploring heterogeneity in meta-analyses: Application to a meta-analysis of 65 trials. Stat Med 2002;21:2641–52. https://doi.org/10.1002/sim.1221.</w:t>
      </w:r>
    </w:p>
    <w:p w14:paraId="4A0D95D8"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[18]</w:t>
      </w:r>
      <w:r w:rsidRPr="0000797A">
        <w:rPr>
          <w:rFonts w:ascii="Times New Roman" w:hAnsi="Times New Roman" w:cs="Times New Roman"/>
          <w:noProof/>
          <w:sz w:val="20"/>
          <w:szCs w:val="24"/>
        </w:rPr>
        <w:tab/>
        <w:t>Sterne JAC, Egger M. Funnel plots for detecting bias in meta-analysis: Guidelines on choice of axis. J Clin Epidemiol 2001;54:1046–55. https://doi.org/10.1016/S0895-4356(01)00377-8.</w:t>
      </w:r>
    </w:p>
    <w:p w14:paraId="063A6C45"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[19]</w:t>
      </w:r>
      <w:r w:rsidRPr="0000797A">
        <w:rPr>
          <w:rFonts w:ascii="Times New Roman" w:hAnsi="Times New Roman" w:cs="Times New Roman"/>
          <w:noProof/>
          <w:sz w:val="20"/>
          <w:szCs w:val="24"/>
        </w:rPr>
        <w:tab/>
        <w:t>Peters JL, Sutton AJ, Jones DR, Abrams KR, Rushton L. Contour-enhanced meta-analysis funnel plots help distinguish publication bias from other causes of asymmetry. J Clin Epidemiol 2008;61:991–6. https://doi.org/10.1016/j.jclinepi.2007.11.010.</w:t>
      </w:r>
    </w:p>
    <w:p w14:paraId="0A583CA8"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[20]</w:t>
      </w:r>
      <w:r w:rsidRPr="0000797A">
        <w:rPr>
          <w:rFonts w:ascii="Times New Roman" w:hAnsi="Times New Roman" w:cs="Times New Roman"/>
          <w:noProof/>
          <w:sz w:val="20"/>
          <w:szCs w:val="24"/>
        </w:rPr>
        <w:tab/>
        <w:t>Begg CB, Mazumdar M. Operating Characteristics of a Rank Correlation Test for Publication Bias. Biometrics 1994;50:1088–101. https://doi.org/10.2307/2533446.</w:t>
      </w:r>
    </w:p>
    <w:p w14:paraId="761BA53C"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[21]</w:t>
      </w:r>
      <w:r w:rsidRPr="0000797A">
        <w:rPr>
          <w:rFonts w:ascii="Times New Roman" w:hAnsi="Times New Roman" w:cs="Times New Roman"/>
          <w:noProof/>
          <w:sz w:val="20"/>
          <w:szCs w:val="24"/>
        </w:rPr>
        <w:tab/>
        <w:t>Egger M, Smith GD, Schneider M, Minder C. Bias in meta-analysis detected by a simple, graphical test measures of funnel plot asymmetry. BMJ 1997;315:629–34. https://doi.org/10.1136/bmj.315.7109.629.</w:t>
      </w:r>
    </w:p>
    <w:p w14:paraId="1D9EF572"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[22]</w:t>
      </w:r>
      <w:r w:rsidRPr="0000797A">
        <w:rPr>
          <w:rFonts w:ascii="Times New Roman" w:hAnsi="Times New Roman" w:cs="Times New Roman"/>
          <w:noProof/>
          <w:sz w:val="20"/>
          <w:szCs w:val="24"/>
        </w:rPr>
        <w:tab/>
        <w:t>Wang N. How to Conduct a Meta-Analysis of Proportions in R : A Comprehensive Tutorial Conducting Meta-Analyses of Proportions in R. John Jay Coll Crim Justice 2018;1:1–62. https://doi.org/10.13140/RG.2.2.27199.00161.</w:t>
      </w:r>
    </w:p>
    <w:p w14:paraId="763AD99F"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[23]</w:t>
      </w:r>
      <w:r w:rsidRPr="0000797A">
        <w:rPr>
          <w:rFonts w:ascii="Times New Roman" w:hAnsi="Times New Roman" w:cs="Times New Roman"/>
          <w:noProof/>
          <w:sz w:val="20"/>
          <w:szCs w:val="24"/>
        </w:rPr>
        <w:tab/>
        <w:t>Sahai H, Ageel MI. The analysis of variance : fixed, random, and mixed models. Springer Science and Business Media; 2012. https://doi.org/https://doi.org/10.1007/978-1-4612-1344-4.</w:t>
      </w:r>
    </w:p>
    <w:p w14:paraId="4ABBA657"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[24]</w:t>
      </w:r>
      <w:r w:rsidRPr="0000797A">
        <w:rPr>
          <w:rFonts w:ascii="Times New Roman" w:hAnsi="Times New Roman" w:cs="Times New Roman"/>
          <w:noProof/>
          <w:sz w:val="20"/>
          <w:szCs w:val="24"/>
        </w:rPr>
        <w:tab/>
        <w:t>Miller JJ. The inverse of the freeman-tukey double arcsine transformation. Am Stat 1978;32:138–138. https://doi.org/10.1080/00031305.1978.10479283.</w:t>
      </w:r>
    </w:p>
    <w:p w14:paraId="1BE941EE"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[25]</w:t>
      </w:r>
      <w:r w:rsidRPr="0000797A">
        <w:rPr>
          <w:rFonts w:ascii="Times New Roman" w:hAnsi="Times New Roman" w:cs="Times New Roman"/>
          <w:noProof/>
          <w:sz w:val="20"/>
          <w:szCs w:val="24"/>
        </w:rPr>
        <w:tab/>
        <w:t>Schöffski P, Adkins D, Blay JY, Gil T, Elias AD, Rutkowski P, et al. An open-label, phase 2 study evaluating the efficacy and safety of the anti-IGF-1R antibody cixutumumab in patients with previously treated advanced or metastatic soft-tissue sarcoma or Ewing family of tumours. Eur J Cancer 2013;49:3219–28. https://doi.org/10.1016/j.ejca.2013.06.010.</w:t>
      </w:r>
    </w:p>
    <w:p w14:paraId="5E9317A2"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[26]</w:t>
      </w:r>
      <w:r w:rsidRPr="0000797A">
        <w:rPr>
          <w:rFonts w:ascii="Times New Roman" w:hAnsi="Times New Roman" w:cs="Times New Roman"/>
          <w:noProof/>
          <w:sz w:val="20"/>
          <w:szCs w:val="24"/>
        </w:rPr>
        <w:tab/>
        <w:t>Chawla SP, Staddon AP, Baker LH, Schuetze SM, Tolcher AW, D’Amato GZ, et al. Phase II study of the mammalian target of rapamycin inhibitor ridaforolimus in patients with advanced bone and soft tissue sarcomas. J Clin Oncol 2012;30:78–84. https://doi.org/10.1200/JCO.2011.35.6329.</w:t>
      </w:r>
    </w:p>
    <w:p w14:paraId="4BFE8954"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[27]</w:t>
      </w:r>
      <w:r w:rsidRPr="0000797A">
        <w:rPr>
          <w:rFonts w:ascii="Times New Roman" w:hAnsi="Times New Roman" w:cs="Times New Roman"/>
          <w:noProof/>
          <w:sz w:val="20"/>
          <w:szCs w:val="24"/>
        </w:rPr>
        <w:tab/>
        <w:t>Schuetze SM, Wathen JK, Lucas DR, Choy E, Samuels BL, Staddon AP, et al. SARC009: Phase 2 study of dasatinib in patients with previously treated, high-grade, advanced sarcoma. Cancer 2016;122:868–74. https://doi.org/10.1002/cncr.29858.</w:t>
      </w:r>
    </w:p>
    <w:p w14:paraId="7EE72F6F"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[28]</w:t>
      </w:r>
      <w:r w:rsidRPr="0000797A">
        <w:rPr>
          <w:rFonts w:ascii="Times New Roman" w:hAnsi="Times New Roman" w:cs="Times New Roman"/>
          <w:noProof/>
          <w:sz w:val="20"/>
          <w:szCs w:val="24"/>
        </w:rPr>
        <w:tab/>
        <w:t>Judson I, Verweij J, Gelderblom H, Hartmann JT, Schöffski P, Blay JY, et al. Doxorubicin alone versus intensified doxorubicin plus ifosfamide for first-line treatment of advanced or metastatic soft-tissue sarcoma: A randomised controlled phase 3 trial. Lancet Oncol 2014;15:415–23. https://doi.org/10.1016/S1470-2045(14)70063-4.</w:t>
      </w:r>
    </w:p>
    <w:p w14:paraId="06139FF3" w14:textId="77777777" w:rsidR="0000797A" w:rsidRPr="00E62CBD"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lang w:val="fr-BE"/>
        </w:rPr>
      </w:pPr>
      <w:r w:rsidRPr="0000797A">
        <w:rPr>
          <w:rFonts w:ascii="Times New Roman" w:hAnsi="Times New Roman" w:cs="Times New Roman"/>
          <w:noProof/>
          <w:sz w:val="20"/>
          <w:szCs w:val="24"/>
        </w:rPr>
        <w:t>[29]</w:t>
      </w:r>
      <w:r w:rsidRPr="0000797A">
        <w:rPr>
          <w:rFonts w:ascii="Times New Roman" w:hAnsi="Times New Roman" w:cs="Times New Roman"/>
          <w:noProof/>
          <w:sz w:val="20"/>
          <w:szCs w:val="24"/>
        </w:rPr>
        <w:tab/>
        <w:t xml:space="preserve">Van Der Graaf WTA, Blay JY, Chawla SP, Kim DW, Bui-Nguyen B, Casali PG, et al. Pazopanib for metastatic soft-tissue sarcoma (PALETTE): A randomised, double-blind, placebo-controlled phase 3 trial. </w:t>
      </w:r>
      <w:r w:rsidRPr="00E62CBD">
        <w:rPr>
          <w:rFonts w:ascii="Times New Roman" w:hAnsi="Times New Roman" w:cs="Times New Roman"/>
          <w:noProof/>
          <w:sz w:val="20"/>
          <w:szCs w:val="24"/>
          <w:lang w:val="fr-BE"/>
        </w:rPr>
        <w:t>Lancet 2012;379:1879–86. https://doi.org/10.1016/S0140-6736(12)60651-5.</w:t>
      </w:r>
    </w:p>
    <w:p w14:paraId="39EBF309"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E62CBD">
        <w:rPr>
          <w:rFonts w:ascii="Times New Roman" w:hAnsi="Times New Roman" w:cs="Times New Roman"/>
          <w:noProof/>
          <w:sz w:val="20"/>
          <w:szCs w:val="24"/>
          <w:lang w:val="fr-BE"/>
        </w:rPr>
        <w:t>[30]</w:t>
      </w:r>
      <w:r w:rsidRPr="00E62CBD">
        <w:rPr>
          <w:rFonts w:ascii="Times New Roman" w:hAnsi="Times New Roman" w:cs="Times New Roman"/>
          <w:noProof/>
          <w:sz w:val="20"/>
          <w:szCs w:val="24"/>
          <w:lang w:val="fr-BE"/>
        </w:rPr>
        <w:tab/>
        <w:t xml:space="preserve">Mir O, Brodowicz T, Italiano A, Wallet J, Blay JY, Bertucci F, et al. </w:t>
      </w:r>
      <w:r w:rsidRPr="0000797A">
        <w:rPr>
          <w:rFonts w:ascii="Times New Roman" w:hAnsi="Times New Roman" w:cs="Times New Roman"/>
          <w:noProof/>
          <w:sz w:val="20"/>
          <w:szCs w:val="24"/>
        </w:rPr>
        <w:t>Safety and efficacy of regorafenib in patients with advanced soft tissue sarcoma (REGOSARC): a randomised, double-blind, placebo-controlled, phase 2 trial. Lancet Oncol 2016;17:1732–42. https://doi.org/10.1016/S1470-2045(16)30507-1.</w:t>
      </w:r>
    </w:p>
    <w:p w14:paraId="2BD77E3B"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szCs w:val="24"/>
        </w:rPr>
      </w:pPr>
      <w:r w:rsidRPr="0000797A">
        <w:rPr>
          <w:rFonts w:ascii="Times New Roman" w:hAnsi="Times New Roman" w:cs="Times New Roman"/>
          <w:noProof/>
          <w:sz w:val="20"/>
          <w:szCs w:val="24"/>
        </w:rPr>
        <w:t>[31]</w:t>
      </w:r>
      <w:r w:rsidRPr="0000797A">
        <w:rPr>
          <w:rFonts w:ascii="Times New Roman" w:hAnsi="Times New Roman" w:cs="Times New Roman"/>
          <w:noProof/>
          <w:sz w:val="20"/>
          <w:szCs w:val="24"/>
        </w:rPr>
        <w:tab/>
        <w:t xml:space="preserve">Robbins PF, Kassim SH, Tran TLN, Crystal JS, Morgan RA, Feldman SA, et al. A pilot trial using lymphocytes genetically engineered with an NY-ESO-1-reactive T-cell receptor: Long-term follow-up </w:t>
      </w:r>
      <w:r w:rsidRPr="0000797A">
        <w:rPr>
          <w:rFonts w:ascii="Times New Roman" w:hAnsi="Times New Roman" w:cs="Times New Roman"/>
          <w:noProof/>
          <w:sz w:val="20"/>
          <w:szCs w:val="24"/>
        </w:rPr>
        <w:lastRenderedPageBreak/>
        <w:t>and correlates with response. Clin Cancer Res 2015;21:1019–27. https://doi.org/10.1158/1078-0432.CCR-14-2708.</w:t>
      </w:r>
    </w:p>
    <w:p w14:paraId="05126EBC" w14:textId="77777777" w:rsidR="0000797A" w:rsidRPr="0000797A" w:rsidRDefault="0000797A" w:rsidP="0000797A">
      <w:pPr>
        <w:widowControl w:val="0"/>
        <w:autoSpaceDE w:val="0"/>
        <w:autoSpaceDN w:val="0"/>
        <w:adjustRightInd w:val="0"/>
        <w:spacing w:line="240" w:lineRule="auto"/>
        <w:ind w:left="640" w:hanging="640"/>
        <w:rPr>
          <w:rFonts w:ascii="Times New Roman" w:hAnsi="Times New Roman" w:cs="Times New Roman"/>
          <w:noProof/>
          <w:sz w:val="20"/>
        </w:rPr>
      </w:pPr>
      <w:r w:rsidRPr="0000797A">
        <w:rPr>
          <w:rFonts w:ascii="Times New Roman" w:hAnsi="Times New Roman" w:cs="Times New Roman"/>
          <w:noProof/>
          <w:sz w:val="20"/>
          <w:szCs w:val="24"/>
        </w:rPr>
        <w:t>[32]</w:t>
      </w:r>
      <w:r w:rsidRPr="0000797A">
        <w:rPr>
          <w:rFonts w:ascii="Times New Roman" w:hAnsi="Times New Roman" w:cs="Times New Roman"/>
          <w:noProof/>
          <w:sz w:val="20"/>
          <w:szCs w:val="24"/>
        </w:rPr>
        <w:tab/>
        <w:t>Chugh R, Wathen JK, Maki RG, Benjamin RS, Patel SR, Myers PA, et al. Phase II multicenter trial of imatinib in 10 histologic subtypes of sarcoma using a bayesian hierarchical statistical model. J Clin Oncol 2009;27:3148–53. https://doi.org/10.1200/JCO.2008.20.5054.</w:t>
      </w:r>
    </w:p>
    <w:p w14:paraId="5E4FED33" w14:textId="41FF01DB" w:rsidR="0099123F" w:rsidRPr="0099368B" w:rsidRDefault="00826352" w:rsidP="0099123F">
      <w:pPr>
        <w:rPr>
          <w:rFonts w:ascii="Times New Roman" w:hAnsi="Times New Roman" w:cs="Times New Roman"/>
          <w:sz w:val="20"/>
          <w:szCs w:val="20"/>
        </w:rPr>
      </w:pPr>
      <w:r>
        <w:rPr>
          <w:rFonts w:ascii="Times New Roman" w:hAnsi="Times New Roman" w:cs="Times New Roman"/>
          <w:sz w:val="20"/>
          <w:szCs w:val="20"/>
        </w:rPr>
        <w:fldChar w:fldCharType="end"/>
      </w:r>
    </w:p>
    <w:p w14:paraId="58029443" w14:textId="15FA0EF1" w:rsidR="00BF0A1A" w:rsidRPr="003F5CA5" w:rsidRDefault="00BF0A1A" w:rsidP="003F5CA5">
      <w:pPr>
        <w:rPr>
          <w:sz w:val="24"/>
          <w:szCs w:val="24"/>
          <w:lang w:val="en-US"/>
        </w:rPr>
      </w:pPr>
    </w:p>
    <w:sectPr w:rsidR="00BF0A1A" w:rsidRPr="003F5CA5" w:rsidSect="007C6F2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579D7" w14:textId="77777777" w:rsidR="00352035" w:rsidRDefault="00352035" w:rsidP="00F240F0">
      <w:pPr>
        <w:spacing w:after="0" w:line="240" w:lineRule="auto"/>
      </w:pPr>
      <w:r>
        <w:separator/>
      </w:r>
    </w:p>
  </w:endnote>
  <w:endnote w:type="continuationSeparator" w:id="0">
    <w:p w14:paraId="3B76B0A7" w14:textId="77777777" w:rsidR="00352035" w:rsidRDefault="00352035" w:rsidP="00F24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634625"/>
      <w:docPartObj>
        <w:docPartGallery w:val="Page Numbers (Bottom of Page)"/>
        <w:docPartUnique/>
      </w:docPartObj>
    </w:sdtPr>
    <w:sdtEndPr/>
    <w:sdtContent>
      <w:p w14:paraId="530642BF" w14:textId="6C150CA1" w:rsidR="00AE1FA6" w:rsidRDefault="00AE1FA6">
        <w:pPr>
          <w:pStyle w:val="Footer"/>
          <w:jc w:val="center"/>
        </w:pPr>
        <w:r>
          <w:fldChar w:fldCharType="begin"/>
        </w:r>
        <w:r>
          <w:instrText>PAGE   \* MERGEFORMAT</w:instrText>
        </w:r>
        <w:r>
          <w:fldChar w:fldCharType="separate"/>
        </w:r>
        <w:r w:rsidR="006A0D24" w:rsidRPr="006A0D24">
          <w:rPr>
            <w:noProof/>
            <w:lang w:val="nl-NL"/>
          </w:rPr>
          <w:t>21</w:t>
        </w:r>
        <w:r>
          <w:fldChar w:fldCharType="end"/>
        </w:r>
      </w:p>
    </w:sdtContent>
  </w:sdt>
  <w:p w14:paraId="79DBDFAF" w14:textId="77777777" w:rsidR="00AE1FA6" w:rsidRDefault="00AE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167DD" w14:textId="77777777" w:rsidR="00352035" w:rsidRDefault="00352035" w:rsidP="00F240F0">
      <w:pPr>
        <w:spacing w:after="0" w:line="240" w:lineRule="auto"/>
      </w:pPr>
      <w:r>
        <w:separator/>
      </w:r>
    </w:p>
  </w:footnote>
  <w:footnote w:type="continuationSeparator" w:id="0">
    <w:p w14:paraId="38DBA0C5" w14:textId="77777777" w:rsidR="00352035" w:rsidRDefault="00352035" w:rsidP="00F24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065A"/>
    <w:multiLevelType w:val="hybridMultilevel"/>
    <w:tmpl w:val="B93E03A6"/>
    <w:lvl w:ilvl="0" w:tplc="5D64365C">
      <w:start w:val="1"/>
      <w:numFmt w:val="lowerLetter"/>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E615F"/>
    <w:multiLevelType w:val="hybridMultilevel"/>
    <w:tmpl w:val="4BF69B70"/>
    <w:lvl w:ilvl="0" w:tplc="6A0A7C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0116F"/>
    <w:multiLevelType w:val="hybridMultilevel"/>
    <w:tmpl w:val="A3D6DD40"/>
    <w:lvl w:ilvl="0" w:tplc="FA763AE4">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011BF2"/>
    <w:multiLevelType w:val="hybridMultilevel"/>
    <w:tmpl w:val="C9229FB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176FE"/>
    <w:multiLevelType w:val="hybridMultilevel"/>
    <w:tmpl w:val="CBBEEB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D80891"/>
    <w:multiLevelType w:val="singleLevel"/>
    <w:tmpl w:val="BC2A4702"/>
    <w:lvl w:ilvl="0">
      <w:start w:val="1"/>
      <w:numFmt w:val="bullet"/>
      <w:pStyle w:val="guidelineslist"/>
      <w:lvlText w:val=""/>
      <w:lvlJc w:val="left"/>
      <w:pPr>
        <w:tabs>
          <w:tab w:val="num" w:pos="360"/>
        </w:tabs>
        <w:ind w:left="360" w:hanging="360"/>
      </w:pPr>
      <w:rPr>
        <w:rFonts w:ascii="Symbol" w:hAnsi="Symbol" w:hint="default"/>
      </w:rPr>
    </w:lvl>
  </w:abstractNum>
  <w:abstractNum w:abstractNumId="6" w15:restartNumberingAfterBreak="0">
    <w:nsid w:val="35FC435B"/>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7917B7D"/>
    <w:multiLevelType w:val="hybridMultilevel"/>
    <w:tmpl w:val="D716F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CE2CD8"/>
    <w:multiLevelType w:val="hybridMultilevel"/>
    <w:tmpl w:val="CBAC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E32A50"/>
    <w:multiLevelType w:val="hybridMultilevel"/>
    <w:tmpl w:val="C3E0009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5A63DAA"/>
    <w:multiLevelType w:val="hybridMultilevel"/>
    <w:tmpl w:val="A72A7A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661388D"/>
    <w:multiLevelType w:val="hybridMultilevel"/>
    <w:tmpl w:val="ACB2B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AF2D20"/>
    <w:multiLevelType w:val="hybridMultilevel"/>
    <w:tmpl w:val="61A6BA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573362"/>
    <w:multiLevelType w:val="hybridMultilevel"/>
    <w:tmpl w:val="A398AE88"/>
    <w:lvl w:ilvl="0" w:tplc="BA6A2D5E">
      <w:start w:val="1"/>
      <w:numFmt w:val="bullet"/>
      <w:pStyle w:val="SubtleReferenc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108ED"/>
    <w:multiLevelType w:val="hybridMultilevel"/>
    <w:tmpl w:val="3B92B792"/>
    <w:lvl w:ilvl="0" w:tplc="B590F5DA">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64B671B7"/>
    <w:multiLevelType w:val="multilevel"/>
    <w:tmpl w:val="29503742"/>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2127"/>
        </w:tabs>
        <w:ind w:left="2127" w:hanging="1134"/>
      </w:pPr>
    </w:lvl>
    <w:lvl w:ilvl="3">
      <w:start w:val="1"/>
      <w:numFmt w:val="decimal"/>
      <w:lvlText w:val="%1.%2.%3.%4"/>
      <w:lvlJc w:val="left"/>
      <w:pPr>
        <w:tabs>
          <w:tab w:val="num" w:pos="1418"/>
        </w:tabs>
        <w:ind w:left="1418" w:hanging="1418"/>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2268"/>
        </w:tabs>
        <w:ind w:left="2268" w:hanging="2268"/>
      </w:pPr>
    </w:lvl>
    <w:lvl w:ilvl="7">
      <w:start w:val="1"/>
      <w:numFmt w:val="decimal"/>
      <w:lvlText w:val="%1.%2.%3.%4.%5.%6.%7.%8"/>
      <w:lvlJc w:val="left"/>
      <w:pPr>
        <w:tabs>
          <w:tab w:val="num" w:pos="2880"/>
        </w:tabs>
        <w:ind w:left="2552" w:hanging="2552"/>
      </w:pPr>
    </w:lvl>
    <w:lvl w:ilvl="8">
      <w:start w:val="1"/>
      <w:numFmt w:val="decimal"/>
      <w:lvlText w:val="%1.%2.%3.%4.%5.%6.%7.%8.%9"/>
      <w:lvlJc w:val="left"/>
      <w:pPr>
        <w:tabs>
          <w:tab w:val="num" w:pos="3240"/>
        </w:tabs>
        <w:ind w:left="2835" w:hanging="2835"/>
      </w:pPr>
    </w:lvl>
  </w:abstractNum>
  <w:abstractNum w:abstractNumId="16" w15:restartNumberingAfterBreak="0">
    <w:nsid w:val="69BB6B5F"/>
    <w:multiLevelType w:val="hybridMultilevel"/>
    <w:tmpl w:val="CE9E1C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B1C6C64"/>
    <w:multiLevelType w:val="hybridMultilevel"/>
    <w:tmpl w:val="34028C0C"/>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C0CE21EE">
      <w:numFmt w:val="bullet"/>
      <w:lvlText w:val=""/>
      <w:lvlJc w:val="left"/>
      <w:pPr>
        <w:ind w:left="1980" w:hanging="360"/>
      </w:pPr>
      <w:rPr>
        <w:rFonts w:ascii="Symbol" w:eastAsiaTheme="minorHAnsi" w:hAnsi="Symbol" w:cs="Arial" w:hint="default"/>
      </w:rPr>
    </w:lvl>
    <w:lvl w:ilvl="3" w:tplc="17546FDE">
      <w:start w:val="1"/>
      <w:numFmt w:val="lowerLetter"/>
      <w:lvlText w:val="%4)"/>
      <w:lvlJc w:val="left"/>
      <w:pPr>
        <w:ind w:left="2520" w:hanging="360"/>
      </w:pPr>
      <w:rPr>
        <w:rFonts w:ascii="Arial" w:eastAsiaTheme="minorHAnsi" w:hAnsi="Arial" w:cs="Arial"/>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73F719DD"/>
    <w:multiLevelType w:val="hybridMultilevel"/>
    <w:tmpl w:val="639A6F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53A0B33"/>
    <w:multiLevelType w:val="singleLevel"/>
    <w:tmpl w:val="25048A94"/>
    <w:lvl w:ilvl="0">
      <w:start w:val="1"/>
      <w:numFmt w:val="bullet"/>
      <w:pStyle w:val="guidelines"/>
      <w:lvlText w:val=""/>
      <w:lvlJc w:val="left"/>
      <w:pPr>
        <w:tabs>
          <w:tab w:val="num" w:pos="360"/>
        </w:tabs>
        <w:ind w:left="360" w:hanging="360"/>
      </w:pPr>
      <w:rPr>
        <w:rFonts w:ascii="Wingdings" w:hAnsi="Wingdings" w:hint="default"/>
      </w:rPr>
    </w:lvl>
  </w:abstractNum>
  <w:num w:numId="1">
    <w:abstractNumId w:val="11"/>
  </w:num>
  <w:num w:numId="2">
    <w:abstractNumId w:val="16"/>
  </w:num>
  <w:num w:numId="3">
    <w:abstractNumId w:val="6"/>
  </w:num>
  <w:num w:numId="4">
    <w:abstractNumId w:val="2"/>
  </w:num>
  <w:num w:numId="5">
    <w:abstractNumId w:val="17"/>
  </w:num>
  <w:num w:numId="6">
    <w:abstractNumId w:val="0"/>
  </w:num>
  <w:num w:numId="7">
    <w:abstractNumId w:val="1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5"/>
  </w:num>
  <w:num w:numId="12">
    <w:abstractNumId w:val="19"/>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 w:numId="16">
    <w:abstractNumId w:val="18"/>
  </w:num>
  <w:num w:numId="17">
    <w:abstractNumId w:val="7"/>
  </w:num>
  <w:num w:numId="18">
    <w:abstractNumId w:val="12"/>
  </w:num>
  <w:num w:numId="19">
    <w:abstractNumId w:val="4"/>
  </w:num>
  <w:num w:numId="20">
    <w:abstractNumId w:val="10"/>
  </w:num>
  <w:num w:numId="21">
    <w:abstractNumId w:val="14"/>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BE" w:vendorID="64" w:dllVersion="4096" w:nlCheck="1" w:checkStyle="0"/>
  <w:activeWritingStyle w:appName="MSWord" w:lang="nl-NL" w:vendorID="64" w:dllVersion="4096" w:nlCheck="1" w:checkStyle="0"/>
  <w:activeWritingStyle w:appName="MSWord" w:lang="en-GB" w:vendorID="64" w:dllVersion="0" w:nlCheck="1" w:checkStyle="0"/>
  <w:activeWritingStyle w:appName="MSWord" w:lang="en-US"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B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A1"/>
    <w:rsid w:val="00001877"/>
    <w:rsid w:val="00002CA8"/>
    <w:rsid w:val="0000635C"/>
    <w:rsid w:val="00006C52"/>
    <w:rsid w:val="0000797A"/>
    <w:rsid w:val="000106B6"/>
    <w:rsid w:val="00013CD9"/>
    <w:rsid w:val="000158A6"/>
    <w:rsid w:val="00017210"/>
    <w:rsid w:val="0002072F"/>
    <w:rsid w:val="00030BEA"/>
    <w:rsid w:val="00030CC5"/>
    <w:rsid w:val="00032C02"/>
    <w:rsid w:val="00034475"/>
    <w:rsid w:val="00044CA4"/>
    <w:rsid w:val="00047B89"/>
    <w:rsid w:val="00061B17"/>
    <w:rsid w:val="0006468D"/>
    <w:rsid w:val="00065FA8"/>
    <w:rsid w:val="00075D17"/>
    <w:rsid w:val="00080564"/>
    <w:rsid w:val="00085C23"/>
    <w:rsid w:val="00090CE9"/>
    <w:rsid w:val="00091CD5"/>
    <w:rsid w:val="000967AA"/>
    <w:rsid w:val="000970EC"/>
    <w:rsid w:val="000A3F7D"/>
    <w:rsid w:val="000B0498"/>
    <w:rsid w:val="000B0603"/>
    <w:rsid w:val="000B6028"/>
    <w:rsid w:val="000D297B"/>
    <w:rsid w:val="000F09C9"/>
    <w:rsid w:val="000F30FF"/>
    <w:rsid w:val="0011225D"/>
    <w:rsid w:val="001160C0"/>
    <w:rsid w:val="001177F3"/>
    <w:rsid w:val="0012001A"/>
    <w:rsid w:val="0012223C"/>
    <w:rsid w:val="00125DA5"/>
    <w:rsid w:val="001261D4"/>
    <w:rsid w:val="00134EB5"/>
    <w:rsid w:val="00135B10"/>
    <w:rsid w:val="001438C5"/>
    <w:rsid w:val="001463E3"/>
    <w:rsid w:val="001510C9"/>
    <w:rsid w:val="001575AE"/>
    <w:rsid w:val="00175B05"/>
    <w:rsid w:val="001813FE"/>
    <w:rsid w:val="00190C53"/>
    <w:rsid w:val="00192605"/>
    <w:rsid w:val="001A08A0"/>
    <w:rsid w:val="001B288F"/>
    <w:rsid w:val="001B6C12"/>
    <w:rsid w:val="001E1E2E"/>
    <w:rsid w:val="001E1E5A"/>
    <w:rsid w:val="001F6677"/>
    <w:rsid w:val="00201BEF"/>
    <w:rsid w:val="00204DFA"/>
    <w:rsid w:val="002122A3"/>
    <w:rsid w:val="00221C33"/>
    <w:rsid w:val="00226D2E"/>
    <w:rsid w:val="00237D5A"/>
    <w:rsid w:val="00246364"/>
    <w:rsid w:val="00247779"/>
    <w:rsid w:val="00263B88"/>
    <w:rsid w:val="002654E4"/>
    <w:rsid w:val="002806E0"/>
    <w:rsid w:val="00281D43"/>
    <w:rsid w:val="00282B34"/>
    <w:rsid w:val="00283A6A"/>
    <w:rsid w:val="0029752E"/>
    <w:rsid w:val="002A3013"/>
    <w:rsid w:val="002A3AA5"/>
    <w:rsid w:val="002A69DE"/>
    <w:rsid w:val="002A7C78"/>
    <w:rsid w:val="002D0C23"/>
    <w:rsid w:val="002D33B4"/>
    <w:rsid w:val="002E477D"/>
    <w:rsid w:val="002E69A6"/>
    <w:rsid w:val="002F1F8E"/>
    <w:rsid w:val="002F20AC"/>
    <w:rsid w:val="002F6DCC"/>
    <w:rsid w:val="003054EF"/>
    <w:rsid w:val="0030598F"/>
    <w:rsid w:val="00307CDA"/>
    <w:rsid w:val="00313688"/>
    <w:rsid w:val="003274D8"/>
    <w:rsid w:val="003313F2"/>
    <w:rsid w:val="00335991"/>
    <w:rsid w:val="0034435F"/>
    <w:rsid w:val="00344BE9"/>
    <w:rsid w:val="00350416"/>
    <w:rsid w:val="00352035"/>
    <w:rsid w:val="003545DA"/>
    <w:rsid w:val="003545E9"/>
    <w:rsid w:val="00357D3D"/>
    <w:rsid w:val="00370E42"/>
    <w:rsid w:val="0037787D"/>
    <w:rsid w:val="003831FD"/>
    <w:rsid w:val="003A2B06"/>
    <w:rsid w:val="003B3C07"/>
    <w:rsid w:val="003C5319"/>
    <w:rsid w:val="003C59C4"/>
    <w:rsid w:val="003D37B0"/>
    <w:rsid w:val="003D47E5"/>
    <w:rsid w:val="003D6B72"/>
    <w:rsid w:val="003D6F0D"/>
    <w:rsid w:val="003F4EC8"/>
    <w:rsid w:val="003F5CA5"/>
    <w:rsid w:val="00400C30"/>
    <w:rsid w:val="0040272B"/>
    <w:rsid w:val="00403EA1"/>
    <w:rsid w:val="0040620C"/>
    <w:rsid w:val="00407330"/>
    <w:rsid w:val="00410DA8"/>
    <w:rsid w:val="00415227"/>
    <w:rsid w:val="00422C6D"/>
    <w:rsid w:val="00435701"/>
    <w:rsid w:val="00443232"/>
    <w:rsid w:val="004538C6"/>
    <w:rsid w:val="00456715"/>
    <w:rsid w:val="004715E6"/>
    <w:rsid w:val="00475327"/>
    <w:rsid w:val="004811AC"/>
    <w:rsid w:val="004864BA"/>
    <w:rsid w:val="004A16AB"/>
    <w:rsid w:val="004A1CD5"/>
    <w:rsid w:val="004A3872"/>
    <w:rsid w:val="004A7A08"/>
    <w:rsid w:val="004B063E"/>
    <w:rsid w:val="004B39FA"/>
    <w:rsid w:val="004D2013"/>
    <w:rsid w:val="004D42EC"/>
    <w:rsid w:val="004E4B7C"/>
    <w:rsid w:val="004E4FED"/>
    <w:rsid w:val="004E5FB8"/>
    <w:rsid w:val="004F2BEB"/>
    <w:rsid w:val="00500676"/>
    <w:rsid w:val="00510630"/>
    <w:rsid w:val="00516667"/>
    <w:rsid w:val="005244D6"/>
    <w:rsid w:val="00525BFD"/>
    <w:rsid w:val="00527D39"/>
    <w:rsid w:val="0054066E"/>
    <w:rsid w:val="0054287F"/>
    <w:rsid w:val="005432CA"/>
    <w:rsid w:val="005449FB"/>
    <w:rsid w:val="00553DE3"/>
    <w:rsid w:val="00561B28"/>
    <w:rsid w:val="00562CFB"/>
    <w:rsid w:val="00574024"/>
    <w:rsid w:val="00583051"/>
    <w:rsid w:val="00585129"/>
    <w:rsid w:val="00590483"/>
    <w:rsid w:val="00596B1D"/>
    <w:rsid w:val="005B617B"/>
    <w:rsid w:val="005C108A"/>
    <w:rsid w:val="005C6E09"/>
    <w:rsid w:val="005C77F2"/>
    <w:rsid w:val="005D0195"/>
    <w:rsid w:val="005E1FD1"/>
    <w:rsid w:val="006009C8"/>
    <w:rsid w:val="00603C5C"/>
    <w:rsid w:val="00610453"/>
    <w:rsid w:val="0061407F"/>
    <w:rsid w:val="0061556A"/>
    <w:rsid w:val="00625456"/>
    <w:rsid w:val="00635098"/>
    <w:rsid w:val="00635F65"/>
    <w:rsid w:val="00641677"/>
    <w:rsid w:val="006548B6"/>
    <w:rsid w:val="00657B1A"/>
    <w:rsid w:val="006A0AF1"/>
    <w:rsid w:val="006A0D24"/>
    <w:rsid w:val="006A2F3A"/>
    <w:rsid w:val="006B2FCB"/>
    <w:rsid w:val="006B3EF2"/>
    <w:rsid w:val="006B4F72"/>
    <w:rsid w:val="006B7384"/>
    <w:rsid w:val="006C7C7F"/>
    <w:rsid w:val="006D381D"/>
    <w:rsid w:val="006D5DB5"/>
    <w:rsid w:val="00705703"/>
    <w:rsid w:val="007125B2"/>
    <w:rsid w:val="00713507"/>
    <w:rsid w:val="00721E20"/>
    <w:rsid w:val="00725AC5"/>
    <w:rsid w:val="00725C06"/>
    <w:rsid w:val="0073198E"/>
    <w:rsid w:val="0073278A"/>
    <w:rsid w:val="00735773"/>
    <w:rsid w:val="007450C6"/>
    <w:rsid w:val="00751B7D"/>
    <w:rsid w:val="007920F2"/>
    <w:rsid w:val="00797C1C"/>
    <w:rsid w:val="007A1BC9"/>
    <w:rsid w:val="007B2EA6"/>
    <w:rsid w:val="007C2AE0"/>
    <w:rsid w:val="007C3BA6"/>
    <w:rsid w:val="007C6F25"/>
    <w:rsid w:val="007C6FAC"/>
    <w:rsid w:val="007F3548"/>
    <w:rsid w:val="00805970"/>
    <w:rsid w:val="00812560"/>
    <w:rsid w:val="008221F8"/>
    <w:rsid w:val="00823165"/>
    <w:rsid w:val="00826352"/>
    <w:rsid w:val="00827EB1"/>
    <w:rsid w:val="008314D7"/>
    <w:rsid w:val="00832416"/>
    <w:rsid w:val="00834707"/>
    <w:rsid w:val="00834BF3"/>
    <w:rsid w:val="00842731"/>
    <w:rsid w:val="008448CE"/>
    <w:rsid w:val="00847E41"/>
    <w:rsid w:val="0085661F"/>
    <w:rsid w:val="00867E3D"/>
    <w:rsid w:val="008732AE"/>
    <w:rsid w:val="008822BC"/>
    <w:rsid w:val="008926F9"/>
    <w:rsid w:val="00893DA0"/>
    <w:rsid w:val="00897087"/>
    <w:rsid w:val="00897E41"/>
    <w:rsid w:val="008A12AC"/>
    <w:rsid w:val="008A4D75"/>
    <w:rsid w:val="008A589D"/>
    <w:rsid w:val="008B2026"/>
    <w:rsid w:val="008B24A6"/>
    <w:rsid w:val="008B2A8D"/>
    <w:rsid w:val="008B53FB"/>
    <w:rsid w:val="008B6253"/>
    <w:rsid w:val="008B6AE1"/>
    <w:rsid w:val="008D2DE8"/>
    <w:rsid w:val="008E3E6C"/>
    <w:rsid w:val="008F15A9"/>
    <w:rsid w:val="008F6E6B"/>
    <w:rsid w:val="00907CE5"/>
    <w:rsid w:val="00920F02"/>
    <w:rsid w:val="00923D65"/>
    <w:rsid w:val="009313C4"/>
    <w:rsid w:val="0093276E"/>
    <w:rsid w:val="00936358"/>
    <w:rsid w:val="00941189"/>
    <w:rsid w:val="009516F5"/>
    <w:rsid w:val="009541A8"/>
    <w:rsid w:val="0095519A"/>
    <w:rsid w:val="00964F49"/>
    <w:rsid w:val="0097291E"/>
    <w:rsid w:val="0098060B"/>
    <w:rsid w:val="0098137B"/>
    <w:rsid w:val="009828B0"/>
    <w:rsid w:val="0099123F"/>
    <w:rsid w:val="009926D6"/>
    <w:rsid w:val="0099368B"/>
    <w:rsid w:val="0099696A"/>
    <w:rsid w:val="009A0534"/>
    <w:rsid w:val="009A38A5"/>
    <w:rsid w:val="009A38A9"/>
    <w:rsid w:val="009B075E"/>
    <w:rsid w:val="009B2E72"/>
    <w:rsid w:val="009B76BD"/>
    <w:rsid w:val="009C43D2"/>
    <w:rsid w:val="009C4A5D"/>
    <w:rsid w:val="009C7D12"/>
    <w:rsid w:val="009D4323"/>
    <w:rsid w:val="009D71C1"/>
    <w:rsid w:val="009E1574"/>
    <w:rsid w:val="009E38B5"/>
    <w:rsid w:val="009E56EF"/>
    <w:rsid w:val="009F1683"/>
    <w:rsid w:val="009F4EB8"/>
    <w:rsid w:val="00A00C87"/>
    <w:rsid w:val="00A07384"/>
    <w:rsid w:val="00A12591"/>
    <w:rsid w:val="00A355C6"/>
    <w:rsid w:val="00A40218"/>
    <w:rsid w:val="00A500D6"/>
    <w:rsid w:val="00A53506"/>
    <w:rsid w:val="00A60991"/>
    <w:rsid w:val="00A771B8"/>
    <w:rsid w:val="00A82911"/>
    <w:rsid w:val="00A85D6F"/>
    <w:rsid w:val="00A92FF7"/>
    <w:rsid w:val="00A95E13"/>
    <w:rsid w:val="00A9788F"/>
    <w:rsid w:val="00AB67B0"/>
    <w:rsid w:val="00AC3087"/>
    <w:rsid w:val="00AE1FA6"/>
    <w:rsid w:val="00AF420F"/>
    <w:rsid w:val="00AF5E50"/>
    <w:rsid w:val="00AF6D66"/>
    <w:rsid w:val="00B05D3D"/>
    <w:rsid w:val="00B153DD"/>
    <w:rsid w:val="00B210F9"/>
    <w:rsid w:val="00B24747"/>
    <w:rsid w:val="00B24D73"/>
    <w:rsid w:val="00B27B35"/>
    <w:rsid w:val="00B34F1C"/>
    <w:rsid w:val="00B573A9"/>
    <w:rsid w:val="00B6490B"/>
    <w:rsid w:val="00B74481"/>
    <w:rsid w:val="00B75295"/>
    <w:rsid w:val="00B7729E"/>
    <w:rsid w:val="00B808AF"/>
    <w:rsid w:val="00B84977"/>
    <w:rsid w:val="00B87680"/>
    <w:rsid w:val="00B87B74"/>
    <w:rsid w:val="00B9151E"/>
    <w:rsid w:val="00BB2560"/>
    <w:rsid w:val="00BB32A1"/>
    <w:rsid w:val="00BB4052"/>
    <w:rsid w:val="00BD074A"/>
    <w:rsid w:val="00BD4D48"/>
    <w:rsid w:val="00BD595B"/>
    <w:rsid w:val="00BD766D"/>
    <w:rsid w:val="00BE2ACF"/>
    <w:rsid w:val="00BE4BF4"/>
    <w:rsid w:val="00BE605D"/>
    <w:rsid w:val="00BF0A1A"/>
    <w:rsid w:val="00BF285B"/>
    <w:rsid w:val="00C0115B"/>
    <w:rsid w:val="00C020EE"/>
    <w:rsid w:val="00C0321A"/>
    <w:rsid w:val="00C037D6"/>
    <w:rsid w:val="00C13270"/>
    <w:rsid w:val="00C24167"/>
    <w:rsid w:val="00C31900"/>
    <w:rsid w:val="00C37A0E"/>
    <w:rsid w:val="00C45140"/>
    <w:rsid w:val="00C47FB0"/>
    <w:rsid w:val="00C53781"/>
    <w:rsid w:val="00C54561"/>
    <w:rsid w:val="00C6061D"/>
    <w:rsid w:val="00C66863"/>
    <w:rsid w:val="00C67006"/>
    <w:rsid w:val="00C76155"/>
    <w:rsid w:val="00C87569"/>
    <w:rsid w:val="00CA28B9"/>
    <w:rsid w:val="00CA29FA"/>
    <w:rsid w:val="00CA6BB0"/>
    <w:rsid w:val="00CA71B1"/>
    <w:rsid w:val="00CB4D3D"/>
    <w:rsid w:val="00CC0E0B"/>
    <w:rsid w:val="00CC298E"/>
    <w:rsid w:val="00CC4B14"/>
    <w:rsid w:val="00CD20BF"/>
    <w:rsid w:val="00CD4AC4"/>
    <w:rsid w:val="00CE1455"/>
    <w:rsid w:val="00CE1EFF"/>
    <w:rsid w:val="00CE6059"/>
    <w:rsid w:val="00CF0DED"/>
    <w:rsid w:val="00CF54C3"/>
    <w:rsid w:val="00D00514"/>
    <w:rsid w:val="00D015CE"/>
    <w:rsid w:val="00D07E1B"/>
    <w:rsid w:val="00D13235"/>
    <w:rsid w:val="00D13B92"/>
    <w:rsid w:val="00D15373"/>
    <w:rsid w:val="00D1692D"/>
    <w:rsid w:val="00D16984"/>
    <w:rsid w:val="00D22CE1"/>
    <w:rsid w:val="00D24071"/>
    <w:rsid w:val="00D32E47"/>
    <w:rsid w:val="00D420D6"/>
    <w:rsid w:val="00D479BB"/>
    <w:rsid w:val="00D54313"/>
    <w:rsid w:val="00D62B41"/>
    <w:rsid w:val="00D63D7F"/>
    <w:rsid w:val="00D6791A"/>
    <w:rsid w:val="00D7595F"/>
    <w:rsid w:val="00D75E5E"/>
    <w:rsid w:val="00D8085C"/>
    <w:rsid w:val="00D85C84"/>
    <w:rsid w:val="00D92A62"/>
    <w:rsid w:val="00D96C19"/>
    <w:rsid w:val="00DA6B7F"/>
    <w:rsid w:val="00DB03F3"/>
    <w:rsid w:val="00DB6E9F"/>
    <w:rsid w:val="00DD2C16"/>
    <w:rsid w:val="00DE2593"/>
    <w:rsid w:val="00DE4DEC"/>
    <w:rsid w:val="00DE55BC"/>
    <w:rsid w:val="00DF3923"/>
    <w:rsid w:val="00DF72F1"/>
    <w:rsid w:val="00E0378F"/>
    <w:rsid w:val="00E071F8"/>
    <w:rsid w:val="00E1157B"/>
    <w:rsid w:val="00E1437E"/>
    <w:rsid w:val="00E21E45"/>
    <w:rsid w:val="00E319C0"/>
    <w:rsid w:val="00E3351A"/>
    <w:rsid w:val="00E379B0"/>
    <w:rsid w:val="00E413AE"/>
    <w:rsid w:val="00E62CBD"/>
    <w:rsid w:val="00E705FD"/>
    <w:rsid w:val="00E74B6B"/>
    <w:rsid w:val="00E75A92"/>
    <w:rsid w:val="00E87436"/>
    <w:rsid w:val="00EB0A94"/>
    <w:rsid w:val="00EB37BE"/>
    <w:rsid w:val="00EB3DCC"/>
    <w:rsid w:val="00EC181B"/>
    <w:rsid w:val="00EC509C"/>
    <w:rsid w:val="00EC611C"/>
    <w:rsid w:val="00ED0A30"/>
    <w:rsid w:val="00EE4840"/>
    <w:rsid w:val="00EE6155"/>
    <w:rsid w:val="00EF36E8"/>
    <w:rsid w:val="00F00122"/>
    <w:rsid w:val="00F00C84"/>
    <w:rsid w:val="00F15399"/>
    <w:rsid w:val="00F240F0"/>
    <w:rsid w:val="00F33FF2"/>
    <w:rsid w:val="00F35F38"/>
    <w:rsid w:val="00F364E7"/>
    <w:rsid w:val="00F367B7"/>
    <w:rsid w:val="00F4246F"/>
    <w:rsid w:val="00F44D06"/>
    <w:rsid w:val="00F46774"/>
    <w:rsid w:val="00F47996"/>
    <w:rsid w:val="00F573BC"/>
    <w:rsid w:val="00F61663"/>
    <w:rsid w:val="00F62E30"/>
    <w:rsid w:val="00F63180"/>
    <w:rsid w:val="00F641FE"/>
    <w:rsid w:val="00F70305"/>
    <w:rsid w:val="00F73F09"/>
    <w:rsid w:val="00F82BA6"/>
    <w:rsid w:val="00FA6442"/>
    <w:rsid w:val="00FB1379"/>
    <w:rsid w:val="00FB352A"/>
    <w:rsid w:val="00FC4E9F"/>
    <w:rsid w:val="00FD1C7D"/>
    <w:rsid w:val="00FD31AE"/>
    <w:rsid w:val="00FF33AB"/>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A8C38"/>
  <w15:chartTrackingRefBased/>
  <w15:docId w15:val="{9B08436B-AA7A-4DE7-AB3E-D59FB3D7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6F9"/>
    <w:rPr>
      <w:lang w:val="en-GB"/>
    </w:rPr>
  </w:style>
  <w:style w:type="paragraph" w:styleId="Heading1">
    <w:name w:val="heading 1"/>
    <w:basedOn w:val="Normal"/>
    <w:next w:val="Normal"/>
    <w:link w:val="Heading1Char"/>
    <w:qFormat/>
    <w:rsid w:val="00D1692D"/>
    <w:pPr>
      <w:keepNext/>
      <w:keepLines/>
      <w:numPr>
        <w:numId w:val="3"/>
      </w:numPr>
      <w:spacing w:before="240" w:after="0"/>
      <w:outlineLvl w:val="0"/>
    </w:pPr>
    <w:rPr>
      <w:rFonts w:ascii="Times New Roman" w:eastAsiaTheme="majorEastAsia" w:hAnsi="Times New Roman" w:cstheme="majorBidi"/>
      <w:b/>
      <w:color w:val="171717" w:themeColor="background2" w:themeShade="1A"/>
      <w:sz w:val="32"/>
      <w:szCs w:val="32"/>
    </w:rPr>
  </w:style>
  <w:style w:type="paragraph" w:styleId="Heading2">
    <w:name w:val="heading 2"/>
    <w:basedOn w:val="Normal"/>
    <w:next w:val="Normal"/>
    <w:link w:val="Heading2Char"/>
    <w:uiPriority w:val="9"/>
    <w:unhideWhenUsed/>
    <w:qFormat/>
    <w:rsid w:val="00006C5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006C5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006C5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006C5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006C5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006C5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006C5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06C5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92D"/>
    <w:rPr>
      <w:rFonts w:ascii="Times New Roman" w:eastAsiaTheme="majorEastAsia" w:hAnsi="Times New Roman" w:cstheme="majorBidi"/>
      <w:b/>
      <w:color w:val="171717" w:themeColor="background2" w:themeShade="1A"/>
      <w:sz w:val="32"/>
      <w:szCs w:val="32"/>
      <w:lang w:val="en-GB"/>
    </w:rPr>
  </w:style>
  <w:style w:type="character" w:customStyle="1" w:styleId="Heading2Char">
    <w:name w:val="Heading 2 Char"/>
    <w:basedOn w:val="DefaultParagraphFont"/>
    <w:link w:val="Heading2"/>
    <w:uiPriority w:val="9"/>
    <w:rsid w:val="00006C5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rsid w:val="00006C52"/>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006C52"/>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006C52"/>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006C52"/>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006C52"/>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006C52"/>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06C52"/>
    <w:rPr>
      <w:rFonts w:asciiTheme="majorHAnsi" w:eastAsiaTheme="majorEastAsia" w:hAnsiTheme="majorHAnsi" w:cstheme="majorBidi"/>
      <w:i/>
      <w:iCs/>
      <w:color w:val="272727" w:themeColor="text1" w:themeTint="D8"/>
      <w:sz w:val="21"/>
      <w:szCs w:val="21"/>
      <w:lang w:val="en-GB"/>
    </w:rPr>
  </w:style>
  <w:style w:type="character" w:styleId="CommentReference">
    <w:name w:val="annotation reference"/>
    <w:basedOn w:val="DefaultParagraphFont"/>
    <w:unhideWhenUsed/>
    <w:rsid w:val="008926F9"/>
    <w:rPr>
      <w:sz w:val="16"/>
      <w:szCs w:val="16"/>
    </w:rPr>
  </w:style>
  <w:style w:type="paragraph" w:styleId="CommentText">
    <w:name w:val="annotation text"/>
    <w:basedOn w:val="Normal"/>
    <w:link w:val="CommentTextChar"/>
    <w:unhideWhenUsed/>
    <w:rsid w:val="008926F9"/>
    <w:pPr>
      <w:spacing w:line="240" w:lineRule="auto"/>
    </w:pPr>
    <w:rPr>
      <w:sz w:val="20"/>
      <w:szCs w:val="20"/>
    </w:rPr>
  </w:style>
  <w:style w:type="character" w:customStyle="1" w:styleId="CommentTextChar">
    <w:name w:val="Comment Text Char"/>
    <w:basedOn w:val="DefaultParagraphFont"/>
    <w:link w:val="CommentText"/>
    <w:rsid w:val="008926F9"/>
    <w:rPr>
      <w:sz w:val="20"/>
      <w:szCs w:val="20"/>
      <w:lang w:val="en-GB"/>
    </w:rPr>
  </w:style>
  <w:style w:type="paragraph" w:styleId="BalloonText">
    <w:name w:val="Balloon Text"/>
    <w:basedOn w:val="Normal"/>
    <w:link w:val="BalloonTextChar"/>
    <w:semiHidden/>
    <w:unhideWhenUsed/>
    <w:rsid w:val="00892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6F9"/>
    <w:rPr>
      <w:rFonts w:ascii="Segoe UI" w:hAnsi="Segoe UI" w:cs="Segoe UI"/>
      <w:sz w:val="18"/>
      <w:szCs w:val="18"/>
      <w:lang w:val="en-GB"/>
    </w:rPr>
  </w:style>
  <w:style w:type="character" w:styleId="Hyperlink">
    <w:name w:val="Hyperlink"/>
    <w:basedOn w:val="DefaultParagraphFont"/>
    <w:uiPriority w:val="99"/>
    <w:unhideWhenUsed/>
    <w:qFormat/>
    <w:rsid w:val="003F5CA5"/>
    <w:rPr>
      <w:color w:val="0563C1" w:themeColor="hyperlink"/>
      <w:u w:val="single"/>
    </w:rPr>
  </w:style>
  <w:style w:type="character" w:customStyle="1" w:styleId="UnresolvedMention1">
    <w:name w:val="Unresolved Mention1"/>
    <w:basedOn w:val="DefaultParagraphFont"/>
    <w:uiPriority w:val="99"/>
    <w:semiHidden/>
    <w:unhideWhenUsed/>
    <w:rsid w:val="003F5CA5"/>
    <w:rPr>
      <w:color w:val="605E5C"/>
      <w:shd w:val="clear" w:color="auto" w:fill="E1DFDD"/>
    </w:rPr>
  </w:style>
  <w:style w:type="paragraph" w:styleId="Header">
    <w:name w:val="header"/>
    <w:basedOn w:val="Normal"/>
    <w:link w:val="HeaderChar"/>
    <w:unhideWhenUsed/>
    <w:rsid w:val="00F24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0F0"/>
    <w:rPr>
      <w:lang w:val="en-GB"/>
    </w:rPr>
  </w:style>
  <w:style w:type="paragraph" w:styleId="Footer">
    <w:name w:val="footer"/>
    <w:basedOn w:val="Normal"/>
    <w:link w:val="FooterChar"/>
    <w:unhideWhenUsed/>
    <w:rsid w:val="00F24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0F0"/>
    <w:rPr>
      <w:lang w:val="en-GB"/>
    </w:rPr>
  </w:style>
  <w:style w:type="paragraph" w:styleId="ListParagraph">
    <w:name w:val="List Paragraph"/>
    <w:basedOn w:val="Normal"/>
    <w:uiPriority w:val="34"/>
    <w:qFormat/>
    <w:rsid w:val="00D1692D"/>
    <w:pPr>
      <w:ind w:left="720"/>
      <w:contextualSpacing/>
    </w:pPr>
  </w:style>
  <w:style w:type="paragraph" w:styleId="TOCHeading">
    <w:name w:val="TOC Heading"/>
    <w:basedOn w:val="Heading1"/>
    <w:next w:val="Normal"/>
    <w:uiPriority w:val="39"/>
    <w:unhideWhenUsed/>
    <w:qFormat/>
    <w:rsid w:val="00A500D6"/>
    <w:pPr>
      <w:numPr>
        <w:numId w:val="0"/>
      </w:num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A500D6"/>
    <w:pPr>
      <w:spacing w:after="100"/>
    </w:pPr>
  </w:style>
  <w:style w:type="paragraph" w:styleId="CommentSubject">
    <w:name w:val="annotation subject"/>
    <w:basedOn w:val="CommentText"/>
    <w:next w:val="CommentText"/>
    <w:link w:val="CommentSubjectChar"/>
    <w:unhideWhenUsed/>
    <w:rsid w:val="007A1BC9"/>
    <w:rPr>
      <w:b/>
      <w:bCs/>
    </w:rPr>
  </w:style>
  <w:style w:type="character" w:customStyle="1" w:styleId="CommentSubjectChar">
    <w:name w:val="Comment Subject Char"/>
    <w:basedOn w:val="CommentTextChar"/>
    <w:link w:val="CommentSubject"/>
    <w:rsid w:val="007A1BC9"/>
    <w:rPr>
      <w:b/>
      <w:bCs/>
      <w:sz w:val="20"/>
      <w:szCs w:val="20"/>
      <w:lang w:val="en-GB"/>
    </w:rPr>
  </w:style>
  <w:style w:type="paragraph" w:customStyle="1" w:styleId="SubtleReference1">
    <w:name w:val="Subtle Reference1"/>
    <w:basedOn w:val="Normal"/>
    <w:qFormat/>
    <w:rsid w:val="009828B0"/>
    <w:pPr>
      <w:numPr>
        <w:numId w:val="7"/>
      </w:numPr>
      <w:tabs>
        <w:tab w:val="left" w:pos="924"/>
      </w:tabs>
      <w:spacing w:after="0" w:line="240" w:lineRule="auto"/>
      <w:jc w:val="both"/>
    </w:pPr>
    <w:rPr>
      <w:rFonts w:ascii="Times New Roman" w:eastAsia="Times New Roman" w:hAnsi="Times New Roman" w:cs="Times New Roman"/>
      <w:i/>
      <w:iCs/>
      <w:color w:val="7F7F7F"/>
      <w:sz w:val="20"/>
      <w:szCs w:val="20"/>
      <w:lang w:val="en-US"/>
    </w:rPr>
  </w:style>
  <w:style w:type="paragraph" w:styleId="Caption">
    <w:name w:val="caption"/>
    <w:basedOn w:val="Normal"/>
    <w:next w:val="Normal"/>
    <w:qFormat/>
    <w:rsid w:val="00D24071"/>
    <w:pPr>
      <w:spacing w:before="60" w:after="120" w:line="240" w:lineRule="auto"/>
      <w:ind w:left="851" w:hanging="851"/>
      <w:jc w:val="both"/>
    </w:pPr>
    <w:rPr>
      <w:rFonts w:ascii="Times New Roman" w:eastAsia="Times New Roman" w:hAnsi="Times New Roman" w:cs="Times New Roman"/>
      <w:bCs/>
      <w:sz w:val="20"/>
      <w:szCs w:val="20"/>
      <w:lang w:val="en-US"/>
    </w:rPr>
  </w:style>
  <w:style w:type="paragraph" w:styleId="TOC2">
    <w:name w:val="toc 2"/>
    <w:basedOn w:val="Normal"/>
    <w:next w:val="Normal"/>
    <w:autoRedefine/>
    <w:uiPriority w:val="39"/>
    <w:unhideWhenUsed/>
    <w:rsid w:val="008B2026"/>
    <w:pPr>
      <w:spacing w:after="100"/>
      <w:ind w:left="220"/>
    </w:pPr>
  </w:style>
  <w:style w:type="paragraph" w:styleId="TOC3">
    <w:name w:val="toc 3"/>
    <w:basedOn w:val="Normal"/>
    <w:next w:val="Normal"/>
    <w:autoRedefine/>
    <w:uiPriority w:val="39"/>
    <w:unhideWhenUsed/>
    <w:rsid w:val="008B2026"/>
    <w:pPr>
      <w:spacing w:after="100"/>
      <w:ind w:left="440"/>
    </w:pPr>
  </w:style>
  <w:style w:type="character" w:styleId="FollowedHyperlink">
    <w:name w:val="FollowedHyperlink"/>
    <w:basedOn w:val="DefaultParagraphFont"/>
    <w:unhideWhenUsed/>
    <w:rsid w:val="005C6E09"/>
    <w:rPr>
      <w:color w:val="954F72" w:themeColor="followedHyperlink"/>
      <w:u w:val="single"/>
    </w:rPr>
  </w:style>
  <w:style w:type="character" w:customStyle="1" w:styleId="UnresolvedMention">
    <w:name w:val="Unresolved Mention"/>
    <w:basedOn w:val="DefaultParagraphFont"/>
    <w:uiPriority w:val="99"/>
    <w:semiHidden/>
    <w:unhideWhenUsed/>
    <w:rsid w:val="00F46774"/>
    <w:rPr>
      <w:color w:val="605E5C"/>
      <w:shd w:val="clear" w:color="auto" w:fill="E1DFDD"/>
    </w:rPr>
  </w:style>
  <w:style w:type="paragraph" w:customStyle="1" w:styleId="Listiii">
    <w:name w:val="List iii"/>
    <w:basedOn w:val="Listii"/>
    <w:rsid w:val="00AE1FA6"/>
  </w:style>
  <w:style w:type="paragraph" w:customStyle="1" w:styleId="Listii">
    <w:name w:val="List ii"/>
    <w:basedOn w:val="List1"/>
    <w:rsid w:val="00AE1FA6"/>
  </w:style>
  <w:style w:type="paragraph" w:customStyle="1" w:styleId="List1">
    <w:name w:val="List1"/>
    <w:basedOn w:val="Normal"/>
    <w:rsid w:val="00AE1FA6"/>
    <w:pPr>
      <w:tabs>
        <w:tab w:val="num" w:pos="360"/>
      </w:tabs>
      <w:spacing w:before="60" w:after="120" w:line="240" w:lineRule="auto"/>
      <w:ind w:left="357" w:hanging="357"/>
      <w:jc w:val="both"/>
    </w:pPr>
    <w:rPr>
      <w:rFonts w:ascii="Times New Roman" w:eastAsia="Times New Roman" w:hAnsi="Times New Roman" w:cs="Times New Roman"/>
      <w:sz w:val="20"/>
      <w:szCs w:val="20"/>
      <w:lang w:val="en-US"/>
    </w:rPr>
  </w:style>
  <w:style w:type="paragraph" w:styleId="Title">
    <w:name w:val="Title"/>
    <w:basedOn w:val="Normal"/>
    <w:link w:val="TitleChar"/>
    <w:qFormat/>
    <w:rsid w:val="00AE1FA6"/>
    <w:pPr>
      <w:spacing w:before="240" w:after="60" w:line="240" w:lineRule="auto"/>
      <w:jc w:val="center"/>
    </w:pPr>
    <w:rPr>
      <w:rFonts w:ascii="Times New Roman" w:eastAsia="Times New Roman" w:hAnsi="Times New Roman" w:cs="Arial"/>
      <w:b/>
      <w:bCs/>
      <w:kern w:val="28"/>
      <w:sz w:val="32"/>
      <w:szCs w:val="32"/>
      <w:lang w:val="en-US"/>
    </w:rPr>
  </w:style>
  <w:style w:type="character" w:customStyle="1" w:styleId="TitleChar">
    <w:name w:val="Title Char"/>
    <w:basedOn w:val="DefaultParagraphFont"/>
    <w:link w:val="Title"/>
    <w:rsid w:val="00AE1FA6"/>
    <w:rPr>
      <w:rFonts w:ascii="Times New Roman" w:eastAsia="Times New Roman" w:hAnsi="Times New Roman" w:cs="Arial"/>
      <w:b/>
      <w:bCs/>
      <w:kern w:val="28"/>
      <w:sz w:val="32"/>
      <w:szCs w:val="32"/>
      <w:lang w:val="en-US"/>
    </w:rPr>
  </w:style>
  <w:style w:type="paragraph" w:customStyle="1" w:styleId="guidelines">
    <w:name w:val="guidelines"/>
    <w:rsid w:val="00AE1FA6"/>
    <w:pPr>
      <w:numPr>
        <w:numId w:val="12"/>
      </w:numPr>
      <w:spacing w:after="120" w:line="240" w:lineRule="auto"/>
    </w:pPr>
    <w:rPr>
      <w:rFonts w:ascii="Times New Roman" w:eastAsia="Times New Roman" w:hAnsi="Times New Roman" w:cs="Times New Roman"/>
      <w:i/>
      <w:sz w:val="24"/>
      <w:szCs w:val="20"/>
      <w:lang w:val="en-US"/>
    </w:rPr>
  </w:style>
  <w:style w:type="paragraph" w:customStyle="1" w:styleId="guidelineslist">
    <w:name w:val="guidelines list"/>
    <w:basedOn w:val="guidelines"/>
    <w:rsid w:val="00AE1FA6"/>
    <w:pPr>
      <w:numPr>
        <w:numId w:val="11"/>
      </w:numPr>
      <w:ind w:left="641" w:hanging="357"/>
    </w:pPr>
  </w:style>
  <w:style w:type="paragraph" w:customStyle="1" w:styleId="Appendix">
    <w:name w:val="Appendix"/>
    <w:next w:val="Normal"/>
    <w:rsid w:val="00AE1FA6"/>
    <w:pPr>
      <w:pageBreakBefore/>
      <w:spacing w:after="120" w:line="240" w:lineRule="auto"/>
      <w:jc w:val="center"/>
    </w:pPr>
    <w:rPr>
      <w:rFonts w:ascii="Times New Roman" w:eastAsia="Times New Roman" w:hAnsi="Times New Roman" w:cs="Times New Roman"/>
      <w:b/>
      <w:noProof/>
      <w:sz w:val="40"/>
      <w:szCs w:val="20"/>
      <w:lang w:val="en-US"/>
    </w:rPr>
  </w:style>
  <w:style w:type="paragraph" w:customStyle="1" w:styleId="Normal10">
    <w:name w:val="Normal 10"/>
    <w:basedOn w:val="Normal"/>
    <w:rsid w:val="00AE1FA6"/>
    <w:pPr>
      <w:spacing w:after="0" w:line="240" w:lineRule="auto"/>
      <w:jc w:val="both"/>
    </w:pPr>
    <w:rPr>
      <w:rFonts w:ascii="Times New Roman" w:eastAsia="Times New Roman" w:hAnsi="Times New Roman" w:cs="Times New Roman"/>
      <w:sz w:val="20"/>
      <w:szCs w:val="20"/>
      <w:lang w:val="en-US"/>
    </w:rPr>
  </w:style>
  <w:style w:type="paragraph" w:styleId="Subtitle">
    <w:name w:val="Subtitle"/>
    <w:basedOn w:val="Normal"/>
    <w:link w:val="SubtitleChar"/>
    <w:qFormat/>
    <w:rsid w:val="00AE1FA6"/>
    <w:pPr>
      <w:spacing w:before="60" w:after="60" w:line="240" w:lineRule="auto"/>
      <w:jc w:val="center"/>
      <w:outlineLvl w:val="1"/>
    </w:pPr>
    <w:rPr>
      <w:rFonts w:ascii="Times New Roman" w:eastAsia="Times New Roman" w:hAnsi="Times New Roman" w:cs="Arial"/>
      <w:sz w:val="20"/>
      <w:szCs w:val="24"/>
      <w:lang w:val="en-US"/>
    </w:rPr>
  </w:style>
  <w:style w:type="character" w:customStyle="1" w:styleId="SubtitleChar">
    <w:name w:val="Subtitle Char"/>
    <w:basedOn w:val="DefaultParagraphFont"/>
    <w:link w:val="Subtitle"/>
    <w:rsid w:val="00AE1FA6"/>
    <w:rPr>
      <w:rFonts w:ascii="Times New Roman" w:eastAsia="Times New Roman" w:hAnsi="Times New Roman" w:cs="Arial"/>
      <w:sz w:val="20"/>
      <w:szCs w:val="24"/>
      <w:lang w:val="en-US"/>
    </w:rPr>
  </w:style>
  <w:style w:type="character" w:customStyle="1" w:styleId="Lowered">
    <w:name w:val="Lowered"/>
    <w:rsid w:val="00AE1FA6"/>
    <w:rPr>
      <w:vertAlign w:val="subscript"/>
    </w:rPr>
  </w:style>
  <w:style w:type="character" w:customStyle="1" w:styleId="Raised">
    <w:name w:val="Raised"/>
    <w:rsid w:val="00AE1FA6"/>
    <w:rPr>
      <w:vertAlign w:val="superscript"/>
    </w:rPr>
  </w:style>
  <w:style w:type="character" w:customStyle="1" w:styleId="Bold">
    <w:name w:val="Bold"/>
    <w:rsid w:val="00AE1FA6"/>
    <w:rPr>
      <w:b/>
    </w:rPr>
  </w:style>
  <w:style w:type="character" w:customStyle="1" w:styleId="Italic">
    <w:name w:val="Italic"/>
    <w:rsid w:val="00AE1FA6"/>
    <w:rPr>
      <w:i/>
    </w:rPr>
  </w:style>
  <w:style w:type="character" w:customStyle="1" w:styleId="Underline">
    <w:name w:val="Underline"/>
    <w:rsid w:val="00AE1FA6"/>
    <w:rPr>
      <w:u w:val="single"/>
    </w:rPr>
  </w:style>
  <w:style w:type="paragraph" w:customStyle="1" w:styleId="Normal9">
    <w:name w:val="Normal 9"/>
    <w:basedOn w:val="Normal"/>
    <w:rsid w:val="00AE1FA6"/>
    <w:pPr>
      <w:spacing w:before="60" w:after="120" w:line="240" w:lineRule="auto"/>
      <w:jc w:val="both"/>
    </w:pPr>
    <w:rPr>
      <w:rFonts w:ascii="Times New Roman" w:eastAsia="Times New Roman" w:hAnsi="Times New Roman" w:cs="Times New Roman"/>
      <w:sz w:val="18"/>
      <w:szCs w:val="20"/>
      <w:lang w:val="en-US"/>
    </w:rPr>
  </w:style>
  <w:style w:type="paragraph" w:customStyle="1" w:styleId="Centered">
    <w:name w:val="Centered"/>
    <w:basedOn w:val="Normal"/>
    <w:rsid w:val="00AE1FA6"/>
    <w:pPr>
      <w:spacing w:before="60" w:after="120" w:line="240" w:lineRule="auto"/>
      <w:jc w:val="center"/>
    </w:pPr>
    <w:rPr>
      <w:rFonts w:ascii="Times New Roman" w:eastAsia="Times New Roman" w:hAnsi="Times New Roman" w:cs="Times New Roman"/>
      <w:sz w:val="20"/>
      <w:szCs w:val="20"/>
      <w:lang w:val="en-US"/>
    </w:rPr>
  </w:style>
  <w:style w:type="character" w:styleId="PageNumber">
    <w:name w:val="page number"/>
    <w:basedOn w:val="DefaultParagraphFont"/>
    <w:rsid w:val="00AE1FA6"/>
  </w:style>
  <w:style w:type="paragraph" w:customStyle="1" w:styleId="Default">
    <w:name w:val="Default"/>
    <w:rsid w:val="00AE1FA6"/>
    <w:pPr>
      <w:autoSpaceDE w:val="0"/>
      <w:autoSpaceDN w:val="0"/>
      <w:adjustRightInd w:val="0"/>
      <w:spacing w:after="0" w:line="240" w:lineRule="auto"/>
    </w:pPr>
    <w:rPr>
      <w:rFonts w:ascii="Times New Roman" w:eastAsia="Times New Roman" w:hAnsi="Times New Roman" w:cs="Times New Roman"/>
      <w:color w:val="000000"/>
      <w:sz w:val="24"/>
      <w:szCs w:val="24"/>
      <w:lang w:val="en-GB"/>
    </w:rPr>
  </w:style>
  <w:style w:type="character" w:customStyle="1" w:styleId="HTMLPreformattedChar">
    <w:name w:val="HTML Preformatted Char"/>
    <w:basedOn w:val="DefaultParagraphFont"/>
    <w:link w:val="HTMLPreformatted"/>
    <w:semiHidden/>
    <w:rsid w:val="00AE1FA6"/>
    <w:rPr>
      <w:rFonts w:ascii="Consolas" w:eastAsia="Times New Roman" w:hAnsi="Consolas" w:cs="Times New Roman"/>
      <w:sz w:val="20"/>
      <w:szCs w:val="20"/>
      <w:lang w:val="en-US"/>
    </w:rPr>
  </w:style>
  <w:style w:type="paragraph" w:styleId="HTMLPreformatted">
    <w:name w:val="HTML Preformatted"/>
    <w:basedOn w:val="Normal"/>
    <w:link w:val="HTMLPreformattedChar"/>
    <w:semiHidden/>
    <w:unhideWhenUsed/>
    <w:rsid w:val="00AE1FA6"/>
    <w:pPr>
      <w:spacing w:after="0" w:line="240" w:lineRule="auto"/>
      <w:jc w:val="both"/>
    </w:pPr>
    <w:rPr>
      <w:rFonts w:ascii="Consolas" w:eastAsia="Times New Roman" w:hAnsi="Consolas" w:cs="Times New Roman"/>
      <w:sz w:val="20"/>
      <w:szCs w:val="20"/>
      <w:lang w:val="en-US"/>
    </w:rPr>
  </w:style>
  <w:style w:type="paragraph" w:styleId="TOC4">
    <w:name w:val="toc 4"/>
    <w:basedOn w:val="Normal"/>
    <w:next w:val="Normal"/>
    <w:autoRedefine/>
    <w:uiPriority w:val="39"/>
    <w:unhideWhenUsed/>
    <w:rsid w:val="00AE1FA6"/>
    <w:pPr>
      <w:spacing w:after="100"/>
      <w:ind w:left="660"/>
    </w:pPr>
    <w:rPr>
      <w:rFonts w:eastAsiaTheme="minorEastAsia"/>
      <w:lang w:val="nl-NL" w:eastAsia="nl-NL"/>
    </w:rPr>
  </w:style>
  <w:style w:type="paragraph" w:styleId="TOC5">
    <w:name w:val="toc 5"/>
    <w:basedOn w:val="Normal"/>
    <w:next w:val="Normal"/>
    <w:autoRedefine/>
    <w:uiPriority w:val="39"/>
    <w:unhideWhenUsed/>
    <w:rsid w:val="00AE1FA6"/>
    <w:pPr>
      <w:spacing w:after="100"/>
      <w:ind w:left="880"/>
    </w:pPr>
    <w:rPr>
      <w:rFonts w:eastAsiaTheme="minorEastAsia"/>
      <w:lang w:val="nl-NL" w:eastAsia="nl-NL"/>
    </w:rPr>
  </w:style>
  <w:style w:type="paragraph" w:styleId="TOC6">
    <w:name w:val="toc 6"/>
    <w:basedOn w:val="Normal"/>
    <w:next w:val="Normal"/>
    <w:autoRedefine/>
    <w:uiPriority w:val="39"/>
    <w:unhideWhenUsed/>
    <w:rsid w:val="00AE1FA6"/>
    <w:pPr>
      <w:spacing w:after="100"/>
      <w:ind w:left="1100"/>
    </w:pPr>
    <w:rPr>
      <w:rFonts w:eastAsiaTheme="minorEastAsia"/>
      <w:lang w:val="nl-NL" w:eastAsia="nl-NL"/>
    </w:rPr>
  </w:style>
  <w:style w:type="paragraph" w:styleId="TOC7">
    <w:name w:val="toc 7"/>
    <w:basedOn w:val="Normal"/>
    <w:next w:val="Normal"/>
    <w:autoRedefine/>
    <w:uiPriority w:val="39"/>
    <w:unhideWhenUsed/>
    <w:rsid w:val="00AE1FA6"/>
    <w:pPr>
      <w:spacing w:after="100"/>
      <w:ind w:left="1320"/>
    </w:pPr>
    <w:rPr>
      <w:rFonts w:eastAsiaTheme="minorEastAsia"/>
      <w:lang w:val="nl-NL" w:eastAsia="nl-NL"/>
    </w:rPr>
  </w:style>
  <w:style w:type="paragraph" w:styleId="TOC8">
    <w:name w:val="toc 8"/>
    <w:basedOn w:val="Normal"/>
    <w:next w:val="Normal"/>
    <w:autoRedefine/>
    <w:uiPriority w:val="39"/>
    <w:unhideWhenUsed/>
    <w:rsid w:val="00AE1FA6"/>
    <w:pPr>
      <w:spacing w:after="100"/>
      <w:ind w:left="1540"/>
    </w:pPr>
    <w:rPr>
      <w:rFonts w:eastAsiaTheme="minorEastAsia"/>
      <w:lang w:val="nl-NL" w:eastAsia="nl-NL"/>
    </w:rPr>
  </w:style>
  <w:style w:type="paragraph" w:styleId="TOC9">
    <w:name w:val="toc 9"/>
    <w:basedOn w:val="Normal"/>
    <w:next w:val="Normal"/>
    <w:autoRedefine/>
    <w:uiPriority w:val="39"/>
    <w:unhideWhenUsed/>
    <w:rsid w:val="00AE1FA6"/>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j.gelderblom@lumc.n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EC85E10F7DE243A9B2BC7CF3373734" ma:contentTypeVersion="13" ma:contentTypeDescription="Crée un document." ma:contentTypeScope="" ma:versionID="43941637dcb5f5346fb915d35ad37aba">
  <xsd:schema xmlns:xsd="http://www.w3.org/2001/XMLSchema" xmlns:xs="http://www.w3.org/2001/XMLSchema" xmlns:p="http://schemas.microsoft.com/office/2006/metadata/properties" xmlns:ns3="a5de35ea-4ccc-45fd-90d2-161a07bc7de2" xmlns:ns4="92b046ea-1f43-4fe9-806f-dba9d5f274d2" targetNamespace="http://schemas.microsoft.com/office/2006/metadata/properties" ma:root="true" ma:fieldsID="b66465534fffadab4308e8ed32c754d9" ns3:_="" ns4:_="">
    <xsd:import namespace="a5de35ea-4ccc-45fd-90d2-161a07bc7de2"/>
    <xsd:import namespace="92b046ea-1f43-4fe9-806f-dba9d5f274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e35ea-4ccc-45fd-90d2-161a07bc7de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b046ea-1f43-4fe9-806f-dba9d5f274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C8EF8-0D6A-477B-91FB-CD87CE49D5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29D704-D7F8-44B2-AFE3-96A7DCAC3D01}">
  <ds:schemaRefs>
    <ds:schemaRef ds:uri="http://schemas.microsoft.com/sharepoint/v3/contenttype/forms"/>
  </ds:schemaRefs>
</ds:datastoreItem>
</file>

<file path=customXml/itemProps3.xml><?xml version="1.0" encoding="utf-8"?>
<ds:datastoreItem xmlns:ds="http://schemas.openxmlformats.org/officeDocument/2006/customXml" ds:itemID="{188C26E6-07E1-47B6-B5B8-15D9D17CA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e35ea-4ccc-45fd-90d2-161a07bc7de2"/>
    <ds:schemaRef ds:uri="92b046ea-1f43-4fe9-806f-dba9d5f27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73768-5A5B-450D-BD3D-EF5FB1C2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41</Pages>
  <Words>37572</Words>
  <Characters>214162</Characters>
  <Application>Microsoft Office Word</Application>
  <DocSecurity>0</DocSecurity>
  <Lines>1784</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Kantidakis</dc:creator>
  <cp:keywords/>
  <dc:description/>
  <cp:lastModifiedBy>Georgios Kantidakis</cp:lastModifiedBy>
  <cp:revision>257</cp:revision>
  <dcterms:created xsi:type="dcterms:W3CDTF">2021-01-14T08:27:00Z</dcterms:created>
  <dcterms:modified xsi:type="dcterms:W3CDTF">2022-05-31T10:11:00Z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http://www.zotero.org/styles/european-journal-of-cancer</vt:lpwstr>
  </property>
  <property fmtid="{D5CDD505-2E9C-101B-9397-08002B2CF9AE}" pid="4" name="Mendeley Unique User Id_1">
    <vt:lpwstr>0b87f51c-82fd-33d1-a2ef-4778bac7e66a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http://www.zotero.org/styles/european-journal-of-cancer</vt:lpwstr>
  </property>
  <property fmtid="{D5CDD505-2E9C-101B-9397-08002B2CF9AE}" pid="16" name="Mendeley Recent Style Name 5_1">
    <vt:lpwstr>European Journal of Cancer</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http://www.zotero.org/styles/the-lancet-oncology</vt:lpwstr>
  </property>
  <property fmtid="{D5CDD505-2E9C-101B-9397-08002B2CF9AE}" pid="24" name="Mendeley Recent Style Name 9_1">
    <vt:lpwstr>The Lancet Oncology</vt:lpwstr>
  </property>
  <property fmtid="{D5CDD505-2E9C-101B-9397-08002B2CF9AE}" pid="25" name="ContentTypeId">
    <vt:lpwstr>0x0101008DEC85E10F7DE243A9B2BC7CF3373734</vt:lpwstr>
  </property>
</Properties>
</file>