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BFBE2" w14:textId="2B3653A1" w:rsidR="0030363E" w:rsidRDefault="003E41A9" w:rsidP="008638BC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3E41A9">
        <w:rPr>
          <w:rFonts w:ascii="Times New Roman" w:hAnsi="Times New Roman" w:cs="Times New Roman"/>
          <w:b/>
          <w:sz w:val="24"/>
          <w:szCs w:val="24"/>
        </w:rPr>
        <w:t>Prognostic Significance of Bone Metastasis in Soft Tissue Sarcoma Patients Receiving Palliative Systemic Therapy: An Explorative, Retrospective Pooled Analysis of the EORTC-Soft Tissue and Bone Sarcoma Group (STBSG) Database</w:t>
      </w:r>
    </w:p>
    <w:p w14:paraId="71A95EDD" w14:textId="09E66551" w:rsidR="003F5CA5" w:rsidRDefault="00844316" w:rsidP="008926F9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44316">
        <w:rPr>
          <w:rFonts w:ascii="Times New Roman" w:hAnsi="Times New Roman" w:cs="Times New Roman"/>
          <w:bCs/>
          <w:sz w:val="20"/>
          <w:szCs w:val="20"/>
        </w:rPr>
        <w:t>Georgios Kantidakis, Saskia Litière, Hans Gelderblom, Marta Fiocco, Ian Judson, Winette T.A. van der Graaf, Antoine Italiano, Sandrine Marréaud, Stefan Sleijfer, Gunhild Mechtersheimer, Christina Messiou, Bernd Kasper</w:t>
      </w:r>
    </w:p>
    <w:p w14:paraId="66C98AF9" w14:textId="77777777" w:rsidR="003E41A9" w:rsidRPr="0099368B" w:rsidRDefault="003E41A9" w:rsidP="008926F9">
      <w:pPr>
        <w:jc w:val="both"/>
        <w:rPr>
          <w:rFonts w:ascii="Times New Roman" w:hAnsi="Times New Roman" w:cs="Times New Roman"/>
          <w:bCs/>
          <w:sz w:val="20"/>
          <w:szCs w:val="20"/>
        </w:rPr>
      </w:pPr>
      <w:bookmarkStart w:id="0" w:name="_GoBack"/>
      <w:bookmarkEnd w:id="0"/>
    </w:p>
    <w:p w14:paraId="1293A585" w14:textId="56D6E0C6" w:rsidR="003F5CA5" w:rsidRPr="0099368B" w:rsidRDefault="003F5CA5" w:rsidP="008926F9">
      <w:pPr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06BD702" w14:textId="77777777" w:rsidR="003F5CA5" w:rsidRPr="0099368B" w:rsidRDefault="003F5CA5" w:rsidP="008926F9">
      <w:pPr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D651683" w14:textId="6A1D67D2" w:rsidR="003F5CA5" w:rsidRPr="0099368B" w:rsidRDefault="003F5CA5" w:rsidP="008926F9">
      <w:pPr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0830CB5" w14:textId="40B23F12" w:rsidR="00BF0A1A" w:rsidRDefault="00BF0A1A" w:rsidP="003F5CA5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14:paraId="112A7813" w14:textId="77777777" w:rsidR="0099368B" w:rsidRPr="0099368B" w:rsidRDefault="0099368B" w:rsidP="003F5CA5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14:paraId="6E0DE5EF" w14:textId="06450401" w:rsidR="003F5CA5" w:rsidRPr="0099368B" w:rsidRDefault="0030363E" w:rsidP="003F5CA5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SUPPLEMENTARY MATERIAL</w:t>
      </w:r>
    </w:p>
    <w:p w14:paraId="0524C107" w14:textId="77777777" w:rsidR="003F5CA5" w:rsidRPr="0099368B" w:rsidRDefault="003F5CA5" w:rsidP="008926F9">
      <w:pPr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84F4617" w14:textId="4A622A4B" w:rsidR="00D13B92" w:rsidRPr="0099368B" w:rsidRDefault="00D13B9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2FD5318" w14:textId="3B697D03" w:rsidR="008926F9" w:rsidRPr="0099368B" w:rsidRDefault="008926F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F6AB3F2" w14:textId="5A4E291A" w:rsidR="0099368B" w:rsidRDefault="0099368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1659281" w14:textId="77777777" w:rsidR="0099368B" w:rsidRPr="0099368B" w:rsidRDefault="0099368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3882FA7" w14:textId="431A739E" w:rsidR="003F5CA5" w:rsidRPr="0099368B" w:rsidRDefault="003F5CA5" w:rsidP="003F5CA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9368B">
        <w:rPr>
          <w:rFonts w:ascii="Times New Roman" w:hAnsi="Times New Roman" w:cs="Times New Roman"/>
          <w:sz w:val="20"/>
          <w:szCs w:val="20"/>
          <w:lang w:val="en-US"/>
        </w:rPr>
        <w:t>Correspondence to:</w:t>
      </w:r>
    </w:p>
    <w:p w14:paraId="5236FEB2" w14:textId="77777777" w:rsidR="0012001A" w:rsidRPr="0099368B" w:rsidRDefault="0012001A" w:rsidP="0012001A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9368B">
        <w:rPr>
          <w:rFonts w:ascii="Times New Roman" w:hAnsi="Times New Roman" w:cs="Times New Roman"/>
          <w:bCs/>
          <w:sz w:val="20"/>
          <w:szCs w:val="20"/>
        </w:rPr>
        <w:t xml:space="preserve">Prof Hans Gelderblom, </w:t>
      </w:r>
    </w:p>
    <w:p w14:paraId="7D755528" w14:textId="77777777" w:rsidR="0012001A" w:rsidRPr="0099368B" w:rsidRDefault="0012001A" w:rsidP="0012001A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9368B">
        <w:rPr>
          <w:rFonts w:ascii="Times New Roman" w:hAnsi="Times New Roman" w:cs="Times New Roman"/>
          <w:bCs/>
          <w:sz w:val="20"/>
          <w:szCs w:val="20"/>
        </w:rPr>
        <w:t xml:space="preserve">Department of Medical Oncology, </w:t>
      </w:r>
    </w:p>
    <w:p w14:paraId="4B84E4FF" w14:textId="77777777" w:rsidR="0012001A" w:rsidRPr="0099368B" w:rsidRDefault="0012001A" w:rsidP="0012001A">
      <w:pPr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9368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Leiden University Medical Center, 2333 ZA, </w:t>
      </w:r>
    </w:p>
    <w:p w14:paraId="6918946C" w14:textId="1950CAE8" w:rsidR="0012001A" w:rsidRPr="00A94089" w:rsidRDefault="0012001A" w:rsidP="0012001A">
      <w:pPr>
        <w:jc w:val="both"/>
        <w:rPr>
          <w:rFonts w:ascii="Times New Roman" w:hAnsi="Times New Roman" w:cs="Times New Roman"/>
          <w:bCs/>
          <w:sz w:val="20"/>
          <w:szCs w:val="20"/>
          <w:lang w:val="nl-NL"/>
        </w:rPr>
      </w:pPr>
      <w:r w:rsidRPr="00A94089">
        <w:rPr>
          <w:rFonts w:ascii="Times New Roman" w:hAnsi="Times New Roman" w:cs="Times New Roman"/>
          <w:bCs/>
          <w:sz w:val="20"/>
          <w:szCs w:val="20"/>
          <w:lang w:val="nl-NL"/>
        </w:rPr>
        <w:t>Leiden, Netherlands</w:t>
      </w:r>
    </w:p>
    <w:p w14:paraId="35165CFD" w14:textId="17727975" w:rsidR="0030363E" w:rsidRPr="00A94089" w:rsidRDefault="0015436F" w:rsidP="003F5CA5">
      <w:pPr>
        <w:rPr>
          <w:rFonts w:ascii="Times New Roman" w:hAnsi="Times New Roman" w:cs="Times New Roman"/>
          <w:bCs/>
          <w:color w:val="0563C1" w:themeColor="hyperlink"/>
          <w:sz w:val="20"/>
          <w:szCs w:val="20"/>
          <w:u w:val="single"/>
          <w:lang w:val="nl-NL"/>
        </w:rPr>
      </w:pPr>
      <w:hyperlink r:id="rId11" w:history="1">
        <w:r w:rsidR="0012001A" w:rsidRPr="00A94089">
          <w:rPr>
            <w:rStyle w:val="Hyperlink"/>
            <w:rFonts w:ascii="Times New Roman" w:hAnsi="Times New Roman" w:cs="Times New Roman"/>
            <w:bCs/>
            <w:sz w:val="20"/>
            <w:szCs w:val="20"/>
            <w:lang w:val="nl-NL"/>
          </w:rPr>
          <w:t>a.j.gelderblom@lumc.nl</w:t>
        </w:r>
      </w:hyperlink>
    </w:p>
    <w:p w14:paraId="78B76CE6" w14:textId="6A5C9A4D" w:rsidR="004663DC" w:rsidRPr="00964648" w:rsidRDefault="004663DC" w:rsidP="004663DC">
      <w:pPr>
        <w:pStyle w:val="Caption"/>
        <w:keepNext/>
      </w:pPr>
      <w:r w:rsidRPr="00964648">
        <w:rPr>
          <w:b/>
          <w:bCs w:val="0"/>
        </w:rPr>
        <w:lastRenderedPageBreak/>
        <w:t>Table S</w:t>
      </w:r>
      <w:r w:rsidRPr="00964648">
        <w:rPr>
          <w:b/>
          <w:bCs w:val="0"/>
        </w:rPr>
        <w:fldChar w:fldCharType="begin"/>
      </w:r>
      <w:r w:rsidRPr="00964648">
        <w:rPr>
          <w:b/>
          <w:bCs w:val="0"/>
        </w:rPr>
        <w:instrText xml:space="preserve"> SEQ Table \* ARABIC </w:instrText>
      </w:r>
      <w:r w:rsidRPr="00964648">
        <w:rPr>
          <w:b/>
          <w:bCs w:val="0"/>
        </w:rPr>
        <w:fldChar w:fldCharType="separate"/>
      </w:r>
      <w:r w:rsidR="002D57E7">
        <w:rPr>
          <w:b/>
          <w:bCs w:val="0"/>
          <w:noProof/>
        </w:rPr>
        <w:t>1</w:t>
      </w:r>
      <w:r w:rsidRPr="00964648">
        <w:rPr>
          <w:b/>
          <w:bCs w:val="0"/>
        </w:rPr>
        <w:fldChar w:fldCharType="end"/>
      </w:r>
      <w:r w:rsidRPr="00964648">
        <w:rPr>
          <w:b/>
          <w:bCs w:val="0"/>
        </w:rPr>
        <w:t>: Intended treatment arm</w:t>
      </w:r>
      <w:r w:rsidR="003B470C" w:rsidRPr="00964648">
        <w:rPr>
          <w:b/>
          <w:bCs w:val="0"/>
        </w:rPr>
        <w:t xml:space="preserve"> and line of treatment</w:t>
      </w:r>
      <w:r w:rsidRPr="00964648">
        <w:rPr>
          <w:b/>
          <w:bCs w:val="0"/>
        </w:rPr>
        <w:t xml:space="preserve"> per EORTC study.</w:t>
      </w:r>
      <w:r w:rsidR="00E77DE7" w:rsidRPr="00964648">
        <w:rPr>
          <w:b/>
          <w:bCs w:val="0"/>
        </w:rPr>
        <w:t xml:space="preserve"> </w:t>
      </w:r>
    </w:p>
    <w:tbl>
      <w:tblPr>
        <w:tblW w:w="1058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1190"/>
        <w:gridCol w:w="1190"/>
        <w:gridCol w:w="1190"/>
        <w:gridCol w:w="1190"/>
        <w:gridCol w:w="1190"/>
        <w:gridCol w:w="1237"/>
      </w:tblGrid>
      <w:tr w:rsidR="007F5D2F" w14:paraId="790369D8" w14:textId="77777777" w:rsidTr="003B470C">
        <w:trPr>
          <w:cantSplit/>
          <w:tblHeader/>
          <w:jc w:val="center"/>
        </w:trPr>
        <w:tc>
          <w:tcPr>
            <w:tcW w:w="3402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shd w:val="clear" w:color="auto" w:fill="E0E0E0"/>
            <w:tcMar>
              <w:left w:w="40" w:type="dxa"/>
              <w:right w:w="40" w:type="dxa"/>
            </w:tcMar>
            <w:vAlign w:val="bottom"/>
          </w:tcPr>
          <w:p w14:paraId="44FC2390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E0E0E0"/>
            <w:tcMar>
              <w:left w:w="40" w:type="dxa"/>
              <w:right w:w="40" w:type="dxa"/>
            </w:tcMar>
            <w:vAlign w:val="bottom"/>
          </w:tcPr>
          <w:p w14:paraId="17ED33FD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Study</w:t>
            </w:r>
          </w:p>
        </w:tc>
        <w:tc>
          <w:tcPr>
            <w:tcW w:w="1237" w:type="dxa"/>
            <w:vMerge w:val="restart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shd w:val="clear" w:color="auto" w:fill="E0E0E0"/>
            <w:tcMar>
              <w:left w:w="40" w:type="dxa"/>
              <w:right w:w="40" w:type="dxa"/>
            </w:tcMar>
            <w:vAlign w:val="bottom"/>
          </w:tcPr>
          <w:p w14:paraId="01F0413D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  <w:t>(N=1034)</w:t>
            </w:r>
          </w:p>
        </w:tc>
      </w:tr>
      <w:tr w:rsidR="007F5D2F" w14:paraId="7A8E6766" w14:textId="77777777" w:rsidTr="003B470C">
        <w:trPr>
          <w:cantSplit/>
          <w:tblHeader/>
          <w:jc w:val="center"/>
        </w:trPr>
        <w:tc>
          <w:tcPr>
            <w:tcW w:w="3402" w:type="dxa"/>
            <w:vMerge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shd w:val="clear" w:color="auto" w:fill="E0E0E0"/>
            <w:tcMar>
              <w:left w:w="40" w:type="dxa"/>
              <w:right w:w="40" w:type="dxa"/>
            </w:tcMar>
            <w:vAlign w:val="bottom"/>
          </w:tcPr>
          <w:p w14:paraId="13007584" w14:textId="77777777" w:rsidR="007F5D2F" w:rsidRDefault="007F5D2F" w:rsidP="00DC3458">
            <w:pPr>
              <w:adjustRightInd w:val="0"/>
              <w:rPr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tcMar>
              <w:left w:w="40" w:type="dxa"/>
              <w:right w:w="40" w:type="dxa"/>
            </w:tcMar>
            <w:vAlign w:val="bottom"/>
          </w:tcPr>
          <w:p w14:paraId="13A8FEAE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62012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  <w:t>(N=439)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tcMar>
              <w:left w:w="40" w:type="dxa"/>
              <w:right w:w="40" w:type="dxa"/>
            </w:tcMar>
            <w:vAlign w:val="bottom"/>
          </w:tcPr>
          <w:p w14:paraId="553F15C1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62043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  <w:t>(N=137)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tcMar>
              <w:left w:w="40" w:type="dxa"/>
              <w:right w:w="40" w:type="dxa"/>
            </w:tcMar>
            <w:vAlign w:val="bottom"/>
          </w:tcPr>
          <w:p w14:paraId="70325DF5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62052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  <w:t>(N=111)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tcMar>
              <w:left w:w="40" w:type="dxa"/>
              <w:right w:w="40" w:type="dxa"/>
            </w:tcMar>
            <w:vAlign w:val="bottom"/>
          </w:tcPr>
          <w:p w14:paraId="574B7FD5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62072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  <w:t>(N=221)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tcMar>
              <w:left w:w="40" w:type="dxa"/>
              <w:right w:w="40" w:type="dxa"/>
            </w:tcMar>
            <w:vAlign w:val="bottom"/>
          </w:tcPr>
          <w:p w14:paraId="0673E3BA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62091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  <w:t>(N=126)</w:t>
            </w:r>
          </w:p>
        </w:tc>
        <w:tc>
          <w:tcPr>
            <w:tcW w:w="1237" w:type="dxa"/>
            <w:vMerge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shd w:val="clear" w:color="auto" w:fill="E0E0E0"/>
            <w:tcMar>
              <w:left w:w="40" w:type="dxa"/>
              <w:right w:w="40" w:type="dxa"/>
            </w:tcMar>
            <w:vAlign w:val="bottom"/>
          </w:tcPr>
          <w:p w14:paraId="26F405C7" w14:textId="77777777" w:rsidR="007F5D2F" w:rsidRDefault="007F5D2F" w:rsidP="00DC3458">
            <w:pPr>
              <w:adjustRightInd w:val="0"/>
              <w:rPr>
                <w:sz w:val="24"/>
                <w:szCs w:val="24"/>
              </w:rPr>
            </w:pPr>
          </w:p>
        </w:tc>
      </w:tr>
      <w:tr w:rsidR="007F5D2F" w14:paraId="40D1D570" w14:textId="77777777" w:rsidTr="003B470C">
        <w:trPr>
          <w:cantSplit/>
          <w:tblHeader/>
          <w:jc w:val="center"/>
        </w:trPr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0E0E0"/>
            <w:tcMar>
              <w:left w:w="40" w:type="dxa"/>
              <w:right w:w="40" w:type="dxa"/>
            </w:tcMar>
            <w:vAlign w:val="bottom"/>
          </w:tcPr>
          <w:p w14:paraId="4421B887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E0E0E0"/>
            <w:tcMar>
              <w:left w:w="40" w:type="dxa"/>
              <w:right w:w="40" w:type="dxa"/>
            </w:tcMar>
            <w:vAlign w:val="bottom"/>
          </w:tcPr>
          <w:p w14:paraId="5CB0F247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E0E0E0"/>
            <w:tcMar>
              <w:left w:w="40" w:type="dxa"/>
              <w:right w:w="40" w:type="dxa"/>
            </w:tcMar>
            <w:vAlign w:val="bottom"/>
          </w:tcPr>
          <w:p w14:paraId="0B4B6277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E0E0E0"/>
            <w:tcMar>
              <w:left w:w="40" w:type="dxa"/>
              <w:right w:w="40" w:type="dxa"/>
            </w:tcMar>
            <w:vAlign w:val="bottom"/>
          </w:tcPr>
          <w:p w14:paraId="660D2C72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E0E0E0"/>
            <w:tcMar>
              <w:left w:w="40" w:type="dxa"/>
              <w:right w:w="40" w:type="dxa"/>
            </w:tcMar>
            <w:vAlign w:val="bottom"/>
          </w:tcPr>
          <w:p w14:paraId="226EFA9E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E0E0E0"/>
            <w:tcMar>
              <w:left w:w="40" w:type="dxa"/>
              <w:right w:w="40" w:type="dxa"/>
            </w:tcMar>
            <w:vAlign w:val="bottom"/>
          </w:tcPr>
          <w:p w14:paraId="169133C7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0E0E0"/>
            <w:tcMar>
              <w:left w:w="40" w:type="dxa"/>
              <w:right w:w="40" w:type="dxa"/>
            </w:tcMar>
            <w:vAlign w:val="bottom"/>
          </w:tcPr>
          <w:p w14:paraId="5B7C0B7E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 (%)</w:t>
            </w:r>
          </w:p>
        </w:tc>
      </w:tr>
      <w:tr w:rsidR="007F5D2F" w14:paraId="1CE3F4CA" w14:textId="77777777" w:rsidTr="003B470C">
        <w:trPr>
          <w:cantSplit/>
          <w:jc w:val="center"/>
        </w:trPr>
        <w:tc>
          <w:tcPr>
            <w:tcW w:w="3402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E0E0E0"/>
            <w:tcMar>
              <w:left w:w="40" w:type="dxa"/>
              <w:right w:w="40" w:type="dxa"/>
            </w:tcMar>
          </w:tcPr>
          <w:p w14:paraId="4CF5FC68" w14:textId="77777777" w:rsidR="007F5D2F" w:rsidRDefault="007F5D2F" w:rsidP="00DC3458">
            <w:pPr>
              <w:adjustRightInd w:val="0"/>
              <w:spacing w:before="40" w:after="4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Intended treatment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13E11001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                                          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3C2FB142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                                          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0CB001FA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                                          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574894DB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                                          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168388E0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                                                                      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2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4F26C1C1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                                                                      </w:t>
            </w:r>
          </w:p>
        </w:tc>
      </w:tr>
      <w:tr w:rsidR="007F5D2F" w14:paraId="490AE726" w14:textId="77777777" w:rsidTr="003B470C">
        <w:trPr>
          <w:cantSplit/>
          <w:jc w:val="center"/>
        </w:trPr>
        <w:tc>
          <w:tcPr>
            <w:tcW w:w="3402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E0E0E0"/>
            <w:tcMar>
              <w:left w:w="40" w:type="dxa"/>
              <w:right w:w="40" w:type="dxa"/>
            </w:tcMar>
          </w:tcPr>
          <w:p w14:paraId="70329D88" w14:textId="5CC38557" w:rsidR="007F5D2F" w:rsidRDefault="00011883" w:rsidP="00DC3458">
            <w:pPr>
              <w:adjustRightInd w:val="0"/>
              <w:spacing w:before="40" w:after="4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ab/>
              <w:t>D</w:t>
            </w:r>
            <w:r w:rsidR="007F5D2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oxo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rubicin</w:t>
            </w:r>
            <w:r w:rsidR="007F5D2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75mg/m²     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60D2546E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219 (49.9)                                                            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7FFDDAB2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0 (0.0)                                                             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48BBDD98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0 (0.0)                                                             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6A30DEAB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0 (0.0)                                                             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6FDB26C7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42 (33.3)                                                                                        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2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456B8645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261 (25.2)                                                                                        </w:t>
            </w:r>
          </w:p>
        </w:tc>
      </w:tr>
      <w:tr w:rsidR="007F5D2F" w14:paraId="25CC00B4" w14:textId="77777777" w:rsidTr="003B470C">
        <w:trPr>
          <w:cantSplit/>
          <w:jc w:val="center"/>
        </w:trPr>
        <w:tc>
          <w:tcPr>
            <w:tcW w:w="3402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E0E0E0"/>
            <w:tcMar>
              <w:left w:w="40" w:type="dxa"/>
              <w:right w:w="40" w:type="dxa"/>
            </w:tcMar>
          </w:tcPr>
          <w:p w14:paraId="5A2CA696" w14:textId="06A0BC92" w:rsidR="00B12BBF" w:rsidRDefault="00B12BBF" w:rsidP="00B12BBF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GB"/>
              </w:rPr>
            </w:pPr>
            <w:r w:rsidRPr="002D03F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ab/>
            </w:r>
            <w:r w:rsidR="0001188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GB"/>
              </w:rPr>
              <w:t>D</w:t>
            </w:r>
            <w:r w:rsidRPr="00B9131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GB"/>
              </w:rPr>
              <w:t>oxorubici</w:t>
            </w:r>
            <w:r w:rsidRPr="00112FC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GB"/>
              </w:rPr>
              <w:t>n</w:t>
            </w:r>
            <w:r w:rsidRPr="00B9131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GB"/>
              </w:rPr>
              <w:t xml:space="preserve"> 75mg/m²</w:t>
            </w:r>
          </w:p>
          <w:p w14:paraId="42526DBA" w14:textId="7DFFBD27" w:rsidR="007F5D2F" w:rsidRDefault="00B12BBF" w:rsidP="00B12BBF">
            <w:pPr>
              <w:adjustRightInd w:val="0"/>
              <w:spacing w:before="40" w:after="4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GB"/>
              </w:rPr>
              <w:t xml:space="preserve">               </w:t>
            </w:r>
            <w:r w:rsidRPr="00B9131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GB"/>
              </w:rPr>
              <w:t xml:space="preserve"> /ifos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GB"/>
              </w:rPr>
              <w:t>famide</w:t>
            </w:r>
            <w:r w:rsidRPr="00B9131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GB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GB"/>
              </w:rPr>
              <w:t>10</w:t>
            </w:r>
            <w:r w:rsidRPr="00B9131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GB"/>
              </w:rPr>
              <w:t xml:space="preserve">g/m²                            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6F485900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220 (50.1)                                                            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458B4C70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0 (0.0)                                                             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0C002CD9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0 (0.0)                                                             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7DC5313B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0 (0.0)                                                             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10FEB1AD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0 (0.0)                                                                                         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2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15F2FC76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220 (21.3)                                                                                        </w:t>
            </w:r>
          </w:p>
        </w:tc>
      </w:tr>
      <w:tr w:rsidR="007F5D2F" w14:paraId="19E5D63D" w14:textId="77777777" w:rsidTr="003B470C">
        <w:trPr>
          <w:cantSplit/>
          <w:jc w:val="center"/>
        </w:trPr>
        <w:tc>
          <w:tcPr>
            <w:tcW w:w="3402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E0E0E0"/>
            <w:tcMar>
              <w:left w:w="40" w:type="dxa"/>
              <w:right w:w="40" w:type="dxa"/>
            </w:tcMar>
          </w:tcPr>
          <w:p w14:paraId="1E43B7F5" w14:textId="0462B057" w:rsidR="007F5D2F" w:rsidRDefault="00011883" w:rsidP="00DC3458">
            <w:pPr>
              <w:adjustRightInd w:val="0"/>
              <w:spacing w:before="40" w:after="4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ab/>
              <w:t>P</w:t>
            </w:r>
            <w:r w:rsidR="007F5D2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azopanib, 800 mg once daily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26F4FF2F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0 (0.0)                                                             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1FEE6500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137 (100.0)                                                           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17A569F3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0 (0.0)                                                             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3FDE448D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221 (100.0)                                                           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4CF8B4AE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0 (0.0)                                                                                         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2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7C3860C8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358 (34.6)                                                                                        </w:t>
            </w:r>
          </w:p>
        </w:tc>
      </w:tr>
      <w:tr w:rsidR="007F5D2F" w14:paraId="102E9B7D" w14:textId="77777777" w:rsidTr="003B470C">
        <w:trPr>
          <w:cantSplit/>
          <w:jc w:val="center"/>
        </w:trPr>
        <w:tc>
          <w:tcPr>
            <w:tcW w:w="3402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E0E0E0"/>
            <w:tcMar>
              <w:left w:w="40" w:type="dxa"/>
              <w:right w:w="40" w:type="dxa"/>
            </w:tcMar>
          </w:tcPr>
          <w:p w14:paraId="2158A61F" w14:textId="77777777" w:rsidR="007F5D2F" w:rsidRDefault="007F5D2F" w:rsidP="00DC3458">
            <w:pPr>
              <w:adjustRightInd w:val="0"/>
              <w:spacing w:before="40" w:after="4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ab/>
              <w:t xml:space="preserve">Trabectedin 1.3 mg/m², 3 hrs IV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60E9C36F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0 (0.0)                                                             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02FB60CE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0 (0.0)                                                             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00BD6C66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0 (0.0)                                                             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7DF422F3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0 (0.0)                                                             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19EDC753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44 (34.9)                                                                                        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2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520475F8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44 (4.3)                                                                                         </w:t>
            </w:r>
          </w:p>
        </w:tc>
      </w:tr>
      <w:tr w:rsidR="007F5D2F" w14:paraId="28C737E2" w14:textId="77777777" w:rsidTr="003B470C">
        <w:trPr>
          <w:cantSplit/>
          <w:jc w:val="center"/>
        </w:trPr>
        <w:tc>
          <w:tcPr>
            <w:tcW w:w="3402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E0E0E0"/>
            <w:tcMar>
              <w:left w:w="40" w:type="dxa"/>
              <w:right w:w="40" w:type="dxa"/>
            </w:tcMar>
          </w:tcPr>
          <w:p w14:paraId="670FCF91" w14:textId="77777777" w:rsidR="007F5D2F" w:rsidRDefault="007F5D2F" w:rsidP="00DC3458">
            <w:pPr>
              <w:adjustRightInd w:val="0"/>
              <w:spacing w:before="40" w:after="4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ab/>
              <w:t xml:space="preserve">Trabectedin 1.5 mg/m², 24 hrs IV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649AE09D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0 (0.0)                                                             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24A7D94E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0 (0.0)                                                             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564838E3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0 (0.0)                                                             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2BBB351B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0 (0.0)                                                             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47F12214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40 (31.7)                                                                                        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2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08B527DE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40 (3.9)                                                                                         </w:t>
            </w:r>
          </w:p>
        </w:tc>
      </w:tr>
      <w:tr w:rsidR="007F5D2F" w14:paraId="1C5C075D" w14:textId="77777777" w:rsidTr="003B470C">
        <w:trPr>
          <w:cantSplit/>
          <w:jc w:val="center"/>
        </w:trPr>
        <w:tc>
          <w:tcPr>
            <w:tcW w:w="3402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E0E0E0"/>
            <w:tcMar>
              <w:left w:w="40" w:type="dxa"/>
              <w:right w:w="40" w:type="dxa"/>
            </w:tcMar>
          </w:tcPr>
          <w:p w14:paraId="7DB79078" w14:textId="77777777" w:rsidR="007F5D2F" w:rsidRDefault="007F5D2F" w:rsidP="00DC3458">
            <w:pPr>
              <w:adjustRightInd w:val="0"/>
              <w:spacing w:before="40" w:after="4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ab/>
              <w:t xml:space="preserve">Eribulin 1.4 mg/m² every 3 weeks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062E54B7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0 (0.0)                                                             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3A74B38B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0 (0.0)                                                             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2A18A4C7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111 (100.0)                                                           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0E763280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0 (0.0)                                                             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677C018F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0 (0.0)                                                                                         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2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1B54B979" w14:textId="77777777" w:rsidR="007F5D2F" w:rsidRDefault="007F5D2F" w:rsidP="00DC3458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111 (10.7)                                                                                        </w:t>
            </w:r>
          </w:p>
        </w:tc>
      </w:tr>
      <w:tr w:rsidR="003B470C" w14:paraId="01851688" w14:textId="77777777" w:rsidTr="003B470C">
        <w:trPr>
          <w:cantSplit/>
          <w:jc w:val="center"/>
        </w:trPr>
        <w:tc>
          <w:tcPr>
            <w:tcW w:w="3402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E0E0E0"/>
            <w:tcMar>
              <w:left w:w="40" w:type="dxa"/>
              <w:right w:w="40" w:type="dxa"/>
            </w:tcMar>
          </w:tcPr>
          <w:p w14:paraId="538431DE" w14:textId="5E04B129" w:rsidR="003B470C" w:rsidRDefault="003B470C" w:rsidP="003B470C">
            <w:pPr>
              <w:adjustRightInd w:val="0"/>
              <w:spacing w:before="40" w:after="4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Line of treatment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1179EB0B" w14:textId="750D67C1" w:rsidR="003B470C" w:rsidRDefault="003B470C" w:rsidP="003B470C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                                          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0D3AACDD" w14:textId="1E524C9A" w:rsidR="003B470C" w:rsidRDefault="003B470C" w:rsidP="003B470C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                                          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1F063FAD" w14:textId="56518297" w:rsidR="003B470C" w:rsidRDefault="003B470C" w:rsidP="003B470C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                                          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4DC59BD3" w14:textId="100BC21C" w:rsidR="003B470C" w:rsidRDefault="003B470C" w:rsidP="003B470C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                                          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30F7CE89" w14:textId="2E226B30" w:rsidR="003B470C" w:rsidRDefault="003B470C" w:rsidP="003B470C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                                                                      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2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2DBB324A" w14:textId="7976E10F" w:rsidR="003B470C" w:rsidRDefault="003B470C" w:rsidP="003B470C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                                                                      </w:t>
            </w:r>
          </w:p>
        </w:tc>
      </w:tr>
      <w:tr w:rsidR="003B470C" w14:paraId="37092F1C" w14:textId="77777777" w:rsidTr="003B470C">
        <w:trPr>
          <w:cantSplit/>
          <w:jc w:val="center"/>
        </w:trPr>
        <w:tc>
          <w:tcPr>
            <w:tcW w:w="3402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E0E0E0"/>
            <w:tcMar>
              <w:left w:w="40" w:type="dxa"/>
              <w:right w:w="40" w:type="dxa"/>
            </w:tcMar>
          </w:tcPr>
          <w:p w14:paraId="6B341430" w14:textId="76610801" w:rsidR="003B470C" w:rsidRDefault="003B470C" w:rsidP="003B470C">
            <w:pPr>
              <w:adjustRightInd w:val="0"/>
              <w:spacing w:before="40" w:after="4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ab/>
              <w:t xml:space="preserve">1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47F7775D" w14:textId="037D0F78" w:rsidR="003B470C" w:rsidRDefault="003B470C" w:rsidP="003B470C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427 (97.3)                                                            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7BAB036C" w14:textId="6FC720DE" w:rsidR="003B470C" w:rsidRDefault="003B470C" w:rsidP="003B470C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2 (1.5)                                                             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6AAF41DD" w14:textId="4544E048" w:rsidR="003B470C" w:rsidRDefault="003B470C" w:rsidP="003B470C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0 (0.0)                                                             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607EB065" w14:textId="7E5CF8E7" w:rsidR="003B470C" w:rsidRDefault="003B470C" w:rsidP="003B470C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13 (5.9)                                                             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77420F38" w14:textId="4FC5B273" w:rsidR="003B470C" w:rsidRDefault="003B470C" w:rsidP="003B470C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123 (97.6)                                                                                        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2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3C4ED333" w14:textId="6E5BBB6B" w:rsidR="003B470C" w:rsidRDefault="003B470C" w:rsidP="003B470C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565 (54.6)                                                                                        </w:t>
            </w:r>
          </w:p>
        </w:tc>
      </w:tr>
      <w:tr w:rsidR="003B470C" w14:paraId="5C4ABD37" w14:textId="77777777" w:rsidTr="003B470C">
        <w:trPr>
          <w:cantSplit/>
          <w:jc w:val="center"/>
        </w:trPr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0E0E0"/>
            <w:tcMar>
              <w:left w:w="40" w:type="dxa"/>
              <w:right w:w="40" w:type="dxa"/>
            </w:tcMar>
          </w:tcPr>
          <w:p w14:paraId="2133B24B" w14:textId="3A49C949" w:rsidR="003B470C" w:rsidRDefault="003B470C" w:rsidP="003B470C">
            <w:pPr>
              <w:adjustRightInd w:val="0"/>
              <w:spacing w:before="40" w:after="4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ab/>
              <w:t xml:space="preserve">2+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574BBE16" w14:textId="3BBBDB59" w:rsidR="003B470C" w:rsidRDefault="003B470C" w:rsidP="003B470C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12 (2.7)                                                             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0FC83FD7" w14:textId="30DAB967" w:rsidR="003B470C" w:rsidRDefault="003B470C" w:rsidP="003B470C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135 (98.5)                                                            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1045D986" w14:textId="5207769D" w:rsidR="003B470C" w:rsidRDefault="003B470C" w:rsidP="003B470C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111 (100.0)                                                           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62B6A8EB" w14:textId="035E48D8" w:rsidR="003B470C" w:rsidRDefault="003B470C" w:rsidP="003B470C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208 (94.1)                                                                                    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147B24E7" w14:textId="531D37D8" w:rsidR="003B470C" w:rsidRDefault="003B470C" w:rsidP="003B470C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3 (2.4)                                                                                         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53436A1D" w14:textId="22F44E36" w:rsidR="003B470C" w:rsidRDefault="003B470C" w:rsidP="003B470C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469 (45.4)                                                                                        </w:t>
            </w:r>
          </w:p>
        </w:tc>
      </w:tr>
    </w:tbl>
    <w:p w14:paraId="4052D460" w14:textId="346D62C6" w:rsidR="00D940FA" w:rsidRDefault="00D940FA" w:rsidP="003F5CA5">
      <w:pPr>
        <w:rPr>
          <w:rFonts w:ascii="Times New Roman" w:hAnsi="Times New Roman" w:cs="Times New Roman"/>
          <w:bCs/>
          <w:color w:val="0563C1" w:themeColor="hyperlink"/>
          <w:sz w:val="20"/>
          <w:szCs w:val="20"/>
          <w:u w:val="single"/>
          <w:lang w:val="en-US"/>
        </w:rPr>
      </w:pPr>
    </w:p>
    <w:p w14:paraId="6373162D" w14:textId="13CDCD76" w:rsidR="002D57E7" w:rsidRDefault="002D57E7" w:rsidP="003F5CA5">
      <w:pPr>
        <w:rPr>
          <w:rFonts w:ascii="Times New Roman" w:hAnsi="Times New Roman" w:cs="Times New Roman"/>
          <w:bCs/>
          <w:color w:val="0563C1" w:themeColor="hyperlink"/>
          <w:sz w:val="20"/>
          <w:szCs w:val="20"/>
          <w:u w:val="single"/>
          <w:lang w:val="en-US"/>
        </w:rPr>
      </w:pPr>
    </w:p>
    <w:p w14:paraId="1CB39BCD" w14:textId="302586C6" w:rsidR="002D57E7" w:rsidRDefault="002D57E7" w:rsidP="002D57E7">
      <w:pPr>
        <w:adjustRightInd w:val="0"/>
        <w:rPr>
          <w:rFonts w:ascii="Arial" w:hAnsi="Arial" w:cs="Arial"/>
          <w:b/>
          <w:bCs/>
          <w:i/>
          <w:iCs/>
          <w:color w:val="000000"/>
        </w:rPr>
      </w:pPr>
    </w:p>
    <w:p w14:paraId="4AD11A5F" w14:textId="5DC03DE7" w:rsidR="002D57E7" w:rsidRPr="002D57E7" w:rsidRDefault="002D57E7" w:rsidP="002D57E7">
      <w:pPr>
        <w:pStyle w:val="Caption"/>
        <w:keepNext/>
        <w:rPr>
          <w:b/>
        </w:rPr>
      </w:pPr>
      <w:r w:rsidRPr="002D57E7">
        <w:rPr>
          <w:b/>
        </w:rPr>
        <w:t>Table S</w:t>
      </w:r>
      <w:r w:rsidRPr="002D57E7">
        <w:rPr>
          <w:b/>
        </w:rPr>
        <w:fldChar w:fldCharType="begin"/>
      </w:r>
      <w:r w:rsidRPr="002D57E7">
        <w:rPr>
          <w:b/>
        </w:rPr>
        <w:instrText xml:space="preserve"> SEQ Table \* ARABIC </w:instrText>
      </w:r>
      <w:r w:rsidRPr="002D57E7">
        <w:rPr>
          <w:b/>
        </w:rPr>
        <w:fldChar w:fldCharType="separate"/>
      </w:r>
      <w:r w:rsidRPr="002D57E7">
        <w:rPr>
          <w:b/>
          <w:noProof/>
        </w:rPr>
        <w:t>2</w:t>
      </w:r>
      <w:r w:rsidRPr="002D57E7">
        <w:rPr>
          <w:b/>
        </w:rPr>
        <w:fldChar w:fldCharType="end"/>
      </w:r>
      <w:r>
        <w:rPr>
          <w:b/>
        </w:rPr>
        <w:t>: Soft-tissue metastasis (</w:t>
      </w:r>
      <w:r w:rsidR="000030A1">
        <w:rPr>
          <w:b/>
        </w:rPr>
        <w:t>primary</w:t>
      </w:r>
      <w:r>
        <w:rPr>
          <w:b/>
        </w:rPr>
        <w:t xml:space="preserve"> or other soft-tissue invasive)</w:t>
      </w:r>
      <w:r w:rsidRPr="002D57E7">
        <w:rPr>
          <w:b/>
        </w:rPr>
        <w:t xml:space="preserve"> per </w:t>
      </w:r>
      <w:r w:rsidR="002C39DF">
        <w:rPr>
          <w:b/>
        </w:rPr>
        <w:t>histology type</w:t>
      </w:r>
      <w:r w:rsidRPr="002D57E7">
        <w:rPr>
          <w:b/>
        </w:rPr>
        <w:t>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1551"/>
        <w:gridCol w:w="1551"/>
        <w:gridCol w:w="1551"/>
        <w:gridCol w:w="1551"/>
        <w:gridCol w:w="1551"/>
        <w:gridCol w:w="1237"/>
      </w:tblGrid>
      <w:tr w:rsidR="002D57E7" w14:paraId="04531CB3" w14:textId="77777777" w:rsidTr="009926DC">
        <w:trPr>
          <w:cantSplit/>
          <w:tblHeader/>
          <w:jc w:val="center"/>
        </w:trPr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shd w:val="clear" w:color="auto" w:fill="E0E0E0"/>
            <w:tcMar>
              <w:left w:w="40" w:type="dxa"/>
              <w:right w:w="40" w:type="dxa"/>
            </w:tcMar>
            <w:vAlign w:val="bottom"/>
          </w:tcPr>
          <w:p w14:paraId="316CC24B" w14:textId="77777777" w:rsidR="002D57E7" w:rsidRDefault="002D57E7" w:rsidP="009926DC">
            <w:pPr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bookmarkStart w:id="1" w:name="IDX1"/>
            <w:bookmarkEnd w:id="1"/>
          </w:p>
        </w:tc>
        <w:tc>
          <w:tcPr>
            <w:tcW w:w="1551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E0E0E0"/>
            <w:tcMar>
              <w:left w:w="40" w:type="dxa"/>
              <w:right w:w="40" w:type="dxa"/>
            </w:tcMar>
            <w:vAlign w:val="bottom"/>
          </w:tcPr>
          <w:p w14:paraId="34668147" w14:textId="77777777" w:rsidR="002D57E7" w:rsidRDefault="002D57E7" w:rsidP="009926DC">
            <w:pPr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Liposarcoma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  <w:t>(N=100)</w:t>
            </w:r>
          </w:p>
        </w:tc>
        <w:tc>
          <w:tcPr>
            <w:tcW w:w="1551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E0E0E0"/>
            <w:tcMar>
              <w:left w:w="40" w:type="dxa"/>
              <w:right w:w="40" w:type="dxa"/>
            </w:tcMar>
            <w:vAlign w:val="bottom"/>
          </w:tcPr>
          <w:p w14:paraId="5B7A45F3" w14:textId="77777777" w:rsidR="002D57E7" w:rsidRDefault="002D57E7" w:rsidP="009926DC">
            <w:pPr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Leiomyosarcoma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  <w:t>(N=324)</w:t>
            </w:r>
          </w:p>
        </w:tc>
        <w:tc>
          <w:tcPr>
            <w:tcW w:w="1551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E0E0E0"/>
            <w:tcMar>
              <w:left w:w="40" w:type="dxa"/>
              <w:right w:w="40" w:type="dxa"/>
            </w:tcMar>
            <w:vAlign w:val="bottom"/>
          </w:tcPr>
          <w:p w14:paraId="7CDA6E37" w14:textId="77777777" w:rsidR="002D57E7" w:rsidRDefault="002D57E7" w:rsidP="009926DC">
            <w:pPr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Angiosarcoma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  <w:t>(N=29)</w:t>
            </w:r>
          </w:p>
        </w:tc>
        <w:tc>
          <w:tcPr>
            <w:tcW w:w="1551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E0E0E0"/>
            <w:tcMar>
              <w:left w:w="40" w:type="dxa"/>
              <w:right w:w="40" w:type="dxa"/>
            </w:tcMar>
            <w:vAlign w:val="bottom"/>
          </w:tcPr>
          <w:p w14:paraId="62C3263F" w14:textId="77777777" w:rsidR="002D57E7" w:rsidRDefault="002D57E7" w:rsidP="009926DC">
            <w:pPr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Synovial sarcoma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  <w:t>(N=142)</w:t>
            </w:r>
          </w:p>
        </w:tc>
        <w:tc>
          <w:tcPr>
            <w:tcW w:w="1551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E0E0E0"/>
            <w:tcMar>
              <w:left w:w="40" w:type="dxa"/>
              <w:right w:w="40" w:type="dxa"/>
            </w:tcMar>
            <w:vAlign w:val="bottom"/>
          </w:tcPr>
          <w:p w14:paraId="739F18DF" w14:textId="77777777" w:rsidR="002D57E7" w:rsidRDefault="002D57E7" w:rsidP="009926DC">
            <w:pPr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Other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  <w:t>(N=439)</w:t>
            </w:r>
          </w:p>
        </w:tc>
        <w:tc>
          <w:tcPr>
            <w:tcW w:w="1237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shd w:val="clear" w:color="auto" w:fill="E0E0E0"/>
            <w:tcMar>
              <w:left w:w="40" w:type="dxa"/>
              <w:right w:w="40" w:type="dxa"/>
            </w:tcMar>
            <w:vAlign w:val="bottom"/>
          </w:tcPr>
          <w:p w14:paraId="398A28FC" w14:textId="77777777" w:rsidR="002D57E7" w:rsidRDefault="002D57E7" w:rsidP="009926DC">
            <w:pPr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  <w:t>(N=1034)</w:t>
            </w:r>
          </w:p>
        </w:tc>
      </w:tr>
      <w:tr w:rsidR="002D57E7" w14:paraId="4033AF23" w14:textId="77777777" w:rsidTr="009926DC">
        <w:trPr>
          <w:cantSplit/>
          <w:tblHeader/>
          <w:jc w:val="center"/>
        </w:trPr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0E0E0"/>
            <w:tcMar>
              <w:left w:w="40" w:type="dxa"/>
              <w:right w:w="40" w:type="dxa"/>
            </w:tcMar>
            <w:vAlign w:val="bottom"/>
          </w:tcPr>
          <w:p w14:paraId="0380A7A4" w14:textId="77777777" w:rsidR="002D57E7" w:rsidRDefault="002D57E7" w:rsidP="009926DC">
            <w:pPr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E0E0E0"/>
            <w:tcMar>
              <w:left w:w="40" w:type="dxa"/>
              <w:right w:w="40" w:type="dxa"/>
            </w:tcMar>
            <w:vAlign w:val="bottom"/>
          </w:tcPr>
          <w:p w14:paraId="79AC0349" w14:textId="77777777" w:rsidR="002D57E7" w:rsidRDefault="002D57E7" w:rsidP="009926DC">
            <w:pPr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E0E0E0"/>
            <w:tcMar>
              <w:left w:w="40" w:type="dxa"/>
              <w:right w:w="40" w:type="dxa"/>
            </w:tcMar>
            <w:vAlign w:val="bottom"/>
          </w:tcPr>
          <w:p w14:paraId="5706F703" w14:textId="77777777" w:rsidR="002D57E7" w:rsidRDefault="002D57E7" w:rsidP="009926DC">
            <w:pPr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E0E0E0"/>
            <w:tcMar>
              <w:left w:w="40" w:type="dxa"/>
              <w:right w:w="40" w:type="dxa"/>
            </w:tcMar>
            <w:vAlign w:val="bottom"/>
          </w:tcPr>
          <w:p w14:paraId="413F12B8" w14:textId="77777777" w:rsidR="002D57E7" w:rsidRDefault="002D57E7" w:rsidP="009926DC">
            <w:pPr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E0E0E0"/>
            <w:tcMar>
              <w:left w:w="40" w:type="dxa"/>
              <w:right w:w="40" w:type="dxa"/>
            </w:tcMar>
            <w:vAlign w:val="bottom"/>
          </w:tcPr>
          <w:p w14:paraId="2BBDF483" w14:textId="77777777" w:rsidR="002D57E7" w:rsidRDefault="002D57E7" w:rsidP="009926DC">
            <w:pPr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E0E0E0"/>
            <w:tcMar>
              <w:left w:w="40" w:type="dxa"/>
              <w:right w:w="40" w:type="dxa"/>
            </w:tcMar>
            <w:vAlign w:val="bottom"/>
          </w:tcPr>
          <w:p w14:paraId="315A0CFF" w14:textId="77777777" w:rsidR="002D57E7" w:rsidRDefault="002D57E7" w:rsidP="009926DC">
            <w:pPr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 (%)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0E0E0"/>
            <w:tcMar>
              <w:left w:w="40" w:type="dxa"/>
              <w:right w:w="40" w:type="dxa"/>
            </w:tcMar>
            <w:vAlign w:val="bottom"/>
          </w:tcPr>
          <w:p w14:paraId="66B17072" w14:textId="77777777" w:rsidR="002D57E7" w:rsidRDefault="002D57E7" w:rsidP="009926DC">
            <w:pPr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 (%)</w:t>
            </w:r>
          </w:p>
        </w:tc>
      </w:tr>
      <w:tr w:rsidR="002D57E7" w14:paraId="37FACB8A" w14:textId="77777777" w:rsidTr="009926DC">
        <w:trPr>
          <w:cantSplit/>
          <w:jc w:val="center"/>
        </w:trPr>
        <w:tc>
          <w:tcPr>
            <w:tcW w:w="3402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E0E0E0"/>
            <w:tcMar>
              <w:left w:w="40" w:type="dxa"/>
              <w:right w:w="40" w:type="dxa"/>
            </w:tcMar>
          </w:tcPr>
          <w:p w14:paraId="19D2B6DF" w14:textId="77777777" w:rsidR="002D57E7" w:rsidRDefault="002D57E7" w:rsidP="009926DC">
            <w:pPr>
              <w:adjustRightInd w:val="0"/>
              <w:spacing w:before="40" w:after="4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Metastasis in soft-tissue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43BE44BB" w14:textId="77777777" w:rsidR="002D57E7" w:rsidRDefault="002D57E7" w:rsidP="009926DC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                                                                      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755F8ADA" w14:textId="77777777" w:rsidR="002D57E7" w:rsidRDefault="002D57E7" w:rsidP="009926DC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                                                                      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6D5ED3FD" w14:textId="77777777" w:rsidR="002D57E7" w:rsidRDefault="002D57E7" w:rsidP="009926DC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                                                                      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69F7886B" w14:textId="77777777" w:rsidR="002D57E7" w:rsidRDefault="002D57E7" w:rsidP="009926DC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                                                                      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58396648" w14:textId="77777777" w:rsidR="002D57E7" w:rsidRDefault="002D57E7" w:rsidP="009926DC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                                                                      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2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2D15CA33" w14:textId="77777777" w:rsidR="002D57E7" w:rsidRDefault="002D57E7" w:rsidP="009926DC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                                                                      </w:t>
            </w:r>
          </w:p>
        </w:tc>
      </w:tr>
      <w:tr w:rsidR="002D57E7" w14:paraId="4B2F527C" w14:textId="77777777" w:rsidTr="009926DC">
        <w:trPr>
          <w:cantSplit/>
          <w:jc w:val="center"/>
        </w:trPr>
        <w:tc>
          <w:tcPr>
            <w:tcW w:w="3402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E0E0E0"/>
            <w:tcMar>
              <w:left w:w="40" w:type="dxa"/>
              <w:right w:w="40" w:type="dxa"/>
            </w:tcMar>
          </w:tcPr>
          <w:p w14:paraId="2B5F2BC6" w14:textId="77777777" w:rsidR="002D57E7" w:rsidRDefault="002D57E7" w:rsidP="009926DC">
            <w:pPr>
              <w:adjustRightInd w:val="0"/>
              <w:spacing w:before="40" w:after="4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ab/>
              <w:t xml:space="preserve">Absent                  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7D1F1F12" w14:textId="77777777" w:rsidR="002D57E7" w:rsidRDefault="002D57E7" w:rsidP="009926DC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19 (19.0)                                                                                        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2DF7F512" w14:textId="77777777" w:rsidR="002D57E7" w:rsidRDefault="002D57E7" w:rsidP="009926DC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169 (52.2)                                                                                        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1C816D03" w14:textId="77777777" w:rsidR="002D57E7" w:rsidRDefault="002D57E7" w:rsidP="009926DC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6 (20.7)                                                                                        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2C3FCBC8" w14:textId="77777777" w:rsidR="002D57E7" w:rsidRDefault="002D57E7" w:rsidP="009926DC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85 (59.9)                                                                                        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26797A45" w14:textId="77777777" w:rsidR="002D57E7" w:rsidRDefault="002D57E7" w:rsidP="009926DC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199 (45.3)                                                                                        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2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1D546EE7" w14:textId="77777777" w:rsidR="002D57E7" w:rsidRDefault="002D57E7" w:rsidP="009926DC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478 (46.2)                                                                                        </w:t>
            </w:r>
          </w:p>
        </w:tc>
      </w:tr>
      <w:tr w:rsidR="002D57E7" w14:paraId="748269D1" w14:textId="77777777" w:rsidTr="009926DC">
        <w:trPr>
          <w:cantSplit/>
          <w:jc w:val="center"/>
        </w:trPr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0E0E0"/>
            <w:tcMar>
              <w:left w:w="40" w:type="dxa"/>
              <w:right w:w="40" w:type="dxa"/>
            </w:tcMar>
          </w:tcPr>
          <w:p w14:paraId="717C2C38" w14:textId="77777777" w:rsidR="002D57E7" w:rsidRDefault="002D57E7" w:rsidP="009926DC">
            <w:pPr>
              <w:adjustRightInd w:val="0"/>
              <w:spacing w:before="40" w:after="4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ab/>
              <w:t xml:space="preserve">Present                 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43B963FE" w14:textId="77777777" w:rsidR="002D57E7" w:rsidRDefault="002D57E7" w:rsidP="009926DC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81 (81.0)                                                                                        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3A3DE6A8" w14:textId="77777777" w:rsidR="002D57E7" w:rsidRDefault="002D57E7" w:rsidP="009926DC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155 (47.8)                                                                                        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73C69DA2" w14:textId="77777777" w:rsidR="002D57E7" w:rsidRDefault="002D57E7" w:rsidP="009926DC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23 (79.3)                                                                                        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259A518E" w14:textId="77777777" w:rsidR="002D57E7" w:rsidRDefault="002D57E7" w:rsidP="009926DC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57 (40.1)                                                                                        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2C37783F" w14:textId="77777777" w:rsidR="002D57E7" w:rsidRDefault="002D57E7" w:rsidP="009926DC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240 (54.7)                                                                                        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670CE38C" w14:textId="77777777" w:rsidR="002D57E7" w:rsidRDefault="002D57E7" w:rsidP="009926DC">
            <w:pPr>
              <w:adjustRightInd w:val="0"/>
              <w:spacing w:before="40" w:after="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556 (53.8)                                                                                        </w:t>
            </w:r>
          </w:p>
        </w:tc>
      </w:tr>
    </w:tbl>
    <w:p w14:paraId="594FD4F9" w14:textId="77777777" w:rsidR="002D57E7" w:rsidRDefault="002D57E7" w:rsidP="002D57E7">
      <w:pPr>
        <w:rPr>
          <w:rFonts w:ascii="Times New Roman" w:hAnsi="Times New Roman" w:cs="Times New Roman"/>
          <w:bCs/>
          <w:color w:val="0563C1" w:themeColor="hyperlink"/>
          <w:sz w:val="20"/>
          <w:szCs w:val="20"/>
          <w:u w:val="single"/>
          <w:lang w:val="en-US"/>
        </w:rPr>
      </w:pPr>
    </w:p>
    <w:p w14:paraId="223B33DB" w14:textId="77777777" w:rsidR="002D57E7" w:rsidRDefault="002D57E7" w:rsidP="003F5CA5">
      <w:pPr>
        <w:rPr>
          <w:rFonts w:ascii="Times New Roman" w:hAnsi="Times New Roman" w:cs="Times New Roman"/>
          <w:bCs/>
          <w:color w:val="0563C1" w:themeColor="hyperlink"/>
          <w:sz w:val="20"/>
          <w:szCs w:val="20"/>
          <w:u w:val="single"/>
          <w:lang w:val="en-US"/>
        </w:rPr>
      </w:pPr>
    </w:p>
    <w:p w14:paraId="69572F59" w14:textId="77777777" w:rsidR="00D940FA" w:rsidRDefault="00D940FA" w:rsidP="00D940FA">
      <w:pPr>
        <w:keepNext/>
      </w:pPr>
      <w:r>
        <w:rPr>
          <w:b/>
          <w:noProof/>
          <w:kern w:val="40"/>
          <w:sz w:val="40"/>
          <w:lang w:eastAsia="en-GB"/>
        </w:rPr>
        <w:lastRenderedPageBreak/>
        <w:drawing>
          <wp:inline distT="0" distB="0" distL="0" distR="0" wp14:anchorId="6505C3D4" wp14:editId="1329FB90">
            <wp:extent cx="5731510" cy="2310974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604A" w14:textId="206880C0" w:rsidR="00F935B0" w:rsidRPr="00964648" w:rsidRDefault="00D940FA" w:rsidP="00507D17">
      <w:pPr>
        <w:pStyle w:val="Caption"/>
        <w:rPr>
          <w:b/>
          <w:bCs w:val="0"/>
          <w:color w:val="0563C1" w:themeColor="hyperlink"/>
          <w:u w:val="single"/>
        </w:rPr>
      </w:pPr>
      <w:r w:rsidRPr="00964648">
        <w:rPr>
          <w:b/>
          <w:bCs w:val="0"/>
        </w:rPr>
        <w:t>Figure S</w:t>
      </w:r>
      <w:r w:rsidRPr="00964648">
        <w:rPr>
          <w:b/>
          <w:bCs w:val="0"/>
        </w:rPr>
        <w:fldChar w:fldCharType="begin"/>
      </w:r>
      <w:r w:rsidRPr="00964648">
        <w:rPr>
          <w:b/>
          <w:bCs w:val="0"/>
        </w:rPr>
        <w:instrText xml:space="preserve"> SEQ Figure \* ARABIC </w:instrText>
      </w:r>
      <w:r w:rsidRPr="00964648">
        <w:rPr>
          <w:b/>
          <w:bCs w:val="0"/>
        </w:rPr>
        <w:fldChar w:fldCharType="separate"/>
      </w:r>
      <w:r w:rsidR="00E31E86" w:rsidRPr="00964648">
        <w:rPr>
          <w:b/>
          <w:bCs w:val="0"/>
          <w:noProof/>
        </w:rPr>
        <w:t>1</w:t>
      </w:r>
      <w:r w:rsidRPr="00964648">
        <w:rPr>
          <w:b/>
          <w:bCs w:val="0"/>
        </w:rPr>
        <w:fldChar w:fldCharType="end"/>
      </w:r>
      <w:r w:rsidRPr="00964648">
        <w:rPr>
          <w:b/>
          <w:bCs w:val="0"/>
        </w:rPr>
        <w:t xml:space="preserve">: Forest plot </w:t>
      </w:r>
      <w:r w:rsidR="001D0804">
        <w:rPr>
          <w:b/>
          <w:bCs w:val="0"/>
        </w:rPr>
        <w:t>of</w:t>
      </w:r>
      <w:r w:rsidRPr="00964648">
        <w:rPr>
          <w:b/>
          <w:bCs w:val="0"/>
        </w:rPr>
        <w:t xml:space="preserve"> the (unadjusted) </w:t>
      </w:r>
      <w:r w:rsidR="001D0804">
        <w:rPr>
          <w:b/>
          <w:bCs w:val="0"/>
        </w:rPr>
        <w:t>interaction</w:t>
      </w:r>
      <w:r w:rsidR="00667E70">
        <w:rPr>
          <w:b/>
          <w:bCs w:val="0"/>
        </w:rPr>
        <w:t xml:space="preserve"> effect between treatment line and bone metastasis</w:t>
      </w:r>
      <w:r w:rsidRPr="00964648">
        <w:rPr>
          <w:b/>
          <w:bCs w:val="0"/>
        </w:rPr>
        <w:t xml:space="preserve"> for OS.</w:t>
      </w:r>
    </w:p>
    <w:p w14:paraId="605DEC93" w14:textId="77777777" w:rsidR="00507D17" w:rsidRDefault="00F935B0" w:rsidP="00507D17">
      <w:pPr>
        <w:keepNext/>
      </w:pPr>
      <w:r>
        <w:rPr>
          <w:rFonts w:ascii="Arial" w:hAnsi="Arial" w:cs="Arial"/>
          <w:b/>
          <w:bCs/>
          <w:i/>
          <w:iCs/>
          <w:noProof/>
          <w:color w:val="000000"/>
          <w:lang w:eastAsia="en-GB"/>
        </w:rPr>
        <w:drawing>
          <wp:inline distT="0" distB="0" distL="0" distR="0" wp14:anchorId="207ABFFD" wp14:editId="63BD1C2B">
            <wp:extent cx="5731510" cy="2272397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8C03" w14:textId="7E456CC3" w:rsidR="00D940FA" w:rsidRPr="00964648" w:rsidRDefault="00507D17" w:rsidP="00005CBB">
      <w:pPr>
        <w:pStyle w:val="Caption"/>
        <w:rPr>
          <w:b/>
          <w:bCs w:val="0"/>
        </w:rPr>
      </w:pPr>
      <w:r w:rsidRPr="00964648">
        <w:rPr>
          <w:b/>
          <w:bCs w:val="0"/>
        </w:rPr>
        <w:t>Figure S</w:t>
      </w:r>
      <w:r w:rsidRPr="00964648">
        <w:rPr>
          <w:b/>
          <w:bCs w:val="0"/>
        </w:rPr>
        <w:fldChar w:fldCharType="begin"/>
      </w:r>
      <w:r w:rsidRPr="00964648">
        <w:rPr>
          <w:b/>
          <w:bCs w:val="0"/>
        </w:rPr>
        <w:instrText xml:space="preserve"> SEQ Figure \* ARABIC </w:instrText>
      </w:r>
      <w:r w:rsidRPr="00964648">
        <w:rPr>
          <w:b/>
          <w:bCs w:val="0"/>
        </w:rPr>
        <w:fldChar w:fldCharType="separate"/>
      </w:r>
      <w:r w:rsidR="00E31E86" w:rsidRPr="00964648">
        <w:rPr>
          <w:b/>
          <w:bCs w:val="0"/>
          <w:noProof/>
        </w:rPr>
        <w:t>2</w:t>
      </w:r>
      <w:r w:rsidRPr="00964648">
        <w:rPr>
          <w:b/>
          <w:bCs w:val="0"/>
        </w:rPr>
        <w:fldChar w:fldCharType="end"/>
      </w:r>
      <w:r w:rsidRPr="00964648">
        <w:rPr>
          <w:b/>
          <w:bCs w:val="0"/>
        </w:rPr>
        <w:t xml:space="preserve">: Forest plot </w:t>
      </w:r>
      <w:r w:rsidR="001D0804">
        <w:rPr>
          <w:b/>
          <w:bCs w:val="0"/>
        </w:rPr>
        <w:t>of</w:t>
      </w:r>
      <w:r w:rsidR="001D0804" w:rsidRPr="00964648">
        <w:rPr>
          <w:b/>
          <w:bCs w:val="0"/>
        </w:rPr>
        <w:t xml:space="preserve"> the (unadjusted) </w:t>
      </w:r>
      <w:r w:rsidR="00667E70">
        <w:rPr>
          <w:b/>
          <w:bCs w:val="0"/>
        </w:rPr>
        <w:t>interaction effect between treatment line and bone metastasis</w:t>
      </w:r>
      <w:r w:rsidR="001D0804" w:rsidRPr="00964648">
        <w:rPr>
          <w:b/>
          <w:bCs w:val="0"/>
        </w:rPr>
        <w:t xml:space="preserve"> </w:t>
      </w:r>
      <w:r w:rsidRPr="00964648">
        <w:rPr>
          <w:b/>
          <w:bCs w:val="0"/>
        </w:rPr>
        <w:t>for PFS.</w:t>
      </w:r>
    </w:p>
    <w:p w14:paraId="5C432608" w14:textId="23E03FF0" w:rsidR="00507D17" w:rsidRDefault="00A25DB2" w:rsidP="00507D17">
      <w:pPr>
        <w:keepNext/>
      </w:pPr>
      <w:r w:rsidRPr="00CC4027">
        <w:rPr>
          <w:rFonts w:ascii="Times New Roman" w:hAnsi="Times New Roman" w:cs="Times New Roman"/>
          <w:bCs/>
          <w:noProof/>
          <w:sz w:val="24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4AAA7" wp14:editId="2CF80BC2">
                <wp:simplePos x="0" y="0"/>
                <wp:positionH relativeFrom="column">
                  <wp:posOffset>586740</wp:posOffset>
                </wp:positionH>
                <wp:positionV relativeFrom="paragraph">
                  <wp:posOffset>2849880</wp:posOffset>
                </wp:positionV>
                <wp:extent cx="335280" cy="381000"/>
                <wp:effectExtent l="0" t="0" r="26670" b="19050"/>
                <wp:wrapNone/>
                <wp:docPr id="8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2A43FE0-7E6F-4B58-A721-57674C25C5D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1B543" w14:textId="111402D0" w:rsidR="00A25DB2" w:rsidRDefault="00D76031" w:rsidP="00A25DB2">
                            <w:pPr>
                              <w:jc w:val="center"/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804AAA7" id="Rectangle 7" o:spid="_x0000_s1026" style="position:absolute;margin-left:46.2pt;margin-top:224.4pt;width:26.4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" fillcolor="white [3212]" strokecolor="black [3213]" strokeweight="1pt">
                <v:textbox>
                  <w:txbxContent>
                    <w:p w14:paraId="49B1B543" w14:textId="111402D0" w:rsidR="00A25DB2" w:rsidRDefault="00D76031" w:rsidP="00A25DB2">
                      <w:pPr>
                        <w:jc w:val="center"/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C108D3">
        <w:rPr>
          <w:noProof/>
          <w:sz w:val="24"/>
          <w:szCs w:val="24"/>
          <w:lang w:eastAsia="en-GB"/>
        </w:rPr>
        <w:drawing>
          <wp:inline distT="0" distB="0" distL="0" distR="0" wp14:anchorId="0F95E0A9" wp14:editId="732BC6DE">
            <wp:extent cx="5496154" cy="41224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121" cy="414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87DF2" w14:textId="246DF31F" w:rsidR="00005CBB" w:rsidRDefault="00A25DB2" w:rsidP="00507D17">
      <w:pPr>
        <w:keepNext/>
      </w:pPr>
      <w:r w:rsidRPr="00CC4027">
        <w:rPr>
          <w:rFonts w:ascii="Times New Roman" w:hAnsi="Times New Roman" w:cs="Times New Roman"/>
          <w:bCs/>
          <w:noProof/>
          <w:sz w:val="24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48BDD8" wp14:editId="331F897B">
                <wp:simplePos x="0" y="0"/>
                <wp:positionH relativeFrom="column">
                  <wp:posOffset>586740</wp:posOffset>
                </wp:positionH>
                <wp:positionV relativeFrom="paragraph">
                  <wp:posOffset>2855595</wp:posOffset>
                </wp:positionV>
                <wp:extent cx="335280" cy="381000"/>
                <wp:effectExtent l="0" t="0" r="26670" b="19050"/>
                <wp:wrapNone/>
                <wp:docPr id="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37B33" w14:textId="2853914D" w:rsidR="00A25DB2" w:rsidRDefault="00D76031" w:rsidP="00A25DB2">
                            <w:pPr>
                              <w:jc w:val="center"/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148BDD8" id="_x0000_s1027" style="position:absolute;margin-left:46.2pt;margin-top:224.85pt;width:26.4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" fillcolor="white [3212]" strokecolor="black [3213]" strokeweight="1pt">
                <v:textbox>
                  <w:txbxContent>
                    <w:p w14:paraId="61937B33" w14:textId="2853914D" w:rsidR="00A25DB2" w:rsidRDefault="00D76031" w:rsidP="00A25DB2">
                      <w:pPr>
                        <w:jc w:val="center"/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C108D3">
        <w:rPr>
          <w:noProof/>
          <w:sz w:val="24"/>
          <w:szCs w:val="24"/>
          <w:lang w:eastAsia="en-GB"/>
        </w:rPr>
        <w:drawing>
          <wp:inline distT="0" distB="0" distL="0" distR="0" wp14:anchorId="64D9AF95" wp14:editId="4AFE9DA8">
            <wp:extent cx="5518165" cy="413893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109" cy="415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4962" w14:textId="37E06C73" w:rsidR="000F1547" w:rsidRPr="00DE560B" w:rsidRDefault="00507D17" w:rsidP="000F1547">
      <w:pPr>
        <w:pStyle w:val="Caption"/>
      </w:pPr>
      <w:r w:rsidRPr="00DE560B">
        <w:rPr>
          <w:b/>
          <w:bCs w:val="0"/>
        </w:rPr>
        <w:t xml:space="preserve">Figure </w:t>
      </w:r>
      <w:r w:rsidR="00E31E86" w:rsidRPr="00DE560B">
        <w:rPr>
          <w:b/>
          <w:bCs w:val="0"/>
        </w:rPr>
        <w:t>S</w:t>
      </w:r>
      <w:r w:rsidRPr="00DE560B">
        <w:rPr>
          <w:b/>
          <w:bCs w:val="0"/>
        </w:rPr>
        <w:fldChar w:fldCharType="begin"/>
      </w:r>
      <w:r w:rsidRPr="00DE560B">
        <w:rPr>
          <w:b/>
          <w:bCs w:val="0"/>
        </w:rPr>
        <w:instrText xml:space="preserve"> SEQ Figure \* ARABIC </w:instrText>
      </w:r>
      <w:r w:rsidRPr="00DE560B">
        <w:rPr>
          <w:b/>
          <w:bCs w:val="0"/>
        </w:rPr>
        <w:fldChar w:fldCharType="separate"/>
      </w:r>
      <w:r w:rsidR="00E31E86" w:rsidRPr="00DE560B">
        <w:rPr>
          <w:b/>
          <w:bCs w:val="0"/>
          <w:noProof/>
        </w:rPr>
        <w:t>3</w:t>
      </w:r>
      <w:r w:rsidRPr="00DE560B">
        <w:rPr>
          <w:b/>
          <w:bCs w:val="0"/>
        </w:rPr>
        <w:fldChar w:fldCharType="end"/>
      </w:r>
      <w:r w:rsidRPr="00DE560B">
        <w:rPr>
          <w:b/>
          <w:bCs w:val="0"/>
        </w:rPr>
        <w:t xml:space="preserve">: </w:t>
      </w:r>
      <w:r w:rsidR="00092F2C" w:rsidRPr="00DE560B">
        <w:rPr>
          <w:b/>
          <w:bCs w:val="0"/>
        </w:rPr>
        <w:t xml:space="preserve">Estimated OS </w:t>
      </w:r>
      <w:r w:rsidRPr="00DE560B">
        <w:rPr>
          <w:b/>
          <w:bCs w:val="0"/>
        </w:rPr>
        <w:t xml:space="preserve">for the number of other metastatic organ sites </w:t>
      </w:r>
      <w:r w:rsidR="007F31C1" w:rsidRPr="00DE560B">
        <w:rPr>
          <w:b/>
          <w:bCs w:val="0"/>
        </w:rPr>
        <w:t>involved</w:t>
      </w:r>
      <w:r w:rsidRPr="00DE560B">
        <w:rPr>
          <w:b/>
          <w:bCs w:val="0"/>
        </w:rPr>
        <w:t xml:space="preserve"> with bone metastasis</w:t>
      </w:r>
      <w:r w:rsidR="00005CBB" w:rsidRPr="00DE560B">
        <w:rPr>
          <w:b/>
          <w:bCs w:val="0"/>
        </w:rPr>
        <w:t>; (</w:t>
      </w:r>
      <w:r w:rsidR="00D76031" w:rsidRPr="00DE560B">
        <w:rPr>
          <w:b/>
          <w:bCs w:val="0"/>
        </w:rPr>
        <w:t>a</w:t>
      </w:r>
      <w:r w:rsidR="00005CBB" w:rsidRPr="00DE560B">
        <w:rPr>
          <w:b/>
          <w:bCs w:val="0"/>
        </w:rPr>
        <w:t>) first</w:t>
      </w:r>
      <w:r w:rsidR="00C2154A" w:rsidRPr="00DE560B">
        <w:rPr>
          <w:b/>
          <w:bCs w:val="0"/>
        </w:rPr>
        <w:t>-</w:t>
      </w:r>
      <w:r w:rsidR="00005CBB" w:rsidRPr="00DE560B">
        <w:rPr>
          <w:b/>
          <w:bCs w:val="0"/>
        </w:rPr>
        <w:t>line, (</w:t>
      </w:r>
      <w:r w:rsidR="00D76031" w:rsidRPr="00DE560B">
        <w:rPr>
          <w:b/>
          <w:bCs w:val="0"/>
        </w:rPr>
        <w:t>b</w:t>
      </w:r>
      <w:r w:rsidR="009526FE" w:rsidRPr="00DE560B">
        <w:rPr>
          <w:b/>
          <w:bCs w:val="0"/>
        </w:rPr>
        <w:t>) second line or higher</w:t>
      </w:r>
      <w:r w:rsidR="00F61354" w:rsidRPr="00DE560B">
        <w:rPr>
          <w:b/>
          <w:bCs w:val="0"/>
        </w:rPr>
        <w:t xml:space="preserve"> for locally advanced or metastatic population</w:t>
      </w:r>
      <w:r w:rsidR="00005CBB" w:rsidRPr="00DE560B">
        <w:rPr>
          <w:b/>
          <w:bCs w:val="0"/>
        </w:rPr>
        <w:t>.</w:t>
      </w:r>
      <w:r w:rsidR="007F31C1" w:rsidRPr="00DE560B">
        <w:rPr>
          <w:b/>
          <w:bCs w:val="0"/>
        </w:rPr>
        <w:t xml:space="preserve"> </w:t>
      </w:r>
      <w:r w:rsidR="007F31C1" w:rsidRPr="00DE560B">
        <w:t>This subgroup analysis included</w:t>
      </w:r>
      <w:r w:rsidR="00005CBB" w:rsidRPr="00DE560B">
        <w:t xml:space="preserve"> 77 first</w:t>
      </w:r>
      <w:r w:rsidR="00C2154A" w:rsidRPr="00DE560B">
        <w:t>-</w:t>
      </w:r>
      <w:r w:rsidR="009526FE" w:rsidRPr="00DE560B">
        <w:t xml:space="preserve">line and 63 second line or higher </w:t>
      </w:r>
      <w:r w:rsidR="00005CBB" w:rsidRPr="00DE560B">
        <w:t>treated patients</w:t>
      </w:r>
      <w:r w:rsidR="007F31C1" w:rsidRPr="00DE560B">
        <w:t xml:space="preserve"> with bone metastasis. Sites for possible metastases included liver, lymph nodes, lung and other (ascites, pleural effusion, skin or other invasive). </w:t>
      </w:r>
      <w:r w:rsidR="00E31E86" w:rsidRPr="00DE560B">
        <w:t>Note that the lines for 0 (bone metastasis only) and 4 metastases were removed as they included</w:t>
      </w:r>
      <w:r w:rsidR="00A25DB2" w:rsidRPr="00DE560B">
        <w:t xml:space="preserve"> only</w:t>
      </w:r>
      <w:r w:rsidR="00E31E86" w:rsidRPr="00DE560B">
        <w:t xml:space="preserve"> 6</w:t>
      </w:r>
      <w:r w:rsidR="00005CBB" w:rsidRPr="00DE560B">
        <w:t xml:space="preserve"> (first</w:t>
      </w:r>
      <w:r w:rsidR="00C2154A" w:rsidRPr="00DE560B">
        <w:t>-</w:t>
      </w:r>
      <w:r w:rsidR="00005CBB" w:rsidRPr="00DE560B">
        <w:t>line)</w:t>
      </w:r>
      <w:r w:rsidR="00E31E86" w:rsidRPr="00DE560B">
        <w:t xml:space="preserve"> and 7</w:t>
      </w:r>
      <w:r w:rsidR="00005CBB" w:rsidRPr="00DE560B">
        <w:t xml:space="preserve"> </w:t>
      </w:r>
      <w:r w:rsidR="001F352A" w:rsidRPr="00DE560B">
        <w:t>(3 first</w:t>
      </w:r>
      <w:r w:rsidR="00C2154A" w:rsidRPr="00DE560B">
        <w:t>-</w:t>
      </w:r>
      <w:r w:rsidR="001F352A" w:rsidRPr="00DE560B">
        <w:t>line,</w:t>
      </w:r>
      <w:r w:rsidR="009526FE" w:rsidRPr="00DE560B">
        <w:t xml:space="preserve"> 4 second line or higher</w:t>
      </w:r>
      <w:r w:rsidR="001F352A" w:rsidRPr="00DE560B">
        <w:t xml:space="preserve">) </w:t>
      </w:r>
      <w:r w:rsidR="00E31E86" w:rsidRPr="00DE560B">
        <w:t>patients, respectively.</w:t>
      </w:r>
    </w:p>
    <w:p w14:paraId="7FAAD3D3" w14:textId="04143ADE" w:rsidR="00E31E86" w:rsidRDefault="000F1547" w:rsidP="00E31E86">
      <w:pPr>
        <w:keepNext/>
      </w:pPr>
      <w:r w:rsidRPr="00CC4027">
        <w:rPr>
          <w:rFonts w:ascii="Times New Roman" w:hAnsi="Times New Roman" w:cs="Times New Roman"/>
          <w:bCs/>
          <w:noProof/>
          <w:sz w:val="24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BBE7F8" wp14:editId="7C5B37FA">
                <wp:simplePos x="0" y="0"/>
                <wp:positionH relativeFrom="column">
                  <wp:posOffset>594360</wp:posOffset>
                </wp:positionH>
                <wp:positionV relativeFrom="paragraph">
                  <wp:posOffset>2933700</wp:posOffset>
                </wp:positionV>
                <wp:extent cx="335280" cy="381000"/>
                <wp:effectExtent l="0" t="0" r="26670" b="19050"/>
                <wp:wrapNone/>
                <wp:docPr id="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DAC5C" w14:textId="17536790" w:rsidR="000F1547" w:rsidRDefault="00D76031" w:rsidP="000F1547">
                            <w:pPr>
                              <w:jc w:val="center"/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FBBE7F8" id="_x0000_s1028" style="position:absolute;margin-left:46.8pt;margin-top:231pt;width:26.4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" fillcolor="white [3212]" strokecolor="black [3213]" strokeweight="1pt">
                <v:textbox>
                  <w:txbxContent>
                    <w:p w14:paraId="1DBDAC5C" w14:textId="17536790" w:rsidR="000F1547" w:rsidRDefault="00D76031" w:rsidP="000F1547">
                      <w:pPr>
                        <w:jc w:val="center"/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C108D3">
        <w:rPr>
          <w:noProof/>
          <w:sz w:val="24"/>
          <w:szCs w:val="24"/>
          <w:lang w:eastAsia="en-GB"/>
        </w:rPr>
        <w:drawing>
          <wp:inline distT="0" distB="0" distL="0" distR="0" wp14:anchorId="0BEC2BA4" wp14:editId="7247FB29">
            <wp:extent cx="5600700" cy="420083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72" cy="420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45900" w14:textId="63EBF288" w:rsidR="000F1547" w:rsidRDefault="000F1547" w:rsidP="00E31E86">
      <w:pPr>
        <w:keepNext/>
      </w:pPr>
      <w:r w:rsidRPr="00CC4027">
        <w:rPr>
          <w:rFonts w:ascii="Times New Roman" w:hAnsi="Times New Roman" w:cs="Times New Roman"/>
          <w:bCs/>
          <w:noProof/>
          <w:sz w:val="24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B4ECEA" wp14:editId="23F33AE5">
                <wp:simplePos x="0" y="0"/>
                <wp:positionH relativeFrom="column">
                  <wp:posOffset>594360</wp:posOffset>
                </wp:positionH>
                <wp:positionV relativeFrom="paragraph">
                  <wp:posOffset>2941320</wp:posOffset>
                </wp:positionV>
                <wp:extent cx="335280" cy="381000"/>
                <wp:effectExtent l="0" t="0" r="26670" b="19050"/>
                <wp:wrapNone/>
                <wp:docPr id="1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BC6E0" w14:textId="4C30C437" w:rsidR="000F1547" w:rsidRDefault="00D76031" w:rsidP="000F1547">
                            <w:pPr>
                              <w:jc w:val="center"/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2B4ECEA" id="_x0000_s1029" style="position:absolute;margin-left:46.8pt;margin-top:231.6pt;width:26.4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" fillcolor="white [3212]" strokecolor="black [3213]" strokeweight="1pt">
                <v:textbox>
                  <w:txbxContent>
                    <w:p w14:paraId="7C1BC6E0" w14:textId="4C30C437" w:rsidR="000F1547" w:rsidRDefault="00D76031" w:rsidP="000F1547">
                      <w:pPr>
                        <w:jc w:val="center"/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C108D3">
        <w:rPr>
          <w:noProof/>
          <w:sz w:val="24"/>
          <w:szCs w:val="24"/>
          <w:lang w:eastAsia="en-GB"/>
        </w:rPr>
        <w:drawing>
          <wp:inline distT="0" distB="0" distL="0" distR="0" wp14:anchorId="722439EB" wp14:editId="770EF28A">
            <wp:extent cx="5669280" cy="4252274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496" cy="425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853C" w14:textId="58736EFF" w:rsidR="00E31E86" w:rsidRPr="00DE560B" w:rsidRDefault="00E31E86" w:rsidP="000F1547">
      <w:pPr>
        <w:pStyle w:val="Caption"/>
        <w:rPr>
          <w:b/>
          <w:bCs w:val="0"/>
        </w:rPr>
      </w:pPr>
      <w:r w:rsidRPr="00DE560B">
        <w:rPr>
          <w:b/>
          <w:bCs w:val="0"/>
        </w:rPr>
        <w:t xml:space="preserve">Figure </w:t>
      </w:r>
      <w:r w:rsidR="004406FB" w:rsidRPr="00DE560B">
        <w:rPr>
          <w:b/>
          <w:bCs w:val="0"/>
        </w:rPr>
        <w:t>S</w:t>
      </w:r>
      <w:r w:rsidRPr="00DE560B">
        <w:rPr>
          <w:b/>
          <w:bCs w:val="0"/>
        </w:rPr>
        <w:fldChar w:fldCharType="begin"/>
      </w:r>
      <w:r w:rsidRPr="00DE560B">
        <w:rPr>
          <w:b/>
          <w:bCs w:val="0"/>
        </w:rPr>
        <w:instrText xml:space="preserve"> SEQ Figure \* ARABIC </w:instrText>
      </w:r>
      <w:r w:rsidRPr="00DE560B">
        <w:rPr>
          <w:b/>
          <w:bCs w:val="0"/>
        </w:rPr>
        <w:fldChar w:fldCharType="separate"/>
      </w:r>
      <w:r w:rsidRPr="00DE560B">
        <w:rPr>
          <w:b/>
          <w:bCs w:val="0"/>
          <w:noProof/>
        </w:rPr>
        <w:t>4</w:t>
      </w:r>
      <w:r w:rsidRPr="00DE560B">
        <w:rPr>
          <w:b/>
          <w:bCs w:val="0"/>
        </w:rPr>
        <w:fldChar w:fldCharType="end"/>
      </w:r>
      <w:r w:rsidRPr="00DE560B">
        <w:rPr>
          <w:b/>
          <w:bCs w:val="0"/>
        </w:rPr>
        <w:t xml:space="preserve">: </w:t>
      </w:r>
      <w:bookmarkStart w:id="2" w:name="_Hlk79701431"/>
      <w:r w:rsidR="00092F2C" w:rsidRPr="00DE560B">
        <w:rPr>
          <w:b/>
          <w:bCs w:val="0"/>
        </w:rPr>
        <w:t xml:space="preserve">Estimated PFS </w:t>
      </w:r>
      <w:r w:rsidR="000F1547" w:rsidRPr="00DE560B">
        <w:rPr>
          <w:b/>
          <w:bCs w:val="0"/>
        </w:rPr>
        <w:t>for the number of other metastatic organ sites involved with bone metastasis</w:t>
      </w:r>
      <w:bookmarkEnd w:id="2"/>
      <w:r w:rsidR="000F1547" w:rsidRPr="00DE560B">
        <w:rPr>
          <w:b/>
          <w:bCs w:val="0"/>
        </w:rPr>
        <w:t>; (</w:t>
      </w:r>
      <w:r w:rsidR="00D76031" w:rsidRPr="00DE560B">
        <w:rPr>
          <w:b/>
          <w:bCs w:val="0"/>
        </w:rPr>
        <w:t>a</w:t>
      </w:r>
      <w:r w:rsidR="000F1547" w:rsidRPr="00DE560B">
        <w:rPr>
          <w:b/>
          <w:bCs w:val="0"/>
        </w:rPr>
        <w:t>) first</w:t>
      </w:r>
      <w:r w:rsidR="00C2154A" w:rsidRPr="00DE560B">
        <w:rPr>
          <w:b/>
          <w:bCs w:val="0"/>
        </w:rPr>
        <w:t>-</w:t>
      </w:r>
      <w:r w:rsidR="000F1547" w:rsidRPr="00DE560B">
        <w:rPr>
          <w:b/>
          <w:bCs w:val="0"/>
        </w:rPr>
        <w:t>line, (</w:t>
      </w:r>
      <w:r w:rsidR="00D76031" w:rsidRPr="00DE560B">
        <w:rPr>
          <w:b/>
          <w:bCs w:val="0"/>
        </w:rPr>
        <w:t>b</w:t>
      </w:r>
      <w:r w:rsidR="009526FE" w:rsidRPr="00DE560B">
        <w:rPr>
          <w:b/>
          <w:bCs w:val="0"/>
        </w:rPr>
        <w:t>) second line or higher</w:t>
      </w:r>
      <w:r w:rsidR="00F61354" w:rsidRPr="00DE560B">
        <w:rPr>
          <w:b/>
          <w:bCs w:val="0"/>
        </w:rPr>
        <w:t xml:space="preserve"> for locally advanced or metastatic population</w:t>
      </w:r>
      <w:r w:rsidR="000F1547" w:rsidRPr="00DE560B">
        <w:rPr>
          <w:b/>
          <w:bCs w:val="0"/>
        </w:rPr>
        <w:t xml:space="preserve">. </w:t>
      </w:r>
      <w:r w:rsidR="00EA1E8A" w:rsidRPr="00DE560B">
        <w:rPr>
          <w:b/>
          <w:bCs w:val="0"/>
        </w:rPr>
        <w:t xml:space="preserve"> </w:t>
      </w:r>
    </w:p>
    <w:sectPr w:rsidR="00E31E86" w:rsidRPr="00DE560B" w:rsidSect="002D57E7">
      <w:footerReference w:type="default" r:id="rId18"/>
      <w:pgSz w:w="16838" w:h="11906" w:orient="landscape" w:code="9"/>
      <w:pgMar w:top="180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F3EDE" w14:textId="77777777" w:rsidR="0015436F" w:rsidRDefault="0015436F" w:rsidP="00F240F0">
      <w:pPr>
        <w:spacing w:after="0" w:line="240" w:lineRule="auto"/>
      </w:pPr>
      <w:r>
        <w:separator/>
      </w:r>
    </w:p>
  </w:endnote>
  <w:endnote w:type="continuationSeparator" w:id="0">
    <w:p w14:paraId="1112CF6C" w14:textId="77777777" w:rsidR="0015436F" w:rsidRDefault="0015436F" w:rsidP="00F24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4634625"/>
      <w:docPartObj>
        <w:docPartGallery w:val="Page Numbers (Bottom of Page)"/>
        <w:docPartUnique/>
      </w:docPartObj>
    </w:sdtPr>
    <w:sdtEndPr/>
    <w:sdtContent>
      <w:p w14:paraId="530642BF" w14:textId="132D6849" w:rsidR="00B24D73" w:rsidRDefault="00B24D7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41A9" w:rsidRPr="003E41A9">
          <w:rPr>
            <w:noProof/>
            <w:lang w:val="nl-NL"/>
          </w:rPr>
          <w:t>6</w:t>
        </w:r>
        <w:r>
          <w:fldChar w:fldCharType="end"/>
        </w:r>
      </w:p>
    </w:sdtContent>
  </w:sdt>
  <w:p w14:paraId="79DBDFAF" w14:textId="77777777" w:rsidR="00B24D73" w:rsidRDefault="00B24D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063531" w14:textId="77777777" w:rsidR="0015436F" w:rsidRDefault="0015436F" w:rsidP="00F240F0">
      <w:pPr>
        <w:spacing w:after="0" w:line="240" w:lineRule="auto"/>
      </w:pPr>
      <w:r>
        <w:separator/>
      </w:r>
    </w:p>
  </w:footnote>
  <w:footnote w:type="continuationSeparator" w:id="0">
    <w:p w14:paraId="5834F596" w14:textId="77777777" w:rsidR="0015436F" w:rsidRDefault="0015436F" w:rsidP="00F24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A065A"/>
    <w:multiLevelType w:val="hybridMultilevel"/>
    <w:tmpl w:val="B93E03A6"/>
    <w:lvl w:ilvl="0" w:tplc="5D64365C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0116F"/>
    <w:multiLevelType w:val="hybridMultilevel"/>
    <w:tmpl w:val="A3D6DD40"/>
    <w:lvl w:ilvl="0" w:tplc="FA763A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C435B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61388D"/>
    <w:multiLevelType w:val="hybridMultilevel"/>
    <w:tmpl w:val="ACB2BB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73362"/>
    <w:multiLevelType w:val="hybridMultilevel"/>
    <w:tmpl w:val="A398AE88"/>
    <w:lvl w:ilvl="0" w:tplc="BA6A2D5E">
      <w:start w:val="1"/>
      <w:numFmt w:val="bullet"/>
      <w:pStyle w:val="SubtleReferen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B6B5F"/>
    <w:multiLevelType w:val="hybridMultilevel"/>
    <w:tmpl w:val="CE9E1CB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1C6C64"/>
    <w:multiLevelType w:val="hybridMultilevel"/>
    <w:tmpl w:val="34028C0C"/>
    <w:lvl w:ilvl="0" w:tplc="041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C0CE21EE">
      <w:numFmt w:val="bullet"/>
      <w:lvlText w:val=""/>
      <w:lvlJc w:val="left"/>
      <w:pPr>
        <w:ind w:left="1980" w:hanging="360"/>
      </w:pPr>
      <w:rPr>
        <w:rFonts w:ascii="Symbol" w:eastAsiaTheme="minorHAnsi" w:hAnsi="Symbol" w:cs="Arial" w:hint="default"/>
      </w:rPr>
    </w:lvl>
    <w:lvl w:ilvl="3" w:tplc="17546FDE">
      <w:start w:val="1"/>
      <w:numFmt w:val="lowerLetter"/>
      <w:lvlText w:val="%4)"/>
      <w:lvlJc w:val="left"/>
      <w:pPr>
        <w:ind w:left="2520" w:hanging="360"/>
      </w:pPr>
      <w:rPr>
        <w:rFonts w:ascii="Arial" w:eastAsiaTheme="minorHAnsi" w:hAnsi="Arial" w:cs="Arial"/>
      </w:r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mirrorMargins/>
  <w:activeWritingStyle w:appName="MSWord" w:lang="fr-BE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BE" w:vendorID="64" w:dllVersion="4096" w:nlCheck="1" w:checkStyle="0"/>
  <w:activeWritingStyle w:appName="MSWord" w:lang="nl-NL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nl-NL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A1"/>
    <w:rsid w:val="00001877"/>
    <w:rsid w:val="00002CA8"/>
    <w:rsid w:val="000030A1"/>
    <w:rsid w:val="00005CBB"/>
    <w:rsid w:val="0000635C"/>
    <w:rsid w:val="00006C52"/>
    <w:rsid w:val="000106B6"/>
    <w:rsid w:val="00011883"/>
    <w:rsid w:val="00013CD9"/>
    <w:rsid w:val="000158A6"/>
    <w:rsid w:val="00017210"/>
    <w:rsid w:val="0002072F"/>
    <w:rsid w:val="00030BEA"/>
    <w:rsid w:val="00030CC5"/>
    <w:rsid w:val="00032C02"/>
    <w:rsid w:val="00044CA4"/>
    <w:rsid w:val="00047B89"/>
    <w:rsid w:val="00061B17"/>
    <w:rsid w:val="0006468D"/>
    <w:rsid w:val="00065FA8"/>
    <w:rsid w:val="00075D17"/>
    <w:rsid w:val="00080564"/>
    <w:rsid w:val="00085C23"/>
    <w:rsid w:val="00090CE9"/>
    <w:rsid w:val="00091CD5"/>
    <w:rsid w:val="00092F2C"/>
    <w:rsid w:val="000967AA"/>
    <w:rsid w:val="000970EC"/>
    <w:rsid w:val="000A3F7D"/>
    <w:rsid w:val="000A4B64"/>
    <w:rsid w:val="000B0498"/>
    <w:rsid w:val="000B0603"/>
    <w:rsid w:val="000B6028"/>
    <w:rsid w:val="000C327E"/>
    <w:rsid w:val="000C426E"/>
    <w:rsid w:val="000D297B"/>
    <w:rsid w:val="000E7022"/>
    <w:rsid w:val="000F09C9"/>
    <w:rsid w:val="000F1547"/>
    <w:rsid w:val="000F30FF"/>
    <w:rsid w:val="0011225D"/>
    <w:rsid w:val="001160C0"/>
    <w:rsid w:val="001177F3"/>
    <w:rsid w:val="0012001A"/>
    <w:rsid w:val="0012223C"/>
    <w:rsid w:val="00125DA5"/>
    <w:rsid w:val="001261D4"/>
    <w:rsid w:val="00134EB5"/>
    <w:rsid w:val="00135B10"/>
    <w:rsid w:val="001438C5"/>
    <w:rsid w:val="001463E3"/>
    <w:rsid w:val="001510C9"/>
    <w:rsid w:val="0015436F"/>
    <w:rsid w:val="001575AE"/>
    <w:rsid w:val="00175B05"/>
    <w:rsid w:val="001813FE"/>
    <w:rsid w:val="00183217"/>
    <w:rsid w:val="00190C53"/>
    <w:rsid w:val="00192605"/>
    <w:rsid w:val="001A08A0"/>
    <w:rsid w:val="001B6C12"/>
    <w:rsid w:val="001D0804"/>
    <w:rsid w:val="001E1E2E"/>
    <w:rsid w:val="001E1E5A"/>
    <w:rsid w:val="001F352A"/>
    <w:rsid w:val="001F6677"/>
    <w:rsid w:val="001F6783"/>
    <w:rsid w:val="00201BEF"/>
    <w:rsid w:val="00204DFA"/>
    <w:rsid w:val="00206FED"/>
    <w:rsid w:val="002122A3"/>
    <w:rsid w:val="00221C33"/>
    <w:rsid w:val="00226D2E"/>
    <w:rsid w:val="00237D5A"/>
    <w:rsid w:val="00246364"/>
    <w:rsid w:val="00247779"/>
    <w:rsid w:val="00257BFA"/>
    <w:rsid w:val="00263B88"/>
    <w:rsid w:val="002654E4"/>
    <w:rsid w:val="002806E0"/>
    <w:rsid w:val="00281D43"/>
    <w:rsid w:val="00282B34"/>
    <w:rsid w:val="00283A6A"/>
    <w:rsid w:val="002933B7"/>
    <w:rsid w:val="0029752E"/>
    <w:rsid w:val="002A3013"/>
    <w:rsid w:val="002A3AA5"/>
    <w:rsid w:val="002A69DE"/>
    <w:rsid w:val="002A7C78"/>
    <w:rsid w:val="002C39DF"/>
    <w:rsid w:val="002D0C23"/>
    <w:rsid w:val="002D33B4"/>
    <w:rsid w:val="002D57E7"/>
    <w:rsid w:val="002E477D"/>
    <w:rsid w:val="002E69A6"/>
    <w:rsid w:val="002F1F8E"/>
    <w:rsid w:val="002F20AC"/>
    <w:rsid w:val="002F6DCC"/>
    <w:rsid w:val="0030363E"/>
    <w:rsid w:val="003054EF"/>
    <w:rsid w:val="0030598F"/>
    <w:rsid w:val="00307CDA"/>
    <w:rsid w:val="00313688"/>
    <w:rsid w:val="003274D8"/>
    <w:rsid w:val="003313F2"/>
    <w:rsid w:val="00335991"/>
    <w:rsid w:val="0034435F"/>
    <w:rsid w:val="00344BE9"/>
    <w:rsid w:val="00350416"/>
    <w:rsid w:val="003545DA"/>
    <w:rsid w:val="003545E9"/>
    <w:rsid w:val="00357D3D"/>
    <w:rsid w:val="00361F90"/>
    <w:rsid w:val="00370E42"/>
    <w:rsid w:val="0037787D"/>
    <w:rsid w:val="003831FD"/>
    <w:rsid w:val="003A2B06"/>
    <w:rsid w:val="003B3C07"/>
    <w:rsid w:val="003B470C"/>
    <w:rsid w:val="003C5319"/>
    <w:rsid w:val="003C59C4"/>
    <w:rsid w:val="003D37B0"/>
    <w:rsid w:val="003D47E5"/>
    <w:rsid w:val="003D6B72"/>
    <w:rsid w:val="003D6F0D"/>
    <w:rsid w:val="003E41A9"/>
    <w:rsid w:val="003F4EC8"/>
    <w:rsid w:val="003F5CA5"/>
    <w:rsid w:val="00400C30"/>
    <w:rsid w:val="0040272B"/>
    <w:rsid w:val="00403EA1"/>
    <w:rsid w:val="0040620C"/>
    <w:rsid w:val="00407330"/>
    <w:rsid w:val="00410DA8"/>
    <w:rsid w:val="004140D4"/>
    <w:rsid w:val="00415227"/>
    <w:rsid w:val="00422C6D"/>
    <w:rsid w:val="00435701"/>
    <w:rsid w:val="004406FB"/>
    <w:rsid w:val="00443232"/>
    <w:rsid w:val="004538C6"/>
    <w:rsid w:val="00456715"/>
    <w:rsid w:val="004663DC"/>
    <w:rsid w:val="004715E6"/>
    <w:rsid w:val="00475327"/>
    <w:rsid w:val="004811AC"/>
    <w:rsid w:val="00484A5B"/>
    <w:rsid w:val="004864BA"/>
    <w:rsid w:val="004A16AB"/>
    <w:rsid w:val="004A1CD5"/>
    <w:rsid w:val="004A3872"/>
    <w:rsid w:val="004A7A08"/>
    <w:rsid w:val="004B063E"/>
    <w:rsid w:val="004B39FA"/>
    <w:rsid w:val="004D2013"/>
    <w:rsid w:val="004D42EC"/>
    <w:rsid w:val="004E4B7C"/>
    <w:rsid w:val="004E4FED"/>
    <w:rsid w:val="004E5FB8"/>
    <w:rsid w:val="004F2BEB"/>
    <w:rsid w:val="00500676"/>
    <w:rsid w:val="00507D17"/>
    <w:rsid w:val="00510630"/>
    <w:rsid w:val="00516667"/>
    <w:rsid w:val="005244D6"/>
    <w:rsid w:val="00525BFD"/>
    <w:rsid w:val="00527D39"/>
    <w:rsid w:val="0054066E"/>
    <w:rsid w:val="0054287F"/>
    <w:rsid w:val="005432CA"/>
    <w:rsid w:val="005449FB"/>
    <w:rsid w:val="00553DE3"/>
    <w:rsid w:val="00561B28"/>
    <w:rsid w:val="00562CFB"/>
    <w:rsid w:val="00574024"/>
    <w:rsid w:val="00583051"/>
    <w:rsid w:val="00585129"/>
    <w:rsid w:val="00590483"/>
    <w:rsid w:val="00596B1D"/>
    <w:rsid w:val="005B617B"/>
    <w:rsid w:val="005C108A"/>
    <w:rsid w:val="005C6E09"/>
    <w:rsid w:val="005C77F2"/>
    <w:rsid w:val="005D0195"/>
    <w:rsid w:val="005E1FD1"/>
    <w:rsid w:val="006009C8"/>
    <w:rsid w:val="00603C5C"/>
    <w:rsid w:val="00610453"/>
    <w:rsid w:val="0061407F"/>
    <w:rsid w:val="0061556A"/>
    <w:rsid w:val="00625456"/>
    <w:rsid w:val="00635098"/>
    <w:rsid w:val="00635F65"/>
    <w:rsid w:val="00641677"/>
    <w:rsid w:val="006548B6"/>
    <w:rsid w:val="00657B1A"/>
    <w:rsid w:val="00667E70"/>
    <w:rsid w:val="006A0AF1"/>
    <w:rsid w:val="006A2F3A"/>
    <w:rsid w:val="006B2FCB"/>
    <w:rsid w:val="006B3EF2"/>
    <w:rsid w:val="006B4F72"/>
    <w:rsid w:val="006B7384"/>
    <w:rsid w:val="006C76BF"/>
    <w:rsid w:val="006C7C7F"/>
    <w:rsid w:val="006D381D"/>
    <w:rsid w:val="006D5DB5"/>
    <w:rsid w:val="00705703"/>
    <w:rsid w:val="007125B2"/>
    <w:rsid w:val="00713507"/>
    <w:rsid w:val="00721E20"/>
    <w:rsid w:val="00725AC5"/>
    <w:rsid w:val="00725C06"/>
    <w:rsid w:val="0073198E"/>
    <w:rsid w:val="0073278A"/>
    <w:rsid w:val="007331A1"/>
    <w:rsid w:val="00735773"/>
    <w:rsid w:val="007450C6"/>
    <w:rsid w:val="00751B7D"/>
    <w:rsid w:val="0079070A"/>
    <w:rsid w:val="007920F2"/>
    <w:rsid w:val="00797C1C"/>
    <w:rsid w:val="007A1BC9"/>
    <w:rsid w:val="007B2EA6"/>
    <w:rsid w:val="007C2AE0"/>
    <w:rsid w:val="007C3BA6"/>
    <w:rsid w:val="007C6F25"/>
    <w:rsid w:val="007C6FAC"/>
    <w:rsid w:val="007F31C1"/>
    <w:rsid w:val="007F3548"/>
    <w:rsid w:val="007F5D2F"/>
    <w:rsid w:val="00805970"/>
    <w:rsid w:val="00812560"/>
    <w:rsid w:val="008221F8"/>
    <w:rsid w:val="00823165"/>
    <w:rsid w:val="00827EB1"/>
    <w:rsid w:val="008314D7"/>
    <w:rsid w:val="00832416"/>
    <w:rsid w:val="00834707"/>
    <w:rsid w:val="00834BF3"/>
    <w:rsid w:val="00842731"/>
    <w:rsid w:val="00844316"/>
    <w:rsid w:val="008448CE"/>
    <w:rsid w:val="00847E41"/>
    <w:rsid w:val="0085661F"/>
    <w:rsid w:val="008638BC"/>
    <w:rsid w:val="008732AE"/>
    <w:rsid w:val="008822BC"/>
    <w:rsid w:val="008926F9"/>
    <w:rsid w:val="00893DA0"/>
    <w:rsid w:val="00897087"/>
    <w:rsid w:val="00897E41"/>
    <w:rsid w:val="008A12AC"/>
    <w:rsid w:val="008A4D75"/>
    <w:rsid w:val="008A589D"/>
    <w:rsid w:val="008B2026"/>
    <w:rsid w:val="008B24A6"/>
    <w:rsid w:val="008B2A8D"/>
    <w:rsid w:val="008B53FB"/>
    <w:rsid w:val="008B6253"/>
    <w:rsid w:val="008B6AE1"/>
    <w:rsid w:val="008C0179"/>
    <w:rsid w:val="008D2DE8"/>
    <w:rsid w:val="008F15A9"/>
    <w:rsid w:val="008F6E6B"/>
    <w:rsid w:val="00907CE5"/>
    <w:rsid w:val="00920F02"/>
    <w:rsid w:val="00923D65"/>
    <w:rsid w:val="009313C4"/>
    <w:rsid w:val="0093276E"/>
    <w:rsid w:val="00936358"/>
    <w:rsid w:val="00941189"/>
    <w:rsid w:val="009526FE"/>
    <w:rsid w:val="009541A8"/>
    <w:rsid w:val="0095519A"/>
    <w:rsid w:val="00964648"/>
    <w:rsid w:val="00964F49"/>
    <w:rsid w:val="0097291E"/>
    <w:rsid w:val="0098060B"/>
    <w:rsid w:val="0098137B"/>
    <w:rsid w:val="009828B0"/>
    <w:rsid w:val="0099123F"/>
    <w:rsid w:val="00992513"/>
    <w:rsid w:val="009926D6"/>
    <w:rsid w:val="0099368B"/>
    <w:rsid w:val="0099696A"/>
    <w:rsid w:val="009A0534"/>
    <w:rsid w:val="009A38A9"/>
    <w:rsid w:val="009B075E"/>
    <w:rsid w:val="009B2E72"/>
    <w:rsid w:val="009B76BD"/>
    <w:rsid w:val="009C43D2"/>
    <w:rsid w:val="009C4A5D"/>
    <w:rsid w:val="009C7D12"/>
    <w:rsid w:val="009D40F2"/>
    <w:rsid w:val="009D4323"/>
    <w:rsid w:val="009E1574"/>
    <w:rsid w:val="009E38B5"/>
    <w:rsid w:val="009E56EF"/>
    <w:rsid w:val="009F1683"/>
    <w:rsid w:val="009F4EB8"/>
    <w:rsid w:val="00A00C87"/>
    <w:rsid w:val="00A07384"/>
    <w:rsid w:val="00A12591"/>
    <w:rsid w:val="00A25DB2"/>
    <w:rsid w:val="00A355C6"/>
    <w:rsid w:val="00A40218"/>
    <w:rsid w:val="00A500D6"/>
    <w:rsid w:val="00A53506"/>
    <w:rsid w:val="00A60991"/>
    <w:rsid w:val="00A771B8"/>
    <w:rsid w:val="00A82911"/>
    <w:rsid w:val="00A85D6F"/>
    <w:rsid w:val="00A92FF7"/>
    <w:rsid w:val="00A94089"/>
    <w:rsid w:val="00A95E13"/>
    <w:rsid w:val="00A9788F"/>
    <w:rsid w:val="00AB67B0"/>
    <w:rsid w:val="00AC3087"/>
    <w:rsid w:val="00AC3339"/>
    <w:rsid w:val="00AF420F"/>
    <w:rsid w:val="00AF5E50"/>
    <w:rsid w:val="00AF6D66"/>
    <w:rsid w:val="00B05D3D"/>
    <w:rsid w:val="00B11345"/>
    <w:rsid w:val="00B12BBF"/>
    <w:rsid w:val="00B153DD"/>
    <w:rsid w:val="00B16EB1"/>
    <w:rsid w:val="00B210F9"/>
    <w:rsid w:val="00B21770"/>
    <w:rsid w:val="00B24747"/>
    <w:rsid w:val="00B24D73"/>
    <w:rsid w:val="00B27B35"/>
    <w:rsid w:val="00B34F1C"/>
    <w:rsid w:val="00B52C0B"/>
    <w:rsid w:val="00B573A9"/>
    <w:rsid w:val="00B6490B"/>
    <w:rsid w:val="00B74481"/>
    <w:rsid w:val="00B75295"/>
    <w:rsid w:val="00B7729E"/>
    <w:rsid w:val="00B808AF"/>
    <w:rsid w:val="00B84977"/>
    <w:rsid w:val="00B87680"/>
    <w:rsid w:val="00B87B74"/>
    <w:rsid w:val="00B9151E"/>
    <w:rsid w:val="00BB2560"/>
    <w:rsid w:val="00BB32A1"/>
    <w:rsid w:val="00BB4052"/>
    <w:rsid w:val="00BD074A"/>
    <w:rsid w:val="00BD4D48"/>
    <w:rsid w:val="00BD595B"/>
    <w:rsid w:val="00BD766D"/>
    <w:rsid w:val="00BE2ACF"/>
    <w:rsid w:val="00BE4BF4"/>
    <w:rsid w:val="00BE605D"/>
    <w:rsid w:val="00BF0A1A"/>
    <w:rsid w:val="00BF285B"/>
    <w:rsid w:val="00C0115B"/>
    <w:rsid w:val="00C020EE"/>
    <w:rsid w:val="00C0321A"/>
    <w:rsid w:val="00C037D6"/>
    <w:rsid w:val="00C108D3"/>
    <w:rsid w:val="00C13270"/>
    <w:rsid w:val="00C2154A"/>
    <w:rsid w:val="00C24167"/>
    <w:rsid w:val="00C31900"/>
    <w:rsid w:val="00C37A0E"/>
    <w:rsid w:val="00C45140"/>
    <w:rsid w:val="00C47FB0"/>
    <w:rsid w:val="00C54561"/>
    <w:rsid w:val="00C6061D"/>
    <w:rsid w:val="00C66863"/>
    <w:rsid w:val="00C67006"/>
    <w:rsid w:val="00C7184A"/>
    <w:rsid w:val="00C76155"/>
    <w:rsid w:val="00C87569"/>
    <w:rsid w:val="00C90792"/>
    <w:rsid w:val="00C9249C"/>
    <w:rsid w:val="00C94F7E"/>
    <w:rsid w:val="00CA28B9"/>
    <w:rsid w:val="00CA6BB0"/>
    <w:rsid w:val="00CA71B1"/>
    <w:rsid w:val="00CB089F"/>
    <w:rsid w:val="00CB4D3D"/>
    <w:rsid w:val="00CC0E0B"/>
    <w:rsid w:val="00CC298E"/>
    <w:rsid w:val="00CC4B14"/>
    <w:rsid w:val="00CD20BF"/>
    <w:rsid w:val="00CD4AC4"/>
    <w:rsid w:val="00CE1455"/>
    <w:rsid w:val="00CE1EFF"/>
    <w:rsid w:val="00CE6059"/>
    <w:rsid w:val="00CF0DED"/>
    <w:rsid w:val="00CF54C3"/>
    <w:rsid w:val="00D00514"/>
    <w:rsid w:val="00D015CE"/>
    <w:rsid w:val="00D07E1B"/>
    <w:rsid w:val="00D13235"/>
    <w:rsid w:val="00D13B92"/>
    <w:rsid w:val="00D15373"/>
    <w:rsid w:val="00D1692D"/>
    <w:rsid w:val="00D16984"/>
    <w:rsid w:val="00D22CE1"/>
    <w:rsid w:val="00D23FBA"/>
    <w:rsid w:val="00D24071"/>
    <w:rsid w:val="00D32E47"/>
    <w:rsid w:val="00D420D6"/>
    <w:rsid w:val="00D479BB"/>
    <w:rsid w:val="00D54313"/>
    <w:rsid w:val="00D62B41"/>
    <w:rsid w:val="00D63505"/>
    <w:rsid w:val="00D63D7F"/>
    <w:rsid w:val="00D6791A"/>
    <w:rsid w:val="00D7595F"/>
    <w:rsid w:val="00D75E5E"/>
    <w:rsid w:val="00D76031"/>
    <w:rsid w:val="00D8085C"/>
    <w:rsid w:val="00D85C84"/>
    <w:rsid w:val="00D92A62"/>
    <w:rsid w:val="00D940FA"/>
    <w:rsid w:val="00D96C19"/>
    <w:rsid w:val="00DA6B7F"/>
    <w:rsid w:val="00DB03F3"/>
    <w:rsid w:val="00DB6E9F"/>
    <w:rsid w:val="00DC7209"/>
    <w:rsid w:val="00DD2C16"/>
    <w:rsid w:val="00DE2593"/>
    <w:rsid w:val="00DE4DEC"/>
    <w:rsid w:val="00DE55BC"/>
    <w:rsid w:val="00DE560B"/>
    <w:rsid w:val="00DF3923"/>
    <w:rsid w:val="00DF72F1"/>
    <w:rsid w:val="00E0378F"/>
    <w:rsid w:val="00E071F8"/>
    <w:rsid w:val="00E1157B"/>
    <w:rsid w:val="00E1437E"/>
    <w:rsid w:val="00E21E45"/>
    <w:rsid w:val="00E319C0"/>
    <w:rsid w:val="00E31E86"/>
    <w:rsid w:val="00E3351A"/>
    <w:rsid w:val="00E379B0"/>
    <w:rsid w:val="00E413AE"/>
    <w:rsid w:val="00E74B6B"/>
    <w:rsid w:val="00E75A92"/>
    <w:rsid w:val="00E77DE7"/>
    <w:rsid w:val="00E87436"/>
    <w:rsid w:val="00E916C7"/>
    <w:rsid w:val="00EA1E8A"/>
    <w:rsid w:val="00EB0A94"/>
    <w:rsid w:val="00EB37BE"/>
    <w:rsid w:val="00EB3DCC"/>
    <w:rsid w:val="00EC181B"/>
    <w:rsid w:val="00EC509C"/>
    <w:rsid w:val="00EC611C"/>
    <w:rsid w:val="00ED0A30"/>
    <w:rsid w:val="00EE4840"/>
    <w:rsid w:val="00EE6155"/>
    <w:rsid w:val="00EF36E8"/>
    <w:rsid w:val="00F00122"/>
    <w:rsid w:val="00F00C84"/>
    <w:rsid w:val="00F12F39"/>
    <w:rsid w:val="00F15399"/>
    <w:rsid w:val="00F240F0"/>
    <w:rsid w:val="00F33FF2"/>
    <w:rsid w:val="00F35F38"/>
    <w:rsid w:val="00F364E7"/>
    <w:rsid w:val="00F367B7"/>
    <w:rsid w:val="00F4246F"/>
    <w:rsid w:val="00F44D06"/>
    <w:rsid w:val="00F46774"/>
    <w:rsid w:val="00F47996"/>
    <w:rsid w:val="00F573BC"/>
    <w:rsid w:val="00F61354"/>
    <w:rsid w:val="00F61663"/>
    <w:rsid w:val="00F62E30"/>
    <w:rsid w:val="00F63180"/>
    <w:rsid w:val="00F641FE"/>
    <w:rsid w:val="00F70305"/>
    <w:rsid w:val="00F73F09"/>
    <w:rsid w:val="00F82BA6"/>
    <w:rsid w:val="00F935B0"/>
    <w:rsid w:val="00FA6442"/>
    <w:rsid w:val="00FB1379"/>
    <w:rsid w:val="00FB352A"/>
    <w:rsid w:val="00FC4E9F"/>
    <w:rsid w:val="00FD1C7D"/>
    <w:rsid w:val="00FD31AE"/>
    <w:rsid w:val="00FF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A8C38"/>
  <w15:chartTrackingRefBased/>
  <w15:docId w15:val="{9B08436B-AA7A-4DE7-AB3E-D59FB3D72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6F9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92D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171717" w:themeColor="background2" w:themeShade="1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C5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C5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C5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C5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C5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C5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C5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C5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nhideWhenUsed/>
    <w:rsid w:val="008926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26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26F9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6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6F9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3F5CA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5CA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4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0F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24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0F0"/>
    <w:rPr>
      <w:lang w:val="en-GB"/>
    </w:rPr>
  </w:style>
  <w:style w:type="paragraph" w:styleId="ListParagraph">
    <w:name w:val="List Paragraph"/>
    <w:basedOn w:val="Normal"/>
    <w:uiPriority w:val="34"/>
    <w:qFormat/>
    <w:rsid w:val="00D169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92D"/>
    <w:rPr>
      <w:rFonts w:ascii="Times New Roman" w:eastAsiaTheme="majorEastAsia" w:hAnsi="Times New Roman" w:cstheme="majorBidi"/>
      <w:b/>
      <w:color w:val="171717" w:themeColor="background2" w:themeShade="1A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06C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06C5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C52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C52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C52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C52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C5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C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A500D6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500D6"/>
    <w:pPr>
      <w:spacing w:after="10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B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BC9"/>
    <w:rPr>
      <w:b/>
      <w:bCs/>
      <w:sz w:val="20"/>
      <w:szCs w:val="20"/>
      <w:lang w:val="en-GB"/>
    </w:rPr>
  </w:style>
  <w:style w:type="paragraph" w:customStyle="1" w:styleId="SubtleReference1">
    <w:name w:val="Subtle Reference1"/>
    <w:basedOn w:val="Normal"/>
    <w:qFormat/>
    <w:rsid w:val="009828B0"/>
    <w:pPr>
      <w:numPr>
        <w:numId w:val="7"/>
      </w:numPr>
      <w:tabs>
        <w:tab w:val="left" w:pos="924"/>
      </w:tabs>
      <w:spacing w:after="0" w:line="240" w:lineRule="auto"/>
      <w:jc w:val="both"/>
    </w:pPr>
    <w:rPr>
      <w:rFonts w:ascii="Times New Roman" w:eastAsia="Times New Roman" w:hAnsi="Times New Roman" w:cs="Times New Roman"/>
      <w:i/>
      <w:iCs/>
      <w:color w:val="7F7F7F"/>
      <w:sz w:val="20"/>
      <w:szCs w:val="20"/>
      <w:lang w:val="en-US"/>
    </w:rPr>
  </w:style>
  <w:style w:type="paragraph" w:styleId="Caption">
    <w:name w:val="caption"/>
    <w:basedOn w:val="Normal"/>
    <w:next w:val="Normal"/>
    <w:qFormat/>
    <w:rsid w:val="00D24071"/>
    <w:pPr>
      <w:spacing w:before="60" w:after="120" w:line="240" w:lineRule="auto"/>
      <w:ind w:left="851" w:hanging="851"/>
      <w:jc w:val="both"/>
    </w:pPr>
    <w:rPr>
      <w:rFonts w:ascii="Times New Roman" w:eastAsia="Times New Roman" w:hAnsi="Times New Roman" w:cs="Times New Roman"/>
      <w:bC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B20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2026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C6E09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46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.j.gelderblom@lumc.n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EC85E10F7DE243A9B2BC7CF3373734" ma:contentTypeVersion="13" ma:contentTypeDescription="Crée un document." ma:contentTypeScope="" ma:versionID="43941637dcb5f5346fb915d35ad37aba">
  <xsd:schema xmlns:xsd="http://www.w3.org/2001/XMLSchema" xmlns:xs="http://www.w3.org/2001/XMLSchema" xmlns:p="http://schemas.microsoft.com/office/2006/metadata/properties" xmlns:ns3="a5de35ea-4ccc-45fd-90d2-161a07bc7de2" xmlns:ns4="92b046ea-1f43-4fe9-806f-dba9d5f274d2" targetNamespace="http://schemas.microsoft.com/office/2006/metadata/properties" ma:root="true" ma:fieldsID="b66465534fffadab4308e8ed32c754d9" ns3:_="" ns4:_="">
    <xsd:import namespace="a5de35ea-4ccc-45fd-90d2-161a07bc7de2"/>
    <xsd:import namespace="92b046ea-1f43-4fe9-806f-dba9d5f274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35ea-4ccc-45fd-90d2-161a07bc7de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046ea-1f43-4fe9-806f-dba9d5f274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C26E6-07E1-47B6-B5B8-15D9D17CAC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35ea-4ccc-45fd-90d2-161a07bc7de2"/>
    <ds:schemaRef ds:uri="92b046ea-1f43-4fe9-806f-dba9d5f274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1C8EF8-0D6A-477B-91FB-CD87CE49D5BF}">
  <ds:schemaRefs>
    <ds:schemaRef ds:uri="http://purl.org/dc/dcmitype/"/>
    <ds:schemaRef ds:uri="http://purl.org/dc/elements/1.1/"/>
    <ds:schemaRef ds:uri="http://schemas.microsoft.com/office/infopath/2007/PartnerControls"/>
    <ds:schemaRef ds:uri="http://purl.org/dc/terms/"/>
    <ds:schemaRef ds:uri="92b046ea-1f43-4fe9-806f-dba9d5f274d2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a5de35ea-4ccc-45fd-90d2-161a07bc7de2"/>
  </ds:schemaRefs>
</ds:datastoreItem>
</file>

<file path=customXml/itemProps3.xml><?xml version="1.0" encoding="utf-8"?>
<ds:datastoreItem xmlns:ds="http://schemas.openxmlformats.org/officeDocument/2006/customXml" ds:itemID="{D929D704-D7F8-44B2-AFE3-96A7DCAC3D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C4E9C3-37BD-4EF8-AA02-4617AF9AD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7</Pages>
  <Words>1609</Words>
  <Characters>9175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Kantidakis</dc:creator>
  <cp:keywords/>
  <dc:description/>
  <cp:lastModifiedBy>Georgios Kantidakis</cp:lastModifiedBy>
  <cp:revision>302</cp:revision>
  <dcterms:created xsi:type="dcterms:W3CDTF">2021-01-14T08:27:00Z</dcterms:created>
  <dcterms:modified xsi:type="dcterms:W3CDTF">2022-04-05T10:33:00Z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http://www.zotero.org/styles/the-lancet-oncology</vt:lpwstr>
  </property>
  <property fmtid="{D5CDD505-2E9C-101B-9397-08002B2CF9AE}" pid="4" name="Mendeley Unique User Id_1">
    <vt:lpwstr>0b87f51c-82fd-33d1-a2ef-4778bac7e66a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http://www.zotero.org/styles/european-journal-of-cancer</vt:lpwstr>
  </property>
  <property fmtid="{D5CDD505-2E9C-101B-9397-08002B2CF9AE}" pid="18" name="Mendeley Recent Style Name 6_1">
    <vt:lpwstr>European Journal of Cancer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ContentTypeId">
    <vt:lpwstr>0x0101008DEC85E10F7DE243A9B2BC7CF3373734</vt:lpwstr>
  </property>
</Properties>
</file>