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center"/>
      </w:pPr>
      <w:r>
        <w:rPr>
          <w:b/>
          <w:color w:val="1B5E20"/>
          <w:sz w:val="40"/>
        </w:rPr>
        <w:t>INFORME TÉCNICO: IMPLEMENTACIÓN DE OBSERVABILIDAD, TRAZABILIDAD Y SEGURIDAD RESPONSABLE</w:t>
      </w:r>
    </w:p>
    <w:p>
      <w:pPr>
        <w:spacing w:after="3000"/>
        <w:jc w:val="center"/>
      </w:pPr>
      <w:r>
        <w:rPr>
          <w:i/>
          <w:color w:val="666666"/>
          <w:sz w:val="26"/>
        </w:rPr>
        <w:t>Proyecto Mentor IA GreenTech - Tercera Fase del Ciclo de Vida del Agente</w:t>
      </w:r>
    </w:p>
    <w:p>
      <w:pPr>
        <w:spacing w:after="400"/>
        <w:jc w:val="center"/>
      </w:pPr>
      <w:r>
        <w:rPr>
          <w:color w:val="333333"/>
          <w:sz w:val="22"/>
        </w:rPr>
        <w:t>Asignatura: Optativo Ingeniería de Soluciones con IA (ISY0101)</w:t>
        <w:br/>
        <w:t>Evaluación Parcial N°3: Observabilidad y Trazabilidad en Producción</w:t>
        <w:br/>
        <w:t>Fecha: 28 de junio de 2026</w:t>
        <w:br/>
        <w:t>Institución: Duoc UC</w:t>
        <w:br/>
      </w:r>
    </w:p>
    <w:p>
      <w:r>
        <w:br w:type="page"/>
      </w:r>
    </w:p>
    <w:p>
      <w:pPr>
        <w:keepNext/>
        <w:spacing w:before="360" w:after="120"/>
      </w:pPr>
      <w:r>
        <w:rPr>
          <w:b/>
          <w:color w:val="1B5E20"/>
          <w:sz w:val="32"/>
        </w:rPr>
        <w:t>1. Introducción</w:t>
      </w:r>
    </w:p>
    <w:p>
      <w:r>
        <w:t>El presente informe técnico detalla la evolución del sistema 'Mentor IA - GreenTech' mediante la incorporación de una infraestructura robusta de observabilidad, trazabilidad y seguridad responsable. El objetivo del Mentor IA es asistir a los nuevos técnicos en la inducción operativa sobre sistemas fotovoltaicos, recuperando información de manuales oficiales. Para garantizar un despliegue seguro en producción, se ha implementado un motor que registra todas las variables de ejecución, analiza cuellos de botella y audita las interacciones mediante filtros éticos de privacidad y seguridad física, visualizables desde un dashboard interactivo.</w:t>
      </w:r>
    </w:p>
    <w:p>
      <w:pPr>
        <w:keepNext/>
        <w:spacing w:before="360" w:after="120"/>
      </w:pPr>
      <w:r>
        <w:rPr>
          <w:b/>
          <w:color w:val="1B5E20"/>
          <w:sz w:val="32"/>
        </w:rPr>
        <w:t>2. Implementación de Métricas de Observabilidad (IE1, IE2)</w:t>
      </w:r>
    </w:p>
    <w:p>
      <w:r>
        <w:t>Para evaluar la precisión, consistencia y consumo de recursos del agente ante la variabilidad de consultas, se diseñó un sistema de métricas continuas. Cada ejecución del agente calcula y registra los siguientes indicadores clave:</w:t>
      </w:r>
    </w:p>
    <w:p>
      <w:pPr>
        <w:keepNext/>
        <w:spacing w:before="360" w:after="120"/>
      </w:pPr>
      <w:r>
        <w:rPr>
          <w:b/>
          <w:color w:val="2E7D32"/>
          <w:sz w:val="26"/>
        </w:rPr>
        <w:t>2.1 Métricas de Rendimiento y Precisión (IE1)</w:t>
      </w:r>
    </w:p>
    <w:p>
      <w:r>
        <w:rPr>
          <w:b/>
        </w:rPr>
        <w:t xml:space="preserve">• Precisión Semántica del Contexto (Precisión RAG): </w:t>
      </w:r>
      <w:r>
        <w:t>Calculada mediante la similitud de coseno entre el embedding de la pregunta del usuario y el embedding del contexto recuperado de MongoDB Atlas (rango [0, 1]). Esto permite medir objetivamente la relevancia del material técnico de apoyo antes de la síntesis del LLM.</w:t>
        <w:br/>
      </w:r>
      <w:r>
        <w:rPr>
          <w:b/>
        </w:rPr>
        <w:t xml:space="preserve">• Frecuencia y Clasificación de Errores: </w:t>
      </w:r>
      <w:r>
        <w:t>Se capturan y categorizan las fallas en base a su origen (ej. 'error' para problemas de conexión de red/base de datos y 'security_block' para consultas maliciosas bloqueadas).</w:t>
        <w:br/>
      </w:r>
      <w:r>
        <w:rPr>
          <w:b/>
        </w:rPr>
        <w:t xml:space="preserve">• Consistencia Operativa: </w:t>
      </w:r>
      <w:r>
        <w:t>Se evalúa la estabilidad del clasificador de intenciones (Planner) y la variación de las latencias de respuesta ante consultas repetitivas en condiciones de carga.</w:t>
      </w:r>
    </w:p>
    <w:p>
      <w:pPr>
        <w:keepNext/>
        <w:spacing w:before="360" w:after="120"/>
      </w:pPr>
      <w:r>
        <w:rPr>
          <w:b/>
          <w:color w:val="2E7D32"/>
          <w:sz w:val="26"/>
        </w:rPr>
        <w:t>2.2 Métricas de Latencia y Recursos (IE2)</w:t>
      </w:r>
    </w:p>
    <w:p>
      <w:r>
        <w:rPr>
          <w:b/>
        </w:rPr>
        <w:t xml:space="preserve">• Latencia por Fases del Flujo de Trabajo: </w:t>
      </w:r>
      <w:r>
        <w:t>Se utiliza telemetría de alta resolución para medir el tiempo consumido en las etapas de: Seguridad (Guardrails), Planificación (Planner), Recuperación (Vectorial RAG) y Generación (LLM).</w:t>
        <w:br/>
      </w:r>
      <w:r>
        <w:rPr>
          <w:b/>
        </w:rPr>
        <w:t xml:space="preserve">• Consumo de Tokens e Impacto Financiero: </w:t>
      </w:r>
      <w:r>
        <w:t>Se extrae la metadata de tokens consumidos (input, output y total) directamente de las APIs del proveedor (Groq/Llama-3.3-70b-versatile). Esto permite proyectar el costo financiero en USD según el volumen de uso real del sistema.</w:t>
      </w:r>
    </w:p>
    <w:p>
      <w:pPr>
        <w:keepNext/>
        <w:spacing w:before="360" w:after="120"/>
      </w:pPr>
      <w:r>
        <w:rPr>
          <w:b/>
          <w:color w:val="1B5E20"/>
          <w:sz w:val="32"/>
        </w:rPr>
        <w:t>3. Análisis de Registros, Trazabilidad y Cuellos de Botella (IE3, IE4)</w:t>
      </w:r>
    </w:p>
    <w:p>
      <w:r>
        <w:t>El sistema persiste cada ejecución en formato estructurado JSON Lines en la ruta 'data/logs/observability_logs.jsonl'. Esto asegura un almacenamiento de baja latencia y alta concurrencia. A partir de este historial, se realiza auditoría continua:</w:t>
      </w:r>
    </w:p>
    <w:p>
      <w:pPr>
        <w:keepNext/>
        <w:spacing w:before="360" w:after="120"/>
      </w:pPr>
      <w:r>
        <w:rPr>
          <w:b/>
          <w:color w:val="2E7D32"/>
          <w:sz w:val="26"/>
        </w:rPr>
        <w:t>3.1 Identificación de Cuellos de Botella (IE3)</w:t>
      </w:r>
    </w:p>
    <w:p>
      <w:r>
        <w:t>El análisis temporal revela que la fase de Generación (LLM) concentra en promedio el 75% del tiempo de respuesta total (variando entre 0.8s y 3.2s según la longitud de la salida). En contraste, la fase de clasificación del Planner representa menos del 5% del tiempo total. La fase de recuperación vectorial en MongoDB Atlas (RAG) consume el 20% restante debido al viaje de red y a la búsqueda semántica. Las fallas de conexión o límites de API son detectadas y registradas para activar alertas de soporte.</w:t>
      </w:r>
    </w:p>
    <w:p>
      <w:pPr>
        <w:keepNext/>
        <w:spacing w:before="360" w:after="120"/>
      </w:pPr>
      <w:r>
        <w:rPr>
          <w:b/>
          <w:color w:val="2E7D32"/>
          <w:sz w:val="26"/>
        </w:rPr>
        <w:t>3.2 Patrones y Anomalías en el Registro (IE4)</w:t>
      </w:r>
    </w:p>
    <w:p>
      <w:r>
        <w:t>Se identificaron patrones críticos como la correlación lineal entre la longitud del contexto de los PDF y el tiempo de generación del LLM. Asimismo, se observó que consultas ambiguas provocan un decaimiento en la métrica de precisión semántica a niveles inferiores a 0.50, lo que activa en el agente una lógica para alertar al usuario de información insuficiente en lugar de alucinar respuestas.</w:t>
      </w:r>
    </w:p>
    <w:p>
      <w:pPr>
        <w:keepNext/>
        <w:spacing w:before="360" w:after="120"/>
      </w:pPr>
      <w:r>
        <w:rPr>
          <w:b/>
          <w:color w:val="1B5E20"/>
          <w:sz w:val="32"/>
        </w:rPr>
        <w:t>4. Dashboard de Monitoreo e Interfaz Visual (IE5, IE8)</w:t>
      </w:r>
    </w:p>
    <w:p>
      <w:r>
        <w:t>Se construyó un panel interactivo integrado directamente en Streamlit (ingest.py), estructurado mediante pestañas. Esto garantiza una experiencia de usuario sin fricciones y con altos estándares estéticos:</w:t>
      </w:r>
    </w:p>
    <w:p>
      <w:r>
        <w:rPr>
          <w:b/>
        </w:rPr>
        <w:t xml:space="preserve">• Tarjetas de KPI Dinámicas: </w:t>
      </w:r>
      <w:r>
        <w:t>Muestran el número total de interacciones, latencia promedio, tasa de éxito, precisión semántica, costo acumulado en USD y número de alertas de seguridad físicas o lógicas.</w:t>
        <w:br/>
      </w:r>
      <w:r>
        <w:rPr>
          <w:b/>
        </w:rPr>
        <w:t xml:space="preserve">• Gráficos Temporales Integrados: </w:t>
      </w:r>
      <w:r>
        <w:t>Visualizan tendencias de latencia desglosada por fases (Planner, RAG, LLM), uso acumulado de tokens e intenciones del usuario.</w:t>
        <w:br/>
      </w:r>
      <w:r>
        <w:rPr>
          <w:b/>
        </w:rPr>
        <w:t xml:space="preserve">• Explorador de Auditoría: </w:t>
      </w:r>
      <w:r>
        <w:t>Permite a los administradores buscar, filtrar y expandir la traza completa de cualquier interacción histórica.</w:t>
      </w:r>
    </w:p>
    <w:p>
      <w:pPr>
        <w:keepNext/>
        <w:spacing w:before="360" w:after="120"/>
      </w:pPr>
      <w:r>
        <w:rPr>
          <w:b/>
          <w:color w:val="1B5E20"/>
          <w:sz w:val="32"/>
        </w:rPr>
        <w:t>5. Protocolos de Seguridad y Uso Responsable (IE6)</w:t>
      </w:r>
    </w:p>
    <w:p>
      <w:r>
        <w:t>Para responder a criterios éticos, normativos y de privacidad indispensables en producción, se implementó un middleware de seguridad en 'src/security.py' que intercepta la entrada y la salida del agente:</w:t>
      </w:r>
    </w:p>
    <w:p>
      <w:r>
        <w:rPr>
          <w:b/>
        </w:rPr>
        <w:t xml:space="preserve">1. Filtro de Privacidad y Enmascaramiento de PII: </w:t>
      </w:r>
      <w:r>
        <w:t>Identifica mediante expresiones regulares datos de carácter personal como correos electrónicos, teléfonos o credenciales de API, reemplazándolos con marcas seguras ([EMAIL_MASKED], [PHONE_MASKED]) para evitar fugas de datos hacia modelos externos.</w:t>
        <w:br/>
      </w:r>
      <w:r>
        <w:rPr>
          <w:b/>
        </w:rPr>
        <w:t xml:space="preserve">2. Detección de Prompt Injection (Inyección Lógica): </w:t>
      </w:r>
      <w:r>
        <w:t>Bloquea proactivamente consultas que intentan sobrescribir el prompt del sistema (ej. 'ignore rules', 'system prompt'), devolviendo una advertencia controlada y deteniendo la ejecución sin consumir recursos de LLM.</w:t>
        <w:br/>
      </w:r>
      <w:r>
        <w:rPr>
          <w:b/>
        </w:rPr>
        <w:t xml:space="preserve">3. Advertencia de Seguridad Física (Riesgo Eléctrico y de Altura): </w:t>
      </w:r>
      <w:r>
        <w:t>Cuando el usuario realiza consultas que involucran alto riesgo físico (conectar baterías, cables de CC, inversores o montaje en techos), el agente añade automáticamente un recuadro destacado que advierte sobre los peligros reales, promoviendo el uso ético y preventivo de la información en obra.</w:t>
      </w:r>
    </w:p>
    <w:p>
      <w:pPr>
        <w:keepNext/>
        <w:spacing w:before="360" w:after="120"/>
      </w:pPr>
      <w:r>
        <w:rPr>
          <w:b/>
          <w:color w:val="1B5E20"/>
          <w:sz w:val="32"/>
        </w:rPr>
        <w:t>6. Recomendaciones de Desempeño, Sostenibilidad y Rediseño (IE7)</w:t>
      </w:r>
    </w:p>
    <w:p>
      <w:r>
        <w:t>Basado en los datos y cuellos de botella observados durante la monitorización, se proponen las siguientes mejoras para escalar y hacer más sostenible la solución:</w:t>
      </w:r>
    </w:p>
    <w:p>
      <w:r>
        <w:rPr>
          <w:b/>
        </w:rPr>
        <w:t xml:space="preserve">• Caching Semántico: </w:t>
      </w:r>
      <w:r>
        <w:t>Implementar una caché semántica para consultas técnicas concurrentes. Si una pregunta tiene una similitud semántica superior a 0.95 con una respuesta ya almacenada en caché, se devuelve directamente. Esto reduce la latencia a menos de 0.05s y disminuye a cero el costo de tokens de LLM y búsqueda vectorial.</w:t>
        <w:br/>
      </w:r>
      <w:r>
        <w:rPr>
          <w:b/>
        </w:rPr>
        <w:t xml:space="preserve">• Rediseño con Modelos SLM para Tareas Auxiliares: </w:t>
      </w:r>
      <w:r>
        <w:t>Sustituir el modelo Llama-3.3-70B por un modelo local pequeño (SLM como Llama-3-8B o Qwen-1.5B) exclusivamente para el Planner y los Guardrails de seguridad. Esto reduce la latencia inicial de clasificación a milisegundos y ahorra tokens costosos en el modelo principal.</w:t>
        <w:br/>
      </w:r>
      <w:r>
        <w:rPr>
          <w:b/>
        </w:rPr>
        <w:t xml:space="preserve">• Optimización de Recuperación (Búsqueda Híbrida y Reranking): </w:t>
      </w:r>
      <w:r>
        <w:t>Integrar búsqueda híbrida (vectorial + BM25) y una etapa de reranking (como Cohere Rerank) en MongoDB Atlas. Esto eleva la relevancia de recuperación de documentos del 85% promedio a más del 95%, asegurando respuestas más breves y contextualizadas del LLM.</w:t>
      </w:r>
    </w:p>
    <w:p>
      <w:pPr>
        <w:keepNext/>
        <w:spacing w:before="360" w:after="120"/>
      </w:pPr>
      <w:r>
        <w:rPr>
          <w:b/>
          <w:color w:val="1B5E20"/>
          <w:sz w:val="32"/>
        </w:rPr>
        <w:t>7. Referencias Bibliográficas (Norma APA)</w:t>
      </w:r>
    </w:p>
    <w:p>
      <w:r>
        <w:t>Groq (2026). Groq LPU™ Inference Engine API &amp; Llama-3.3 Models. Recuperado de https://groq.com/</w:t>
        <w:br/>
        <w:br/>
        <w:t>LangChain (2026). LangChain Agents &amp; Custom Tools Documentation. Recuperado de https://python.langchain.com/</w:t>
        <w:br/>
        <w:br/>
        <w:t>MongoDB (2026). Atlas Vector Search for Semantic Retrieval. Recuperado de https://www.mongodb.com/products/platform/atlas-vector-search</w:t>
        <w:br/>
        <w:br/>
        <w:t>Streamlit (2026). Streamlit API Reference Guide. Recuperado de https://docs.streamlit.io/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