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Astro 1</w:t>
      </w:r>
    </w:p>
    <w:p>
      <w:pPr>
        <w:pStyle w:val="Heading1"/>
      </w:pPr>
      <w:r>
        <w:t>Introduction</w:t>
      </w:r>
    </w:p>
    <w:p>
      <w:r>
        <w:t>Les trous noirs sont des objets astrophysiques d'une densité extrême, dont la gravité est si intense que rien, pas même la lumière, ne peut s'en échapper. Leur étude est cruciale pour comprendre les lois fondamentales de la physique et l'évolution de l'univers. Ce document explore les concepts clés associés aux trous noirs.</w:t>
      </w:r>
    </w:p>
    <w:p>
      <w:pPr>
        <w:pStyle w:val="Heading1"/>
      </w:pPr>
      <w:r>
        <w:t>Développement</w:t>
      </w:r>
    </w:p>
    <w:p>
      <w:r>
        <w:t>Un trou noir est défini par son **horizon des événements**, une frontière au-delà de laquelle le point de non-retour est atteint. Toute matière ou lumière franchissant cet horizon est irrémédiablement attirée vers le centre. Au cœur du trou noir se trouve la **singularité**, un point de densité infinie où les lois connues de la physique cessent de s'appliquer. Les trous noirs de **masse stellaire** se forment suite à l'effondrement gravitationnel d'étoiles massives en fin de vie. Leur détection est souvent indirecte, par l'observation de leurs effets sur la matière environnante ou par les **ondes gravitationnelles** qu'ils génèrent lors de fusions. Ces ondes, prédites par la relativité générale d'Einstein, sont des perturbations de l'espace-temps qui se propagent à la vitesse de la lumière. Enfin, le **rayonnement de Hawking**, un phénomène théorique, suggère que les trous noirs ne sont pas entièrement noirs mais émettent un faible rayonnement thermique dû à des effets quantiques près de l'horizon des événements, entraînant une lente évaporation du trou noir.</w:t>
      </w:r>
    </w:p>
    <w:p>
      <w:pPr>
        <w:pStyle w:val="Heading1"/>
      </w:pPr>
      <w:r>
        <w:t>Conclusion</w:t>
      </w:r>
    </w:p>
    <w:p>
      <w:r>
        <w:t>Les trous noirs, avec leurs propriétés extrêmes et leurs implications théoriques, continuent de fasciner les astrophysiciens. De l'horizon des événements à la singularité, en passant par les ondes gravitationnelles et le rayonnement de Hawking, chaque aspect de ces objets célestes repousse les limites de notre compréhension de l'univers et de la physique fondamentale.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