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Recits de vins et de leurs regions - Vin</w:t>
      </w:r>
    </w:p>
    <w:p>
      <w:pPr>
        <w:pStyle w:val="Heading1"/>
      </w:pPr>
      <w:r>
        <w:t>CotturiZinfandel</w:t>
      </w:r>
    </w:p>
    <w:p>
      <w:r>
        <w:t>Au cœur de la Californie, là où le soleil généreux sculpte les paysages vallonnés de la Sonoma Region, le domaine Cotturi signe un Zinfandel d'une intensité remarquable. Ce cépage emblématique, qui a trouvé en terre californienne une expression unique, révèle ici toute sa puissance. Dès le premier regard, sa robe profonde promet un vin au corps plein, une promesse tenue par des arômes forts et complexes qui s'épanouissent au nez. En bouche, la richesse du fruit se déploie avec une élégance surprenante, loin de toute sucrosité, offrant une finale sèche et persistante. Ce Cotturi Zinfandel est une véritable invitation à explorer la typicité des vins de la US Region, un voyage sensoriel qui témoigne du savoir-faire et de la passion d'un domaine ancré dans son terroir.</w:t>
      </w:r>
    </w:p>
    <w:tbl>
      <w:tblPr>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Vin</w:t>
            </w:r>
          </w:p>
        </w:tc>
        <w:tc>
          <w:tcPr>
            <w:tcW w:type="dxa" w:w="1080"/>
          </w:tcPr>
          <w:p>
            <w:r>
              <w:t>Cepage/style</w:t>
            </w:r>
          </w:p>
        </w:tc>
        <w:tc>
          <w:tcPr>
            <w:tcW w:type="dxa" w:w="1080"/>
          </w:tcPr>
          <w:p>
            <w:r>
              <w:t>Domaine</w:t>
            </w:r>
          </w:p>
        </w:tc>
        <w:tc>
          <w:tcPr>
            <w:tcW w:type="dxa" w:w="1080"/>
          </w:tcPr>
          <w:p>
            <w:r>
              <w:t>Region</w:t>
            </w:r>
          </w:p>
        </w:tc>
        <w:tc>
          <w:tcPr>
            <w:tcW w:type="dxa" w:w="1080"/>
          </w:tcPr>
          <w:p>
            <w:r>
              <w:t>Corps</w:t>
            </w:r>
          </w:p>
        </w:tc>
        <w:tc>
          <w:tcPr>
            <w:tcW w:type="dxa" w:w="1080"/>
          </w:tcPr>
          <w:p>
            <w:r>
              <w:t>Arome</w:t>
            </w:r>
          </w:p>
        </w:tc>
        <w:tc>
          <w:tcPr>
            <w:tcW w:type="dxa" w:w="1080"/>
          </w:tcPr>
          <w:p>
            <w:r>
              <w:t>Sucrosite</w:t>
            </w:r>
          </w:p>
        </w:tc>
        <w:tc>
          <w:tcPr>
            <w:tcW w:type="dxa" w:w="1080"/>
          </w:tcPr>
          <w:p>
            <w:r>
              <w:t>Millesime</w:t>
            </w:r>
          </w:p>
        </w:tc>
      </w:tr>
      <w:tr>
        <w:tc>
          <w:tcPr>
            <w:tcW w:type="dxa" w:w="1080"/>
          </w:tcPr>
          <w:p>
            <w:r>
              <w:t>CotturiZinfandel</w:t>
            </w:r>
          </w:p>
        </w:tc>
        <w:tc>
          <w:tcPr>
            <w:tcW w:type="dxa" w:w="1080"/>
          </w:tcPr>
          <w:p>
            <w:r>
              <w:t>Zinfandel</w:t>
            </w:r>
          </w:p>
        </w:tc>
        <w:tc>
          <w:tcPr>
            <w:tcW w:type="dxa" w:w="1080"/>
          </w:tcPr>
          <w:p>
            <w:r>
              <w:t>Cotturi</w:t>
            </w:r>
          </w:p>
        </w:tc>
        <w:tc>
          <w:tcPr>
            <w:tcW w:type="dxa" w:w="1080"/>
          </w:tcPr>
          <w:p>
            <w:r>
              <w:t>SonomaRegion</w:t>
            </w:r>
          </w:p>
        </w:tc>
        <w:tc>
          <w:tcPr>
            <w:tcW w:type="dxa" w:w="1080"/>
          </w:tcPr>
          <w:p>
            <w:r>
              <w:t>Full</w:t>
            </w:r>
          </w:p>
        </w:tc>
        <w:tc>
          <w:tcPr>
            <w:tcW w:type="dxa" w:w="1080"/>
          </w:tcPr>
          <w:p>
            <w:r>
              <w:t>Strong</w:t>
            </w:r>
          </w:p>
        </w:tc>
        <w:tc>
          <w:tcPr>
            <w:tcW w:type="dxa" w:w="1080"/>
          </w:tcPr>
          <w:p>
            <w:r>
              <w:t>Dry</w:t>
            </w:r>
          </w:p>
        </w:tc>
        <w:tc>
          <w:tcPr>
            <w:tcW w:type="dxa" w:w="1080"/>
          </w:tcPr>
          <w:p>
            <w:r>
              <w:t>-</w:t>
            </w:r>
          </w:p>
        </w:tc>
      </w:tr>
    </w:tbl>
    <w:p>
      <w:pPr>
        <w:pStyle w:val="Heading1"/>
      </w:pPr>
      <w:r>
        <w:t>ElyseZinfandel</w:t>
      </w:r>
    </w:p>
    <w:p>
      <w:r>
        <w:t>Au cœur de la Napa Valley, terre bénie de la Californie où le soleil sculpte les paysages viticoles, le domaine Elyse signe un Zinfandel qui incarne l'âme de cette région emblématique. Ce vin, baptisé Elyse Zinfandel, est une ode à la puissance et à la générosité du cépage. Dès le premier regard, sa robe profonde annonce un corps plein, promesse d'une expérience sensorielle intense. Au nez, des arômes modérés mais complexes se dévoilent, évoquant les fruits noirs mûrs, la cerise confite, parfois une pointe d'épice douce ou de poivre noir, reflets du terroir californien et de l'élevage soigné. En bouche, la sucrosité est absente, laissant place à une texture sèche et veloutée, où l'équilibre entre l'alcool et les tanins soyeux est parfaitement maîtrisé. Ce Zinfandel d'Elyse, véritable ambassadeur de la Napa et de la Californie, est une invitation à explorer la richesse des vins américains, un voyage gustatif qui résonne avec la grandeur des paysages de l'US Region.</w:t>
      </w:r>
    </w:p>
    <w:tbl>
      <w:tblPr>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Vin</w:t>
            </w:r>
          </w:p>
        </w:tc>
        <w:tc>
          <w:tcPr>
            <w:tcW w:type="dxa" w:w="1080"/>
          </w:tcPr>
          <w:p>
            <w:r>
              <w:t>Cepage/style</w:t>
            </w:r>
          </w:p>
        </w:tc>
        <w:tc>
          <w:tcPr>
            <w:tcW w:type="dxa" w:w="1080"/>
          </w:tcPr>
          <w:p>
            <w:r>
              <w:t>Domaine</w:t>
            </w:r>
          </w:p>
        </w:tc>
        <w:tc>
          <w:tcPr>
            <w:tcW w:type="dxa" w:w="1080"/>
          </w:tcPr>
          <w:p>
            <w:r>
              <w:t>Region</w:t>
            </w:r>
          </w:p>
        </w:tc>
        <w:tc>
          <w:tcPr>
            <w:tcW w:type="dxa" w:w="1080"/>
          </w:tcPr>
          <w:p>
            <w:r>
              <w:t>Corps</w:t>
            </w:r>
          </w:p>
        </w:tc>
        <w:tc>
          <w:tcPr>
            <w:tcW w:type="dxa" w:w="1080"/>
          </w:tcPr>
          <w:p>
            <w:r>
              <w:t>Arome</w:t>
            </w:r>
          </w:p>
        </w:tc>
        <w:tc>
          <w:tcPr>
            <w:tcW w:type="dxa" w:w="1080"/>
          </w:tcPr>
          <w:p>
            <w:r>
              <w:t>Sucrosite</w:t>
            </w:r>
          </w:p>
        </w:tc>
        <w:tc>
          <w:tcPr>
            <w:tcW w:type="dxa" w:w="1080"/>
          </w:tcPr>
          <w:p>
            <w:r>
              <w:t>Millesime</w:t>
            </w:r>
          </w:p>
        </w:tc>
      </w:tr>
      <w:tr>
        <w:tc>
          <w:tcPr>
            <w:tcW w:type="dxa" w:w="1080"/>
          </w:tcPr>
          <w:p>
            <w:r>
              <w:t>ElyseZinfandel</w:t>
            </w:r>
          </w:p>
        </w:tc>
        <w:tc>
          <w:tcPr>
            <w:tcW w:type="dxa" w:w="1080"/>
          </w:tcPr>
          <w:p>
            <w:r>
              <w:t>Zinfandel</w:t>
            </w:r>
          </w:p>
        </w:tc>
        <w:tc>
          <w:tcPr>
            <w:tcW w:type="dxa" w:w="1080"/>
          </w:tcPr>
          <w:p>
            <w:r>
              <w:t>Elyse</w:t>
            </w:r>
          </w:p>
        </w:tc>
        <w:tc>
          <w:tcPr>
            <w:tcW w:type="dxa" w:w="1080"/>
          </w:tcPr>
          <w:p>
            <w:r>
              <w:t>NapaRegion</w:t>
            </w:r>
          </w:p>
        </w:tc>
        <w:tc>
          <w:tcPr>
            <w:tcW w:type="dxa" w:w="1080"/>
          </w:tcPr>
          <w:p>
            <w:r>
              <w:t>Full</w:t>
            </w:r>
          </w:p>
        </w:tc>
        <w:tc>
          <w:tcPr>
            <w:tcW w:type="dxa" w:w="1080"/>
          </w:tcPr>
          <w:p>
            <w:r>
              <w:t>Moderate</w:t>
            </w:r>
          </w:p>
        </w:tc>
        <w:tc>
          <w:tcPr>
            <w:tcW w:type="dxa" w:w="1080"/>
          </w:tcPr>
          <w:p>
            <w:r>
              <w:t>Dry</w:t>
            </w:r>
          </w:p>
        </w:tc>
        <w:tc>
          <w:tcPr>
            <w:tcW w:type="dxa" w:w="1080"/>
          </w:tcPr>
          <w:p>
            <w:r>
              <w:t>-</w:t>
            </w:r>
          </w:p>
        </w:tc>
      </w:tr>
    </w:tbl>
    <w:p>
      <w:pPr>
        <w:pStyle w:val="Heading1"/>
      </w:pPr>
      <w:r>
        <w:t>FormanCabernetSauvignon</w:t>
      </w:r>
    </w:p>
    <w:p>
      <w:r>
        <w:t>Au cœur de la Napa Valley, terre bénie de Californie, le domaine Forman signe un Cabernet Sauvignon d'une élégance rare. Ce vin, emblématique de la région, incarne la quintessence du cépage, offrant une expérience sensorielle où la puissance aromatique se conjugue à une structure raffinée. Dès le premier nez, des arômes intenses de cassis, de cèdre et de tabac se révèlent, promesse d'une dégustation profonde. En bouche, le Forman Cabernet Sauvignon déploie un corps medium, équilibré par une acidité rafraîchissante et des tanins soyeux, caractéristiques des grands vins secs de la Napa. Ce nectare, fruit d'un terroir exceptionnel et d'un savoir-faire ancestral, est une invitation au voyage au cœur des vignobles californiens, où chaque gorgée raconte l'histoire d'une région et d'un cépage magnifiés.</w:t>
      </w:r>
    </w:p>
    <w:tbl>
      <w:tblPr>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Vin</w:t>
            </w:r>
          </w:p>
        </w:tc>
        <w:tc>
          <w:tcPr>
            <w:tcW w:type="dxa" w:w="1080"/>
          </w:tcPr>
          <w:p>
            <w:r>
              <w:t>Cepage/style</w:t>
            </w:r>
          </w:p>
        </w:tc>
        <w:tc>
          <w:tcPr>
            <w:tcW w:type="dxa" w:w="1080"/>
          </w:tcPr>
          <w:p>
            <w:r>
              <w:t>Domaine</w:t>
            </w:r>
          </w:p>
        </w:tc>
        <w:tc>
          <w:tcPr>
            <w:tcW w:type="dxa" w:w="1080"/>
          </w:tcPr>
          <w:p>
            <w:r>
              <w:t>Region</w:t>
            </w:r>
          </w:p>
        </w:tc>
        <w:tc>
          <w:tcPr>
            <w:tcW w:type="dxa" w:w="1080"/>
          </w:tcPr>
          <w:p>
            <w:r>
              <w:t>Corps</w:t>
            </w:r>
          </w:p>
        </w:tc>
        <w:tc>
          <w:tcPr>
            <w:tcW w:type="dxa" w:w="1080"/>
          </w:tcPr>
          <w:p>
            <w:r>
              <w:t>Arome</w:t>
            </w:r>
          </w:p>
        </w:tc>
        <w:tc>
          <w:tcPr>
            <w:tcW w:type="dxa" w:w="1080"/>
          </w:tcPr>
          <w:p>
            <w:r>
              <w:t>Sucrosite</w:t>
            </w:r>
          </w:p>
        </w:tc>
        <w:tc>
          <w:tcPr>
            <w:tcW w:type="dxa" w:w="1080"/>
          </w:tcPr>
          <w:p>
            <w:r>
              <w:t>Millesime</w:t>
            </w:r>
          </w:p>
        </w:tc>
      </w:tr>
      <w:tr>
        <w:tc>
          <w:tcPr>
            <w:tcW w:type="dxa" w:w="1080"/>
          </w:tcPr>
          <w:p>
            <w:r>
              <w:t>FormanCabernetSauvignon</w:t>
            </w:r>
          </w:p>
        </w:tc>
        <w:tc>
          <w:tcPr>
            <w:tcW w:type="dxa" w:w="1080"/>
          </w:tcPr>
          <w:p>
            <w:r>
              <w:t>CabernetSauvignon</w:t>
            </w:r>
          </w:p>
        </w:tc>
        <w:tc>
          <w:tcPr>
            <w:tcW w:type="dxa" w:w="1080"/>
          </w:tcPr>
          <w:p>
            <w:r>
              <w:t>Forman</w:t>
            </w:r>
          </w:p>
        </w:tc>
        <w:tc>
          <w:tcPr>
            <w:tcW w:type="dxa" w:w="1080"/>
          </w:tcPr>
          <w:p>
            <w:r>
              <w:t>NapaRegion</w:t>
            </w:r>
          </w:p>
        </w:tc>
        <w:tc>
          <w:tcPr>
            <w:tcW w:type="dxa" w:w="1080"/>
          </w:tcPr>
          <w:p>
            <w:r>
              <w:t>Medium</w:t>
            </w:r>
          </w:p>
        </w:tc>
        <w:tc>
          <w:tcPr>
            <w:tcW w:type="dxa" w:w="1080"/>
          </w:tcPr>
          <w:p>
            <w:r>
              <w:t>Strong</w:t>
            </w:r>
          </w:p>
        </w:tc>
        <w:tc>
          <w:tcPr>
            <w:tcW w:type="dxa" w:w="1080"/>
          </w:tcPr>
          <w:p>
            <w:r>
              <w:t>Dry</w:t>
            </w:r>
          </w:p>
        </w:tc>
        <w:tc>
          <w:tcPr>
            <w:tcW w:type="dxa" w:w="1080"/>
          </w:tcPr>
          <w:p>
            <w:r>
              <w: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Recits de vins et de leurs regions - Vin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