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Recits de vins et de leurs regions - Vin</w:t>
      </w:r>
    </w:p>
    <w:p>
      <w:pPr>
        <w:pStyle w:val="Heading1"/>
      </w:pPr>
      <w:r>
        <w:t>LongridgeMerlot</w:t>
      </w:r>
    </w:p>
    <w:p>
      <w:r>
        <w:t>Au cœur des paysages verdoyants de la Nouvelle-Zélande, où les brises marines sculptent les collines et le soleil généreux caresse les vignobles, le domaine Longridge a su capturer l'essence de son terroir dans un Merlot d'une élégance singulière. Loin des clichés de vins opulents, ce Longridge Merlot se distingue par sa légèreté aérienne, une invitation à la découverte plutôt qu'à la puissance. Son corps délicat, presque évanescent, révèle un bouquet aromatique modéré mais complexe, où les notes de fruits rouges frais se mêlent subtilement à des touches herbacées et épicées, typiques du cépage lorsqu'il est cultivé avec finesse. La sucrosité, quasi absente, laisse place à une finale sèche et rafraîchissante, soulignant la pureté du fruit et la maîtrise de la vinification. Ce vin est une ode à la Nouvelle-Zélande, une expression authentique de son climat tempéré et de son savoir-faire viticole, offrant une expérience gustative raffinée et accessible, loin des sentiers battus.</w:t>
      </w:r>
    </w:p>
    <w:tbl>
      <w:tblPr>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Vin</w:t>
            </w:r>
          </w:p>
        </w:tc>
        <w:tc>
          <w:tcPr>
            <w:tcW w:type="dxa" w:w="1080"/>
          </w:tcPr>
          <w:p>
            <w:r>
              <w:t>Cepage/style</w:t>
            </w:r>
          </w:p>
        </w:tc>
        <w:tc>
          <w:tcPr>
            <w:tcW w:type="dxa" w:w="1080"/>
          </w:tcPr>
          <w:p>
            <w:r>
              <w:t>Domaine</w:t>
            </w:r>
          </w:p>
        </w:tc>
        <w:tc>
          <w:tcPr>
            <w:tcW w:type="dxa" w:w="1080"/>
          </w:tcPr>
          <w:p>
            <w:r>
              <w:t>Region</w:t>
            </w:r>
          </w:p>
        </w:tc>
        <w:tc>
          <w:tcPr>
            <w:tcW w:type="dxa" w:w="1080"/>
          </w:tcPr>
          <w:p>
            <w:r>
              <w:t>Corps</w:t>
            </w:r>
          </w:p>
        </w:tc>
        <w:tc>
          <w:tcPr>
            <w:tcW w:type="dxa" w:w="1080"/>
          </w:tcPr>
          <w:p>
            <w:r>
              <w:t>Arome</w:t>
            </w:r>
          </w:p>
        </w:tc>
        <w:tc>
          <w:tcPr>
            <w:tcW w:type="dxa" w:w="1080"/>
          </w:tcPr>
          <w:p>
            <w:r>
              <w:t>Sucrosite</w:t>
            </w:r>
          </w:p>
        </w:tc>
        <w:tc>
          <w:tcPr>
            <w:tcW w:type="dxa" w:w="1080"/>
          </w:tcPr>
          <w:p>
            <w:r>
              <w:t>Millesime</w:t>
            </w:r>
          </w:p>
        </w:tc>
      </w:tr>
      <w:tr>
        <w:tc>
          <w:tcPr>
            <w:tcW w:type="dxa" w:w="1080"/>
          </w:tcPr>
          <w:p>
            <w:r>
              <w:t>LongridgeMerlot</w:t>
            </w:r>
          </w:p>
        </w:tc>
        <w:tc>
          <w:tcPr>
            <w:tcW w:type="dxa" w:w="1080"/>
          </w:tcPr>
          <w:p>
            <w:r>
              <w:t>Merlot</w:t>
            </w:r>
          </w:p>
        </w:tc>
        <w:tc>
          <w:tcPr>
            <w:tcW w:type="dxa" w:w="1080"/>
          </w:tcPr>
          <w:p>
            <w:r>
              <w:t>Longridge</w:t>
            </w:r>
          </w:p>
        </w:tc>
        <w:tc>
          <w:tcPr>
            <w:tcW w:type="dxa" w:w="1080"/>
          </w:tcPr>
          <w:p>
            <w:r>
              <w:t>NewZealandRegion</w:t>
            </w:r>
          </w:p>
        </w:tc>
        <w:tc>
          <w:tcPr>
            <w:tcW w:type="dxa" w:w="1080"/>
          </w:tcPr>
          <w:p>
            <w:r>
              <w:t>Light</w:t>
            </w:r>
          </w:p>
        </w:tc>
        <w:tc>
          <w:tcPr>
            <w:tcW w:type="dxa" w:w="1080"/>
          </w:tcPr>
          <w:p>
            <w:r>
              <w:t>Moderate</w:t>
            </w:r>
          </w:p>
        </w:tc>
        <w:tc>
          <w:tcPr>
            <w:tcW w:type="dxa" w:w="1080"/>
          </w:tcPr>
          <w:p>
            <w:r>
              <w:t>Dry</w:t>
            </w:r>
          </w:p>
        </w:tc>
        <w:tc>
          <w:tcPr>
            <w:tcW w:type="dxa" w:w="1080"/>
          </w:tcPr>
          <w:p>
            <w:r>
              <w:t>-</w:t>
            </w:r>
          </w:p>
        </w:tc>
      </w:tr>
    </w:tbl>
    <w:p>
      <w:pPr>
        <w:pStyle w:val="Heading1"/>
      </w:pPr>
      <w:r>
        <w:t>MariettaCabernetSauvignon</w:t>
      </w:r>
    </w:p>
    <w:p>
      <w:r>
        <w:t>Au cœur de la Californie, là où le soleil caresse les collines ondoyantes de la Sonoma Region, le domaine Marietta façonne avec passion un Cabernet Sauvignon qui incarne l'élégance et la typicité de son terroir. Ce vin, d'un corps medium, révèle une structure équilibrée, fruit d'un climat idéal et d'un savoir-faire ancestral. Ses arômes modérés, subtilement épicés et fruités, s'épanouissent délicatement au nez, invitant à la dégustation. En bouche, sa sucrosité sèche affirme son caractère, offrant une finale nette et persistante, signature des grands vins de la California Region. Le Marietta Cabernet Sauvignon est une véritable invitation à explorer la richesse viticole des US Region, un voyage sensoriel au cœur d'un cépage emblématique, sublimé par la main de l'homme et la générosité de la nature.</w:t>
      </w:r>
    </w:p>
    <w:tbl>
      <w:tblPr>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Vin</w:t>
            </w:r>
          </w:p>
        </w:tc>
        <w:tc>
          <w:tcPr>
            <w:tcW w:type="dxa" w:w="1080"/>
          </w:tcPr>
          <w:p>
            <w:r>
              <w:t>Cepage/style</w:t>
            </w:r>
          </w:p>
        </w:tc>
        <w:tc>
          <w:tcPr>
            <w:tcW w:type="dxa" w:w="1080"/>
          </w:tcPr>
          <w:p>
            <w:r>
              <w:t>Domaine</w:t>
            </w:r>
          </w:p>
        </w:tc>
        <w:tc>
          <w:tcPr>
            <w:tcW w:type="dxa" w:w="1080"/>
          </w:tcPr>
          <w:p>
            <w:r>
              <w:t>Region</w:t>
            </w:r>
          </w:p>
        </w:tc>
        <w:tc>
          <w:tcPr>
            <w:tcW w:type="dxa" w:w="1080"/>
          </w:tcPr>
          <w:p>
            <w:r>
              <w:t>Corps</w:t>
            </w:r>
          </w:p>
        </w:tc>
        <w:tc>
          <w:tcPr>
            <w:tcW w:type="dxa" w:w="1080"/>
          </w:tcPr>
          <w:p>
            <w:r>
              <w:t>Arome</w:t>
            </w:r>
          </w:p>
        </w:tc>
        <w:tc>
          <w:tcPr>
            <w:tcW w:type="dxa" w:w="1080"/>
          </w:tcPr>
          <w:p>
            <w:r>
              <w:t>Sucrosite</w:t>
            </w:r>
          </w:p>
        </w:tc>
        <w:tc>
          <w:tcPr>
            <w:tcW w:type="dxa" w:w="1080"/>
          </w:tcPr>
          <w:p>
            <w:r>
              <w:t>Millesime</w:t>
            </w:r>
          </w:p>
        </w:tc>
      </w:tr>
      <w:tr>
        <w:tc>
          <w:tcPr>
            <w:tcW w:type="dxa" w:w="1080"/>
          </w:tcPr>
          <w:p>
            <w:r>
              <w:t>MariettaCabernetSauvignon</w:t>
            </w:r>
          </w:p>
        </w:tc>
        <w:tc>
          <w:tcPr>
            <w:tcW w:type="dxa" w:w="1080"/>
          </w:tcPr>
          <w:p>
            <w:r>
              <w:t>CabernetSauvignon</w:t>
            </w:r>
          </w:p>
        </w:tc>
        <w:tc>
          <w:tcPr>
            <w:tcW w:type="dxa" w:w="1080"/>
          </w:tcPr>
          <w:p>
            <w:r>
              <w:t>Marietta</w:t>
            </w:r>
          </w:p>
        </w:tc>
        <w:tc>
          <w:tcPr>
            <w:tcW w:type="dxa" w:w="1080"/>
          </w:tcPr>
          <w:p>
            <w:r>
              <w:t>SonomaRegion</w:t>
            </w:r>
          </w:p>
        </w:tc>
        <w:tc>
          <w:tcPr>
            <w:tcW w:type="dxa" w:w="1080"/>
          </w:tcPr>
          <w:p>
            <w:r>
              <w:t>Medium</w:t>
            </w:r>
          </w:p>
        </w:tc>
        <w:tc>
          <w:tcPr>
            <w:tcW w:type="dxa" w:w="1080"/>
          </w:tcPr>
          <w:p>
            <w:r>
              <w:t>Moderate</w:t>
            </w:r>
          </w:p>
        </w:tc>
        <w:tc>
          <w:tcPr>
            <w:tcW w:type="dxa" w:w="1080"/>
          </w:tcPr>
          <w:p>
            <w:r>
              <w:t>Dry</w:t>
            </w:r>
          </w:p>
        </w:tc>
        <w:tc>
          <w:tcPr>
            <w:tcW w:type="dxa" w:w="1080"/>
          </w:tcPr>
          <w:p>
            <w:r>
              <w:t>-</w:t>
            </w:r>
          </w:p>
        </w:tc>
      </w:tr>
    </w:tbl>
    <w:p>
      <w:pPr>
        <w:pStyle w:val="Heading1"/>
      </w:pPr>
      <w:r>
        <w:t>MariettaOldVinesRed</w:t>
      </w:r>
    </w:p>
    <w:p>
      <w:r>
        <w:t>Au cœur de la Californie, là où le soleil caresse les collines ondoyantes de la Sonoma Region, naît un vin qui incarne l'esprit de son terroir : le Marietta Old Vine Red. Ce vin de table rouge, emblématique du domaine Marietta, est une véritable ode à la tradition viticole américaine. Issu de vignes anciennes qui puisent leur force dans les sols généreux de cette partie septentrionale de la California Region, il offre une expérience gustative à la fois accessible et nuancée. Son corps moyen et ses arômes modérés en font un compagnon idéal pour une multitude de mets, sans jamais les éclipser. Sec et équilibré, le Marietta Old Vine Red est un témoignage éloquent du savoir-faire de la US Region en matière de vins rouges, un flacon qui invite à la découverte et au partage, reflétant la richesse et la diversité de son origine.</w:t>
      </w:r>
    </w:p>
    <w:tbl>
      <w:tblPr>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Vin</w:t>
            </w:r>
          </w:p>
        </w:tc>
        <w:tc>
          <w:tcPr>
            <w:tcW w:type="dxa" w:w="1080"/>
          </w:tcPr>
          <w:p>
            <w:r>
              <w:t>Cepage/style</w:t>
            </w:r>
          </w:p>
        </w:tc>
        <w:tc>
          <w:tcPr>
            <w:tcW w:type="dxa" w:w="1080"/>
          </w:tcPr>
          <w:p>
            <w:r>
              <w:t>Domaine</w:t>
            </w:r>
          </w:p>
        </w:tc>
        <w:tc>
          <w:tcPr>
            <w:tcW w:type="dxa" w:w="1080"/>
          </w:tcPr>
          <w:p>
            <w:r>
              <w:t>Region</w:t>
            </w:r>
          </w:p>
        </w:tc>
        <w:tc>
          <w:tcPr>
            <w:tcW w:type="dxa" w:w="1080"/>
          </w:tcPr>
          <w:p>
            <w:r>
              <w:t>Corps</w:t>
            </w:r>
          </w:p>
        </w:tc>
        <w:tc>
          <w:tcPr>
            <w:tcW w:type="dxa" w:w="1080"/>
          </w:tcPr>
          <w:p>
            <w:r>
              <w:t>Arome</w:t>
            </w:r>
          </w:p>
        </w:tc>
        <w:tc>
          <w:tcPr>
            <w:tcW w:type="dxa" w:w="1080"/>
          </w:tcPr>
          <w:p>
            <w:r>
              <w:t>Sucrosite</w:t>
            </w:r>
          </w:p>
        </w:tc>
        <w:tc>
          <w:tcPr>
            <w:tcW w:type="dxa" w:w="1080"/>
          </w:tcPr>
          <w:p>
            <w:r>
              <w:t>Millesime</w:t>
            </w:r>
          </w:p>
        </w:tc>
      </w:tr>
      <w:tr>
        <w:tc>
          <w:tcPr>
            <w:tcW w:type="dxa" w:w="1080"/>
          </w:tcPr>
          <w:p>
            <w:r>
              <w:t>MariettaOldVinesRed</w:t>
            </w:r>
          </w:p>
        </w:tc>
        <w:tc>
          <w:tcPr>
            <w:tcW w:type="dxa" w:w="1080"/>
          </w:tcPr>
          <w:p>
            <w:r>
              <w:t>RedTableWine</w:t>
            </w:r>
          </w:p>
        </w:tc>
        <w:tc>
          <w:tcPr>
            <w:tcW w:type="dxa" w:w="1080"/>
          </w:tcPr>
          <w:p>
            <w:r>
              <w:t>Marietta</w:t>
            </w:r>
          </w:p>
        </w:tc>
        <w:tc>
          <w:tcPr>
            <w:tcW w:type="dxa" w:w="1080"/>
          </w:tcPr>
          <w:p>
            <w:r>
              <w:t>SonomaRegion</w:t>
            </w:r>
          </w:p>
        </w:tc>
        <w:tc>
          <w:tcPr>
            <w:tcW w:type="dxa" w:w="1080"/>
          </w:tcPr>
          <w:p>
            <w:r>
              <w:t>Medium</w:t>
            </w:r>
          </w:p>
        </w:tc>
        <w:tc>
          <w:tcPr>
            <w:tcW w:type="dxa" w:w="1080"/>
          </w:tcPr>
          <w:p>
            <w:r>
              <w:t>Moderate</w:t>
            </w:r>
          </w:p>
        </w:tc>
        <w:tc>
          <w:tcPr>
            <w:tcW w:type="dxa" w:w="1080"/>
          </w:tcPr>
          <w:p>
            <w:r>
              <w:t>Dry</w:t>
            </w:r>
          </w:p>
        </w:tc>
        <w:tc>
          <w:tcPr>
            <w:tcW w:type="dxa" w:w="1080"/>
          </w:tcPr>
          <w:p>
            <w:r>
              <w: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Recits de vins et de leurs regions - Vin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