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Permissions, droits et interdictions dans un règlement d'accès aux données</w:t>
      </w:r>
    </w:p>
    <w:p>
      <w:pPr>
        <w:pStyle w:val="Heading1"/>
      </w:pPr>
      <w:r>
        <w:t>Introduction</w:t>
      </w:r>
    </w:p>
    <w:p>
      <w:r>
        <w:rPr>
          <w:b w:val="0"/>
        </w:rPr>
        <w:t>Le présent document a pour objectif d'éclairer les notions fondamentales de permissions, droits et interdictions dans le cadre d'un règlement d'accès aux données, en s'appuyant sur la terminologie de l'ontologie LegalRuleML. La gestion des données, en particulier celles de santé, exige une structuration rigoureuse des règles régissant leur consultation et leur utilisation. Comprendre ces concepts est essentiel pour garantir la conformité, la sécurité et le respect des principes éthiques. Nous explorerons ces définitions, puis les appliquerons à un scénario fictif d'un organisme de gestion de données de santé, avant de clarifier les distinctions subtiles entre ces termes.</w:t>
      </w:r>
    </w:p>
    <w:p>
      <w:pPr>
        <w:pStyle w:val="Heading1"/>
      </w:pPr>
      <w:r>
        <w:t>Chapitre 1 : Explications</w:t>
      </w:r>
    </w:p>
    <w:p>
      <w:r>
        <w:rPr>
          <w:b w:val="0"/>
        </w:rPr>
        <w:t xml:space="preserve">Une </w:t>
      </w:r>
      <w:r>
        <w:rPr>
          <w:b/>
        </w:rPr>
        <w:t>DeonticSpecification</w:t>
      </w:r>
      <w:r>
        <w:rPr>
          <w:b w:val="0"/>
        </w:rPr>
        <w:t xml:space="preserve"> est une spécification déontique, c'est-à-dire une règle qui exprime ce qui doit être, ce qui est permis ou ce qui est interdit. Elle englobe les obligations, permissions, interdictions et droits.</w:t>
      </w:r>
    </w:p>
    <w:p>
      <w:r>
        <w:rPr>
          <w:b w:val="0"/>
        </w:rPr>
        <w:t xml:space="preserve">La </w:t>
      </w:r>
      <w:r>
        <w:rPr>
          <w:b/>
        </w:rPr>
        <w:t>Permission</w:t>
      </w:r>
      <w:r>
        <w:rPr>
          <w:b w:val="0"/>
        </w:rPr>
        <w:t xml:space="preserve"> est une spécification déontique concernant un état, un acte ou un cours d'action pour lequel le porteur (Bearer) n'a aucune obligation ou interdiction contraire. Une permission faible est l'absence d'obligation ou d'interdiction contraire. Une permission forte est une exception ou une dérogation à une obligation ou une interdiction contraire. En d'autres termes, si quelque chose n'est pas interdit ou obligatoire, c'est permis. Si une règle spécifique autorise une action qui serait normalement interdite, c'est une permission forte.</w:t>
      </w:r>
    </w:p>
    <w:p>
      <w:r>
        <w:rPr>
          <w:b w:val="0"/>
        </w:rPr>
        <w:t xml:space="preserve">Le </w:t>
      </w:r>
      <w:r>
        <w:rPr>
          <w:b/>
        </w:rPr>
        <w:t>Right</w:t>
      </w:r>
      <w:r>
        <w:rPr>
          <w:b w:val="0"/>
        </w:rPr>
        <w:t xml:space="preserve"> (droit) est une spécification déontique qui confère une permission à une partie (le porteur, Bearer) et implique des obligations ou des interdictions pour d'autres parties (l'AuxiliaryParty), de sorte que le porteur puisse (éventuellement) exercer ce droit. Un droit est donc plus qu'une simple permission ; il crée des devoirs pour autrui afin de garantir l'exercice de cette permission.</w:t>
      </w:r>
    </w:p>
    <w:p>
      <w:r>
        <w:rPr>
          <w:b w:val="0"/>
        </w:rPr>
        <w:t xml:space="preserve">La </w:t>
      </w:r>
      <w:r>
        <w:rPr>
          <w:b/>
        </w:rPr>
        <w:t>Prohibition</w:t>
      </w:r>
      <w:r>
        <w:rPr>
          <w:b w:val="0"/>
        </w:rPr>
        <w:t xml:space="preserve"> (interdiction) est une spécification déontique concernant un état, un acte ou un cours d'action auquel un porteur (Bearer) est légalement lié, et dont la réalisation ou l'exécution entraîne une violation. C'est une contrainte négative, une action qui ne doit pas être entreprise.</w:t>
      </w:r>
    </w:p>
    <w:p>
      <w:r>
        <w:rPr>
          <w:b w:val="0"/>
        </w:rPr>
        <w:t>L'</w:t>
      </w:r>
      <w:r>
        <w:rPr>
          <w:b/>
        </w:rPr>
        <w:t>AuxiliaryParty</w:t>
      </w:r>
      <w:r>
        <w:rPr>
          <w:b w:val="0"/>
        </w:rPr>
        <w:t xml:space="preserve"> est un rôle dans une spécification déontique auquel la spécification déontique est liée. Il s'agit de la partie tierce affectée par la règle, souvent celle qui a une obligation ou une interdiction en conséquence d'un droit ou d'une permission accordée à une autre partie.</w:t>
      </w:r>
    </w:p>
    <w:p>
      <w:pPr>
        <w:pStyle w:val="Heading1"/>
      </w:pPr>
      <w:r>
        <w:t>Chapitre 2 : Exemple détaillé</w:t>
      </w:r>
    </w:p>
    <w:p>
      <w:r>
        <w:rPr>
          <w:b w:val="0"/>
        </w:rPr>
        <w:t>Considérons le règlement intérieur fictif de l'« Institut de Recherche en Santé Numérique » (IRSN), un organisme qui gère des données de santé anonymisées pour la recherche.</w:t>
      </w:r>
    </w:p>
    <w:p>
      <w:r>
        <w:rPr>
          <w:b/>
        </w:rPr>
        <w:t>Article 1 : Accès aux données anonymisées.</w:t>
      </w:r>
    </w:p>
    <w:p>
      <w:r>
        <w:rPr>
          <w:b w:val="0"/>
        </w:rPr>
        <w:t>« Tout chercheur accrédité de l'IRSN a la permission d'accéder aux bases de données anonymisées pour les projets de recherche validés par le Comité Éthique et Scientifique (CES). »</w:t>
      </w:r>
    </w:p>
    <w:p>
      <w:r>
        <w:rPr>
          <w:b w:val="0"/>
        </w:rPr>
        <w:t xml:space="preserve">Ici, la </w:t>
      </w:r>
      <w:r>
        <w:rPr>
          <w:b/>
        </w:rPr>
        <w:t>Permission</w:t>
      </w:r>
      <w:r>
        <w:rPr>
          <w:b w:val="0"/>
        </w:rPr>
        <w:t xml:space="preserve"> est accordée aux "chercheurs accrédités de l'IRSN" (Bearer) d'accéder aux "bases de données anonymisées". C'est une permission conditionnelle, liée à la validation du projet par le CES. Il n'y a pas d'obligation ou d'interdiction générale d'accéder à ces données pour cette catégorie de personnel, mais une autorisation spécifique est requise.</w:t>
      </w:r>
    </w:p>
    <w:p>
      <w:r>
        <w:rPr>
          <w:b/>
        </w:rPr>
        <w:t>Article 2 : Droit d'accès aux données personnelles pour les patients.</w:t>
      </w:r>
    </w:p>
    <w:p>
      <w:r>
        <w:rPr>
          <w:b w:val="0"/>
        </w:rPr>
        <w:t>« Tout patient dont les données ont été collectées par l'IRSN a le droit de consulter l'intégralité de ses données personnelles non anonymisées, sous réserve de vérification de son identité. L'IRSN est tenu de fournir ces données dans un délai de 30 jours. »</w:t>
      </w:r>
    </w:p>
    <w:p>
      <w:r>
        <w:rPr>
          <w:b w:val="0"/>
        </w:rPr>
        <w:t xml:space="preserve">Dans cet article, le "patient" est le </w:t>
      </w:r>
      <w:r>
        <w:rPr>
          <w:b/>
        </w:rPr>
        <w:t>Bearer</w:t>
      </w:r>
      <w:r>
        <w:rPr>
          <w:b w:val="0"/>
        </w:rPr>
        <w:t xml:space="preserve"> d'un </w:t>
      </w:r>
      <w:r>
        <w:rPr>
          <w:b/>
        </w:rPr>
        <w:t>Right</w:t>
      </w:r>
      <w:r>
        <w:rPr>
          <w:b w:val="0"/>
        </w:rPr>
        <w:t xml:space="preserve">. Ce droit lui confère la permission de consulter ses données. Ce qui distingue ce droit d'une simple permission, c'est l'existence d'une obligation pour une </w:t>
      </w:r>
      <w:r>
        <w:rPr>
          <w:b/>
        </w:rPr>
        <w:t>AuxiliaryParty</w:t>
      </w:r>
      <w:r>
        <w:rPr>
          <w:b w:val="0"/>
        </w:rPr>
        <w:t>, en l'occurrence l'« IRSN », de "fournir ces données dans un délai de 30 jours". Sans cette obligation pour l'IRSN, le droit du patient ne pourrait être exercé.</w:t>
      </w:r>
    </w:p>
    <w:p>
      <w:r>
        <w:rPr>
          <w:b/>
        </w:rPr>
        <w:t>Article 3 : Interdiction de divulgation.</w:t>
      </w:r>
    </w:p>
    <w:p>
      <w:r>
        <w:rPr>
          <w:b w:val="0"/>
        </w:rPr>
        <w:t>« Il est formellement interdit à tout membre du personnel de l'IRSN de divulguer des données de santé non anonymisées à des tiers non autorisés. Toute violation de cette interdiction entraînera des sanctions disciplinaires. »</w:t>
      </w:r>
    </w:p>
    <w:p>
      <w:r>
        <w:rPr>
          <w:b w:val="0"/>
        </w:rPr>
        <w:t xml:space="preserve">Ici, la </w:t>
      </w:r>
      <w:r>
        <w:rPr>
          <w:b/>
        </w:rPr>
        <w:t>Prohibition</w:t>
      </w:r>
      <w:r>
        <w:rPr>
          <w:b w:val="0"/>
        </w:rPr>
        <w:t xml:space="preserve"> est clairement énoncée : "divulguer des données de santé non anonymisées à des tiers non autorisés". Le "membre du personnel de l'IRSN" est le </w:t>
      </w:r>
      <w:r>
        <w:rPr>
          <w:b/>
        </w:rPr>
        <w:t>Bearer</w:t>
      </w:r>
      <w:r>
        <w:rPr>
          <w:b w:val="0"/>
        </w:rPr>
        <w:t xml:space="preserve"> de cette interdiction. La "divulgation" est l'acte prohibé, et sa réalisation constitue une "violation" entraînant des "sanctions disciplinaires".</w:t>
      </w:r>
    </w:p>
    <w:p>
      <w:r>
        <w:rPr>
          <w:b/>
        </w:rPr>
        <w:t>Article 4 : Permission forte d'accès en cas d'urgence.</w:t>
      </w:r>
    </w:p>
    <w:p>
      <w:r>
        <w:rPr>
          <w:b w:val="0"/>
        </w:rPr>
        <w:t>« Par dérogation à l'Article 3, le responsable de la sécurité des données a la permission d'accéder aux données non anonymisées en cas d'incident de sécurité avéré nécessitant une intervention immédiate, même sans validation préalable du CES. »</w:t>
      </w:r>
    </w:p>
    <w:p>
      <w:r>
        <w:rPr>
          <w:b w:val="0"/>
        </w:rPr>
        <w:t xml:space="preserve">Cet article illustre une </w:t>
      </w:r>
      <w:r>
        <w:rPr>
          <w:b/>
        </w:rPr>
        <w:t>Permission</w:t>
      </w:r>
      <w:r>
        <w:rPr>
          <w:b w:val="0"/>
        </w:rPr>
        <w:t xml:space="preserve"> forte. Normalement, l'accès aux données non anonymisées est strictement encadré, voire implicitement interdit sans autorisation spécifique. Ici, le "responsable de la sécurité des données" (Bearer) bénéficie d'une dérogation à une règle plus générale (l'esprit de l'Article 3 ou d'autres règles implicites de confidentialité), lui permettant d'agir dans une situation d'urgence.</w:t>
      </w:r>
    </w:p>
    <w:p>
      <w:pPr>
        <w:pStyle w:val="Heading1"/>
      </w:pPr>
      <w:r>
        <w:t>Chapitre 3 : Clarification</w:t>
      </w:r>
    </w:p>
    <w:p>
      <w:r>
        <w:rPr>
          <w:b w:val="0"/>
        </w:rPr>
        <w:t xml:space="preserve">La distinction entre </w:t>
      </w:r>
      <w:r>
        <w:rPr>
          <w:b/>
        </w:rPr>
        <w:t>Permission</w:t>
      </w:r>
      <w:r>
        <w:rPr>
          <w:b w:val="0"/>
        </w:rPr>
        <w:t xml:space="preserve"> et </w:t>
      </w:r>
      <w:r>
        <w:rPr>
          <w:b/>
        </w:rPr>
        <w:t>Right</w:t>
      </w:r>
      <w:r>
        <w:rPr>
          <w:b w:val="0"/>
        </w:rPr>
        <w:t xml:space="preserve"> est souvent source de confusion. Une permission est une absence de contrainte négative (pas d'interdiction) ou positive (pas d'obligation). Je peux avoir la permission de marcher dans un parc public car il n'y a pas de règle l'interdisant. Un droit, en revanche, implique une permission pour le porteur, mais surtout, il impose des obligations ou des interdictions à d'autres parties pour que cette permission puisse être exercée. Le droit à l'éducation, par exemple, ne signifie pas seulement que l'individu est autorisé à apprendre, mais qu'il existe des obligations pour l'État de fournir des écoles et des enseignants. Sans ces obligations pour l'AuxiliaryParty, le droit resterait une permission théorique, difficilement réalisable.</w:t>
      </w:r>
    </w:p>
    <w:p>
      <w:r>
        <w:rPr>
          <w:b w:val="0"/>
        </w:rPr>
        <w:t xml:space="preserve">La </w:t>
      </w:r>
      <w:r>
        <w:rPr>
          <w:b/>
        </w:rPr>
        <w:t>Prohibition</w:t>
      </w:r>
      <w:r>
        <w:rPr>
          <w:b w:val="0"/>
        </w:rPr>
        <w:t xml:space="preserve"> est plus simple à appréhender : c'est une interdiction formelle. La confusion peut survenir avec l'absence de permission. Si une action n'est pas explicitement permise, est-elle interdite ? Pas nécessairement. L'absence de permission explicite peut signifier que l'action est simplement non réglementée, ou qu'elle relève d'une permission faible (non interdite, non obligatoire). Une prohibition, elle, est une interdiction active et explicite, dont la violation entraîne des conséquences.</w:t>
      </w:r>
    </w:p>
    <w:p>
      <w:r>
        <w:rPr>
          <w:b w:val="0"/>
        </w:rPr>
        <w:t xml:space="preserve">Enfin, une </w:t>
      </w:r>
      <w:r>
        <w:rPr>
          <w:b/>
        </w:rPr>
        <w:t>Permission</w:t>
      </w:r>
      <w:r>
        <w:rPr>
          <w:b w:val="0"/>
        </w:rPr>
        <w:t xml:space="preserve"> peut être une dérogation à une </w:t>
      </w:r>
      <w:r>
        <w:rPr>
          <w:b/>
        </w:rPr>
        <w:t>Prohibition</w:t>
      </w:r>
      <w:r>
        <w:rPr>
          <w:b w:val="0"/>
        </w:rPr>
        <w:t>. C'est le cas de la permission forte. Une action qui serait normalement prohibée peut être permise dans des circonstances spécifiques, créant ainsi une exception à la règle générale.</w:t>
      </w:r>
    </w:p>
    <w:p>
      <w:pPr>
        <w:pStyle w:val="Heading1"/>
      </w:pPr>
      <w:r>
        <w:t>Conclusion</w:t>
      </w:r>
    </w:p>
    <w:p>
      <w:r>
        <w:rPr>
          <w:b w:val="0"/>
        </w:rPr>
        <w:t>Les concepts de permission, droit et interdiction sont des piliers de la régulation des accès aux données. La permission indique ce qui est autorisé, le droit confère une permission tout en imposant des devoirs à autrui, et l'interdiction spécifie ce qui est prohibé. Une compréhension précise de ces spécifications déontiques est indispensable pour élaborer des règlements clairs, équitables et efficaces, garantissant la protection des données tout en facilitant leur utilisation légitime.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