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Priorité entre règles : la loi spéciale l'emporte sur la loi générale</w:t>
      </w:r>
    </w:p>
    <w:p>
      <w:pPr>
        <w:pStyle w:val="Heading1"/>
      </w:pPr>
      <w:r>
        <w:t>Introduction</w:t>
      </w:r>
    </w:p>
    <w:p>
      <w:r>
        <w:rPr>
          <w:b w:val="0"/>
        </w:rPr>
        <w:t>Le présent document a pour objectif d'éclairer un principe fondamental du droit : la priorité de la loi spéciale sur la loi générale. Ce principe, souvent désigné par l'adage latin "lex specialis derogat legi generali", est essentiel pour la bonne application des normes juridiques et la résolution des conflits de règles. Nous explorerons ce mécanisme à travers des concepts précis issus de l'ontologie LegalRuleML, qui permettent de modéliser la manière dont les règles interagissent et se supplantent. Nous aborderons successivement les définitions de l'Override, de l'OverrideStatement, du RuleStatement, de la Strength et du Statement, avant de les appliquer à un scénario fictif détaillé.</w:t>
      </w:r>
    </w:p>
    <w:p>
      <w:pPr>
        <w:pStyle w:val="Heading1"/>
      </w:pPr>
      <w:r>
        <w:t>Chapitre 1 : Explications</w:t>
      </w:r>
    </w:p>
    <w:p>
      <w:r>
        <w:rPr>
          <w:b w:val="0"/>
        </w:rPr>
        <w:t xml:space="preserve">Pour comprendre la priorité des règles, il est nécessaire de maîtriser certains concepts clés. Un </w:t>
      </w:r>
      <w:r>
        <w:rPr>
          <w:b/>
        </w:rPr>
        <w:t>Statement</w:t>
      </w:r>
      <w:r>
        <w:rPr>
          <w:b w:val="0"/>
        </w:rPr>
        <w:t xml:space="preserve"> est une déclaration juridique ou factuelle. Il s'agit de l'unité de base de l'information que nous traitons. Un </w:t>
      </w:r>
      <w:r>
        <w:rPr>
          <w:b/>
        </w:rPr>
        <w:t>RuleStatement</w:t>
      </w:r>
      <w:r>
        <w:rPr>
          <w:b w:val="0"/>
        </w:rPr>
        <w:t xml:space="preserve"> est un type spécifique de Statement, qui modélise une règle juridique. C'est la formulation d'une norme qui prescrit, autorise ou interdit un comportement.</w:t>
      </w:r>
    </w:p>
    <w:p>
      <w:r>
        <w:rPr>
          <w:b w:val="0"/>
        </w:rPr>
        <w:t>L'</w:t>
      </w:r>
      <w:r>
        <w:rPr>
          <w:b/>
        </w:rPr>
        <w:t>Override</w:t>
      </w:r>
      <w:r>
        <w:rPr>
          <w:b w:val="0"/>
        </w:rPr>
        <w:t xml:space="preserve"> est une indication qu'une règle juridique prend le pas sur une autre règle juridique. Il s'agit d'une relation de priorité défeasible, c'est-à-dire qu'elle peut être remise en question dans certaines circonstances. L'Override n'est pas une annulation pure et simple, mais une application préférentielle. L'</w:t>
      </w:r>
      <w:r>
        <w:rPr>
          <w:b/>
        </w:rPr>
        <w:t>OverrideStatement</w:t>
      </w:r>
      <w:r>
        <w:rPr>
          <w:b w:val="0"/>
        </w:rPr>
        <w:t xml:space="preserve"> est la déclaration juridique qui exprime cette relation d'Override. C'est l'énoncé qui affirme qu'une règle l'emporte sur une autre.</w:t>
      </w:r>
    </w:p>
    <w:p>
      <w:r>
        <w:rPr>
          <w:b w:val="0"/>
        </w:rPr>
        <w:t xml:space="preserve">Enfin, la </w:t>
      </w:r>
      <w:r>
        <w:rPr>
          <w:b/>
        </w:rPr>
        <w:t>Strength</w:t>
      </w:r>
      <w:r>
        <w:rPr>
          <w:b w:val="0"/>
        </w:rPr>
        <w:t xml:space="preserve"> est la qualité d'une règle juridique à résister ou non à une réfutation. Une règle dotée d'une plus grande Strength aura plus de chances de prévaloir en cas de conflit. La Strength peut être intrinsèque à la règle (par exemple, une loi constitutionnelle a une plus grande Strength qu'une loi ordinaire) ou découler de principes d'interprétation (comme le principe de la loi spéciale).</w:t>
      </w:r>
    </w:p>
    <w:p>
      <w:pPr>
        <w:pStyle w:val="Heading1"/>
      </w:pPr>
      <w:r>
        <w:t>Chapitre 2 : Exemple détaillé</w:t>
      </w:r>
    </w:p>
    <w:p>
      <w:r>
        <w:rPr>
          <w:b w:val="0"/>
        </w:rPr>
        <w:t>Considérons un scénario fictif concernant la durée d'un préavis de rupture de contrat.</w:t>
      </w:r>
    </w:p>
    <w:p>
      <w:r>
        <w:rPr>
          <w:b/>
        </w:rPr>
        <w:t>Règle 1 (Générale) :</w:t>
      </w:r>
      <w:r>
        <w:rPr>
          <w:b w:val="0"/>
        </w:rPr>
        <w:t xml:space="preserve"> L'article 12 du Code des Contrats Généraux dispose que "sauf stipulation contraire, le préavis de rupture de tout contrat à durée indéterminée est fixé à trois mois."</w:t>
      </w:r>
    </w:p>
    <w:p>
      <w:r>
        <w:rPr>
          <w:b/>
        </w:rPr>
        <w:t>Règle 2 (Spéciale) :</w:t>
      </w:r>
      <w:r>
        <w:rPr>
          <w:b w:val="0"/>
        </w:rPr>
        <w:t xml:space="preserve"> L'article 5 de la Loi sur les Contrats du Secteur des Services Numériques prévoit que "pour les contrats de prestation de services numériques à durée indéterminée, le préavis de rupture est d'un mois."</w:t>
      </w:r>
    </w:p>
    <w:p>
      <w:r>
        <w:rPr>
          <w:b w:val="0"/>
        </w:rPr>
        <w:t xml:space="preserve">Dans ce scénario, la Règle 1 est un </w:t>
      </w:r>
      <w:r>
        <w:rPr>
          <w:b/>
        </w:rPr>
        <w:t>RuleStatement</w:t>
      </w:r>
      <w:r>
        <w:rPr>
          <w:b w:val="0"/>
        </w:rPr>
        <w:t xml:space="preserve"> général. La Règle 2 est également un </w:t>
      </w:r>
      <w:r>
        <w:rPr>
          <w:b/>
        </w:rPr>
        <w:t>RuleStatement</w:t>
      </w:r>
      <w:r>
        <w:rPr>
          <w:b w:val="0"/>
        </w:rPr>
        <w:t>, mais elle est spécifique au secteur des services numériques.</w:t>
      </w:r>
    </w:p>
    <w:p>
      <w:r>
        <w:rPr>
          <w:b w:val="0"/>
        </w:rPr>
        <w:t>Un contrat de prestation de services numériques à durée indéterminée est rompu. La question se pose de savoir quelle règle appliquer concernant la durée du préavis.</w:t>
      </w:r>
    </w:p>
    <w:p>
      <w:r>
        <w:rPr>
          <w:b w:val="0"/>
        </w:rPr>
        <w:t xml:space="preserve">1.  </w:t>
      </w:r>
      <w:r>
        <w:rPr>
          <w:b/>
        </w:rPr>
        <w:t>Identification des RuleStatements :</w:t>
      </w:r>
      <w:r>
        <w:rPr>
          <w:b w:val="0"/>
        </w:rPr>
        <w:t xml:space="preserve"> Nous avons deux RuleStatements pertinents : Règle 1 et Règle 2.</w:t>
      </w:r>
    </w:p>
    <w:p>
      <w:r>
        <w:rPr>
          <w:b w:val="0"/>
        </w:rPr>
        <w:t xml:space="preserve">2.  </w:t>
      </w:r>
      <w:r>
        <w:rPr>
          <w:b/>
        </w:rPr>
        <w:t>Conflit de règles :</w:t>
      </w:r>
      <w:r>
        <w:rPr>
          <w:b w:val="0"/>
        </w:rPr>
        <w:t xml:space="preserve"> Les deux règles proposent des durées de préavis différentes pour une même situation (contrat à durée indéterminée). Il y a donc un conflit.</w:t>
      </w:r>
    </w:p>
    <w:p>
      <w:r>
        <w:rPr>
          <w:b w:val="0"/>
        </w:rPr>
        <w:t xml:space="preserve">3.  </w:t>
      </w:r>
      <w:r>
        <w:rPr>
          <w:b/>
        </w:rPr>
        <w:t>Application du principe "lex specialis" :</w:t>
      </w:r>
      <w:r>
        <w:rPr>
          <w:b w:val="0"/>
        </w:rPr>
        <w:t xml:space="preserve"> La Règle 2 est spécifique aux "contrats de prestation de services numériques", tandis que la Règle 1 est générale à "tout contrat à durée indéterminée". Le principe "lex specialis derogat legi generali" s'applique.</w:t>
      </w:r>
    </w:p>
    <w:p>
      <w:r>
        <w:rPr>
          <w:b w:val="0"/>
        </w:rPr>
        <w:t xml:space="preserve">4.  </w:t>
      </w:r>
      <w:r>
        <w:rPr>
          <w:b/>
        </w:rPr>
        <w:t>Déclaration d'Override :</w:t>
      </w:r>
      <w:r>
        <w:rPr>
          <w:b w:val="0"/>
        </w:rPr>
        <w:t xml:space="preserve"> Nous pouvons formuler un </w:t>
      </w:r>
      <w:r>
        <w:rPr>
          <w:b/>
        </w:rPr>
        <w:t>OverrideStatement</w:t>
      </w:r>
      <w:r>
        <w:rPr>
          <w:b w:val="0"/>
        </w:rPr>
        <w:t xml:space="preserve"> : "La Règle 2 (Loi sur les Contrats du Secteur des Services Numériques) opère un Override sur la Règle 1 (Code des Contrats Généraux) concernant la durée du préavis pour les contrats de prestation de services numériques à durée indéterminée."</w:t>
      </w:r>
    </w:p>
    <w:p>
      <w:r>
        <w:rPr>
          <w:b w:val="0"/>
        </w:rPr>
        <w:t xml:space="preserve">5.  </w:t>
      </w:r>
      <w:r>
        <w:rPr>
          <w:b/>
        </w:rPr>
        <w:t>Conséquence de l'Override :</w:t>
      </w:r>
      <w:r>
        <w:rPr>
          <w:b w:val="0"/>
        </w:rPr>
        <w:t xml:space="preserve"> En vertu de cet Override, la Règle 2 prend le pas sur la Règle 1. Le préavis applicable sera donc d'un mois.</w:t>
      </w:r>
    </w:p>
    <w:p>
      <w:r>
        <w:rPr>
          <w:b w:val="0"/>
        </w:rPr>
        <w:t xml:space="preserve">6.  </w:t>
      </w:r>
      <w:r>
        <w:rPr>
          <w:b/>
        </w:rPr>
        <w:t>Strength des règles :</w:t>
      </w:r>
      <w:r>
        <w:rPr>
          <w:b w:val="0"/>
        </w:rPr>
        <w:t xml:space="preserve"> La Règle 2 possède une plus grande </w:t>
      </w:r>
      <w:r>
        <w:rPr>
          <w:b/>
        </w:rPr>
        <w:t>Strength</w:t>
      </w:r>
      <w:r>
        <w:rPr>
          <w:b w:val="0"/>
        </w:rPr>
        <w:t xml:space="preserve"> dans ce contexte spécifique, non pas parce qu'elle est hiérarchiquement supérieure (les deux sont des lois), mais parce qu'elle est plus spécifique. Sa spécificité lui confère une capacité à résister à l'application de la règle générale.</w:t>
      </w:r>
    </w:p>
    <w:p>
      <w:r>
        <w:rPr>
          <w:b w:val="0"/>
        </w:rPr>
        <w:t>Ainsi, l'OverrideStatement formalise la décision d'appliquer la règle spéciale, et la Strength de la règle spéciale est ce qui lui permet de prévaloir.</w:t>
      </w:r>
    </w:p>
    <w:p>
      <w:pPr>
        <w:pStyle w:val="Heading1"/>
      </w:pPr>
      <w:r>
        <w:t>Chapitre 3 : Clarification</w:t>
      </w:r>
    </w:p>
    <w:p>
      <w:r>
        <w:rPr>
          <w:b w:val="0"/>
        </w:rPr>
        <w:t xml:space="preserve">Il est important de distinguer l'Override d'une simple abrogation ou d'une annulation. L'Override ne signifie pas que la règle générale est supprimée du corpus juridique ; elle continue de s'appliquer dans toutes les situations où aucune règle spéciale ne vient la supplanter. L'Override est une relation de priorité contextuelle. La </w:t>
      </w:r>
      <w:r>
        <w:rPr>
          <w:b/>
        </w:rPr>
        <w:t>Strength</w:t>
      </w:r>
      <w:r>
        <w:rPr>
          <w:b w:val="0"/>
        </w:rPr>
        <w:t xml:space="preserve"> d'une règle n'est pas non plus synonyme de sa hiérarchie. Une loi peut avoir une Strength supérieure à une autre loi en vertu de sa spécificité, même si elles sont de même rang hiérarchique. La hiérarchie est une forme de Strength, mais la spécificité en est une autre. Un </w:t>
      </w:r>
      <w:r>
        <w:rPr>
          <w:b/>
        </w:rPr>
        <w:t>Statement</w:t>
      </w:r>
      <w:r>
        <w:rPr>
          <w:b w:val="0"/>
        </w:rPr>
        <w:t xml:space="preserve"> est un terme générique ; un </w:t>
      </w:r>
      <w:r>
        <w:rPr>
          <w:b/>
        </w:rPr>
        <w:t>RuleStatement</w:t>
      </w:r>
      <w:r>
        <w:rPr>
          <w:b w:val="0"/>
        </w:rPr>
        <w:t xml:space="preserve"> est un type particulier de Statement qui exprime une règle. L'</w:t>
      </w:r>
      <w:r>
        <w:rPr>
          <w:b/>
        </w:rPr>
        <w:t>OverrideStatement</w:t>
      </w:r>
      <w:r>
        <w:rPr>
          <w:b w:val="0"/>
        </w:rPr>
        <w:t xml:space="preserve"> est également un type de Statement, mais il exprime une relation de priorité entre RuleStatements. La confusion pourrait naître de l'idée qu'un Override implique une invalidation, alors qu'il s'agit plutôt d'une application sélective.</w:t>
      </w:r>
    </w:p>
    <w:p>
      <w:pPr>
        <w:pStyle w:val="Heading1"/>
      </w:pPr>
      <w:r>
        <w:t>Conclusion</w:t>
      </w:r>
    </w:p>
    <w:p>
      <w:r>
        <w:rPr>
          <w:b w:val="0"/>
        </w:rPr>
        <w:t>Le principe de la loi spéciale l'emportant sur la loi générale est un mécanisme essentiel pour la cohérence et la précision de l'application du droit. Les concepts d'Override, d'OverrideStatement, de RuleStatement, de Strength et de Statement, issus de l'ontologie LegalRuleML, fournissent un cadre rigoureux pour analyser et modéliser ces interactions complexes entre les normes juridiques. Ils permettent de comprendre comment une règle spécifique peut prendre le pas sur une règle générale sans l'abroger, garantissant ainsi une application juste et adaptée du droit aux situations particulières.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