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C6FEB"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CEE48DD" w14:textId="77777777" w:rsidR="0032009C" w:rsidRDefault="0032009C"/>
    <w:p w14:paraId="1C6E0C7F"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Source or sink? Integrating biogeochemical, trophic and landscap</w:t>
      </w:r>
      <w:commentRangeStart w:id="1"/>
      <w:r>
        <w:rPr>
          <w:rFonts w:ascii="Times New Roman" w:eastAsia="Times New Roman" w:hAnsi="Times New Roman" w:cs="Times New Roman"/>
          <w:sz w:val="24"/>
          <w:szCs w:val="24"/>
        </w:rPr>
        <w:t>e</w:t>
      </w:r>
      <w:commentRangeEnd w:id="1"/>
      <w:r>
        <w:commentReference w:id="1"/>
      </w:r>
      <w:r>
        <w:rPr>
          <w:rFonts w:ascii="Times New Roman" w:eastAsia="Times New Roman" w:hAnsi="Times New Roman" w:cs="Times New Roman"/>
          <w:sz w:val="24"/>
          <w:szCs w:val="24"/>
        </w:rPr>
        <w:t xml:space="preserve"> processes to model lake organic carbon budgets</w:t>
      </w:r>
    </w:p>
    <w:p w14:paraId="44E21F2E" w14:textId="77777777" w:rsidR="0032009C" w:rsidRDefault="0032009C">
      <w:pPr>
        <w:spacing w:line="480" w:lineRule="auto"/>
        <w:rPr>
          <w:rFonts w:ascii="Times New Roman" w:eastAsia="Times New Roman" w:hAnsi="Times New Roman" w:cs="Times New Roman"/>
          <w:sz w:val="24"/>
          <w:szCs w:val="24"/>
        </w:rPr>
      </w:pPr>
    </w:p>
    <w:p w14:paraId="31D306A5" w14:textId="7845259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2"/>
      <w:r>
        <w:rPr>
          <w:rFonts w:ascii="Times New Roman" w:eastAsia="Times New Roman" w:hAnsi="Times New Roman" w:cs="Times New Roman"/>
          <w:sz w:val="24"/>
          <w:szCs w:val="24"/>
        </w:rPr>
        <w:t>Hilary A. Dugan</w:t>
      </w:r>
      <w:commentRangeEnd w:id="2"/>
      <w:r>
        <w:commentReference w:id="2"/>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Zutao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Facundo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Paul C. Hanson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Kathleen C. Weathers</w:t>
      </w:r>
      <w:r>
        <w:rPr>
          <w:rFonts w:ascii="Times New Roman" w:eastAsia="Times New Roman" w:hAnsi="Times New Roman" w:cs="Times New Roman"/>
          <w:sz w:val="24"/>
          <w:szCs w:val="24"/>
          <w:vertAlign w:val="superscript"/>
        </w:rPr>
        <w:t>14</w:t>
      </w:r>
    </w:p>
    <w:p w14:paraId="07B2C71B" w14:textId="77777777" w:rsidR="0032009C" w:rsidRDefault="0032009C">
      <w:pPr>
        <w:spacing w:line="480" w:lineRule="auto"/>
        <w:rPr>
          <w:rFonts w:ascii="Times New Roman" w:eastAsia="Times New Roman" w:hAnsi="Times New Roman" w:cs="Times New Roman"/>
          <w:sz w:val="24"/>
          <w:szCs w:val="24"/>
          <w:vertAlign w:val="superscript"/>
        </w:rPr>
      </w:pPr>
    </w:p>
    <w:p w14:paraId="708CFE25" w14:textId="65A76CB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6BFEB924" w14:textId="19ADABA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261182E8"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Odum School of Ecology, University of Georgia, 140 E. Green Street, Athens, GA, 30602, US</w:t>
      </w:r>
    </w:p>
    <w:p w14:paraId="08D7B64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Bessey, Ames, IA, 50011, US. </w:t>
      </w:r>
    </w:p>
    <w:p w14:paraId="5677A963"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 Michigan State University, 1405, S. Harrison Rd. East Lansing, MI, 48823, US</w:t>
      </w:r>
    </w:p>
    <w:p w14:paraId="47AA29A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60C108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7 </w:t>
      </w:r>
      <w:r>
        <w:rPr>
          <w:rFonts w:ascii="Times New Roman" w:eastAsia="Times New Roman" w:hAnsi="Times New Roman" w:cs="Times New Roman"/>
          <w:sz w:val="24"/>
          <w:szCs w:val="24"/>
        </w:rPr>
        <w:t>Instituto Argentino de Oceanografía, Universidad Nacional del Sur - CONICET, 8000 Florida St, Bahía Blanca Bs As, B8000BFW, Argentina.</w:t>
      </w:r>
    </w:p>
    <w:p w14:paraId="77E3F638" w14:textId="4AE0454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7F69ABFD" w14:textId="0E37FB11"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3F80D9C" w14:textId="15E402D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2E2EE786" w14:textId="3B1C899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5874CEF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1434473A" w14:textId="6F80D1D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349D34B8" w14:textId="186DA5F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0DFC369C"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1FC7C841"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E5A2753"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3" w:name="_6hiy0534m7k8" w:colFirst="0" w:colLast="0"/>
      <w:bookmarkEnd w:id="3"/>
      <w:commentRangeStart w:id="4"/>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4"/>
      <w:r>
        <w:commentReference w:id="4"/>
      </w:r>
    </w:p>
    <w:p w14:paraId="73A38074" w14:textId="5E38FD3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Lakes are active processors of organic carbon (OC) and are thought to play important roles in landscape and global carbon cycles. Lakes integrate terrestrially derived OC from their surrounding watersheds, produce and consume OC during primary production and respiration, bury OC in lake bottom sediments and export OC via surface or below-ground outflows. Although these processes provide a solid basis for a conceptual understanding of lake OC budgets, few studies have integrated these various fluxes under a unified modeling framework to examine their interactions and relative magnitudes. We developed a flexible, dynamical mass balance model for OC rooted in our conceptual understanding of lake OC budgets and applied the model to a heterogeneous set of 5 lakes with available data. We examined the relative importance of OC fluxes and found that long-term lake OC dynamics were predominantly driven by allochthonous loads in 4 of the 5 lakes, underscoring the importance of terrestrially-derived OC in lake ecosystems. Burial, the main OC sink mechanism in lakes, represented a relatively small component of the total budget (&lt;10%) in 3 of 5 lakes and was driven largely by autochthony. Two lakes buried 100% of autochthonous OC, increasing the proportion of burial in total budgets to 20.5 and 43.6%, respectively. Proportions for respiration were more variable, ranging 14.6-87.9% of total budgets. Given the relatively low rates of burial compared to respiration across lakes</w:t>
      </w:r>
      <w:r w:rsidR="003A0D4C">
        <w:rPr>
          <w:rFonts w:ascii="Times New Roman" w:eastAsia="Times New Roman" w:hAnsi="Times New Roman" w:cs="Times New Roman"/>
          <w:sz w:val="24"/>
          <w:szCs w:val="24"/>
        </w:rPr>
        <w:t xml:space="preserve"> in 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represented net OC source. The exception was Lake Monona, Wisconsin, a eutrophic lake with short (&lt; 1 year) hydrologic residence time located in an agricultural watershed. In addition, we found that lakes generally transitioned seasonally from OC sinks to sources as water temperatures and lake productivity increased. Finally, we highlighted critical research needs, which include collection of additional data for surface water DOC, burial rates and budgets of particulate OC. These data </w:t>
      </w:r>
      <w:r>
        <w:rPr>
          <w:rFonts w:ascii="Times New Roman" w:eastAsia="Times New Roman" w:hAnsi="Times New Roman" w:cs="Times New Roman"/>
          <w:sz w:val="24"/>
          <w:szCs w:val="24"/>
        </w:rPr>
        <w:lastRenderedPageBreak/>
        <w:t xml:space="preserve">will help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283D228" w14:textId="77777777" w:rsidR="0032009C" w:rsidRDefault="0032009C">
      <w:pPr>
        <w:spacing w:line="480" w:lineRule="auto"/>
        <w:rPr>
          <w:rFonts w:ascii="Times New Roman" w:eastAsia="Times New Roman" w:hAnsi="Times New Roman" w:cs="Times New Roman"/>
          <w:sz w:val="24"/>
          <w:szCs w:val="24"/>
        </w:rPr>
      </w:pPr>
    </w:p>
    <w:p w14:paraId="762237A6" w14:textId="77777777" w:rsidR="0032009C" w:rsidRDefault="00B80037">
      <w:pPr>
        <w:spacing w:line="480" w:lineRule="auto"/>
        <w:rPr>
          <w:rFonts w:ascii="Times New Roman" w:eastAsia="Times New Roman" w:hAnsi="Times New Roman" w:cs="Times New Roman"/>
          <w:sz w:val="24"/>
          <w:szCs w:val="24"/>
        </w:rPr>
      </w:pPr>
      <w:commentRangeStart w:id="5"/>
      <w:r>
        <w:rPr>
          <w:rFonts w:ascii="Times New Roman" w:eastAsia="Times New Roman" w:hAnsi="Times New Roman" w:cs="Times New Roman"/>
          <w:sz w:val="24"/>
          <w:szCs w:val="24"/>
        </w:rPr>
        <w:t>Key words</w:t>
      </w:r>
      <w:commentRangeEnd w:id="5"/>
      <w:r>
        <w:commentReference w:id="5"/>
      </w:r>
      <w:r>
        <w:rPr>
          <w:rFonts w:ascii="Times New Roman" w:eastAsia="Times New Roman" w:hAnsi="Times New Roman" w:cs="Times New Roman"/>
          <w:sz w:val="24"/>
          <w:szCs w:val="24"/>
        </w:rPr>
        <w:t>: carbon cycle, limnology, mass balance, allochthony, autochthony, sedimentation, dissolved organic carbon, particulate organic carbon, LTER</w:t>
      </w:r>
    </w:p>
    <w:p w14:paraId="19BDC375"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6" w:name="_rwp1srpn25su" w:colFirst="0" w:colLast="0"/>
      <w:bookmarkEnd w:id="6"/>
    </w:p>
    <w:p w14:paraId="20002590" w14:textId="77777777" w:rsidR="0032009C" w:rsidRDefault="00B80037">
      <w:r>
        <w:br w:type="page"/>
      </w:r>
    </w:p>
    <w:p w14:paraId="40ADD8C8"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7" w:name="_kfraquamimep" w:colFirst="0" w:colLast="0"/>
      <w:bookmarkStart w:id="8" w:name="_a19hf2z0hrxx" w:colFirst="0" w:colLast="0"/>
      <w:bookmarkEnd w:id="7"/>
      <w:bookmarkEnd w:id="8"/>
      <w:r>
        <w:rPr>
          <w:rFonts w:ascii="Times New Roman" w:eastAsia="Times New Roman" w:hAnsi="Times New Roman" w:cs="Times New Roman"/>
          <w:b/>
          <w:sz w:val="24"/>
          <w:szCs w:val="24"/>
        </w:rPr>
        <w:lastRenderedPageBreak/>
        <w:t xml:space="preserve">INTRODUCTION </w:t>
      </w:r>
    </w:p>
    <w:p w14:paraId="686257D5"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era of rapid environmental changes, understanding of the global carbon cycle is critically important for scientists, policymakers and society as a whole. Whereas interests have largely focused on fossil fuel emissions, oceans, deforestation, and other land cover changes, we draw attention to the role of inland waters, particularly lakes, in the cycling of organic carbon (OC). Although it has been recognized that lakes actively process rather than simply transport terrestrially derived OC (Cole et al. 2007, Tranvik et al. 2009), as well as emit inorganic carbon to the atmosphere (Arvola et al. 2002, Weyhenmeyer et al., 2015), efforts to model the internal processing of OC in lakes that adequately incorporate all critical OC fluxes (i.e., “mass balances”) are still relatively uncommon. Further, mass balances that have been published are generally confined to single lakes, and tend to be concentrated in boreal regions (e.g., Jonsson et al. 2001, Urban et al. 2005, Andersson and Sobek 2006, Cremona et al. 2014). </w:t>
      </w:r>
    </w:p>
    <w:p w14:paraId="1FD064C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9" w:name="_fgbmh3q8shl8" w:colFirst="0" w:colLast="0"/>
      <w:bookmarkEnd w:id="9"/>
      <w:r>
        <w:rPr>
          <w:rFonts w:ascii="Times New Roman" w:eastAsia="Times New Roman" w:hAnsi="Times New Roman" w:cs="Times New Roman"/>
          <w:i/>
          <w:color w:val="000000"/>
          <w:sz w:val="24"/>
          <w:szCs w:val="24"/>
        </w:rPr>
        <w:t>Overview of concepts of key OC fluxes in lake ecosystems</w:t>
      </w:r>
    </w:p>
    <w:p w14:paraId="18B76E21" w14:textId="6C18185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“mass balance” has been broadly used to describe attempts to quantify nutrient budgets (not s</w:t>
      </w:r>
      <w:r w:rsidR="003A0D4C">
        <w:rPr>
          <w:rFonts w:ascii="Times New Roman" w:eastAsia="Times New Roman" w:hAnsi="Times New Roman" w:cs="Times New Roman"/>
          <w:sz w:val="24"/>
          <w:szCs w:val="24"/>
        </w:rPr>
        <w:t>trictly OC) of a lake as the combination</w:t>
      </w:r>
      <w:r>
        <w:rPr>
          <w:rFonts w:ascii="Times New Roman" w:eastAsia="Times New Roman" w:hAnsi="Times New Roman" w:cs="Times New Roman"/>
          <w:sz w:val="24"/>
          <w:szCs w:val="24"/>
        </w:rPr>
        <w:t xml:space="preserve"> of inputs, internal processes and outputs. Inputs represent the sum of allochthonous (external origin) dissolved (DOC) and particulate OC (POC) inflows from surface or groundwater sources, precipitation and litterfall. Internal processes consist of autochthonous (in-lake) mechanisms that produce, consume and store OC (i.e., primary production, respiration, burial in sediments). Outputs comprise DOC and POC pools that exit a lake via surface or groundwater exports. Therefore, a lake does not function </w:t>
      </w:r>
      <w:r w:rsidR="00C1238B">
        <w:rPr>
          <w:rFonts w:ascii="Times New Roman" w:eastAsia="Times New Roman" w:hAnsi="Times New Roman" w:cs="Times New Roman"/>
          <w:sz w:val="24"/>
          <w:szCs w:val="24"/>
        </w:rPr>
        <w:t xml:space="preserve">as simply a “source” or “sink” </w:t>
      </w:r>
      <w:r>
        <w:rPr>
          <w:rFonts w:ascii="Times New Roman" w:eastAsia="Times New Roman" w:hAnsi="Times New Roman" w:cs="Times New Roman"/>
          <w:sz w:val="24"/>
          <w:szCs w:val="24"/>
        </w:rPr>
        <w:t xml:space="preserve">of OC based on differences between inputs and outputs due to the mediating influence of internal processes. Although it has long been recognized that lake sediments store OC and therefore may act as important sinks in the global carbon cycle </w:t>
      </w:r>
      <w:r>
        <w:rPr>
          <w:rFonts w:ascii="Times New Roman" w:eastAsia="Times New Roman" w:hAnsi="Times New Roman" w:cs="Times New Roman"/>
          <w:sz w:val="24"/>
          <w:szCs w:val="24"/>
        </w:rPr>
        <w:lastRenderedPageBreak/>
        <w:t xml:space="preserve">(Mulholland and Elwood 1982, Dillon and Molot 1997, Dean and Gorham 1998, Einsele et al. 2001, Kortelainen et al. 2004, Rantakari and Kortelainen 2005, Einola et al. 2011, Raymond et al. 2013), the magnitude of </w:t>
      </w:r>
      <w:r w:rsidR="005D06E6">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has not been adequately compared to other important fluxes in overall lake OC budgets (Hanson et al. 2015), precluding determination of net lake function in terms of OC. Lakes as carbon sources have generally been described in terms of carbon dioxide (Striegl et al. 2001, Rantakari and Kortelainen 2005, Kortelainen et al. 2006, Tranvik et al. 2009, Raymond et al. 2013) or methane emissions (Bastviken et al. 2011); although these represent important carbon fluxes, emissions are not sources of OC. We therefore broadened definitions of sources and sinks for lake OC to account </w:t>
      </w:r>
      <w:r w:rsidR="005D06E6" w:rsidRPr="006F4EC1">
        <w:rPr>
          <w:rFonts w:ascii="Times New Roman" w:eastAsia="Times New Roman" w:hAnsi="Times New Roman" w:cs="Times New Roman"/>
          <w:noProof/>
          <w:sz w:val="24"/>
          <w:szCs w:val="24"/>
        </w:rPr>
        <mc:AlternateContent>
          <mc:Choice Requires="wps">
            <w:drawing>
              <wp:anchor distT="45720" distB="45720" distL="114300" distR="114300" simplePos="0" relativeHeight="251657216" behindDoc="0" locked="0" layoutInCell="1" allowOverlap="1" wp14:anchorId="15078B26" wp14:editId="2D49BDC2">
                <wp:simplePos x="0" y="0"/>
                <wp:positionH relativeFrom="column">
                  <wp:posOffset>0</wp:posOffset>
                </wp:positionH>
                <wp:positionV relativeFrom="paragraph">
                  <wp:posOffset>3568700</wp:posOffset>
                </wp:positionV>
                <wp:extent cx="6388100" cy="31877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3187700"/>
                        </a:xfrm>
                        <a:prstGeom prst="rect">
                          <a:avLst/>
                        </a:prstGeom>
                        <a:solidFill>
                          <a:srgbClr val="FFFFFF"/>
                        </a:solidFill>
                        <a:ln w="9525">
                          <a:solidFill>
                            <a:srgbClr val="000000"/>
                          </a:solidFill>
                          <a:miter lim="800000"/>
                          <a:headEnd/>
                          <a:tailEnd/>
                        </a:ln>
                      </wps:spPr>
                      <wps:txbx>
                        <w:txbxContent>
                          <w:p w14:paraId="448BA99F" w14:textId="77777777" w:rsidR="003A0D4C" w:rsidRPr="006F4EC1" w:rsidRDefault="003A0D4C"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3A0D4C" w:rsidRDefault="003A0D4C"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Allochthony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70435094" w14:textId="77777777" w:rsidR="003A0D4C" w:rsidRDefault="003A0D4C"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3A0D4C" w:rsidRDefault="003A0D4C"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3A0D4C" w:rsidRDefault="003A0D4C"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3A0D4C" w:rsidRDefault="003A0D4C"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3A0D4C" w:rsidRDefault="003A0D4C"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3A0D4C" w:rsidRDefault="003A0D4C"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allochthony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3A0D4C" w:rsidRDefault="003A0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078B26" id="_x0000_t202" coordsize="21600,21600" o:spt="202" path="m,l,21600r21600,l21600,xe">
                <v:stroke joinstyle="miter"/>
                <v:path gradientshapeok="t" o:connecttype="rect"/>
              </v:shapetype>
              <v:shape id="Text Box 2" o:spid="_x0000_s1026" type="#_x0000_t202" style="position:absolute;left:0;text-align:left;margin-left:0;margin-top:281pt;width:503pt;height:251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">
                <v:textbox>
                  <w:txbxContent>
                    <w:p w14:paraId="448BA99F" w14:textId="77777777" w:rsidR="003A0D4C" w:rsidRPr="006F4EC1" w:rsidRDefault="003A0D4C"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3A0D4C" w:rsidRDefault="003A0D4C"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Allochthony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70435094" w14:textId="77777777" w:rsidR="003A0D4C" w:rsidRDefault="003A0D4C"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3A0D4C" w:rsidRDefault="003A0D4C"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3A0D4C" w:rsidRDefault="003A0D4C"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3A0D4C" w:rsidRDefault="003A0D4C"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3A0D4C" w:rsidRDefault="003A0D4C"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3A0D4C" w:rsidRDefault="003A0D4C"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allochthony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3A0D4C" w:rsidRDefault="003A0D4C"/>
                  </w:txbxContent>
                </v:textbox>
                <w10:wrap type="square"/>
              </v:shape>
            </w:pict>
          </mc:Fallback>
        </mc:AlternateContent>
      </w:r>
      <w:r>
        <w:rPr>
          <w:rFonts w:ascii="Times New Roman" w:eastAsia="Times New Roman" w:hAnsi="Times New Roman" w:cs="Times New Roman"/>
          <w:sz w:val="24"/>
          <w:szCs w:val="24"/>
        </w:rPr>
        <w:t>for the interacting nature of fluxes based on the following criteria:</w:t>
      </w:r>
    </w:p>
    <w:p w14:paraId="5008AC2C" w14:textId="2924651C" w:rsidR="0032009C" w:rsidRDefault="0032009C">
      <w:pPr>
        <w:spacing w:line="480" w:lineRule="auto"/>
        <w:rPr>
          <w:rFonts w:ascii="Times New Roman" w:eastAsia="Times New Roman" w:hAnsi="Times New Roman" w:cs="Times New Roman"/>
          <w:sz w:val="24"/>
          <w:szCs w:val="24"/>
        </w:rPr>
      </w:pPr>
    </w:p>
    <w:p w14:paraId="77C1F90F" w14:textId="0AAE4DA0"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A limitation of many existing mass balance studies is oversimplification or inability to account for these key carbon fluxes that constitute the full budget. These fluxes interact with each other, underscoring the importance of including them together in a unified model </w:t>
      </w:r>
      <w:r>
        <w:rPr>
          <w:rFonts w:ascii="Times New Roman" w:eastAsia="Times New Roman" w:hAnsi="Times New Roman" w:cs="Times New Roman"/>
          <w:sz w:val="24"/>
          <w:szCs w:val="24"/>
        </w:rPr>
        <w:lastRenderedPageBreak/>
        <w:t xml:space="preserve">framework. We synthesized existing knowledge of lake OC budgets into a conceptual model that integrates these important mechanisms, including both in-lake as well as external (i.e., watershed) processes. Below we described these mechanisms in three main categories 1) allochthony, 2) autochthony and 3) other fluxes. </w:t>
      </w:r>
    </w:p>
    <w:p w14:paraId="365C1A24"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0" w:name="_cia0tf49w3t8" w:colFirst="0" w:colLast="0"/>
      <w:bookmarkEnd w:id="10"/>
      <w:r>
        <w:rPr>
          <w:rFonts w:ascii="Times New Roman" w:eastAsia="Times New Roman" w:hAnsi="Times New Roman" w:cs="Times New Roman"/>
          <w:i/>
          <w:color w:val="000000"/>
          <w:sz w:val="24"/>
          <w:szCs w:val="24"/>
        </w:rPr>
        <w:t>Allochthony</w:t>
      </w:r>
    </w:p>
    <w:p w14:paraId="0663B724" w14:textId="514E1AC1"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surface and groundwater inflows, litterfall and direct-fall precipitation. Although surface water inflows regularly deliver OC to lake ecosystems, the role of terrestrially derived OC from these inflows is perhaps the most commonly ignored set of processes in OC budgets, largely owing to data limitations (Hanson et al. 2015). These inflows originate from streams, wetlands and groundwater, each of which is affected by seasonal patterns of temperature and precipitation, as well as surrounding landscape composition. Prior studies have used direct measurements of inflow stream concentrations of OC when available (Schindler et al. 1997, Jonsson et al. 2001, Ramlal et al. 2003, Aberg et al. 2004, Urban et al. 2005, Klump et al. 2009, Xu et al. 2013, Cremona et al. 2014, Hanson et al. 2014), but other approaches have included use of literature-derived input estimates (Striegl et al. 1998), equations based on watershed area (Sobek et al. 2006), watershed-wetland area ratios (O’Connor et al. 2009), precipitation (Hanson et al. 2004, Staehr et al. 2010), or GIS-based estimates based on land cover and distance-weighted hydrological flow paths (Canham et al. 2004). Although groundwater delivers OC to lakes, especially when groundwater passes through organic-rich soils (Schindler and Krabennhoft 1998), groundwater volume and OC concentration data are rare and difficult to estimate (Hanson et al. 2014). In lakes without permanent tributaries, groundwater may be the dominant source of hydrological input (e.g., Gaiser et al. 2009). Inputs from litterfall, direct-fall </w:t>
      </w:r>
      <w:r>
        <w:rPr>
          <w:rFonts w:ascii="Times New Roman" w:eastAsia="Times New Roman" w:hAnsi="Times New Roman" w:cs="Times New Roman"/>
          <w:sz w:val="24"/>
          <w:szCs w:val="24"/>
        </w:rPr>
        <w:lastRenderedPageBreak/>
        <w:t>precipitation and atmospheric deposition are generally small and have been estimated as a function of static load parameters and lak</w:t>
      </w:r>
      <w:r w:rsidR="00DB37D5">
        <w:rPr>
          <w:rFonts w:ascii="Times New Roman" w:eastAsia="Times New Roman" w:hAnsi="Times New Roman" w:cs="Times New Roman"/>
          <w:sz w:val="24"/>
          <w:szCs w:val="24"/>
        </w:rPr>
        <w:t>e area (Hanson et al. 2004</w:t>
      </w:r>
      <w:r>
        <w:rPr>
          <w:rFonts w:ascii="Times New Roman" w:eastAsia="Times New Roman" w:hAnsi="Times New Roman" w:cs="Times New Roman"/>
          <w:sz w:val="24"/>
          <w:szCs w:val="24"/>
        </w:rPr>
        <w:t xml:space="preserve">). </w:t>
      </w:r>
    </w:p>
    <w:p w14:paraId="3A758E4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1" w:name="_z80hadduisff" w:colFirst="0" w:colLast="0"/>
      <w:bookmarkEnd w:id="11"/>
      <w:r>
        <w:rPr>
          <w:rFonts w:ascii="Times New Roman" w:eastAsia="Times New Roman" w:hAnsi="Times New Roman" w:cs="Times New Roman"/>
          <w:i/>
          <w:sz w:val="24"/>
          <w:szCs w:val="24"/>
        </w:rPr>
        <w:t>Autochthony</w:t>
      </w:r>
    </w:p>
    <w:p w14:paraId="2D6504A2" w14:textId="77777777" w:rsidR="00DB37D5"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is produced as a function of gross primary production (GPP) and autotrophic and heterotrophic respiration. These processes vary as a function of nutrient inputs and seasonal, ambient lake conditions. DOC supports a significant fraction of respiration in most lakes, affirming the importance of accounting for food web relationships and their effects on lake OC budgets (Cole et al. 2000). Similar to surface and groundwater inflows, GPP and respiration are commonly ignored in OC budgets </w:t>
      </w:r>
      <w:commentRangeStart w:id="12"/>
      <w:r>
        <w:rPr>
          <w:rFonts w:ascii="Times New Roman" w:eastAsia="Times New Roman" w:hAnsi="Times New Roman" w:cs="Times New Roman"/>
          <w:sz w:val="24"/>
          <w:szCs w:val="24"/>
        </w:rPr>
        <w:t>owing to data limitations</w:t>
      </w:r>
      <w:commentRangeEnd w:id="12"/>
      <w:r>
        <w:commentReference w:id="12"/>
      </w:r>
      <w:r>
        <w:rPr>
          <w:rFonts w:ascii="Times New Roman" w:eastAsia="Times New Roman" w:hAnsi="Times New Roman" w:cs="Times New Roman"/>
          <w:sz w:val="24"/>
          <w:szCs w:val="24"/>
        </w:rPr>
        <w:t>. Approaches previously employed to estimate GPP and respiratio</w:t>
      </w:r>
      <w:r w:rsidR="00DB37D5">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include measured dissolved oxygen (DO) (Cole et al. 2002, Staehr et al. 2010), total phosphorus (TP) (Hanson et al. 2004) or chlorophyll-A (ChlA) (Jonsson et al. 2001, Ramlal et al. 2003). Other methods include bottle incubation (Urban 2005, Yang et al. 2008) or static proportions of the overall OC pool (Aberg et al. 2004). </w:t>
      </w:r>
    </w:p>
    <w:p w14:paraId="4AE1494F" w14:textId="210DE709" w:rsidR="0032009C" w:rsidRDefault="00B80037"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Other fluxes</w:t>
      </w:r>
    </w:p>
    <w:p w14:paraId="3FC64905"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the other fluxes in OC budgets, perhaps the most critical to source or sink dynamics is burial of both allochthonous and autochthonous OC. Burial is the storage of carbon in bottom sediments and is the main “sink” pathway for carbon in lakes (Cole et al. 2002, Tranvik et al. 2009). </w:t>
      </w:r>
      <w:commentRangeStart w:id="13"/>
      <w:r>
        <w:rPr>
          <w:rFonts w:ascii="Times New Roman" w:eastAsia="Times New Roman" w:hAnsi="Times New Roman" w:cs="Times New Roman"/>
          <w:sz w:val="24"/>
          <w:szCs w:val="24"/>
        </w:rPr>
        <w:t>Permanent OC burial in lakes is a product of in-lake POC concentrations, POC particle sizes and associated settling rates, sediment particle size and density that affect resuspension, lake hydrodynamics that affect settling rates and resuspension and benthic biogeochemistry (citations to be added).</w:t>
      </w:r>
      <w:commentRangeEnd w:id="13"/>
      <w:r>
        <w:commentReference w:id="13"/>
      </w:r>
      <w:r>
        <w:rPr>
          <w:rFonts w:ascii="Times New Roman" w:eastAsia="Times New Roman" w:hAnsi="Times New Roman" w:cs="Times New Roman"/>
          <w:sz w:val="24"/>
          <w:szCs w:val="24"/>
        </w:rPr>
        <w:t xml:space="preserve"> The complexity associated with modeling each of these mechanisms cannot be well represented in a single-node model; uncertainties associated with each mechanism would likely yield questionable results. Methods for estimating sediment </w:t>
      </w:r>
      <w:r>
        <w:rPr>
          <w:rFonts w:ascii="Times New Roman" w:eastAsia="Times New Roman" w:hAnsi="Times New Roman" w:cs="Times New Roman"/>
          <w:sz w:val="24"/>
          <w:szCs w:val="24"/>
        </w:rPr>
        <w:lastRenderedPageBreak/>
        <w:t>accumulation rates are diverse and have commonly included functions based on lake area, particularly for studies containing a large number of lakes (Canham et al. 2004, Hanson et al. 2004). Some studies have used historical accumulation rates measured from sediment cores (Yang et al. 2008, Klump et al. 2009, Xu et al. 2013), sediment traps (Jonsson et al. 2001, Ramlal et al. 2003), or estimates based on changing bathymetry (Downing 2008). A challenge associated with estimating accumulation rates is the reliance on sparsely distributed point measurements to characterize sediment accumulation rates that can vary dramatically over both space and time.</w:t>
      </w:r>
    </w:p>
    <w:p w14:paraId="34EC1F2E" w14:textId="52F935E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Quantities of allocthonous and autochthonous POC n</w:t>
      </w:r>
      <w:r w:rsidR="00DB37D5">
        <w:rPr>
          <w:rFonts w:ascii="Times New Roman" w:eastAsia="Times New Roman" w:hAnsi="Times New Roman" w:cs="Times New Roman"/>
          <w:sz w:val="24"/>
          <w:szCs w:val="24"/>
        </w:rPr>
        <w:t>ot buried are leached to DOC or</w:t>
      </w:r>
      <w:r>
        <w:rPr>
          <w:rFonts w:ascii="Times New Roman" w:eastAsia="Times New Roman" w:hAnsi="Times New Roman" w:cs="Times New Roman"/>
          <w:sz w:val="24"/>
          <w:szCs w:val="24"/>
        </w:rPr>
        <w:t xml:space="preserve"> exported (Cole et al. 1984). Exports may serve as allochthonous inputs to other aquatic ecosystems including lakes and therefore play an important role in landscape carbon cycling (Kling et al. 2000). </w:t>
      </w:r>
      <w:commentRangeStart w:id="14"/>
      <w:r>
        <w:rPr>
          <w:rFonts w:ascii="Times New Roman" w:eastAsia="Times New Roman" w:hAnsi="Times New Roman" w:cs="Times New Roman"/>
          <w:sz w:val="24"/>
          <w:szCs w:val="24"/>
        </w:rPr>
        <w:t>A small amount of water</w:t>
      </w:r>
      <w:commentRangeEnd w:id="14"/>
      <w:r>
        <w:commentReference w:id="14"/>
      </w:r>
      <w:r>
        <w:rPr>
          <w:rFonts w:ascii="Times New Roman" w:eastAsia="Times New Roman" w:hAnsi="Times New Roman" w:cs="Times New Roman"/>
          <w:sz w:val="24"/>
          <w:szCs w:val="24"/>
        </w:rPr>
        <w:t xml:space="preserve"> relative to lake volume evaporates depending on seasonal weather conditions, but we did not account for </w:t>
      </w:r>
      <w:r w:rsidR="008B57C5">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process. Finally, under anoxic conditions in the hypolimnion, buried sediments may undergo resuspension and release OC back into the water column (reference? This was from a Mindy comment). </w:t>
      </w:r>
    </w:p>
    <w:p w14:paraId="617503C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5" w:name="_hwd1sfdwl8es" w:colFirst="0" w:colLast="0"/>
      <w:bookmarkEnd w:id="15"/>
      <w:r>
        <w:rPr>
          <w:rFonts w:ascii="Times New Roman" w:eastAsia="Times New Roman" w:hAnsi="Times New Roman" w:cs="Times New Roman"/>
          <w:i/>
          <w:sz w:val="24"/>
          <w:szCs w:val="24"/>
        </w:rPr>
        <w:t>Objective and research questions</w:t>
      </w:r>
    </w:p>
    <w:p w14:paraId="611F8C03"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We integrated the various OC fluxes described above into a dynamical mass balance model applied over a heterogeneous set of 5 lakes. Our broad objective was to develop a flexible model that represented the magnitudes of key fluxes over time. We applied the model to ask the following questions:</w:t>
      </w:r>
    </w:p>
    <w:p w14:paraId="124B464E" w14:textId="77777777"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relative importance of mechanisms that drive lake OC budgets and lake function as net sources or sinks?</w:t>
      </w:r>
    </w:p>
    <w:p w14:paraId="6CD4D16F" w14:textId="77777777"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Under what conditions are lakes likely to be net sources or sinks of OC?</w:t>
      </w:r>
    </w:p>
    <w:p w14:paraId="3B738AE2"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6" w:name="_d5wy3t4llow9" w:colFirst="0" w:colLast="0"/>
      <w:bookmarkEnd w:id="16"/>
      <w:r>
        <w:rPr>
          <w:rFonts w:ascii="Times New Roman" w:eastAsia="Times New Roman" w:hAnsi="Times New Roman" w:cs="Times New Roman"/>
          <w:b/>
          <w:sz w:val="24"/>
          <w:szCs w:val="24"/>
        </w:rPr>
        <w:lastRenderedPageBreak/>
        <w:t>METHODS</w:t>
      </w:r>
    </w:p>
    <w:p w14:paraId="5AA3C7C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7" w:name="_hvnmkjqwqiaq" w:colFirst="0" w:colLast="0"/>
      <w:bookmarkEnd w:id="17"/>
      <w:r>
        <w:rPr>
          <w:rFonts w:ascii="Times New Roman" w:eastAsia="Times New Roman" w:hAnsi="Times New Roman" w:cs="Times New Roman"/>
          <w:i/>
          <w:sz w:val="24"/>
          <w:szCs w:val="24"/>
        </w:rPr>
        <w:t>Study lakes and data sources</w:t>
      </w:r>
    </w:p>
    <w:p w14:paraId="6C8B092E" w14:textId="77777777"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modeled OC budgets for 5 lakes that span</w:t>
      </w:r>
      <w:r w:rsidR="00DB37D5">
        <w:rPr>
          <w:rFonts w:ascii="Times New Roman" w:eastAsia="Times New Roman" w:hAnsi="Times New Roman" w:cs="Times New Roman"/>
          <w:sz w:val="24"/>
          <w:szCs w:val="24"/>
        </w:rPr>
        <w:t>ned</w:t>
      </w:r>
      <w:r>
        <w:rPr>
          <w:rFonts w:ascii="Times New Roman" w:eastAsia="Times New Roman" w:hAnsi="Times New Roman" w:cs="Times New Roman"/>
          <w:sz w:val="24"/>
          <w:szCs w:val="24"/>
        </w:rPr>
        <w:t xml:space="preserve"> a range of environmental conditions and limnological characteristics (e.g., hydrological residence time, </w:t>
      </w:r>
      <w:r w:rsidR="00DB37D5">
        <w:rPr>
          <w:rFonts w:ascii="Times New Roman" w:eastAsia="Times New Roman" w:hAnsi="Times New Roman" w:cs="Times New Roman"/>
          <w:sz w:val="24"/>
          <w:szCs w:val="24"/>
        </w:rPr>
        <w:t>depth</w:t>
      </w:r>
      <w:r>
        <w:rPr>
          <w:rFonts w:ascii="Times New Roman" w:eastAsia="Times New Roman" w:hAnsi="Times New Roman" w:cs="Times New Roman"/>
          <w:sz w:val="24"/>
          <w:szCs w:val="24"/>
        </w:rPr>
        <w:t xml:space="preserve">) (Table 1). Lakes were selected primarily based on observational data availability. Lake Monona and Trout Lake (Wisconsin, USA), Lake Vanern (Sweden) and Harp Lake (Ontario, Canada) all are situated in north-temperate continental climates, whereas Toolik Lake (Alaska, USA), which sits 304 km north of the Arctic Circle, occurs in a subarctic climate based on Koppen classification (S1). Necessary observational data included daily precipitation, daily hydrological inflow (discharge), sub-annual inflow DOC concentration and sub-annual in-lake measurements (surface temperature, ChlA, and Secchi depth). Land cover datasets were used to calculate the proportion of lake shorelines occupied by forests and wetlands. All lakes had a minimum of 10 years of limnological data used for model training (Table 1) and at least 4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 See supplemental material for detailed data descriptions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18" w:name="_zhqmebn7y8o8" w:colFirst="0" w:colLast="0"/>
      <w:bookmarkEnd w:id="18"/>
    </w:p>
    <w:p w14:paraId="09A07E8F" w14:textId="26502AEA" w:rsidR="0032009C" w:rsidRDefault="00B80037" w:rsidP="00797426">
      <w:pPr>
        <w:spacing w:line="480" w:lineRule="auto"/>
        <w:rPr>
          <w:rFonts w:ascii="Times New Roman" w:eastAsia="Times New Roman" w:hAnsi="Times New Roman" w:cs="Times New Roman"/>
          <w:i/>
          <w:sz w:val="24"/>
          <w:szCs w:val="24"/>
        </w:rPr>
      </w:pPr>
      <w:commentRangeStart w:id="19"/>
      <w:r>
        <w:rPr>
          <w:rFonts w:ascii="Times New Roman" w:eastAsia="Times New Roman" w:hAnsi="Times New Roman" w:cs="Times New Roman"/>
          <w:i/>
          <w:sz w:val="24"/>
          <w:szCs w:val="24"/>
        </w:rPr>
        <w:t>General model approach</w:t>
      </w:r>
      <w:commentRangeEnd w:id="19"/>
      <w:r>
        <w:commentReference w:id="19"/>
      </w:r>
    </w:p>
    <w:p w14:paraId="6D23F43C" w14:textId="3B00A1BC"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our objective to represent the relative contributions of individual fluxes to whole-system OC dynamics, an overly complex modeling approach would considerably hinder our ability to apply the model across multiple lakes with limited observational data. We therefore specifically aimed to minimize the need for driving data and maintain generalizability across lake systems, using our conceptual framework as the foundation for the mass balance model. We 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 xml:space="preserve">observational data were not always available </w:t>
      </w:r>
      <w:r>
        <w:rPr>
          <w:rFonts w:ascii="Times New Roman" w:eastAsia="Times New Roman" w:hAnsi="Times New Roman" w:cs="Times New Roman"/>
          <w:sz w:val="24"/>
          <w:szCs w:val="24"/>
        </w:rPr>
        <w:lastRenderedPageBreak/>
        <w:t>(i.e, weekly to bi-weekly for some lakes), we filled gaps using linear interpolations. We made an exception for precipitation: data gaps were filled as 0. To account for the absence of winter data at Toolik Lake, we set inflow DOC to 0 when the main inflow (Toolik Inlet) was frozen (S2). We summarized static and calibrated model parameters in Table 2. We developed the model using R version 3.3.2.</w:t>
      </w:r>
    </w:p>
    <w:p w14:paraId="175D9C2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0" w:name="_e3qajp1968u" w:colFirst="0" w:colLast="0"/>
      <w:bookmarkEnd w:id="20"/>
      <w:r>
        <w:rPr>
          <w:rFonts w:ascii="Times New Roman" w:eastAsia="Times New Roman" w:hAnsi="Times New Roman" w:cs="Times New Roman"/>
          <w:i/>
          <w:sz w:val="24"/>
          <w:szCs w:val="24"/>
        </w:rPr>
        <w:t>Allochthonous DOC and POC</w:t>
      </w:r>
    </w:p>
    <w:p w14:paraId="7D3C75D5" w14:textId="612CCA31"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 and 4) groundwater load. POC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10% of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w:t>
      </w:r>
    </w:p>
    <w:p w14:paraId="13815B47"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Daily surface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This variable was one of the least frequently measured variables for our study lakes. When inflow DOC data were not available for all tributaries, DOC contributions for each tributary were estimated based on the proportion of total inflow volume and the assumption that inflow DOC concentration was the same in all tributaries. </w:t>
      </w:r>
    </w:p>
    <w:p w14:paraId="64975FAC" w14:textId="58BAD36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DOC_precip_conc</w:t>
      </w:r>
      <w:r>
        <w:rPr>
          <w:rFonts w:ascii="Times New Roman" w:eastAsia="Times New Roman" w:hAnsi="Times New Roman" w:cs="Times New Roman"/>
          <w:sz w:val="24"/>
          <w:szCs w:val="24"/>
        </w:rPr>
        <w:t>).</w:t>
      </w:r>
    </w:p>
    <w:p w14:paraId="1E3E421F" w14:textId="06F038F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Contributions of 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the vast majority of wetland-derived OC to lakes; distant wetlands </w:t>
      </w:r>
      <w:r>
        <w:rPr>
          <w:rFonts w:ascii="Times New Roman" w:eastAsia="Times New Roman" w:hAnsi="Times New Roman" w:cs="Times New Roman"/>
          <w:sz w:val="24"/>
          <w:szCs w:val="24"/>
        </w:rPr>
        <w:lastRenderedPageBreak/>
        <w:t>contribute negligible OC that is not transported via streams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Table 2: PropWetland</w:t>
      </w:r>
      <w:r>
        <w:rPr>
          <w:rFonts w:ascii="Times New Roman" w:eastAsia="Times New Roman" w:hAnsi="Times New Roman" w:cs="Times New Roman"/>
          <w:sz w:val="24"/>
          <w:szCs w:val="24"/>
        </w:rPr>
        <w:t>) by lake perimeter (m), and then multiplying this value by a static parameter representing wetland DOC in g/m shoreline/day (Table 3: Eq. 1d).</w:t>
      </w:r>
    </w:p>
    <w:p w14:paraId="557B63AC" w14:textId="44875806"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were not available for any lake. The proportion of inflow resulting from groundwater in our study lakes ranged from (0-19%) (S1) and groundwater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(Hanson et al. 2014) (Table 2</w:t>
      </w:r>
      <w:r w:rsidR="00AD6663">
        <w:rPr>
          <w:rFonts w:ascii="Times New Roman" w:eastAsia="Times New Roman" w:hAnsi="Times New Roman" w:cs="Times New Roman"/>
          <w:sz w:val="24"/>
          <w:szCs w:val="24"/>
        </w:rPr>
        <w:t>: DOC_GW</w:t>
      </w:r>
      <w:r>
        <w:rPr>
          <w:rFonts w:ascii="Times New Roman" w:eastAsia="Times New Roman" w:hAnsi="Times New Roman" w:cs="Times New Roman"/>
          <w:sz w:val="24"/>
          <w:szCs w:val="24"/>
        </w:rPr>
        <w:t xml:space="preserve">). The contribution of groundwater to the allochthonous DOC load was therefore calculated as the product of DOC concentration and a percentage of total surface inflow (groundwater inflow rate) (Table 3: Eq. 1e). </w:t>
      </w:r>
    </w:p>
    <w:p w14:paraId="79AB911A" w14:textId="193F348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We calculated the contribution of all adjacent forests, including coniferous, deciduous, and mixed stands (POC canopy), to the OC budget via litterfall by multiplying the proportion of lake shoreline covered by forests (</w:t>
      </w:r>
      <w:r w:rsidR="00AD6663">
        <w:rPr>
          <w:rFonts w:ascii="Times New Roman" w:eastAsia="Times New Roman" w:hAnsi="Times New Roman" w:cs="Times New Roman"/>
          <w:sz w:val="24"/>
          <w:szCs w:val="24"/>
        </w:rPr>
        <w:t>Table 2: PropCanopy</w:t>
      </w:r>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 (Hanson et al. 2014). </w:t>
      </w:r>
    </w:p>
    <w:p w14:paraId="45EA878F"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1" w:name="_6mc5pfc13zyv" w:colFirst="0" w:colLast="0"/>
      <w:bookmarkEnd w:id="21"/>
      <w:r>
        <w:rPr>
          <w:rFonts w:ascii="Times New Roman" w:eastAsia="Times New Roman" w:hAnsi="Times New Roman" w:cs="Times New Roman"/>
          <w:i/>
          <w:color w:val="000000"/>
          <w:sz w:val="24"/>
          <w:szCs w:val="24"/>
        </w:rPr>
        <w:t xml:space="preserve">Autochthonous DOC and POC: primary production </w:t>
      </w:r>
    </w:p>
    <w:p w14:paraId="515F4F31" w14:textId="296B601D"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Autochthonous OC production as GPP was modeled as a function of ChlA (ug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or TP (ug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(if ChlA was unavailable) and surface water temperature (°C) per Morin et al. (1999) (Table 3: Eq. 2a). This empirical statistical model was based on observational temperature and ChlA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this model does not predict GPP well for winter-temperatures, we set GPP to zero if surface water temperatures were &lt; 4 </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ChlA and TP concentrations were converted from volume to areal units by multiplying by photic depth, which was estimated from Secchi depth (m; Wetzel 1975). Autotrophic respiration (</w:t>
      </w:r>
      <w:r w:rsidR="00F55FEA">
        <w:rPr>
          <w:rFonts w:ascii="Times New Roman" w:eastAsia="Times New Roman" w:hAnsi="Times New Roman" w:cs="Times New Roman"/>
          <w:sz w:val="24"/>
          <w:szCs w:val="24"/>
        </w:rPr>
        <w:t>Table 2: R_autotroph</w:t>
      </w:r>
      <w:r>
        <w:rPr>
          <w:rFonts w:ascii="Times New Roman" w:eastAsia="Times New Roman" w:hAnsi="Times New Roman" w:cs="Times New Roman"/>
          <w:sz w:val="24"/>
          <w:szCs w:val="24"/>
        </w:rPr>
        <w:t xml:space="preserve">) was assumed to equal 80% of total GPP; therefore, net </w:t>
      </w:r>
      <w:r>
        <w:rPr>
          <w:rFonts w:ascii="Times New Roman" w:eastAsia="Times New Roman" w:hAnsi="Times New Roman" w:cs="Times New Roman"/>
          <w:sz w:val="24"/>
          <w:szCs w:val="24"/>
        </w:rPr>
        <w:lastRenderedPageBreak/>
        <w:t>primary production (NPP) was set equal to 20% of GPP (Quay et al. 1986, Cole et al. 2002, Hanson et al. 2004) (Table 3: Eqs. 2b-2d). NPP was partitioned into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fractions using the Pace and Prairie (2005) estimate that 40-70% (as a function of ChlA) of NPP is respired and therefore must be converted to DOC. The resulting rates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production were then applied to the whole-lake carbon balance by scaling with lake surface area (Table 3: Eqs. 2e-f). </w:t>
      </w:r>
    </w:p>
    <w:p w14:paraId="506DE743" w14:textId="56DB9226"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Heterotrophic respiration was calculated as a function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the photic zone, epilimnion temperature and two free parameters: Respiration_autoch and Respiration_alloch (Table 2, Table 3: Eqs</w:t>
      </w:r>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Respiration_alloch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based on the range of OC decomposition rates for inland waters with residence times between 1-10 years presented in Catalan et al. (2016). Since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is more autochthonous than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in lakes (</w:t>
      </w:r>
      <w:commentRangeStart w:id="22"/>
      <w:r>
        <w:rPr>
          <w:rFonts w:ascii="Times New Roman" w:eastAsia="Times New Roman" w:hAnsi="Times New Roman" w:cs="Times New Roman"/>
          <w:sz w:val="24"/>
          <w:szCs w:val="24"/>
        </w:rPr>
        <w:t>add some citations</w:t>
      </w:r>
      <w:commentRangeEnd w:id="22"/>
      <w:r w:rsidR="00F55FEA">
        <w:rPr>
          <w:rStyle w:val="CommentReference"/>
        </w:rPr>
        <w:commentReference w:id="22"/>
      </w:r>
      <w:r>
        <w:rPr>
          <w:rFonts w:ascii="Times New Roman" w:eastAsia="Times New Roman" w:hAnsi="Times New Roman" w:cs="Times New Roman"/>
          <w:sz w:val="24"/>
          <w:szCs w:val="24"/>
        </w:rPr>
        <w:t>), Respiration_autoch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234DD4B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3" w:name="_ny5h27mmaq7k" w:colFirst="0" w:colLast="0"/>
      <w:bookmarkEnd w:id="23"/>
      <w:r>
        <w:rPr>
          <w:rFonts w:ascii="Times New Roman" w:eastAsia="Times New Roman" w:hAnsi="Times New Roman" w:cs="Times New Roman"/>
          <w:i/>
          <w:color w:val="000000"/>
          <w:sz w:val="24"/>
          <w:szCs w:val="24"/>
        </w:rPr>
        <w:t>Burial of POC</w:t>
      </w:r>
    </w:p>
    <w:p w14:paraId="7BE69FCF" w14:textId="6CBED7C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time step, a small proportion of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 xml:space="preserve">alloch </w:t>
      </w:r>
      <w:r>
        <w:rPr>
          <w:rFonts w:ascii="Times New Roman" w:eastAsia="Times New Roman" w:hAnsi="Times New Roman" w:cs="Times New Roman"/>
          <w:sz w:val="24"/>
          <w:szCs w:val="24"/>
        </w:rPr>
        <w:t>was allowed to leave the lake via export, and the rest was either buried or leached 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based on the Burial_autoch and Burial_alloch parameters (Table 2, Table 3: Eqs. 3c-h).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treated as a free calibration parameter in the model and allowed to vary as a proportion between 0 (no burial of POC) and 1 (all POC is buried). 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w:t>
      </w:r>
      <w:commentRangeStart w:id="24"/>
      <w:r>
        <w:rPr>
          <w:rFonts w:ascii="Times New Roman" w:eastAsia="Times New Roman" w:hAnsi="Times New Roman" w:cs="Times New Roman"/>
          <w:sz w:val="24"/>
          <w:szCs w:val="24"/>
        </w:rPr>
        <w:t>resuspension estimates</w:t>
      </w:r>
      <w:commentRangeEnd w:id="24"/>
      <w:r>
        <w:commentReference w:id="24"/>
      </w:r>
      <w:r>
        <w:rPr>
          <w:rFonts w:ascii="Times New Roman" w:eastAsia="Times New Roman" w:hAnsi="Times New Roman" w:cs="Times New Roman"/>
          <w:sz w:val="24"/>
          <w:szCs w:val="24"/>
        </w:rPr>
        <w:t xml:space="preserve">. </w:t>
      </w:r>
    </w:p>
    <w:p w14:paraId="598DC9E6"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5" w:name="_l03fr54i2e0u" w:colFirst="0" w:colLast="0"/>
      <w:bookmarkEnd w:id="25"/>
      <w:r>
        <w:rPr>
          <w:rFonts w:ascii="Times New Roman" w:eastAsia="Times New Roman" w:hAnsi="Times New Roman" w:cs="Times New Roman"/>
          <w:i/>
          <w:sz w:val="24"/>
          <w:szCs w:val="24"/>
        </w:rPr>
        <w:lastRenderedPageBreak/>
        <w:t xml:space="preserve">Model output and calibration </w:t>
      </w:r>
    </w:p>
    <w:p w14:paraId="2F876694" w14:textId="3D92A70F"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All fluxes and loads of DOC and POC were tracked at the daily model time step. Net ecosystem production (NEP) was calculated as the difference between NPP and heterotrophic respiration (Table 3: Eq. 4a).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(atmospheric flux rate) was calculated as </w:t>
      </w:r>
      <w:commentRangeStart w:id="26"/>
      <w:r>
        <w:rPr>
          <w:rFonts w:ascii="Times New Roman" w:eastAsia="Times New Roman" w:hAnsi="Times New Roman" w:cs="Times New Roman"/>
          <w:sz w:val="24"/>
          <w:szCs w:val="24"/>
        </w:rPr>
        <w:t>k</w:t>
      </w:r>
      <w:commentRangeEnd w:id="26"/>
      <w:r>
        <w:commentReference w:id="26"/>
      </w:r>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r>
        <w:rPr>
          <w:rFonts w:ascii="Times New Roman" w:eastAsia="Times New Roman" w:hAnsi="Times New Roman" w:cs="Times New Roman"/>
          <w:sz w:val="24"/>
          <w:szCs w:val="24"/>
        </w:rPr>
        <w:t xml:space="preserve"> -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The mix depth (Z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k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 is temperature dependent and was determined using the Garcia-Benson method in the LakeMetabolizer R package (Winslow et al. 2016). NEP,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(Table 3: Eq. 4c). </w:t>
      </w:r>
    </w:p>
    <w:p w14:paraId="7877166D" w14:textId="756E8E45"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free parameters in the model (Respiration_autoch, Respiration_alloch, Burial_autoch and Burial_alloch; Table 2) were fit by minimizing the sum of the squared residuals of DOC and DO modeled minus DOC and DO observed (equally weighted by number of observations). The model was fit using a pseudo-random search algorithm in the R package FME (Soetaert and Petzoldt 2010). </w:t>
      </w:r>
      <w:r w:rsidR="001D3328">
        <w:rPr>
          <w:rFonts w:ascii="Times New Roman" w:eastAsia="Times New Roman" w:hAnsi="Times New Roman" w:cs="Times New Roman"/>
          <w:sz w:val="24"/>
          <w:szCs w:val="24"/>
        </w:rPr>
        <w:t xml:space="preserve">Modeled DOC and DO were compared to corresponding observed concentrations using RMSE (root mean square error)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within the set bounds (n=100) while fixing the other three parameters at their calibrated values. </w:t>
      </w:r>
    </w:p>
    <w:p w14:paraId="0BA44B9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Bootstrapping </w:t>
      </w:r>
    </w:p>
    <w:p w14:paraId="38F37F7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 using bootstrapping...</w:t>
      </w:r>
    </w:p>
    <w:p w14:paraId="706D11B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7" w:name="_ocy0aysirc6j" w:colFirst="0" w:colLast="0"/>
      <w:bookmarkEnd w:id="27"/>
      <w:r>
        <w:rPr>
          <w:rFonts w:ascii="Times New Roman" w:eastAsia="Times New Roman" w:hAnsi="Times New Roman" w:cs="Times New Roman"/>
          <w:b/>
          <w:sz w:val="24"/>
          <w:szCs w:val="24"/>
        </w:rPr>
        <w:lastRenderedPageBreak/>
        <w:t>RESULTS</w:t>
      </w:r>
    </w:p>
    <w:p w14:paraId="234DFA3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8" w:name="_5q3azwjwpxro" w:colFirst="0" w:colLast="0"/>
      <w:bookmarkEnd w:id="28"/>
      <w:r>
        <w:rPr>
          <w:rFonts w:ascii="Times New Roman" w:eastAsia="Times New Roman" w:hAnsi="Times New Roman" w:cs="Times New Roman"/>
          <w:i/>
          <w:sz w:val="24"/>
          <w:szCs w:val="24"/>
        </w:rPr>
        <w:t>Model performance, parameter estimates and sensitivity analysis</w:t>
      </w:r>
    </w:p>
    <w:p w14:paraId="0183F9C1" w14:textId="06BCFA2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Modeled DOC and DO generally mimicked 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RMSE ranged 0.73-1.46 across lakes, demonstrating overall strong goodness of fit for both DOC and DO (Table 4). NSE values ranged 0.69-0.96, indicating that the model accounted for considerably more information than long-term means of DOC and DO. Although the model captured general upward and downward trends across years, as well as seasonal peaks and lows in DOC and DO, the model did not consistently characterize the magnitude of short-term spikes (i.e., days to weeks). Nonetheless, long-term model performance indicated the ability to account for lake variability in DOC and DO from seasonal to interannual time scales.</w:t>
      </w:r>
    </w:p>
    <w:p w14:paraId="3F110D52" w14:textId="71BDBF55"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Burial_alloch, which represented the daily proportion of allochthonous POC buried in sediments, was 1 (i.e.,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Similarly, Burial_autoch was near 1 for Monona, Vanern and Toolik; however, values were 0 for Harp and Trout, indicating nearly all autochthonous POC was leached to DOC in these two lakes. DOC respiration parameters were lower for allochthonous than autochthonous DOC across all lakes, indicating that respiration was largely driven by autochthony. Respiration_alloch was largely similar across lakes, ranging 0.001-0.003, whereas Respiration_autoch was more variable, ranging 0.015 (Trout) to 0.297 (Toolik).</w:t>
      </w:r>
    </w:p>
    <w:p w14:paraId="0C38E314" w14:textId="0789E71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sensitivity analysis demonstra</w:t>
      </w:r>
      <w:r w:rsidR="00BE121D">
        <w:rPr>
          <w:rFonts w:ascii="Times New Roman" w:eastAsia="Times New Roman" w:hAnsi="Times New Roman" w:cs="Times New Roman"/>
          <w:sz w:val="24"/>
          <w:szCs w:val="24"/>
        </w:rPr>
        <w:t xml:space="preserve">ted that modeled DOC (mg </w:t>
      </w:r>
      <w:r>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most sensitive to Respiration_alloch, except for Monona, for which modeled DOC was most sensitive to Burial_autoch (Fig. 3). The other 4 lakes were minimally affected by ch</w:t>
      </w:r>
      <w:r w:rsidR="00BE121D">
        <w:rPr>
          <w:rFonts w:ascii="Times New Roman" w:eastAsia="Times New Roman" w:hAnsi="Times New Roman" w:cs="Times New Roman"/>
          <w:sz w:val="24"/>
          <w:szCs w:val="24"/>
        </w:rPr>
        <w:t xml:space="preserve">anges in this parameter (&lt; 1 mg </w:t>
      </w:r>
      <w:r>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difference across the range of parameter values). Changes in Burial_alloch </w:t>
      </w:r>
      <w:r>
        <w:rPr>
          <w:rFonts w:ascii="Times New Roman" w:eastAsia="Times New Roman" w:hAnsi="Times New Roman" w:cs="Times New Roman"/>
          <w:sz w:val="24"/>
          <w:szCs w:val="24"/>
        </w:rPr>
        <w:lastRenderedPageBreak/>
        <w:t xml:space="preserve">had consistently minimal effects on modeled DOC across lakes. Harp and Monona were the only lakes with considerable sensitivity to Respiration_autoch. </w:t>
      </w:r>
      <w:commentRangeStart w:id="29"/>
      <w:r>
        <w:rPr>
          <w:rFonts w:ascii="Times New Roman" w:eastAsia="Times New Roman" w:hAnsi="Times New Roman" w:cs="Times New Roman"/>
          <w:sz w:val="24"/>
          <w:szCs w:val="24"/>
        </w:rPr>
        <w:t>Overall</w:t>
      </w:r>
      <w:commentRangeEnd w:id="29"/>
      <w:r>
        <w:commentReference w:id="29"/>
      </w:r>
      <w:r>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for Toolik and Trout, respectively.  </w:t>
      </w:r>
    </w:p>
    <w:p w14:paraId="7D6C1E8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0" w:name="_xlemxvr7c40e" w:colFirst="0" w:colLast="0"/>
      <w:bookmarkEnd w:id="30"/>
      <w:r>
        <w:rPr>
          <w:rFonts w:ascii="Times New Roman" w:eastAsia="Times New Roman" w:hAnsi="Times New Roman" w:cs="Times New Roman"/>
          <w:i/>
          <w:sz w:val="24"/>
          <w:szCs w:val="24"/>
        </w:rPr>
        <w:t>Summary of fluxes and fates</w:t>
      </w:r>
    </w:p>
    <w:p w14:paraId="37DB0318" w14:textId="016DE0B6"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The model tracked spring peaks and general seasonal declines in allochthony, as well as additional short-term spikes associated with precipitation events (Fig. 4). Trends in autochthony demonstrated annual peaks associated with summer water temperatures. Trajectories of burial, respiration and export followed similarly shaped trajectories within and across years. Some lakes showed variability in the magnitude of fluxes across years, demonstrating the ability of</w:t>
      </w:r>
      <w:r w:rsidR="00796693">
        <w:rPr>
          <w:rFonts w:ascii="Times New Roman" w:eastAsia="Times New Roman" w:hAnsi="Times New Roman" w:cs="Times New Roman"/>
          <w:sz w:val="24"/>
          <w:szCs w:val="24"/>
        </w:rPr>
        <w:t xml:space="preserve"> the model to account for inter</w:t>
      </w:r>
      <w:r>
        <w:rPr>
          <w:rFonts w:ascii="Times New Roman" w:eastAsia="Times New Roman" w:hAnsi="Times New Roman" w:cs="Times New Roman"/>
          <w:sz w:val="24"/>
          <w:szCs w:val="24"/>
        </w:rPr>
        <w:t xml:space="preserve">annual fluctuations. For example, overall trajectories were generally consistent over time for Trout and Vanern, whereas Harp, Monona and Toolik demonstrated more variability. In Harp, total budget variability was driven by trends in allochthony, autochthony and respiration, whereas burial and export were consistently smaller proportions of the budget. All fluxes were highly variable through time in Monona, except for consistently low respiration. Toolik demonstrated consistently low autochthony, respiration and burial; long-term variability in </w:t>
      </w:r>
      <w:r w:rsidR="00796693">
        <w:rPr>
          <w:rFonts w:ascii="Times New Roman" w:eastAsia="Times New Roman" w:hAnsi="Times New Roman" w:cs="Times New Roman"/>
          <w:sz w:val="24"/>
          <w:szCs w:val="24"/>
        </w:rPr>
        <w:t>its total budget</w:t>
      </w:r>
      <w:r>
        <w:rPr>
          <w:rFonts w:ascii="Times New Roman" w:eastAsia="Times New Roman" w:hAnsi="Times New Roman" w:cs="Times New Roman"/>
          <w:sz w:val="24"/>
          <w:szCs w:val="24"/>
        </w:rPr>
        <w:t xml:space="preserve"> followed similarly shaped trajectories of allochthony and export.</w:t>
      </w:r>
    </w:p>
    <w:p w14:paraId="68128D74" w14:textId="245513F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average across years, with the exception of Trout, lake OC budgets were predominantly driven by allochthonous OC, underscoring the importance of terrestrially derived OC in overall lak</w:t>
      </w:r>
      <w:r w:rsidR="007F6933">
        <w:rPr>
          <w:rFonts w:ascii="Times New Roman" w:eastAsia="Times New Roman" w:hAnsi="Times New Roman" w:cs="Times New Roman"/>
          <w:sz w:val="24"/>
          <w:szCs w:val="24"/>
        </w:rPr>
        <w:t xml:space="preserve">e budgets (Table 5). Trout </w:t>
      </w:r>
      <w:r>
        <w:rPr>
          <w:rFonts w:ascii="Times New Roman" w:eastAsia="Times New Roman" w:hAnsi="Times New Roman" w:cs="Times New Roman"/>
          <w:sz w:val="24"/>
          <w:szCs w:val="24"/>
        </w:rPr>
        <w:t xml:space="preserve">had the lowest allochthony </w:t>
      </w:r>
      <w:r w:rsidR="0003575B">
        <w:rPr>
          <w:rFonts w:ascii="Times New Roman" w:eastAsia="Times New Roman" w:hAnsi="Times New Roman" w:cs="Times New Roman"/>
          <w:sz w:val="24"/>
          <w:szCs w:val="24"/>
        </w:rPr>
        <w:t>(g m</w:t>
      </w:r>
      <w:r w:rsidR="00363C56">
        <w:rPr>
          <w:rFonts w:ascii="Times New Roman" w:eastAsia="Times New Roman" w:hAnsi="Times New Roman" w:cs="Times New Roman"/>
          <w:sz w:val="24"/>
          <w:szCs w:val="24"/>
          <w:vertAlign w:val="superscript"/>
        </w:rPr>
        <w:t>-2</w:t>
      </w:r>
      <w:r w:rsidR="0003575B">
        <w:rPr>
          <w:rFonts w:ascii="Times New Roman" w:eastAsia="Times New Roman" w:hAnsi="Times New Roman" w:cs="Times New Roman"/>
          <w:sz w:val="24"/>
          <w:szCs w:val="24"/>
          <w:vertAlign w:val="superscript"/>
        </w:rPr>
        <w:t xml:space="preserve"> </w:t>
      </w:r>
      <w:r w:rsidR="0003575B">
        <w:rPr>
          <w:rFonts w:ascii="Times New Roman" w:eastAsia="Times New Roman" w:hAnsi="Times New Roman" w:cs="Times New Roman"/>
          <w:sz w:val="24"/>
          <w:szCs w:val="24"/>
        </w:rPr>
        <w:t xml:space="preserve">yr </w:t>
      </w:r>
      <w:r w:rsidR="0003575B" w:rsidRPr="0003575B">
        <w:rPr>
          <w:rFonts w:ascii="Times New Roman" w:eastAsia="Times New Roman" w:hAnsi="Times New Roman" w:cs="Times New Roman"/>
          <w:sz w:val="24"/>
          <w:szCs w:val="24"/>
          <w:vertAlign w:val="superscript"/>
        </w:rPr>
        <w:t>-1</w:t>
      </w:r>
      <w:r w:rsidR="0003575B">
        <w:rPr>
          <w:rFonts w:ascii="Times New Roman" w:eastAsia="Times New Roman" w:hAnsi="Times New Roman" w:cs="Times New Roman"/>
          <w:sz w:val="24"/>
          <w:szCs w:val="24"/>
        </w:rPr>
        <w:t>)</w:t>
      </w:r>
      <w:r w:rsidRPr="0003575B">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nearly a factor of 3 or more, which translated into a relatively low allocthonous contribution (31.7%) to the overall budget compared to the other lakes (54.3 - 89.3%). Toolik was dominated by </w:t>
      </w:r>
      <w:r>
        <w:rPr>
          <w:rFonts w:ascii="Times New Roman" w:eastAsia="Times New Roman" w:hAnsi="Times New Roman" w:cs="Times New Roman"/>
          <w:sz w:val="24"/>
          <w:szCs w:val="24"/>
        </w:rPr>
        <w:lastRenderedPageBreak/>
        <w:t>allochthony, accounting for 89.3% of its overall budget. Exports ranged from 9.5 (Trout) to 62.0% (Toolik) and were less than the sum of respiration and burial across all lakes except Toolik, indicating that these lakes actively processed OC</w:t>
      </w:r>
      <w:r w:rsidR="007F6933">
        <w:rPr>
          <w:rFonts w:ascii="Times New Roman" w:eastAsia="Times New Roman" w:hAnsi="Times New Roman" w:cs="Times New Roman"/>
          <w:sz w:val="24"/>
          <w:szCs w:val="24"/>
        </w:rPr>
        <w:t xml:space="preserve"> (Box 1)</w:t>
      </w:r>
      <w:r>
        <w:rPr>
          <w:rFonts w:ascii="Times New Roman" w:eastAsia="Times New Roman" w:hAnsi="Times New Roman" w:cs="Times New Roman"/>
          <w:sz w:val="24"/>
          <w:szCs w:val="24"/>
        </w:rPr>
        <w:t xml:space="preserve">. Monona was a borderline processor, however, given that export basically </w:t>
      </w:r>
      <w:r w:rsidR="007F6933">
        <w:rPr>
          <w:rFonts w:ascii="Times New Roman" w:eastAsia="Times New Roman" w:hAnsi="Times New Roman" w:cs="Times New Roman"/>
          <w:sz w:val="24"/>
          <w:szCs w:val="24"/>
        </w:rPr>
        <w:t>equaled</w:t>
      </w:r>
      <w:r>
        <w:rPr>
          <w:rFonts w:ascii="Times New Roman" w:eastAsia="Times New Roman" w:hAnsi="Times New Roman" w:cs="Times New Roman"/>
          <w:sz w:val="24"/>
          <w:szCs w:val="24"/>
        </w:rPr>
        <w:t xml:space="preserve"> respiration plus sedimentation.</w:t>
      </w:r>
    </w:p>
    <w:p w14:paraId="2AC97DE6" w14:textId="0E96ED1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Respiration consistently exceeded burial in all lakes but Monona, indicating that these lakes were net sources of OC (Table 5</w:t>
      </w:r>
      <w:r w:rsidR="007F6933">
        <w:rPr>
          <w:rFonts w:ascii="Times New Roman" w:eastAsia="Times New Roman" w:hAnsi="Times New Roman" w:cs="Times New Roman"/>
          <w:sz w:val="24"/>
          <w:szCs w:val="24"/>
        </w:rPr>
        <w:t>, Box 1</w:t>
      </w:r>
      <w:r>
        <w:rPr>
          <w:rFonts w:ascii="Times New Roman" w:eastAsia="Times New Roman" w:hAnsi="Times New Roman" w:cs="Times New Roman"/>
          <w:sz w:val="24"/>
          <w:szCs w:val="24"/>
        </w:rPr>
        <w:t xml:space="preserve">). Among the 5 lakes, respiration was lowest and burial was greatest for Monona by a factor of 2 or more for all lakes but Toolik (respiration). Burial accounted for 12.0% or less of total budgets for Harp, Toolik and Trout, indicating that burial was a relatively minor sink mechanism in these lakes. The burial rate for Vanern was closer to that of Monona than to the other three lakes, but was still close to half of its respiration rate. Monona was the only long-term net sink of OC due to its low rate of respiration relative to burial. </w:t>
      </w:r>
    </w:p>
    <w:p w14:paraId="0EEFA37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1" w:name="_23giog1xmb1e" w:colFirst="0" w:colLast="0"/>
      <w:bookmarkEnd w:id="31"/>
      <w:r>
        <w:rPr>
          <w:rFonts w:ascii="Times New Roman" w:eastAsia="Times New Roman" w:hAnsi="Times New Roman" w:cs="Times New Roman"/>
          <w:i/>
          <w:sz w:val="24"/>
          <w:szCs w:val="24"/>
        </w:rPr>
        <w:t>Seasonal fates</w:t>
      </w:r>
    </w:p>
    <w:p w14:paraId="1A5EEDF1" w14:textId="0A0F02E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 the ratio between allochthony and autochthony generally shifted in favor of autochthony (due to increases in GPP), whereas the ratio between respiration and burial generally shifted towards respiration and therefore source status (Fig. 5). The four quadrants in Fig. 5 demonstrate</w:t>
      </w:r>
      <w:r w:rsidR="00363C5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seasonal variability in source or sink status for some lakes. Trout remained a source for the entire year, but became a greater source as the growing season progressed. Harp, Toolik and Vanern were sinks early in the growing season, but eventually became sources as temperatures warmed. Conversely, Monona remained a sink throughout most of the year and only became a source late in the growing season. Despite this late pulse in respiration, however, Monona remained a net sink on an annual basis (Table 5). Monona and Vanern also showed less of an increase in autochthony as </w:t>
      </w:r>
      <w:r>
        <w:rPr>
          <w:rFonts w:ascii="Times New Roman" w:eastAsia="Times New Roman" w:hAnsi="Times New Roman" w:cs="Times New Roman"/>
          <w:sz w:val="24"/>
          <w:szCs w:val="24"/>
        </w:rPr>
        <w:lastRenderedPageBreak/>
        <w:t>the growing season progressed compared to other lakes, suggesting the importance of continued allochthonous inputs during summer months coinciding with increases in autochthony.</w:t>
      </w:r>
    </w:p>
    <w:p w14:paraId="46DAE4A2"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32" w:name="_3o4ewidztyp5" w:colFirst="0" w:colLast="0"/>
      <w:bookmarkEnd w:id="32"/>
      <w:r>
        <w:rPr>
          <w:rFonts w:ascii="Times New Roman" w:eastAsia="Times New Roman" w:hAnsi="Times New Roman" w:cs="Times New Roman"/>
          <w:b/>
          <w:sz w:val="24"/>
          <w:szCs w:val="24"/>
        </w:rPr>
        <w:t>DISCUSSION</w:t>
      </w:r>
    </w:p>
    <w:p w14:paraId="5681E986"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3" w:name="_a3c9orcnsv16" w:colFirst="0" w:colLast="0"/>
      <w:bookmarkEnd w:id="33"/>
      <w:commentRangeStart w:id="34"/>
      <w:r>
        <w:rPr>
          <w:rFonts w:ascii="Times New Roman" w:eastAsia="Times New Roman" w:hAnsi="Times New Roman" w:cs="Times New Roman"/>
          <w:i/>
          <w:sz w:val="24"/>
          <w:szCs w:val="24"/>
        </w:rPr>
        <w:t>Are lakes sources or sinks of organic carbon?</w:t>
      </w:r>
      <w:commentRangeEnd w:id="34"/>
      <w:r w:rsidR="004D6AB9">
        <w:rPr>
          <w:rStyle w:val="CommentReference"/>
          <w:color w:val="000000"/>
        </w:rPr>
        <w:commentReference w:id="34"/>
      </w:r>
    </w:p>
    <w:p w14:paraId="50E8AF3E" w14:textId="0A4D4F5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important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 Many lakes, therefore, may actually be net OC sources due to the ratio between burial and respiration, which prior studies did not consider. Even with some uncertainty in burial parameters, the range of potential burial amounts essentially exists within the noise of the overall budget compared to other fluxes. Although lakes will continue to store carbon in lake sediments in the future, increases in water temperatures associated with climate warming could lead to increases in respiration and increase the net source capacity of lakes, particularly as lakes trend toward sources earlier in the growing season. Therefore, OC cycling has important implications for broader ecosystem responses to climate change.</w:t>
      </w:r>
    </w:p>
    <w:p w14:paraId="0997B72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as net sources of OC additionally have important implications for landscape cycling of OC. When respiration exceeds burial, this excess OC exits the lake and provides OC inputs to other landscape features such as streams or lakes. As such, warming-induced increases in respiration could increase exports to other aquatic systems across the landscape. Allochthonous loads already appear to be the dominant forcing of OC budgets in most lakes, so lakes may experience increases in both allochthony and autochthony under climate warming. Further, the turnover rate of autochthonous OC in lakes is faster than for allochthonous OC </w:t>
      </w:r>
      <w:r>
        <w:rPr>
          <w:rFonts w:ascii="Times New Roman" w:eastAsia="Times New Roman" w:hAnsi="Times New Roman" w:cs="Times New Roman"/>
          <w:sz w:val="24"/>
          <w:szCs w:val="24"/>
        </w:rPr>
        <w:lastRenderedPageBreak/>
        <w:t>(based on respective respiration parameters). As such, increases in lake productivity could rapidly increase allochthonous inputs to other lakes.</w:t>
      </w:r>
    </w:p>
    <w:p w14:paraId="1C599CD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5" w:name="_3s028hwr8v82" w:colFirst="0" w:colLast="0"/>
      <w:bookmarkEnd w:id="35"/>
      <w:r>
        <w:rPr>
          <w:rFonts w:ascii="Times New Roman" w:eastAsia="Times New Roman" w:hAnsi="Times New Roman" w:cs="Times New Roman"/>
          <w:i/>
          <w:sz w:val="24"/>
          <w:szCs w:val="24"/>
        </w:rPr>
        <w:t>Recreating important lake processes</w:t>
      </w:r>
    </w:p>
    <w:p w14:paraId="34E2F039" w14:textId="18F822FF"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indicated that a relatively simple, dynamical model can represent the set of key biogeochemical, trophic and landscape processes that combine to determine the fate of OC in lake ecosystems. Our model worked reasonably well for both eutrophic and oligotrophic lakes, temperate to subarctic climate zones, forested and agricultural watersheds and orders of magnitude differences in lake morphometry, which demonstrated the generalizable nature of our modeling approach. Further, the flux rates we produced were within the range of other published studies for these lakes based on steady-state models. Using much of the same LTER data, Hanson et al. (2014) provided similar estimates for Trout of allochthony, burial and export, but not for respiration. Whalen and Cornwall (1985) modeled Toolik based on a different set of years from our study (1980-1981), but similarly demonstrated that the system contained high allochthony relative to autochthony, low burial and high export. Similar to Hanson et al. (2014), Dillon and Molot (1997)’s estimates for Harp of autochthony, burial and export, but not respiration (based on field data from 1981-1989)</w:t>
      </w:r>
      <w:r w:rsidR="00C123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were comparable to our results. Although our results generally agreed with prior studies based on steady-state models, this was not true for autochthony and respiration. We offer that dynamical models better represent these processes by accounting for seasonal changes in temperature and ChlA concentrations. Therefore, although steady-state models may be sufficient for recreating some key ecological processes, dynamical models are needed for determining the</w:t>
      </w:r>
      <w:r w:rsidR="00C1238B">
        <w:rPr>
          <w:rFonts w:ascii="Times New Roman" w:eastAsia="Times New Roman" w:hAnsi="Times New Roman" w:cs="Times New Roman"/>
          <w:sz w:val="24"/>
          <w:szCs w:val="24"/>
        </w:rPr>
        <w:t xml:space="preserve"> net</w:t>
      </w:r>
      <w:r>
        <w:rPr>
          <w:rFonts w:ascii="Times New Roman" w:eastAsia="Times New Roman" w:hAnsi="Times New Roman" w:cs="Times New Roman"/>
          <w:sz w:val="24"/>
          <w:szCs w:val="24"/>
        </w:rPr>
        <w:t xml:space="preserve"> source or sink function of lakes, given the importance of autochthony and respiration. </w:t>
      </w:r>
    </w:p>
    <w:p w14:paraId="012687D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6" w:name="_vg8pldrl49h3" w:colFirst="0" w:colLast="0"/>
      <w:bookmarkEnd w:id="36"/>
      <w:r>
        <w:rPr>
          <w:rFonts w:ascii="Times New Roman" w:eastAsia="Times New Roman" w:hAnsi="Times New Roman" w:cs="Times New Roman"/>
          <w:i/>
          <w:sz w:val="24"/>
          <w:szCs w:val="24"/>
        </w:rPr>
        <w:lastRenderedPageBreak/>
        <w:t>On-going research needs and future implications</w:t>
      </w:r>
    </w:p>
    <w:p w14:paraId="3E34E684" w14:textId="24CB869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Although we believe this work is an important advance in terms of understanding the fates of OC across aquatic ecosystems and landscapes, we also encountered constraints associated with current data availability. If necessary data were collected for a larger number of lakes spanning wider environmental gradients (e.g., climate, watershed conditions), contributions of lakes to landscape carbon cycles based on net lake function could be estimated at broad spatial scales. Particularly necessary are high-frequency measurements of inflow DOC concentration. These data were among the most infrequently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yet without them, examining whole-lake OC budgets is difficult.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(cite GLEON-esque example?). In addition, relatively little is currently known about POC budgets despite their key interactions with DOC (Einsele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 Such studies would help constrain POC parameters and improve estimates of the fates of POC within overall OC budgets. Finally, although burial is in many cases a relatively small OC flux in lake ecosystems, burial may be underestimated if large precipitation events are not included in meteorological observations and/or inflow volumes. Our model demonstrated responses to precipitation events when we had corresponding weather and inflow data, but we assumed no precipitation and linear changes in inflow volume (and DOC concentration) between observation points. Given the demonstrated importance of allochthony in lake OC budgets, the ability to characterize responses to large, infrequent precipitation events is therefore critical. Although future precipitation </w:t>
      </w:r>
      <w:r>
        <w:rPr>
          <w:rFonts w:ascii="Times New Roman" w:eastAsia="Times New Roman" w:hAnsi="Times New Roman" w:cs="Times New Roman"/>
          <w:sz w:val="24"/>
          <w:szCs w:val="24"/>
        </w:rPr>
        <w:lastRenderedPageBreak/>
        <w:t xml:space="preserve">projections are variable within and across regions, wet years increase allochthonous DOC inputs to lakes at regional scales (Rose et al. 2016). </w:t>
      </w:r>
    </w:p>
    <w:p w14:paraId="0E7C3963" w14:textId="12B051B5"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a key management implication of our study is the need for more observational data, particularly pertaining to surface water DOC concentrations, POC cycling and burial. Lake resource managers should be aware of the importance of allochthonous inputs derived from watershed sources in lake OC budgets; allochthony exceeded autochthony in 4 of the 5 lakes in this study. Allochthony not only strongly influences lake ecosystem productivity, but also may increase as connected lakes and streams </w:t>
      </w:r>
      <w:r w:rsidR="004D6AB9">
        <w:rPr>
          <w:rFonts w:ascii="Times New Roman" w:eastAsia="Times New Roman" w:hAnsi="Times New Roman" w:cs="Times New Roman"/>
          <w:sz w:val="24"/>
          <w:szCs w:val="24"/>
        </w:rPr>
        <w:t>receive</w:t>
      </w:r>
      <w:r>
        <w:rPr>
          <w:rFonts w:ascii="Times New Roman" w:eastAsia="Times New Roman" w:hAnsi="Times New Roman" w:cs="Times New Roman"/>
          <w:sz w:val="24"/>
          <w:szCs w:val="24"/>
        </w:rPr>
        <w:t xml:space="preserve"> relatively mobile autochthonous OC from </w:t>
      </w:r>
      <w:r w:rsidR="004D6AB9">
        <w:rPr>
          <w:rFonts w:ascii="Times New Roman" w:eastAsia="Times New Roman" w:hAnsi="Times New Roman" w:cs="Times New Roman"/>
          <w:sz w:val="24"/>
          <w:szCs w:val="24"/>
        </w:rPr>
        <w:t>upstream systems</w:t>
      </w:r>
      <w:r>
        <w:rPr>
          <w:rFonts w:ascii="Times New Roman" w:eastAsia="Times New Roman" w:hAnsi="Times New Roman" w:cs="Times New Roman"/>
          <w:sz w:val="24"/>
          <w:szCs w:val="24"/>
        </w:rPr>
        <w:t xml:space="preserve">. Lakes </w:t>
      </w:r>
      <w:r w:rsidR="0092086A">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 xml:space="preserve">become increasingly productive </w:t>
      </w:r>
      <w:r w:rsidR="0092086A">
        <w:rPr>
          <w:rFonts w:ascii="Times New Roman" w:eastAsia="Times New Roman" w:hAnsi="Times New Roman" w:cs="Times New Roman"/>
          <w:sz w:val="24"/>
          <w:szCs w:val="24"/>
        </w:rPr>
        <w:t xml:space="preserve">under recent climate warming (Kraemer et al. 2016); this </w:t>
      </w:r>
      <w:r>
        <w:rPr>
          <w:rFonts w:ascii="Times New Roman" w:eastAsia="Times New Roman" w:hAnsi="Times New Roman" w:cs="Times New Roman"/>
          <w:sz w:val="24"/>
          <w:szCs w:val="24"/>
        </w:rPr>
        <w:t>increases autochthony as well as the OC source capacity of lakes. As climates continue to warm, we would therefore expect lakes to become larger sources of OC over time.</w:t>
      </w:r>
    </w:p>
    <w:p w14:paraId="4EB24B54"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37" w:name="_jodkgtnyf02z" w:colFirst="0" w:colLast="0"/>
      <w:bookmarkEnd w:id="37"/>
      <w:r>
        <w:rPr>
          <w:rFonts w:ascii="Times New Roman" w:eastAsia="Times New Roman" w:hAnsi="Times New Roman" w:cs="Times New Roman"/>
          <w:b/>
          <w:sz w:val="24"/>
          <w:szCs w:val="24"/>
        </w:rPr>
        <w:t xml:space="preserve"> </w:t>
      </w:r>
      <w:commentRangeStart w:id="38"/>
      <w:r>
        <w:rPr>
          <w:rFonts w:ascii="Times New Roman" w:eastAsia="Times New Roman" w:hAnsi="Times New Roman" w:cs="Times New Roman"/>
          <w:b/>
          <w:sz w:val="24"/>
          <w:szCs w:val="24"/>
        </w:rPr>
        <w:t>ACKNOWLEDGMENTS</w:t>
      </w:r>
      <w:commentRangeEnd w:id="38"/>
      <w:r>
        <w:commentReference w:id="38"/>
      </w:r>
    </w:p>
    <w:p w14:paraId="2900B07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National Science Foundation’s Macrosystem Biology Program (Awards # EF1137353 and EF1137327). Logistical support was provided by the University of Wisconsin-Madison Center for Limnology, the Cary Institute for Ecosystem Studies, the University of Wisconsin Trout Lake Station, the Lake Sunapee Protective Association and Grace Hong of GLEON. Limnological data providers included the NSF Long-Term Ecological Research program (North Temperate Lakes DEB-1440297 and Arctic LTER), the Swedish Meteorological and Hydrological Institute, the Swedish University of Agricultural Sciences and the Dorset Environmental Science Centre. Additional details on data sources are included in supplementary material (S1). IMM, HAD, KJF, AMM, ZO, DR, FS and PCH </w:t>
      </w:r>
      <w:r>
        <w:rPr>
          <w:rFonts w:ascii="Times New Roman" w:eastAsia="Times New Roman" w:hAnsi="Times New Roman" w:cs="Times New Roman"/>
          <w:sz w:val="24"/>
          <w:szCs w:val="24"/>
        </w:rPr>
        <w:lastRenderedPageBreak/>
        <w:t>acquired data, developed the model and performed data analyses. All authors participated in conceiving and developing the project and writing the paper.</w:t>
      </w:r>
    </w:p>
    <w:p w14:paraId="1A7F25CB" w14:textId="77777777" w:rsidR="0032009C" w:rsidRDefault="0032009C">
      <w:pPr>
        <w:spacing w:line="480" w:lineRule="auto"/>
        <w:rPr>
          <w:rFonts w:ascii="Times New Roman" w:eastAsia="Times New Roman" w:hAnsi="Times New Roman" w:cs="Times New Roman"/>
          <w:sz w:val="24"/>
          <w:szCs w:val="24"/>
        </w:rPr>
      </w:pPr>
    </w:p>
    <w:p w14:paraId="1AD99EB0"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39" w:name="_j77eak7kbqvt" w:colFirst="0" w:colLast="0"/>
      <w:bookmarkEnd w:id="39"/>
      <w:r>
        <w:rPr>
          <w:rFonts w:ascii="Times New Roman" w:eastAsia="Times New Roman" w:hAnsi="Times New Roman" w:cs="Times New Roman"/>
          <w:b/>
          <w:sz w:val="24"/>
          <w:szCs w:val="24"/>
        </w:rPr>
        <w:t>LITERATURE CITED</w:t>
      </w:r>
    </w:p>
    <w:p w14:paraId="64BDB386" w14:textId="63AAFC0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Åberg, J., Bergström, A. K., Algesten, G., Söderback, K., &amp; Jansson, M. (2004). A comparison of the carbon balances of a natural lake (L. Örträsket) and a hydroelectric reservoir (L. Skinnmuddselet)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FDC5A74" w14:textId="07B0D7A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Algesten, G., Sobek, S., Bergström, A. K., Ågren, A., Tranvik, L. J., &amp; Jansson,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34824BA0" w14:textId="4E0AB8C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Alin,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Biogeochem.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4B68CF41" w14:textId="3778AD14"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5253A766" w14:textId="6F2FF2F0"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Arvola, L., Kortelainen, P. I. R. K. K. O., Bergström, I., Kankaala, P., Ojala, A., Pajunen, H. A. N. N. U., ... &amp; Rantakari, M. I. I. T. T. A. (2002). Carbon pathways through boreal lakes: A multi-scale approach (CARBO). </w:t>
      </w:r>
      <w:r>
        <w:rPr>
          <w:rFonts w:ascii="Times New Roman" w:eastAsia="Times New Roman" w:hAnsi="Times New Roman" w:cs="Times New Roman"/>
          <w:i/>
          <w:sz w:val="24"/>
          <w:szCs w:val="24"/>
        </w:rPr>
        <w:t>Understanding the Global System, The Finnish Perspective, edited by Käyhkö J and Talve L</w:t>
      </w:r>
      <w:r>
        <w:rPr>
          <w:rFonts w:ascii="Times New Roman" w:eastAsia="Times New Roman" w:hAnsi="Times New Roman" w:cs="Times New Roman"/>
          <w:sz w:val="24"/>
          <w:szCs w:val="24"/>
        </w:rPr>
        <w:t xml:space="preserve">, 97-106. </w:t>
      </w:r>
    </w:p>
    <w:p w14:paraId="23DC344B" w14:textId="779CB90E"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Canham, C. D., Pace, M. L., Papaik, M. J., Primack, A. G., Roy, K. M., Maranger, R. J., ... &amp; Spada,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07700720" w14:textId="5342CF4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4BC5B761" w14:textId="1E63B23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Kitchell,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04C46EAA" w14:textId="12A3BCE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Caraco, N. F., McDowell, W. H., Tranvik, L. J., Striegl, R. G., ... &amp; Melack,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78BEFEB5" w14:textId="21A412B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Kõiv, T., Nõges, P., Pall, P., Rõõm, E. I., Feldmann, T., ... &amp; Nõges, T. (2014). Dynamic carbon budget of a large shallow lake assessed by a mass balance approach. </w:t>
      </w:r>
      <w:r>
        <w:rPr>
          <w:rFonts w:ascii="Times New Roman" w:eastAsia="Times New Roman" w:hAnsi="Times New Roman" w:cs="Times New Roman"/>
          <w:i/>
          <w:sz w:val="24"/>
          <w:szCs w:val="24"/>
        </w:rPr>
        <w:t>Hydrobiologia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3C3F57C1" w14:textId="5F1B8E9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Molot,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27195C3C" w14:textId="02CE1B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Striegl, R. G., Duarte, C. M., Kortelainen, P., ... &amp; Laube,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F7A79E5" w14:textId="75F98C23"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Einsele,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06E52F80" w14:textId="62CBCFA3"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Gaiser, E. E., Deyrup, N. D., Bachmann, R. W., Battoe, L. D., &amp; Swain, H. M. (2009). Multidecadal climate oscillations detected in a transparency record from a subtropical Florida lake.</w:t>
      </w:r>
    </w:p>
    <w:p w14:paraId="62922CCE" w14:textId="48B3C4D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Hanson, P. C., Buffam, I., Rusak, J. A., Stanley, E. H., &amp; Watras, C. (2014). Quantifying lake allochthonous organic carbon budgets using a simple equilibrium model. </w:t>
      </w:r>
      <w:r>
        <w:rPr>
          <w:rFonts w:ascii="Times New Roman" w:eastAsia="Times New Roman" w:hAnsi="Times New Roman" w:cs="Times New Roman"/>
          <w:i/>
          <w:sz w:val="24"/>
          <w:szCs w:val="24"/>
        </w:rPr>
        <w:t>Limnol. Oceanogr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1E73162A" w14:textId="445E13C5"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0D2F6088" w14:textId="5198167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Predick,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5414EA13" w14:textId="4AFCAE7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Jonsson, A., Meili, M., Bergström, A. K., &amp; Jansson, M. (2001). Whole‐lake mineralization of allochthonous and autochthonous organic carbon in a large humic lake (Örträsket, N. Sweden).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46</w:t>
      </w:r>
      <w:r>
        <w:rPr>
          <w:rFonts w:ascii="Times New Roman" w:eastAsia="Times New Roman" w:hAnsi="Times New Roman" w:cs="Times New Roman"/>
          <w:sz w:val="24"/>
          <w:szCs w:val="24"/>
        </w:rPr>
        <w:t>(7), 1691-1700.</w:t>
      </w:r>
    </w:p>
    <w:p w14:paraId="4F14F317" w14:textId="5A59C90B"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Kipphut,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AD08C6B" w14:textId="0310F202" w:rsidR="0032009C" w:rsidRDefault="00B80037" w:rsidP="00037B72">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Klump, J. V., Fitzgerald, S. A., &amp; Waplesa,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0287B382" w14:textId="77777777" w:rsidR="00037B72" w:rsidRDefault="00037B72" w:rsidP="00037B72">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Kuusisto, E., Livingstone, D. M., ... &amp; </w:t>
      </w:r>
    </w:p>
    <w:p w14:paraId="0FDE438A" w14:textId="5B7A6BD5" w:rsidR="00037B72" w:rsidRPr="00037B72" w:rsidRDefault="00037B72" w:rsidP="00037B72">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lake ecosystem responses to warming based on </w:t>
      </w:r>
      <w:bookmarkStart w:id="40" w:name="_GoBack"/>
      <w:bookmarkEnd w:id="40"/>
      <w:r w:rsidRPr="00037B72">
        <w:rPr>
          <w:rFonts w:ascii="Times New Roman" w:eastAsia="Times New Roman" w:hAnsi="Times New Roman" w:cs="Times New Roman"/>
          <w:color w:val="auto"/>
          <w:sz w:val="24"/>
          <w:szCs w:val="24"/>
        </w:rPr>
        <w:t xml:space="preserve">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3C20E7BB" w14:textId="77777777" w:rsidR="00037B72" w:rsidRDefault="00037B72" w:rsidP="00735D13">
      <w:pPr>
        <w:spacing w:line="480" w:lineRule="auto"/>
        <w:ind w:left="450" w:hanging="450"/>
        <w:rPr>
          <w:rFonts w:ascii="Times New Roman" w:eastAsia="Times New Roman" w:hAnsi="Times New Roman" w:cs="Times New Roman"/>
          <w:sz w:val="24"/>
          <w:szCs w:val="24"/>
        </w:rPr>
      </w:pPr>
    </w:p>
    <w:p w14:paraId="55E7ADD3" w14:textId="7DEDFF06"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Lehner, B., &amp; Döll,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6830BC1" w14:textId="40D50F91"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Molot, L. A., &amp; Creed, I. F. (2009). Modeling dissolved organic carbon mass balances for lakes of the Muskoka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(2-3), 273-290.</w:t>
      </w:r>
    </w:p>
    <w:p w14:paraId="5C796381" w14:textId="460863DA"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Devol,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52C1BFAF" w14:textId="0ACB3002"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Ramlal, P. S., Hecky, R. E., Bootsma, H. A., Schiff, S. L., &amp; Kingdon,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4A3CD270" w14:textId="68A3EF2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Beaty,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3AE6BB44" w14:textId="758D4A10"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Krabbenhoft,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7925E752" w14:textId="17D373F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Söderbäck, B., Karlsson, S., Andersson, E., &amp; Brunberg, A. K. (2006). A carbon budget of a small humic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28044055" w14:textId="651E731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Soetaert, Karline and Petzoldt, Thomas, 2010. Inverse Modelling, Sensitivity and Monte Carlo Analysis in R Using Package FME. Journal of Statistical Software, 33(3), 1-28. DOI 10.18637/jss.v033.i03 URL http://www.jstatsoft.org/v33/i03/.</w:t>
      </w:r>
    </w:p>
    <w:p w14:paraId="0B1AE761" w14:textId="351069B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Staehr, P. A., Sand-Jensen, K., Raun, A. L., Nilsson, B., &amp; Kidmose,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6A57E367" w14:textId="2A061539"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Striegl, R. G., &amp; Michmerhuizen,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A5D6103" w14:textId="7488ADF6"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Tranvik, L. J., Downing, J. A., Cotner, J. B., Loiselle, S. A., Striegl, R. G., Ballatore, T. J., ... &amp; Kortelainen,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3CC50F6A" w14:textId="4ED78614"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Apul,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1DCDC908" w14:textId="509EF6A6"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Verpoorter, C., Kutser, T., Seekell, D. A., &amp; Tranvik,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4A9A1C65" w14:textId="7ED2B2D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Weyhenmeyer, G. A., Kosten, S., Wallin, M. B., Tranvik, L. J., Jeppesen,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5806CA99" w14:textId="3A638CAE"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1C6AADED" w14:textId="2980F75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Zwart, J. A., Batt, R. D., Dugan, H., Woolway, R. I., Corman, J., ... &amp; Read, J. S. (2016). LakeMetabolizer: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4C05FE23" w14:textId="7E0E130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1CF36AFF"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Xie, P., Ni, L., &amp; Rong,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415C69CA" w14:textId="4D5DA97C" w:rsidR="009870ED" w:rsidRDefault="009870ED">
      <w:pPr>
        <w:spacing w:line="480" w:lineRule="auto"/>
      </w:pPr>
    </w:p>
    <w:p w14:paraId="1D3BEB57" w14:textId="77777777" w:rsidR="009870ED" w:rsidRDefault="009870ED">
      <w:r>
        <w:br w:type="page"/>
      </w:r>
    </w:p>
    <w:p w14:paraId="25840164" w14:textId="77777777" w:rsidR="009870ED" w:rsidRDefault="009870ED">
      <w:pPr>
        <w:spacing w:line="480" w:lineRule="auto"/>
        <w:sectPr w:rsidR="009870ED" w:rsidSect="002D28EA">
          <w:headerReference w:type="default" r:id="rId11"/>
          <w:footerReference w:type="default" r:id="rId12"/>
          <w:pgSz w:w="12240" w:h="15840"/>
          <w:pgMar w:top="1440" w:right="1440" w:bottom="1440" w:left="1440" w:header="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80"/>
        <w:gridCol w:w="1350"/>
        <w:gridCol w:w="1170"/>
        <w:gridCol w:w="1260"/>
        <w:gridCol w:w="25"/>
        <w:gridCol w:w="605"/>
        <w:gridCol w:w="445"/>
        <w:gridCol w:w="185"/>
        <w:gridCol w:w="708"/>
        <w:gridCol w:w="732"/>
        <w:gridCol w:w="373"/>
        <w:gridCol w:w="347"/>
        <w:gridCol w:w="838"/>
        <w:gridCol w:w="152"/>
        <w:gridCol w:w="821"/>
        <w:gridCol w:w="79"/>
        <w:gridCol w:w="990"/>
        <w:gridCol w:w="117"/>
        <w:gridCol w:w="1327"/>
        <w:gridCol w:w="830"/>
        <w:gridCol w:w="516"/>
        <w:gridCol w:w="306"/>
        <w:gridCol w:w="897"/>
        <w:gridCol w:w="797"/>
        <w:gridCol w:w="2625"/>
      </w:tblGrid>
      <w:tr w:rsidR="009870ED" w:rsidRPr="00C64C78" w14:paraId="4ED5437C" w14:textId="77777777" w:rsidTr="00B80037">
        <w:trPr>
          <w:trHeight w:val="120"/>
        </w:trPr>
        <w:tc>
          <w:tcPr>
            <w:tcW w:w="4885" w:type="dxa"/>
            <w:gridSpan w:val="5"/>
            <w:tcBorders>
              <w:top w:val="nil"/>
              <w:left w:val="nil"/>
              <w:bottom w:val="nil"/>
              <w:right w:val="nil"/>
            </w:tcBorders>
            <w:shd w:val="clear" w:color="auto" w:fill="auto"/>
            <w:noWrap/>
            <w:vAlign w:val="bottom"/>
            <w:hideMark/>
          </w:tcPr>
          <w:p w14:paraId="6D741AFF" w14:textId="537D5A6F"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14DA1793" w14:textId="77777777" w:rsidR="00C22873" w:rsidRDefault="00C22873" w:rsidP="00B80037">
            <w:pPr>
              <w:spacing w:line="240" w:lineRule="auto"/>
              <w:rPr>
                <w:rFonts w:ascii="Times New Roman" w:eastAsia="Times New Roman" w:hAnsi="Times New Roman" w:cs="Times New Roman"/>
                <w:sz w:val="24"/>
                <w:szCs w:val="24"/>
              </w:rPr>
            </w:pPr>
          </w:p>
          <w:p w14:paraId="4AE5E0A6" w14:textId="0CBB9F47"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Table 1. General lake characteristics</w:t>
            </w:r>
          </w:p>
        </w:tc>
        <w:tc>
          <w:tcPr>
            <w:tcW w:w="1050" w:type="dxa"/>
            <w:gridSpan w:val="2"/>
            <w:tcBorders>
              <w:top w:val="nil"/>
              <w:left w:val="nil"/>
              <w:bottom w:val="nil"/>
              <w:right w:val="nil"/>
            </w:tcBorders>
            <w:shd w:val="clear" w:color="auto" w:fill="auto"/>
            <w:noWrap/>
            <w:vAlign w:val="bottom"/>
            <w:hideMark/>
          </w:tcPr>
          <w:p w14:paraId="6FE81C50"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36932B5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46F363D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02499C1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CF5597F"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3"/>
            <w:tcBorders>
              <w:top w:val="nil"/>
              <w:left w:val="nil"/>
              <w:bottom w:val="nil"/>
              <w:right w:val="nil"/>
            </w:tcBorders>
            <w:shd w:val="clear" w:color="auto" w:fill="auto"/>
            <w:noWrap/>
            <w:vAlign w:val="bottom"/>
            <w:hideMark/>
          </w:tcPr>
          <w:p w14:paraId="4B7739C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tcBorders>
              <w:top w:val="nil"/>
              <w:left w:val="nil"/>
              <w:bottom w:val="nil"/>
              <w:right w:val="nil"/>
            </w:tcBorders>
            <w:shd w:val="clear" w:color="auto" w:fill="auto"/>
            <w:noWrap/>
            <w:vAlign w:val="bottom"/>
            <w:hideMark/>
          </w:tcPr>
          <w:p w14:paraId="37EF58B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742B0F69"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32FB326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69CA15B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08AF644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5" w:type="dxa"/>
            <w:tcBorders>
              <w:top w:val="nil"/>
              <w:left w:val="nil"/>
              <w:bottom w:val="nil"/>
              <w:right w:val="nil"/>
            </w:tcBorders>
            <w:shd w:val="clear" w:color="auto" w:fill="auto"/>
            <w:noWrap/>
            <w:vAlign w:val="bottom"/>
            <w:hideMark/>
          </w:tcPr>
          <w:p w14:paraId="4BA688A7"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9870ED" w:rsidRPr="00C64C78" w14:paraId="17F88EA7" w14:textId="77777777" w:rsidTr="00514EF2">
        <w:trPr>
          <w:gridAfter w:val="4"/>
          <w:wAfter w:w="4625" w:type="dxa"/>
          <w:trHeight w:val="246"/>
        </w:trPr>
        <w:tc>
          <w:tcPr>
            <w:tcW w:w="1080" w:type="dxa"/>
            <w:tcBorders>
              <w:top w:val="single" w:sz="8" w:space="0" w:color="auto"/>
              <w:left w:val="nil"/>
              <w:bottom w:val="single" w:sz="8" w:space="0" w:color="auto"/>
              <w:right w:val="nil"/>
            </w:tcBorders>
            <w:shd w:val="clear" w:color="auto" w:fill="auto"/>
            <w:noWrap/>
            <w:vAlign w:val="bottom"/>
            <w:hideMark/>
          </w:tcPr>
          <w:p w14:paraId="668ADD9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350" w:type="dxa"/>
            <w:tcBorders>
              <w:top w:val="single" w:sz="8" w:space="0" w:color="auto"/>
              <w:left w:val="nil"/>
              <w:bottom w:val="single" w:sz="8" w:space="0" w:color="auto"/>
              <w:right w:val="nil"/>
            </w:tcBorders>
            <w:shd w:val="clear" w:color="auto" w:fill="auto"/>
            <w:noWrap/>
            <w:vAlign w:val="bottom"/>
            <w:hideMark/>
          </w:tcPr>
          <w:p w14:paraId="7862BE4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170" w:type="dxa"/>
            <w:tcBorders>
              <w:top w:val="single" w:sz="8" w:space="0" w:color="auto"/>
              <w:left w:val="nil"/>
              <w:bottom w:val="single" w:sz="8" w:space="0" w:color="auto"/>
              <w:right w:val="nil"/>
            </w:tcBorders>
            <w:shd w:val="clear" w:color="auto" w:fill="auto"/>
            <w:noWrap/>
            <w:vAlign w:val="bottom"/>
            <w:hideMark/>
          </w:tcPr>
          <w:p w14:paraId="7F2A388D"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lat, </w:t>
            </w:r>
            <w:r w:rsidRPr="00C64C78">
              <w:rPr>
                <w:rFonts w:ascii="Times New Roman" w:eastAsia="Times New Roman" w:hAnsi="Times New Roman" w:cs="Times New Roman"/>
                <w:b/>
                <w:bCs/>
                <w:sz w:val="24"/>
                <w:szCs w:val="24"/>
              </w:rPr>
              <w:t>W lon</w:t>
            </w:r>
          </w:p>
        </w:tc>
        <w:tc>
          <w:tcPr>
            <w:tcW w:w="1260" w:type="dxa"/>
            <w:tcBorders>
              <w:top w:val="single" w:sz="8" w:space="0" w:color="auto"/>
              <w:left w:val="nil"/>
              <w:bottom w:val="single" w:sz="8" w:space="0" w:color="auto"/>
              <w:right w:val="nil"/>
            </w:tcBorders>
            <w:shd w:val="clear" w:color="auto" w:fill="auto"/>
            <w:vAlign w:val="bottom"/>
            <w:hideMark/>
          </w:tcPr>
          <w:p w14:paraId="11C8713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630" w:type="dxa"/>
            <w:gridSpan w:val="2"/>
            <w:tcBorders>
              <w:top w:val="single" w:sz="8" w:space="0" w:color="auto"/>
              <w:left w:val="nil"/>
              <w:bottom w:val="single" w:sz="8" w:space="0" w:color="auto"/>
              <w:right w:val="nil"/>
            </w:tcBorders>
            <w:shd w:val="clear" w:color="auto" w:fill="auto"/>
            <w:vAlign w:val="bottom"/>
            <w:hideMark/>
          </w:tcPr>
          <w:p w14:paraId="51AAEA9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MD</w:t>
            </w:r>
            <w:r w:rsidRPr="00C64C78">
              <w:rPr>
                <w:rFonts w:ascii="Times New Roman" w:eastAsia="Times New Roman" w:hAnsi="Times New Roman" w:cs="Times New Roman"/>
                <w:b/>
                <w:bCs/>
                <w:sz w:val="24"/>
                <w:szCs w:val="24"/>
              </w:rPr>
              <w:t xml:space="preserve"> (m)</w:t>
            </w:r>
          </w:p>
        </w:tc>
        <w:tc>
          <w:tcPr>
            <w:tcW w:w="630" w:type="dxa"/>
            <w:gridSpan w:val="2"/>
            <w:tcBorders>
              <w:top w:val="single" w:sz="8" w:space="0" w:color="auto"/>
              <w:left w:val="nil"/>
              <w:bottom w:val="single" w:sz="8" w:space="0" w:color="auto"/>
              <w:right w:val="nil"/>
            </w:tcBorders>
            <w:shd w:val="clear" w:color="auto" w:fill="auto"/>
            <w:vAlign w:val="bottom"/>
            <w:hideMark/>
          </w:tcPr>
          <w:p w14:paraId="24F5BC5B"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(yr)</w:t>
            </w:r>
          </w:p>
        </w:tc>
        <w:tc>
          <w:tcPr>
            <w:tcW w:w="1440" w:type="dxa"/>
            <w:gridSpan w:val="2"/>
            <w:tcBorders>
              <w:top w:val="single" w:sz="8" w:space="0" w:color="auto"/>
              <w:left w:val="nil"/>
              <w:bottom w:val="single" w:sz="8" w:space="0" w:color="auto"/>
              <w:right w:val="nil"/>
            </w:tcBorders>
            <w:shd w:val="clear" w:color="auto" w:fill="auto"/>
            <w:vAlign w:val="bottom"/>
            <w:hideMark/>
          </w:tcPr>
          <w:p w14:paraId="0247B65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720" w:type="dxa"/>
            <w:gridSpan w:val="2"/>
            <w:tcBorders>
              <w:top w:val="single" w:sz="8" w:space="0" w:color="auto"/>
              <w:left w:val="nil"/>
              <w:bottom w:val="single" w:sz="8" w:space="0" w:color="auto"/>
              <w:right w:val="nil"/>
            </w:tcBorders>
            <w:shd w:val="clear" w:color="auto" w:fill="auto"/>
            <w:vAlign w:val="bottom"/>
            <w:hideMark/>
          </w:tcPr>
          <w:p w14:paraId="142A114D"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SD </w:t>
            </w:r>
            <w:r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2CE68294" w14:textId="678F07EB"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ChlA (µg L</w:t>
            </w:r>
            <w:r>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gridSpan w:val="2"/>
            <w:tcBorders>
              <w:top w:val="single" w:sz="8" w:space="0" w:color="auto"/>
              <w:left w:val="nil"/>
              <w:bottom w:val="single" w:sz="8" w:space="0" w:color="auto"/>
              <w:right w:val="nil"/>
            </w:tcBorders>
            <w:shd w:val="clear" w:color="auto" w:fill="auto"/>
            <w:vAlign w:val="bottom"/>
            <w:hideMark/>
          </w:tcPr>
          <w:p w14:paraId="222C3CD0" w14:textId="6CF907A0"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tcBorders>
              <w:top w:val="single" w:sz="8" w:space="0" w:color="auto"/>
              <w:left w:val="nil"/>
              <w:bottom w:val="single" w:sz="8" w:space="0" w:color="auto"/>
              <w:right w:val="nil"/>
            </w:tcBorders>
            <w:shd w:val="clear" w:color="auto" w:fill="auto"/>
            <w:vAlign w:val="bottom"/>
            <w:hideMark/>
          </w:tcPr>
          <w:p w14:paraId="1625B143" w14:textId="38CEAC8D"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2790" w:type="dxa"/>
            <w:gridSpan w:val="4"/>
            <w:tcBorders>
              <w:top w:val="single" w:sz="8" w:space="0" w:color="auto"/>
              <w:left w:val="nil"/>
              <w:bottom w:val="single" w:sz="8" w:space="0" w:color="auto"/>
              <w:right w:val="nil"/>
            </w:tcBorders>
            <w:shd w:val="clear" w:color="auto" w:fill="auto"/>
            <w:vAlign w:val="bottom"/>
            <w:hideMark/>
          </w:tcPr>
          <w:p w14:paraId="3F0E059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9870ED" w:rsidRPr="00C64C78" w14:paraId="5E9D0745" w14:textId="77777777" w:rsidTr="00514EF2">
        <w:trPr>
          <w:gridAfter w:val="4"/>
          <w:wAfter w:w="4625" w:type="dxa"/>
          <w:trHeight w:val="116"/>
        </w:trPr>
        <w:tc>
          <w:tcPr>
            <w:tcW w:w="1080" w:type="dxa"/>
            <w:tcBorders>
              <w:top w:val="nil"/>
              <w:left w:val="nil"/>
              <w:bottom w:val="nil"/>
              <w:right w:val="nil"/>
            </w:tcBorders>
            <w:shd w:val="clear" w:color="auto" w:fill="auto"/>
            <w:noWrap/>
            <w:vAlign w:val="bottom"/>
            <w:hideMark/>
          </w:tcPr>
          <w:p w14:paraId="358563A0"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350" w:type="dxa"/>
            <w:tcBorders>
              <w:top w:val="nil"/>
              <w:left w:val="nil"/>
              <w:bottom w:val="nil"/>
              <w:right w:val="nil"/>
            </w:tcBorders>
            <w:shd w:val="clear" w:color="auto" w:fill="auto"/>
            <w:noWrap/>
            <w:vAlign w:val="bottom"/>
            <w:hideMark/>
          </w:tcPr>
          <w:p w14:paraId="594BCB7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170" w:type="dxa"/>
            <w:tcBorders>
              <w:top w:val="nil"/>
              <w:left w:val="nil"/>
              <w:bottom w:val="nil"/>
              <w:right w:val="nil"/>
            </w:tcBorders>
            <w:shd w:val="clear" w:color="auto" w:fill="auto"/>
            <w:noWrap/>
            <w:vAlign w:val="bottom"/>
            <w:hideMark/>
          </w:tcPr>
          <w:p w14:paraId="4BCA567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0" w:type="dxa"/>
            <w:tcBorders>
              <w:top w:val="nil"/>
              <w:left w:val="nil"/>
              <w:bottom w:val="nil"/>
              <w:right w:val="nil"/>
            </w:tcBorders>
            <w:shd w:val="clear" w:color="auto" w:fill="auto"/>
            <w:noWrap/>
            <w:vAlign w:val="bottom"/>
            <w:hideMark/>
          </w:tcPr>
          <w:p w14:paraId="2C65290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630" w:type="dxa"/>
            <w:gridSpan w:val="2"/>
            <w:tcBorders>
              <w:top w:val="nil"/>
              <w:left w:val="nil"/>
              <w:bottom w:val="nil"/>
              <w:right w:val="nil"/>
            </w:tcBorders>
            <w:shd w:val="clear" w:color="auto" w:fill="auto"/>
            <w:noWrap/>
            <w:vAlign w:val="bottom"/>
            <w:hideMark/>
          </w:tcPr>
          <w:p w14:paraId="3FE45B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36A446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5742140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nil"/>
              <w:right w:val="nil"/>
            </w:tcBorders>
            <w:shd w:val="clear" w:color="auto" w:fill="auto"/>
            <w:noWrap/>
            <w:vAlign w:val="bottom"/>
            <w:hideMark/>
          </w:tcPr>
          <w:p w14:paraId="1D06CB7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28B7C7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nil"/>
              <w:right w:val="nil"/>
            </w:tcBorders>
            <w:shd w:val="clear" w:color="auto" w:fill="auto"/>
            <w:noWrap/>
            <w:vAlign w:val="bottom"/>
            <w:hideMark/>
          </w:tcPr>
          <w:p w14:paraId="2D5F1A5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tcBorders>
              <w:top w:val="nil"/>
              <w:left w:val="nil"/>
              <w:bottom w:val="nil"/>
              <w:right w:val="nil"/>
            </w:tcBorders>
            <w:shd w:val="clear" w:color="auto" w:fill="auto"/>
            <w:noWrap/>
            <w:vAlign w:val="bottom"/>
            <w:hideMark/>
          </w:tcPr>
          <w:p w14:paraId="3482AE9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790" w:type="dxa"/>
            <w:gridSpan w:val="4"/>
            <w:tcBorders>
              <w:top w:val="nil"/>
              <w:left w:val="nil"/>
              <w:bottom w:val="nil"/>
              <w:right w:val="nil"/>
            </w:tcBorders>
            <w:shd w:val="clear" w:color="auto" w:fill="auto"/>
            <w:vAlign w:val="bottom"/>
            <w:hideMark/>
          </w:tcPr>
          <w:p w14:paraId="14716E3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9870ED" w:rsidRPr="00C64C78" w14:paraId="1899CFC2" w14:textId="77777777" w:rsidTr="00514EF2">
        <w:trPr>
          <w:gridAfter w:val="4"/>
          <w:wAfter w:w="4625" w:type="dxa"/>
          <w:trHeight w:val="116"/>
        </w:trPr>
        <w:tc>
          <w:tcPr>
            <w:tcW w:w="1080" w:type="dxa"/>
            <w:tcBorders>
              <w:top w:val="nil"/>
              <w:left w:val="nil"/>
              <w:bottom w:val="nil"/>
              <w:right w:val="nil"/>
            </w:tcBorders>
            <w:shd w:val="clear" w:color="auto" w:fill="auto"/>
            <w:noWrap/>
            <w:vAlign w:val="bottom"/>
            <w:hideMark/>
          </w:tcPr>
          <w:p w14:paraId="492C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350" w:type="dxa"/>
            <w:tcBorders>
              <w:top w:val="nil"/>
              <w:left w:val="nil"/>
              <w:bottom w:val="nil"/>
              <w:right w:val="nil"/>
            </w:tcBorders>
            <w:shd w:val="clear" w:color="auto" w:fill="auto"/>
            <w:noWrap/>
            <w:vAlign w:val="bottom"/>
            <w:hideMark/>
          </w:tcPr>
          <w:p w14:paraId="56060FDF"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70" w:type="dxa"/>
            <w:tcBorders>
              <w:top w:val="nil"/>
              <w:left w:val="nil"/>
              <w:bottom w:val="nil"/>
              <w:right w:val="nil"/>
            </w:tcBorders>
            <w:shd w:val="clear" w:color="auto" w:fill="auto"/>
            <w:noWrap/>
            <w:vAlign w:val="bottom"/>
            <w:hideMark/>
          </w:tcPr>
          <w:p w14:paraId="419BCA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0" w:type="dxa"/>
            <w:tcBorders>
              <w:top w:val="nil"/>
              <w:left w:val="nil"/>
              <w:bottom w:val="nil"/>
              <w:right w:val="nil"/>
            </w:tcBorders>
            <w:shd w:val="clear" w:color="auto" w:fill="auto"/>
            <w:noWrap/>
            <w:vAlign w:val="bottom"/>
            <w:hideMark/>
          </w:tcPr>
          <w:p w14:paraId="10A9382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630" w:type="dxa"/>
            <w:gridSpan w:val="2"/>
            <w:tcBorders>
              <w:top w:val="nil"/>
              <w:left w:val="nil"/>
              <w:bottom w:val="nil"/>
              <w:right w:val="nil"/>
            </w:tcBorders>
            <w:shd w:val="clear" w:color="auto" w:fill="auto"/>
            <w:noWrap/>
            <w:vAlign w:val="bottom"/>
            <w:hideMark/>
          </w:tcPr>
          <w:p w14:paraId="46DD30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2E90E4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79C3B1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720" w:type="dxa"/>
            <w:gridSpan w:val="2"/>
            <w:tcBorders>
              <w:top w:val="nil"/>
              <w:left w:val="nil"/>
              <w:bottom w:val="nil"/>
              <w:right w:val="nil"/>
            </w:tcBorders>
            <w:shd w:val="clear" w:color="auto" w:fill="auto"/>
            <w:noWrap/>
            <w:vAlign w:val="bottom"/>
            <w:hideMark/>
          </w:tcPr>
          <w:p w14:paraId="0F9349E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208702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gridSpan w:val="2"/>
            <w:tcBorders>
              <w:top w:val="nil"/>
              <w:left w:val="nil"/>
              <w:bottom w:val="nil"/>
              <w:right w:val="nil"/>
            </w:tcBorders>
            <w:shd w:val="clear" w:color="auto" w:fill="auto"/>
            <w:vAlign w:val="bottom"/>
            <w:hideMark/>
          </w:tcPr>
          <w:p w14:paraId="7673067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tcBorders>
              <w:top w:val="nil"/>
              <w:left w:val="nil"/>
              <w:bottom w:val="nil"/>
              <w:right w:val="nil"/>
            </w:tcBorders>
            <w:shd w:val="clear" w:color="auto" w:fill="auto"/>
            <w:vAlign w:val="bottom"/>
            <w:hideMark/>
          </w:tcPr>
          <w:p w14:paraId="35CB40F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2790" w:type="dxa"/>
            <w:gridSpan w:val="4"/>
            <w:tcBorders>
              <w:top w:val="nil"/>
              <w:left w:val="nil"/>
              <w:bottom w:val="nil"/>
              <w:right w:val="nil"/>
            </w:tcBorders>
            <w:shd w:val="clear" w:color="auto" w:fill="auto"/>
            <w:vAlign w:val="bottom"/>
            <w:hideMark/>
          </w:tcPr>
          <w:p w14:paraId="51893A9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http://limnology.wisc.edu/</w:t>
            </w:r>
          </w:p>
        </w:tc>
      </w:tr>
      <w:tr w:rsidR="009870ED" w:rsidRPr="00C64C78" w14:paraId="5B329793" w14:textId="77777777" w:rsidTr="00514EF2">
        <w:trPr>
          <w:gridAfter w:val="4"/>
          <w:wAfter w:w="4625" w:type="dxa"/>
          <w:trHeight w:val="116"/>
        </w:trPr>
        <w:tc>
          <w:tcPr>
            <w:tcW w:w="1080" w:type="dxa"/>
            <w:tcBorders>
              <w:top w:val="nil"/>
              <w:left w:val="nil"/>
              <w:bottom w:val="nil"/>
              <w:right w:val="nil"/>
            </w:tcBorders>
            <w:shd w:val="clear" w:color="auto" w:fill="auto"/>
            <w:noWrap/>
            <w:vAlign w:val="bottom"/>
            <w:hideMark/>
          </w:tcPr>
          <w:p w14:paraId="5FC4069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Toolik</w:t>
            </w:r>
          </w:p>
        </w:tc>
        <w:tc>
          <w:tcPr>
            <w:tcW w:w="1350" w:type="dxa"/>
            <w:tcBorders>
              <w:top w:val="nil"/>
              <w:left w:val="nil"/>
              <w:bottom w:val="nil"/>
              <w:right w:val="nil"/>
            </w:tcBorders>
            <w:shd w:val="clear" w:color="auto" w:fill="auto"/>
            <w:noWrap/>
            <w:vAlign w:val="bottom"/>
            <w:hideMark/>
          </w:tcPr>
          <w:p w14:paraId="7E3DA2C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170" w:type="dxa"/>
            <w:tcBorders>
              <w:top w:val="nil"/>
              <w:left w:val="nil"/>
              <w:bottom w:val="nil"/>
              <w:right w:val="nil"/>
            </w:tcBorders>
            <w:shd w:val="clear" w:color="auto" w:fill="auto"/>
            <w:noWrap/>
            <w:vAlign w:val="bottom"/>
            <w:hideMark/>
          </w:tcPr>
          <w:p w14:paraId="1D9A708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0" w:type="dxa"/>
            <w:tcBorders>
              <w:top w:val="nil"/>
              <w:left w:val="nil"/>
              <w:bottom w:val="nil"/>
              <w:right w:val="nil"/>
            </w:tcBorders>
            <w:shd w:val="clear" w:color="auto" w:fill="auto"/>
            <w:noWrap/>
            <w:vAlign w:val="bottom"/>
            <w:hideMark/>
          </w:tcPr>
          <w:p w14:paraId="48DCBD5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630" w:type="dxa"/>
            <w:gridSpan w:val="2"/>
            <w:tcBorders>
              <w:top w:val="nil"/>
              <w:left w:val="nil"/>
              <w:bottom w:val="nil"/>
              <w:right w:val="nil"/>
            </w:tcBorders>
            <w:shd w:val="clear" w:color="auto" w:fill="auto"/>
            <w:noWrap/>
            <w:vAlign w:val="bottom"/>
            <w:hideMark/>
          </w:tcPr>
          <w:p w14:paraId="5758B6E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016E99C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B0D846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nil"/>
              <w:right w:val="nil"/>
            </w:tcBorders>
            <w:shd w:val="clear" w:color="auto" w:fill="auto"/>
            <w:noWrap/>
            <w:vAlign w:val="bottom"/>
            <w:hideMark/>
          </w:tcPr>
          <w:p w14:paraId="209CAC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359DE37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gridSpan w:val="2"/>
            <w:tcBorders>
              <w:top w:val="nil"/>
              <w:left w:val="nil"/>
              <w:bottom w:val="nil"/>
              <w:right w:val="nil"/>
            </w:tcBorders>
            <w:shd w:val="clear" w:color="auto" w:fill="auto"/>
            <w:noWrap/>
            <w:vAlign w:val="bottom"/>
            <w:hideMark/>
          </w:tcPr>
          <w:p w14:paraId="052D1EA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tcBorders>
              <w:top w:val="nil"/>
              <w:left w:val="nil"/>
              <w:bottom w:val="nil"/>
              <w:right w:val="nil"/>
            </w:tcBorders>
            <w:shd w:val="clear" w:color="auto" w:fill="auto"/>
            <w:vAlign w:val="bottom"/>
            <w:hideMark/>
          </w:tcPr>
          <w:p w14:paraId="2EFD753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2790" w:type="dxa"/>
            <w:gridSpan w:val="4"/>
            <w:tcBorders>
              <w:top w:val="nil"/>
              <w:left w:val="nil"/>
              <w:bottom w:val="nil"/>
              <w:right w:val="nil"/>
            </w:tcBorders>
            <w:shd w:val="clear" w:color="auto" w:fill="auto"/>
            <w:vAlign w:val="bottom"/>
            <w:hideMark/>
          </w:tcPr>
          <w:p w14:paraId="4C86673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9870ED" w:rsidRPr="00C64C78" w14:paraId="21BAB6E3" w14:textId="77777777" w:rsidTr="00514EF2">
        <w:trPr>
          <w:gridAfter w:val="4"/>
          <w:wAfter w:w="4625" w:type="dxa"/>
          <w:trHeight w:val="246"/>
        </w:trPr>
        <w:tc>
          <w:tcPr>
            <w:tcW w:w="1080" w:type="dxa"/>
            <w:tcBorders>
              <w:top w:val="nil"/>
              <w:left w:val="nil"/>
              <w:bottom w:val="nil"/>
              <w:right w:val="nil"/>
            </w:tcBorders>
            <w:shd w:val="clear" w:color="auto" w:fill="auto"/>
            <w:noWrap/>
            <w:vAlign w:val="bottom"/>
            <w:hideMark/>
          </w:tcPr>
          <w:p w14:paraId="3EEDC023"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350" w:type="dxa"/>
            <w:tcBorders>
              <w:top w:val="nil"/>
              <w:left w:val="nil"/>
              <w:bottom w:val="nil"/>
              <w:right w:val="nil"/>
            </w:tcBorders>
            <w:shd w:val="clear" w:color="auto" w:fill="auto"/>
            <w:noWrap/>
            <w:vAlign w:val="bottom"/>
            <w:hideMark/>
          </w:tcPr>
          <w:p w14:paraId="41F0E17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70" w:type="dxa"/>
            <w:tcBorders>
              <w:top w:val="nil"/>
              <w:left w:val="nil"/>
              <w:bottom w:val="nil"/>
              <w:right w:val="nil"/>
            </w:tcBorders>
            <w:shd w:val="clear" w:color="auto" w:fill="auto"/>
            <w:noWrap/>
            <w:vAlign w:val="bottom"/>
            <w:hideMark/>
          </w:tcPr>
          <w:p w14:paraId="5106A1D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0" w:type="dxa"/>
            <w:tcBorders>
              <w:top w:val="nil"/>
              <w:left w:val="nil"/>
              <w:bottom w:val="nil"/>
              <w:right w:val="nil"/>
            </w:tcBorders>
            <w:shd w:val="clear" w:color="auto" w:fill="auto"/>
            <w:noWrap/>
            <w:vAlign w:val="bottom"/>
            <w:hideMark/>
          </w:tcPr>
          <w:p w14:paraId="067CA35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630" w:type="dxa"/>
            <w:gridSpan w:val="2"/>
            <w:tcBorders>
              <w:top w:val="nil"/>
              <w:left w:val="nil"/>
              <w:bottom w:val="nil"/>
              <w:right w:val="nil"/>
            </w:tcBorders>
            <w:shd w:val="clear" w:color="auto" w:fill="auto"/>
            <w:noWrap/>
            <w:vAlign w:val="bottom"/>
            <w:hideMark/>
          </w:tcPr>
          <w:p w14:paraId="7693AE8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A9A59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2E69D27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nil"/>
              <w:right w:val="nil"/>
            </w:tcBorders>
            <w:shd w:val="clear" w:color="auto" w:fill="auto"/>
            <w:noWrap/>
            <w:vAlign w:val="bottom"/>
            <w:hideMark/>
          </w:tcPr>
          <w:p w14:paraId="2CBCA03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5B5BF8A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gridSpan w:val="2"/>
            <w:tcBorders>
              <w:top w:val="nil"/>
              <w:left w:val="nil"/>
              <w:bottom w:val="nil"/>
              <w:right w:val="nil"/>
            </w:tcBorders>
            <w:shd w:val="clear" w:color="auto" w:fill="auto"/>
            <w:noWrap/>
            <w:vAlign w:val="bottom"/>
            <w:hideMark/>
          </w:tcPr>
          <w:p w14:paraId="7260381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tcBorders>
              <w:top w:val="nil"/>
              <w:left w:val="nil"/>
              <w:bottom w:val="nil"/>
              <w:right w:val="nil"/>
            </w:tcBorders>
            <w:shd w:val="clear" w:color="auto" w:fill="auto"/>
            <w:noWrap/>
            <w:vAlign w:val="bottom"/>
            <w:hideMark/>
          </w:tcPr>
          <w:p w14:paraId="70541D5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2790" w:type="dxa"/>
            <w:gridSpan w:val="4"/>
            <w:tcBorders>
              <w:top w:val="nil"/>
              <w:left w:val="nil"/>
              <w:bottom w:val="nil"/>
              <w:right w:val="nil"/>
            </w:tcBorders>
            <w:shd w:val="clear" w:color="auto" w:fill="auto"/>
            <w:vAlign w:val="bottom"/>
            <w:hideMark/>
          </w:tcPr>
          <w:p w14:paraId="65F5CCB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Webster et al. 1996, http://limnology.wisc.edu/</w:t>
            </w:r>
          </w:p>
        </w:tc>
      </w:tr>
      <w:tr w:rsidR="009870ED" w:rsidRPr="00C64C78" w14:paraId="50B42071" w14:textId="77777777" w:rsidTr="00514EF2">
        <w:trPr>
          <w:gridAfter w:val="4"/>
          <w:wAfter w:w="4625" w:type="dxa"/>
          <w:trHeight w:val="153"/>
        </w:trPr>
        <w:tc>
          <w:tcPr>
            <w:tcW w:w="1080" w:type="dxa"/>
            <w:tcBorders>
              <w:top w:val="nil"/>
              <w:left w:val="nil"/>
              <w:bottom w:val="single" w:sz="8" w:space="0" w:color="auto"/>
              <w:right w:val="nil"/>
            </w:tcBorders>
            <w:shd w:val="clear" w:color="auto" w:fill="auto"/>
            <w:noWrap/>
            <w:vAlign w:val="bottom"/>
            <w:hideMark/>
          </w:tcPr>
          <w:p w14:paraId="1306DD5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350" w:type="dxa"/>
            <w:tcBorders>
              <w:top w:val="nil"/>
              <w:left w:val="nil"/>
              <w:bottom w:val="single" w:sz="8" w:space="0" w:color="auto"/>
              <w:right w:val="nil"/>
            </w:tcBorders>
            <w:shd w:val="clear" w:color="auto" w:fill="auto"/>
            <w:noWrap/>
            <w:vAlign w:val="bottom"/>
            <w:hideMark/>
          </w:tcPr>
          <w:p w14:paraId="0966E36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170" w:type="dxa"/>
            <w:tcBorders>
              <w:top w:val="nil"/>
              <w:left w:val="nil"/>
              <w:bottom w:val="single" w:sz="8" w:space="0" w:color="auto"/>
              <w:right w:val="nil"/>
            </w:tcBorders>
            <w:shd w:val="clear" w:color="auto" w:fill="auto"/>
            <w:noWrap/>
            <w:vAlign w:val="bottom"/>
            <w:hideMark/>
          </w:tcPr>
          <w:p w14:paraId="4B2F67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59°06’, -13°62’</w:t>
            </w:r>
          </w:p>
        </w:tc>
        <w:tc>
          <w:tcPr>
            <w:tcW w:w="1260" w:type="dxa"/>
            <w:tcBorders>
              <w:top w:val="nil"/>
              <w:left w:val="nil"/>
              <w:bottom w:val="single" w:sz="8" w:space="0" w:color="auto"/>
              <w:right w:val="nil"/>
            </w:tcBorders>
            <w:shd w:val="clear" w:color="auto" w:fill="auto"/>
            <w:noWrap/>
            <w:vAlign w:val="bottom"/>
            <w:hideMark/>
          </w:tcPr>
          <w:p w14:paraId="7499B5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630" w:type="dxa"/>
            <w:gridSpan w:val="2"/>
            <w:tcBorders>
              <w:top w:val="nil"/>
              <w:left w:val="nil"/>
              <w:bottom w:val="single" w:sz="8" w:space="0" w:color="auto"/>
              <w:right w:val="nil"/>
            </w:tcBorders>
            <w:shd w:val="clear" w:color="auto" w:fill="auto"/>
            <w:noWrap/>
            <w:vAlign w:val="bottom"/>
            <w:hideMark/>
          </w:tcPr>
          <w:p w14:paraId="47D038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1A26E10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6092CBD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single" w:sz="8" w:space="0" w:color="auto"/>
              <w:right w:val="nil"/>
            </w:tcBorders>
            <w:shd w:val="clear" w:color="auto" w:fill="auto"/>
            <w:noWrap/>
            <w:vAlign w:val="bottom"/>
            <w:hideMark/>
          </w:tcPr>
          <w:p w14:paraId="7AA1CC5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2C2927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single" w:sz="8" w:space="0" w:color="auto"/>
              <w:right w:val="nil"/>
            </w:tcBorders>
            <w:shd w:val="clear" w:color="auto" w:fill="auto"/>
            <w:vAlign w:val="bottom"/>
            <w:hideMark/>
          </w:tcPr>
          <w:p w14:paraId="41D8A5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tcBorders>
              <w:top w:val="nil"/>
              <w:left w:val="nil"/>
              <w:bottom w:val="single" w:sz="8" w:space="0" w:color="auto"/>
              <w:right w:val="nil"/>
            </w:tcBorders>
            <w:shd w:val="clear" w:color="auto" w:fill="auto"/>
            <w:vAlign w:val="bottom"/>
            <w:hideMark/>
          </w:tcPr>
          <w:p w14:paraId="2F44BF1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790" w:type="dxa"/>
            <w:gridSpan w:val="4"/>
            <w:tcBorders>
              <w:top w:val="nil"/>
              <w:left w:val="nil"/>
              <w:bottom w:val="single" w:sz="8" w:space="0" w:color="auto"/>
              <w:right w:val="nil"/>
            </w:tcBorders>
            <w:shd w:val="clear" w:color="auto" w:fill="auto"/>
            <w:vAlign w:val="bottom"/>
            <w:hideMark/>
          </w:tcPr>
          <w:p w14:paraId="7B6444E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Kvarnäs 2001</w:t>
            </w:r>
          </w:p>
        </w:tc>
      </w:tr>
    </w:tbl>
    <w:p w14:paraId="294D76AE" w14:textId="4E47A2DB" w:rsidR="009870ED" w:rsidRDefault="009870ED" w:rsidP="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t>MD = mean depth, RT = hydrologic residence time, SD = Secchi depth, ChlA = chlorophyll-a, SW DOC = inflow dissolved organic carbon, DOC = in-lake DOC. All values calculated from model calibration data or derived from cited references</w:t>
      </w:r>
    </w:p>
    <w:p w14:paraId="46CE9947"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871" w:type="dxa"/>
        <w:tblInd w:w="108" w:type="dxa"/>
        <w:tblLook w:val="04A0" w:firstRow="1" w:lastRow="0" w:firstColumn="1" w:lastColumn="0" w:noHBand="0" w:noVBand="1"/>
      </w:tblPr>
      <w:tblGrid>
        <w:gridCol w:w="3150"/>
        <w:gridCol w:w="4770"/>
        <w:gridCol w:w="208"/>
        <w:gridCol w:w="937"/>
        <w:gridCol w:w="1176"/>
        <w:gridCol w:w="1176"/>
        <w:gridCol w:w="1296"/>
        <w:gridCol w:w="1158"/>
      </w:tblGrid>
      <w:tr w:rsidR="00B80037" w:rsidRPr="00B80037" w14:paraId="434EAE78" w14:textId="77777777" w:rsidTr="00B80037">
        <w:trPr>
          <w:trHeight w:val="220"/>
        </w:trPr>
        <w:tc>
          <w:tcPr>
            <w:tcW w:w="8128" w:type="dxa"/>
            <w:gridSpan w:val="3"/>
            <w:tcBorders>
              <w:top w:val="nil"/>
              <w:left w:val="nil"/>
              <w:bottom w:val="nil"/>
              <w:right w:val="nil"/>
            </w:tcBorders>
            <w:shd w:val="clear" w:color="auto" w:fill="auto"/>
            <w:noWrap/>
            <w:vAlign w:val="bottom"/>
            <w:hideMark/>
          </w:tcPr>
          <w:p w14:paraId="7EDB20A4" w14:textId="77777777" w:rsidR="00B80037" w:rsidRPr="00664D73" w:rsidRDefault="00B80037"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(optimized parameters italicized)</w:t>
            </w:r>
          </w:p>
        </w:tc>
        <w:tc>
          <w:tcPr>
            <w:tcW w:w="937" w:type="dxa"/>
            <w:tcBorders>
              <w:top w:val="nil"/>
              <w:left w:val="nil"/>
              <w:bottom w:val="nil"/>
              <w:right w:val="nil"/>
            </w:tcBorders>
            <w:shd w:val="clear" w:color="auto" w:fill="auto"/>
            <w:noWrap/>
            <w:vAlign w:val="bottom"/>
            <w:hideMark/>
          </w:tcPr>
          <w:p w14:paraId="37802A57"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76" w:type="dxa"/>
            <w:tcBorders>
              <w:top w:val="nil"/>
              <w:left w:val="nil"/>
              <w:bottom w:val="nil"/>
              <w:right w:val="nil"/>
            </w:tcBorders>
            <w:shd w:val="clear" w:color="auto" w:fill="auto"/>
            <w:noWrap/>
            <w:vAlign w:val="bottom"/>
            <w:hideMark/>
          </w:tcPr>
          <w:p w14:paraId="4AE521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534A9E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70B16ED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1F65CB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4037C2C7" w14:textId="77777777" w:rsidTr="00B80037">
        <w:trPr>
          <w:trHeight w:val="228"/>
        </w:trPr>
        <w:tc>
          <w:tcPr>
            <w:tcW w:w="3150" w:type="dxa"/>
            <w:tcBorders>
              <w:top w:val="single" w:sz="8" w:space="0" w:color="auto"/>
              <w:left w:val="nil"/>
              <w:bottom w:val="single" w:sz="8" w:space="0" w:color="auto"/>
              <w:right w:val="nil"/>
            </w:tcBorders>
            <w:shd w:val="clear" w:color="auto" w:fill="auto"/>
            <w:noWrap/>
            <w:vAlign w:val="bottom"/>
            <w:hideMark/>
          </w:tcPr>
          <w:p w14:paraId="3C8805F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770" w:type="dxa"/>
            <w:tcBorders>
              <w:top w:val="single" w:sz="8" w:space="0" w:color="auto"/>
              <w:left w:val="nil"/>
              <w:bottom w:val="single" w:sz="8" w:space="0" w:color="auto"/>
              <w:right w:val="nil"/>
            </w:tcBorders>
            <w:shd w:val="clear" w:color="auto" w:fill="auto"/>
            <w:noWrap/>
            <w:vAlign w:val="bottom"/>
            <w:hideMark/>
          </w:tcPr>
          <w:p w14:paraId="49599C7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45" w:type="dxa"/>
            <w:gridSpan w:val="2"/>
            <w:tcBorders>
              <w:top w:val="single" w:sz="8" w:space="0" w:color="auto"/>
              <w:left w:val="nil"/>
              <w:bottom w:val="single" w:sz="8" w:space="0" w:color="auto"/>
              <w:right w:val="nil"/>
            </w:tcBorders>
            <w:shd w:val="clear" w:color="auto" w:fill="auto"/>
            <w:noWrap/>
            <w:vAlign w:val="bottom"/>
            <w:hideMark/>
          </w:tcPr>
          <w:p w14:paraId="0DD3480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76" w:type="dxa"/>
            <w:tcBorders>
              <w:top w:val="single" w:sz="8" w:space="0" w:color="auto"/>
              <w:left w:val="nil"/>
              <w:bottom w:val="single" w:sz="8" w:space="0" w:color="auto"/>
              <w:right w:val="nil"/>
            </w:tcBorders>
            <w:shd w:val="clear" w:color="auto" w:fill="auto"/>
            <w:noWrap/>
            <w:vAlign w:val="bottom"/>
            <w:hideMark/>
          </w:tcPr>
          <w:p w14:paraId="7D7E4DF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76" w:type="dxa"/>
            <w:tcBorders>
              <w:top w:val="single" w:sz="8" w:space="0" w:color="auto"/>
              <w:left w:val="nil"/>
              <w:bottom w:val="single" w:sz="8" w:space="0" w:color="auto"/>
              <w:right w:val="nil"/>
            </w:tcBorders>
            <w:shd w:val="clear" w:color="auto" w:fill="auto"/>
            <w:noWrap/>
            <w:vAlign w:val="bottom"/>
            <w:hideMark/>
          </w:tcPr>
          <w:p w14:paraId="7181E3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Toolik</w:t>
            </w:r>
          </w:p>
        </w:tc>
        <w:tc>
          <w:tcPr>
            <w:tcW w:w="1296" w:type="dxa"/>
            <w:tcBorders>
              <w:top w:val="single" w:sz="8" w:space="0" w:color="auto"/>
              <w:left w:val="nil"/>
              <w:bottom w:val="single" w:sz="8" w:space="0" w:color="auto"/>
              <w:right w:val="nil"/>
            </w:tcBorders>
            <w:shd w:val="clear" w:color="auto" w:fill="auto"/>
            <w:noWrap/>
            <w:vAlign w:val="bottom"/>
            <w:hideMark/>
          </w:tcPr>
          <w:p w14:paraId="1EFCFAC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6A2C4A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4891C31" w14:textId="77777777" w:rsidTr="00B80037">
        <w:trPr>
          <w:trHeight w:val="220"/>
        </w:trPr>
        <w:tc>
          <w:tcPr>
            <w:tcW w:w="3150" w:type="dxa"/>
            <w:tcBorders>
              <w:top w:val="nil"/>
              <w:left w:val="nil"/>
              <w:bottom w:val="nil"/>
              <w:right w:val="nil"/>
            </w:tcBorders>
            <w:shd w:val="clear" w:color="auto" w:fill="auto"/>
            <w:noWrap/>
            <w:vAlign w:val="bottom"/>
            <w:hideMark/>
          </w:tcPr>
          <w:p w14:paraId="3638204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770" w:type="dxa"/>
            <w:tcBorders>
              <w:top w:val="nil"/>
              <w:left w:val="nil"/>
              <w:bottom w:val="nil"/>
              <w:right w:val="nil"/>
            </w:tcBorders>
            <w:shd w:val="clear" w:color="auto" w:fill="auto"/>
            <w:noWrap/>
            <w:vAlign w:val="bottom"/>
            <w:hideMark/>
          </w:tcPr>
          <w:p w14:paraId="223B821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FFB5419"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7D61A73"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7BC17FAC"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94BD7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DA1D584"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947757B" w14:textId="77777777" w:rsidTr="00B80037">
        <w:trPr>
          <w:trHeight w:val="211"/>
        </w:trPr>
        <w:tc>
          <w:tcPr>
            <w:tcW w:w="3150" w:type="dxa"/>
            <w:tcBorders>
              <w:top w:val="nil"/>
              <w:left w:val="nil"/>
              <w:bottom w:val="nil"/>
              <w:right w:val="nil"/>
            </w:tcBorders>
            <w:shd w:val="clear" w:color="auto" w:fill="auto"/>
            <w:noWrap/>
            <w:vAlign w:val="bottom"/>
            <w:hideMark/>
          </w:tcPr>
          <w:p w14:paraId="5B0B6BB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770" w:type="dxa"/>
            <w:tcBorders>
              <w:top w:val="nil"/>
              <w:left w:val="nil"/>
              <w:bottom w:val="nil"/>
              <w:right w:val="nil"/>
            </w:tcBorders>
            <w:shd w:val="clear" w:color="auto" w:fill="auto"/>
            <w:noWrap/>
            <w:vAlign w:val="bottom"/>
            <w:hideMark/>
          </w:tcPr>
          <w:p w14:paraId="603095E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45" w:type="dxa"/>
            <w:gridSpan w:val="2"/>
            <w:tcBorders>
              <w:top w:val="nil"/>
              <w:left w:val="nil"/>
              <w:bottom w:val="nil"/>
              <w:right w:val="nil"/>
            </w:tcBorders>
            <w:shd w:val="clear" w:color="auto" w:fill="auto"/>
            <w:noWrap/>
            <w:vAlign w:val="bottom"/>
            <w:hideMark/>
          </w:tcPr>
          <w:p w14:paraId="42F4EA1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76" w:type="dxa"/>
            <w:tcBorders>
              <w:top w:val="nil"/>
              <w:left w:val="nil"/>
              <w:bottom w:val="nil"/>
              <w:right w:val="nil"/>
            </w:tcBorders>
            <w:shd w:val="clear" w:color="auto" w:fill="auto"/>
            <w:noWrap/>
            <w:vAlign w:val="bottom"/>
            <w:hideMark/>
          </w:tcPr>
          <w:p w14:paraId="48C515E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76" w:type="dxa"/>
            <w:tcBorders>
              <w:top w:val="nil"/>
              <w:left w:val="nil"/>
              <w:bottom w:val="nil"/>
              <w:right w:val="nil"/>
            </w:tcBorders>
            <w:shd w:val="clear" w:color="auto" w:fill="auto"/>
            <w:noWrap/>
            <w:vAlign w:val="bottom"/>
            <w:hideMark/>
          </w:tcPr>
          <w:p w14:paraId="4BE6E6F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96" w:type="dxa"/>
            <w:tcBorders>
              <w:top w:val="nil"/>
              <w:left w:val="nil"/>
              <w:bottom w:val="nil"/>
              <w:right w:val="nil"/>
            </w:tcBorders>
            <w:shd w:val="clear" w:color="auto" w:fill="auto"/>
            <w:noWrap/>
            <w:vAlign w:val="bottom"/>
            <w:hideMark/>
          </w:tcPr>
          <w:p w14:paraId="7437383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05758A4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7CF03ED4" w14:textId="77777777" w:rsidTr="00B80037">
        <w:trPr>
          <w:trHeight w:val="211"/>
        </w:trPr>
        <w:tc>
          <w:tcPr>
            <w:tcW w:w="3150" w:type="dxa"/>
            <w:tcBorders>
              <w:top w:val="nil"/>
              <w:left w:val="nil"/>
              <w:bottom w:val="nil"/>
              <w:right w:val="nil"/>
            </w:tcBorders>
            <w:shd w:val="clear" w:color="auto" w:fill="auto"/>
            <w:noWrap/>
            <w:vAlign w:val="bottom"/>
            <w:hideMark/>
          </w:tcPr>
          <w:p w14:paraId="1572AA6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770" w:type="dxa"/>
            <w:tcBorders>
              <w:top w:val="nil"/>
              <w:left w:val="nil"/>
              <w:bottom w:val="nil"/>
              <w:right w:val="nil"/>
            </w:tcBorders>
            <w:shd w:val="clear" w:color="auto" w:fill="auto"/>
            <w:noWrap/>
            <w:vAlign w:val="bottom"/>
            <w:hideMark/>
          </w:tcPr>
          <w:p w14:paraId="6B01010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45" w:type="dxa"/>
            <w:gridSpan w:val="2"/>
            <w:tcBorders>
              <w:top w:val="nil"/>
              <w:left w:val="nil"/>
              <w:bottom w:val="nil"/>
              <w:right w:val="nil"/>
            </w:tcBorders>
            <w:shd w:val="clear" w:color="auto" w:fill="auto"/>
            <w:noWrap/>
            <w:vAlign w:val="bottom"/>
            <w:hideMark/>
          </w:tcPr>
          <w:p w14:paraId="20910C7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76" w:type="dxa"/>
            <w:tcBorders>
              <w:top w:val="nil"/>
              <w:left w:val="nil"/>
              <w:bottom w:val="nil"/>
              <w:right w:val="nil"/>
            </w:tcBorders>
            <w:shd w:val="clear" w:color="auto" w:fill="auto"/>
            <w:noWrap/>
            <w:vAlign w:val="bottom"/>
            <w:hideMark/>
          </w:tcPr>
          <w:p w14:paraId="7797D73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76" w:type="dxa"/>
            <w:tcBorders>
              <w:top w:val="nil"/>
              <w:left w:val="nil"/>
              <w:bottom w:val="nil"/>
              <w:right w:val="nil"/>
            </w:tcBorders>
            <w:shd w:val="clear" w:color="auto" w:fill="auto"/>
            <w:noWrap/>
            <w:vAlign w:val="bottom"/>
            <w:hideMark/>
          </w:tcPr>
          <w:p w14:paraId="17285CB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96" w:type="dxa"/>
            <w:tcBorders>
              <w:top w:val="nil"/>
              <w:left w:val="nil"/>
              <w:bottom w:val="nil"/>
              <w:right w:val="nil"/>
            </w:tcBorders>
            <w:shd w:val="clear" w:color="auto" w:fill="auto"/>
            <w:noWrap/>
            <w:vAlign w:val="bottom"/>
            <w:hideMark/>
          </w:tcPr>
          <w:p w14:paraId="02794BD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025E766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10C6B890" w14:textId="77777777" w:rsidTr="00B80037">
        <w:trPr>
          <w:trHeight w:val="211"/>
        </w:trPr>
        <w:tc>
          <w:tcPr>
            <w:tcW w:w="3150" w:type="dxa"/>
            <w:tcBorders>
              <w:top w:val="nil"/>
              <w:left w:val="nil"/>
              <w:bottom w:val="nil"/>
              <w:right w:val="nil"/>
            </w:tcBorders>
            <w:shd w:val="clear" w:color="auto" w:fill="auto"/>
            <w:noWrap/>
            <w:vAlign w:val="bottom"/>
            <w:hideMark/>
          </w:tcPr>
          <w:p w14:paraId="27A748D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770" w:type="dxa"/>
            <w:tcBorders>
              <w:top w:val="nil"/>
              <w:left w:val="nil"/>
              <w:bottom w:val="nil"/>
              <w:right w:val="nil"/>
            </w:tcBorders>
            <w:shd w:val="clear" w:color="auto" w:fill="auto"/>
            <w:noWrap/>
            <w:vAlign w:val="bottom"/>
            <w:hideMark/>
          </w:tcPr>
          <w:p w14:paraId="57A14B3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45" w:type="dxa"/>
            <w:gridSpan w:val="2"/>
            <w:tcBorders>
              <w:top w:val="nil"/>
              <w:left w:val="nil"/>
              <w:bottom w:val="nil"/>
              <w:right w:val="nil"/>
            </w:tcBorders>
            <w:shd w:val="clear" w:color="auto" w:fill="auto"/>
            <w:noWrap/>
            <w:vAlign w:val="bottom"/>
            <w:hideMark/>
          </w:tcPr>
          <w:p w14:paraId="61CFA69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713800</w:t>
            </w:r>
          </w:p>
        </w:tc>
        <w:tc>
          <w:tcPr>
            <w:tcW w:w="1176" w:type="dxa"/>
            <w:tcBorders>
              <w:top w:val="nil"/>
              <w:left w:val="nil"/>
              <w:bottom w:val="nil"/>
              <w:right w:val="nil"/>
            </w:tcBorders>
            <w:shd w:val="clear" w:color="auto" w:fill="auto"/>
            <w:noWrap/>
            <w:vAlign w:val="bottom"/>
            <w:hideMark/>
          </w:tcPr>
          <w:p w14:paraId="7637DE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13260000</w:t>
            </w:r>
          </w:p>
        </w:tc>
        <w:tc>
          <w:tcPr>
            <w:tcW w:w="1176" w:type="dxa"/>
            <w:tcBorders>
              <w:top w:val="nil"/>
              <w:left w:val="nil"/>
              <w:bottom w:val="nil"/>
              <w:right w:val="nil"/>
            </w:tcBorders>
            <w:shd w:val="clear" w:color="auto" w:fill="auto"/>
            <w:noWrap/>
            <w:vAlign w:val="bottom"/>
            <w:hideMark/>
          </w:tcPr>
          <w:p w14:paraId="5855475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96" w:type="dxa"/>
            <w:tcBorders>
              <w:top w:val="nil"/>
              <w:left w:val="nil"/>
              <w:bottom w:val="nil"/>
              <w:right w:val="nil"/>
            </w:tcBorders>
            <w:shd w:val="clear" w:color="auto" w:fill="auto"/>
            <w:noWrap/>
            <w:vAlign w:val="bottom"/>
            <w:hideMark/>
          </w:tcPr>
          <w:p w14:paraId="5A9DA5C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16079000</w:t>
            </w:r>
          </w:p>
        </w:tc>
        <w:tc>
          <w:tcPr>
            <w:tcW w:w="1158" w:type="dxa"/>
            <w:tcBorders>
              <w:top w:val="nil"/>
              <w:left w:val="nil"/>
              <w:bottom w:val="nil"/>
              <w:right w:val="nil"/>
            </w:tcBorders>
            <w:shd w:val="clear" w:color="auto" w:fill="auto"/>
            <w:noWrap/>
            <w:vAlign w:val="bottom"/>
            <w:hideMark/>
          </w:tcPr>
          <w:p w14:paraId="6CEE65D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2B9EB8D4" w14:textId="77777777" w:rsidTr="00B80037">
        <w:trPr>
          <w:trHeight w:val="211"/>
        </w:trPr>
        <w:tc>
          <w:tcPr>
            <w:tcW w:w="3150" w:type="dxa"/>
            <w:tcBorders>
              <w:top w:val="nil"/>
              <w:left w:val="nil"/>
              <w:bottom w:val="nil"/>
              <w:right w:val="nil"/>
            </w:tcBorders>
            <w:shd w:val="clear" w:color="auto" w:fill="auto"/>
            <w:noWrap/>
            <w:vAlign w:val="bottom"/>
            <w:hideMark/>
          </w:tcPr>
          <w:p w14:paraId="32A327B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770" w:type="dxa"/>
            <w:tcBorders>
              <w:top w:val="nil"/>
              <w:left w:val="nil"/>
              <w:bottom w:val="nil"/>
              <w:right w:val="nil"/>
            </w:tcBorders>
            <w:shd w:val="clear" w:color="auto" w:fill="auto"/>
            <w:noWrap/>
            <w:vAlign w:val="bottom"/>
            <w:hideMark/>
          </w:tcPr>
          <w:p w14:paraId="38380C5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45" w:type="dxa"/>
            <w:gridSpan w:val="2"/>
            <w:tcBorders>
              <w:top w:val="nil"/>
              <w:left w:val="nil"/>
              <w:bottom w:val="nil"/>
              <w:right w:val="nil"/>
            </w:tcBorders>
            <w:shd w:val="clear" w:color="auto" w:fill="auto"/>
            <w:noWrap/>
            <w:vAlign w:val="bottom"/>
            <w:hideMark/>
          </w:tcPr>
          <w:p w14:paraId="593E7C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8320000</w:t>
            </w:r>
          </w:p>
        </w:tc>
        <w:tc>
          <w:tcPr>
            <w:tcW w:w="1176" w:type="dxa"/>
            <w:tcBorders>
              <w:top w:val="nil"/>
              <w:left w:val="nil"/>
              <w:bottom w:val="nil"/>
              <w:right w:val="nil"/>
            </w:tcBorders>
            <w:shd w:val="clear" w:color="auto" w:fill="auto"/>
            <w:noWrap/>
            <w:vAlign w:val="bottom"/>
            <w:hideMark/>
          </w:tcPr>
          <w:p w14:paraId="4D49E00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76" w:type="dxa"/>
            <w:tcBorders>
              <w:top w:val="nil"/>
              <w:left w:val="nil"/>
              <w:bottom w:val="nil"/>
              <w:right w:val="nil"/>
            </w:tcBorders>
            <w:shd w:val="clear" w:color="auto" w:fill="auto"/>
            <w:noWrap/>
            <w:vAlign w:val="bottom"/>
            <w:hideMark/>
          </w:tcPr>
          <w:p w14:paraId="2624B5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10566000</w:t>
            </w:r>
          </w:p>
        </w:tc>
        <w:tc>
          <w:tcPr>
            <w:tcW w:w="1296" w:type="dxa"/>
            <w:tcBorders>
              <w:top w:val="nil"/>
              <w:left w:val="nil"/>
              <w:bottom w:val="nil"/>
              <w:right w:val="nil"/>
            </w:tcBorders>
            <w:shd w:val="clear" w:color="auto" w:fill="auto"/>
            <w:noWrap/>
            <w:vAlign w:val="bottom"/>
            <w:hideMark/>
          </w:tcPr>
          <w:p w14:paraId="695C6F1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234753400</w:t>
            </w:r>
          </w:p>
        </w:tc>
        <w:tc>
          <w:tcPr>
            <w:tcW w:w="1158" w:type="dxa"/>
            <w:tcBorders>
              <w:top w:val="nil"/>
              <w:left w:val="nil"/>
              <w:bottom w:val="nil"/>
              <w:right w:val="nil"/>
            </w:tcBorders>
            <w:shd w:val="clear" w:color="auto" w:fill="auto"/>
            <w:noWrap/>
            <w:vAlign w:val="bottom"/>
            <w:hideMark/>
          </w:tcPr>
          <w:p w14:paraId="1A1ED35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0004175" w14:textId="77777777" w:rsidTr="00B80037">
        <w:trPr>
          <w:trHeight w:val="211"/>
        </w:trPr>
        <w:tc>
          <w:tcPr>
            <w:tcW w:w="3150" w:type="dxa"/>
            <w:tcBorders>
              <w:top w:val="nil"/>
              <w:left w:val="nil"/>
              <w:bottom w:val="nil"/>
              <w:right w:val="nil"/>
            </w:tcBorders>
            <w:shd w:val="clear" w:color="auto" w:fill="auto"/>
            <w:noWrap/>
            <w:vAlign w:val="bottom"/>
            <w:hideMark/>
          </w:tcPr>
          <w:p w14:paraId="0325590A" w14:textId="4FFE0BA5"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DOC_init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4AD574B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DOC concentration</w:t>
            </w:r>
          </w:p>
        </w:tc>
        <w:tc>
          <w:tcPr>
            <w:tcW w:w="1145" w:type="dxa"/>
            <w:gridSpan w:val="2"/>
            <w:tcBorders>
              <w:top w:val="nil"/>
              <w:left w:val="nil"/>
              <w:bottom w:val="nil"/>
              <w:right w:val="nil"/>
            </w:tcBorders>
            <w:shd w:val="clear" w:color="auto" w:fill="auto"/>
            <w:noWrap/>
            <w:vAlign w:val="bottom"/>
            <w:hideMark/>
          </w:tcPr>
          <w:p w14:paraId="79EAED5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76" w:type="dxa"/>
            <w:tcBorders>
              <w:top w:val="nil"/>
              <w:left w:val="nil"/>
              <w:bottom w:val="nil"/>
              <w:right w:val="nil"/>
            </w:tcBorders>
            <w:shd w:val="clear" w:color="auto" w:fill="auto"/>
            <w:noWrap/>
            <w:vAlign w:val="bottom"/>
            <w:hideMark/>
          </w:tcPr>
          <w:p w14:paraId="44A00C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76" w:type="dxa"/>
            <w:tcBorders>
              <w:top w:val="nil"/>
              <w:left w:val="nil"/>
              <w:bottom w:val="nil"/>
              <w:right w:val="nil"/>
            </w:tcBorders>
            <w:shd w:val="clear" w:color="auto" w:fill="auto"/>
            <w:noWrap/>
            <w:vAlign w:val="bottom"/>
            <w:hideMark/>
          </w:tcPr>
          <w:p w14:paraId="4B0018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96" w:type="dxa"/>
            <w:tcBorders>
              <w:top w:val="nil"/>
              <w:left w:val="nil"/>
              <w:bottom w:val="nil"/>
              <w:right w:val="nil"/>
            </w:tcBorders>
            <w:shd w:val="clear" w:color="auto" w:fill="auto"/>
            <w:noWrap/>
            <w:vAlign w:val="bottom"/>
            <w:hideMark/>
          </w:tcPr>
          <w:p w14:paraId="5DA5A94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375C6E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207FC419" w14:textId="77777777" w:rsidTr="00B80037">
        <w:trPr>
          <w:trHeight w:val="211"/>
        </w:trPr>
        <w:tc>
          <w:tcPr>
            <w:tcW w:w="3150" w:type="dxa"/>
            <w:tcBorders>
              <w:top w:val="nil"/>
              <w:left w:val="nil"/>
              <w:bottom w:val="nil"/>
              <w:right w:val="nil"/>
            </w:tcBorders>
            <w:shd w:val="clear" w:color="auto" w:fill="auto"/>
            <w:noWrap/>
            <w:vAlign w:val="bottom"/>
            <w:hideMark/>
          </w:tcPr>
          <w:p w14:paraId="54DC1C44" w14:textId="1B4768F6" w:rsidR="00B80037" w:rsidRPr="00514EF2"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POC_init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1B3532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POC concentration</w:t>
            </w:r>
          </w:p>
        </w:tc>
        <w:tc>
          <w:tcPr>
            <w:tcW w:w="1145" w:type="dxa"/>
            <w:gridSpan w:val="2"/>
            <w:tcBorders>
              <w:top w:val="nil"/>
              <w:left w:val="nil"/>
              <w:bottom w:val="nil"/>
              <w:right w:val="nil"/>
            </w:tcBorders>
            <w:shd w:val="clear" w:color="auto" w:fill="auto"/>
            <w:noWrap/>
            <w:vAlign w:val="bottom"/>
            <w:hideMark/>
          </w:tcPr>
          <w:p w14:paraId="62EA8AA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76" w:type="dxa"/>
            <w:tcBorders>
              <w:top w:val="nil"/>
              <w:left w:val="nil"/>
              <w:bottom w:val="nil"/>
              <w:right w:val="nil"/>
            </w:tcBorders>
            <w:shd w:val="clear" w:color="auto" w:fill="auto"/>
            <w:noWrap/>
            <w:vAlign w:val="bottom"/>
            <w:hideMark/>
          </w:tcPr>
          <w:p w14:paraId="5AD5507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76" w:type="dxa"/>
            <w:tcBorders>
              <w:top w:val="nil"/>
              <w:left w:val="nil"/>
              <w:bottom w:val="nil"/>
              <w:right w:val="nil"/>
            </w:tcBorders>
            <w:shd w:val="clear" w:color="auto" w:fill="auto"/>
            <w:noWrap/>
            <w:vAlign w:val="bottom"/>
            <w:hideMark/>
          </w:tcPr>
          <w:p w14:paraId="447D3A2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96" w:type="dxa"/>
            <w:tcBorders>
              <w:top w:val="nil"/>
              <w:left w:val="nil"/>
              <w:bottom w:val="nil"/>
              <w:right w:val="nil"/>
            </w:tcBorders>
            <w:shd w:val="clear" w:color="auto" w:fill="auto"/>
            <w:noWrap/>
            <w:vAlign w:val="bottom"/>
            <w:hideMark/>
          </w:tcPr>
          <w:p w14:paraId="132DB2B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5B2E765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64474B39" w14:textId="77777777" w:rsidTr="00B80037">
        <w:trPr>
          <w:trHeight w:val="220"/>
        </w:trPr>
        <w:tc>
          <w:tcPr>
            <w:tcW w:w="3150" w:type="dxa"/>
            <w:tcBorders>
              <w:top w:val="nil"/>
              <w:left w:val="nil"/>
              <w:bottom w:val="nil"/>
              <w:right w:val="nil"/>
            </w:tcBorders>
            <w:shd w:val="clear" w:color="auto" w:fill="auto"/>
            <w:noWrap/>
            <w:vAlign w:val="bottom"/>
            <w:hideMark/>
          </w:tcPr>
          <w:p w14:paraId="6092C5A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Allochthony</w:t>
            </w:r>
          </w:p>
        </w:tc>
        <w:tc>
          <w:tcPr>
            <w:tcW w:w="4770" w:type="dxa"/>
            <w:tcBorders>
              <w:top w:val="nil"/>
              <w:left w:val="nil"/>
              <w:bottom w:val="nil"/>
              <w:right w:val="nil"/>
            </w:tcBorders>
            <w:shd w:val="clear" w:color="auto" w:fill="auto"/>
            <w:noWrap/>
            <w:vAlign w:val="bottom"/>
            <w:hideMark/>
          </w:tcPr>
          <w:p w14:paraId="79B577F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41C78E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1FBD388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92EF49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5969A19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4467FC4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04BF73C7" w14:textId="77777777" w:rsidTr="00B80037">
        <w:trPr>
          <w:trHeight w:val="211"/>
        </w:trPr>
        <w:tc>
          <w:tcPr>
            <w:tcW w:w="3150" w:type="dxa"/>
            <w:tcBorders>
              <w:top w:val="nil"/>
              <w:left w:val="nil"/>
              <w:bottom w:val="nil"/>
              <w:right w:val="nil"/>
            </w:tcBorders>
            <w:shd w:val="clear" w:color="auto" w:fill="auto"/>
            <w:noWrap/>
            <w:vAlign w:val="bottom"/>
            <w:hideMark/>
          </w:tcPr>
          <w:p w14:paraId="1E1DB276"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PropCanopy</w:t>
            </w:r>
          </w:p>
        </w:tc>
        <w:tc>
          <w:tcPr>
            <w:tcW w:w="4770" w:type="dxa"/>
            <w:tcBorders>
              <w:top w:val="nil"/>
              <w:left w:val="nil"/>
              <w:bottom w:val="nil"/>
              <w:right w:val="nil"/>
            </w:tcBorders>
            <w:shd w:val="clear" w:color="auto" w:fill="auto"/>
            <w:noWrap/>
            <w:vAlign w:val="bottom"/>
            <w:hideMark/>
          </w:tcPr>
          <w:p w14:paraId="745409C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tree cover</w:t>
            </w:r>
          </w:p>
        </w:tc>
        <w:tc>
          <w:tcPr>
            <w:tcW w:w="1145" w:type="dxa"/>
            <w:gridSpan w:val="2"/>
            <w:tcBorders>
              <w:top w:val="nil"/>
              <w:left w:val="nil"/>
              <w:bottom w:val="nil"/>
              <w:right w:val="nil"/>
            </w:tcBorders>
            <w:shd w:val="clear" w:color="auto" w:fill="auto"/>
            <w:noWrap/>
            <w:vAlign w:val="bottom"/>
            <w:hideMark/>
          </w:tcPr>
          <w:p w14:paraId="5708A20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nil"/>
              <w:right w:val="nil"/>
            </w:tcBorders>
            <w:shd w:val="clear" w:color="auto" w:fill="auto"/>
            <w:noWrap/>
            <w:vAlign w:val="bottom"/>
            <w:hideMark/>
          </w:tcPr>
          <w:p w14:paraId="013D25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76" w:type="dxa"/>
            <w:tcBorders>
              <w:top w:val="nil"/>
              <w:left w:val="nil"/>
              <w:bottom w:val="nil"/>
              <w:right w:val="nil"/>
            </w:tcBorders>
            <w:shd w:val="clear" w:color="auto" w:fill="auto"/>
            <w:noWrap/>
            <w:vAlign w:val="bottom"/>
            <w:hideMark/>
          </w:tcPr>
          <w:p w14:paraId="21DB92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7F8D2FF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66772B2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66C8E8DF" w14:textId="77777777" w:rsidTr="00B80037">
        <w:trPr>
          <w:trHeight w:val="211"/>
        </w:trPr>
        <w:tc>
          <w:tcPr>
            <w:tcW w:w="3150" w:type="dxa"/>
            <w:tcBorders>
              <w:top w:val="nil"/>
              <w:left w:val="nil"/>
              <w:bottom w:val="nil"/>
              <w:right w:val="nil"/>
            </w:tcBorders>
            <w:shd w:val="clear" w:color="auto" w:fill="auto"/>
            <w:noWrap/>
            <w:vAlign w:val="bottom"/>
            <w:hideMark/>
          </w:tcPr>
          <w:p w14:paraId="3FC94F6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PropWetlands</w:t>
            </w:r>
          </w:p>
        </w:tc>
        <w:tc>
          <w:tcPr>
            <w:tcW w:w="4770" w:type="dxa"/>
            <w:tcBorders>
              <w:top w:val="nil"/>
              <w:left w:val="nil"/>
              <w:bottom w:val="nil"/>
              <w:right w:val="nil"/>
            </w:tcBorders>
            <w:shd w:val="clear" w:color="auto" w:fill="auto"/>
            <w:noWrap/>
            <w:vAlign w:val="bottom"/>
            <w:hideMark/>
          </w:tcPr>
          <w:p w14:paraId="28F78EB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45" w:type="dxa"/>
            <w:gridSpan w:val="2"/>
            <w:tcBorders>
              <w:top w:val="nil"/>
              <w:left w:val="nil"/>
              <w:bottom w:val="nil"/>
              <w:right w:val="nil"/>
            </w:tcBorders>
            <w:shd w:val="clear" w:color="auto" w:fill="auto"/>
            <w:noWrap/>
            <w:vAlign w:val="bottom"/>
            <w:hideMark/>
          </w:tcPr>
          <w:p w14:paraId="3C2ABEB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4EE39A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76" w:type="dxa"/>
            <w:tcBorders>
              <w:top w:val="nil"/>
              <w:left w:val="nil"/>
              <w:bottom w:val="nil"/>
              <w:right w:val="nil"/>
            </w:tcBorders>
            <w:shd w:val="clear" w:color="auto" w:fill="auto"/>
            <w:noWrap/>
            <w:vAlign w:val="bottom"/>
            <w:hideMark/>
          </w:tcPr>
          <w:p w14:paraId="0CACB0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96" w:type="dxa"/>
            <w:tcBorders>
              <w:top w:val="nil"/>
              <w:left w:val="nil"/>
              <w:bottom w:val="nil"/>
              <w:right w:val="nil"/>
            </w:tcBorders>
            <w:shd w:val="clear" w:color="auto" w:fill="auto"/>
            <w:noWrap/>
            <w:vAlign w:val="bottom"/>
            <w:hideMark/>
          </w:tcPr>
          <w:p w14:paraId="57F9D91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270ADCE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18300CFF" w14:textId="77777777" w:rsidTr="00B80037">
        <w:trPr>
          <w:trHeight w:val="211"/>
        </w:trPr>
        <w:tc>
          <w:tcPr>
            <w:tcW w:w="3150" w:type="dxa"/>
            <w:tcBorders>
              <w:top w:val="nil"/>
              <w:left w:val="nil"/>
              <w:bottom w:val="nil"/>
              <w:right w:val="nil"/>
            </w:tcBorders>
            <w:shd w:val="clear" w:color="auto" w:fill="auto"/>
            <w:noWrap/>
            <w:vAlign w:val="bottom"/>
            <w:hideMark/>
          </w:tcPr>
          <w:p w14:paraId="449AAF3E" w14:textId="300C6E8B"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WetlandLoad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D41BD8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45" w:type="dxa"/>
            <w:gridSpan w:val="2"/>
            <w:tcBorders>
              <w:top w:val="nil"/>
              <w:left w:val="nil"/>
              <w:bottom w:val="nil"/>
              <w:right w:val="nil"/>
            </w:tcBorders>
            <w:shd w:val="clear" w:color="auto" w:fill="auto"/>
            <w:noWrap/>
            <w:vAlign w:val="bottom"/>
            <w:hideMark/>
          </w:tcPr>
          <w:p w14:paraId="5E0FF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BE18E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BCF29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456668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4D2706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268ADF25" w14:textId="77777777" w:rsidTr="00B80037">
        <w:trPr>
          <w:trHeight w:val="211"/>
        </w:trPr>
        <w:tc>
          <w:tcPr>
            <w:tcW w:w="3150" w:type="dxa"/>
            <w:tcBorders>
              <w:top w:val="nil"/>
              <w:left w:val="nil"/>
              <w:bottom w:val="nil"/>
              <w:right w:val="nil"/>
            </w:tcBorders>
            <w:shd w:val="clear" w:color="auto" w:fill="auto"/>
            <w:noWrap/>
            <w:vAlign w:val="bottom"/>
            <w:hideMark/>
          </w:tcPr>
          <w:p w14:paraId="066F4EBC" w14:textId="217AEA85"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DOC_gw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72C295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45" w:type="dxa"/>
            <w:gridSpan w:val="2"/>
            <w:tcBorders>
              <w:top w:val="nil"/>
              <w:left w:val="nil"/>
              <w:bottom w:val="nil"/>
              <w:right w:val="nil"/>
            </w:tcBorders>
            <w:shd w:val="clear" w:color="auto" w:fill="auto"/>
            <w:noWrap/>
            <w:vAlign w:val="bottom"/>
            <w:hideMark/>
          </w:tcPr>
          <w:p w14:paraId="743A94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000000" w:fill="FFFFFF"/>
            <w:noWrap/>
            <w:vAlign w:val="bottom"/>
            <w:hideMark/>
          </w:tcPr>
          <w:p w14:paraId="064F497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auto" w:fill="auto"/>
            <w:noWrap/>
            <w:vAlign w:val="bottom"/>
            <w:hideMark/>
          </w:tcPr>
          <w:p w14:paraId="2AC2F6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96" w:type="dxa"/>
            <w:tcBorders>
              <w:top w:val="nil"/>
              <w:left w:val="nil"/>
              <w:bottom w:val="nil"/>
              <w:right w:val="nil"/>
            </w:tcBorders>
            <w:shd w:val="clear" w:color="auto" w:fill="auto"/>
            <w:noWrap/>
            <w:vAlign w:val="bottom"/>
            <w:hideMark/>
          </w:tcPr>
          <w:p w14:paraId="148617F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77522C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EF870D9" w14:textId="77777777" w:rsidTr="00B80037">
        <w:trPr>
          <w:trHeight w:val="211"/>
        </w:trPr>
        <w:tc>
          <w:tcPr>
            <w:tcW w:w="3150" w:type="dxa"/>
            <w:tcBorders>
              <w:top w:val="nil"/>
              <w:left w:val="nil"/>
              <w:bottom w:val="nil"/>
              <w:right w:val="nil"/>
            </w:tcBorders>
            <w:shd w:val="clear" w:color="auto" w:fill="auto"/>
            <w:noWrap/>
            <w:vAlign w:val="bottom"/>
            <w:hideMark/>
          </w:tcPr>
          <w:p w14:paraId="389F66C8"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PropGW</w:t>
            </w:r>
          </w:p>
        </w:tc>
        <w:tc>
          <w:tcPr>
            <w:tcW w:w="4770" w:type="dxa"/>
            <w:tcBorders>
              <w:top w:val="nil"/>
              <w:left w:val="nil"/>
              <w:bottom w:val="nil"/>
              <w:right w:val="nil"/>
            </w:tcBorders>
            <w:shd w:val="clear" w:color="auto" w:fill="auto"/>
            <w:noWrap/>
            <w:vAlign w:val="bottom"/>
            <w:hideMark/>
          </w:tcPr>
          <w:p w14:paraId="5636E66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45" w:type="dxa"/>
            <w:gridSpan w:val="2"/>
            <w:tcBorders>
              <w:top w:val="nil"/>
              <w:left w:val="nil"/>
              <w:bottom w:val="nil"/>
              <w:right w:val="nil"/>
            </w:tcBorders>
            <w:shd w:val="clear" w:color="auto" w:fill="auto"/>
            <w:noWrap/>
            <w:vAlign w:val="bottom"/>
            <w:hideMark/>
          </w:tcPr>
          <w:p w14:paraId="13324F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0C2440F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65DC961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96" w:type="dxa"/>
            <w:tcBorders>
              <w:top w:val="nil"/>
              <w:left w:val="nil"/>
              <w:bottom w:val="nil"/>
              <w:right w:val="nil"/>
            </w:tcBorders>
            <w:shd w:val="clear" w:color="auto" w:fill="auto"/>
            <w:noWrap/>
            <w:vAlign w:val="bottom"/>
            <w:hideMark/>
          </w:tcPr>
          <w:p w14:paraId="5A772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7E7B4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0.20</w:t>
            </w:r>
          </w:p>
        </w:tc>
      </w:tr>
      <w:tr w:rsidR="00B80037" w:rsidRPr="00B80037" w14:paraId="299221EF" w14:textId="77777777" w:rsidTr="00B80037">
        <w:trPr>
          <w:trHeight w:val="211"/>
        </w:trPr>
        <w:tc>
          <w:tcPr>
            <w:tcW w:w="3150" w:type="dxa"/>
            <w:tcBorders>
              <w:top w:val="nil"/>
              <w:left w:val="nil"/>
              <w:bottom w:val="nil"/>
              <w:right w:val="nil"/>
            </w:tcBorders>
            <w:shd w:val="clear" w:color="auto" w:fill="auto"/>
            <w:noWrap/>
            <w:vAlign w:val="bottom"/>
            <w:hideMark/>
          </w:tcPr>
          <w:p w14:paraId="1C0E25C0" w14:textId="1B898101"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65CB0666"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45" w:type="dxa"/>
            <w:gridSpan w:val="2"/>
            <w:tcBorders>
              <w:top w:val="nil"/>
              <w:left w:val="nil"/>
              <w:bottom w:val="nil"/>
              <w:right w:val="nil"/>
            </w:tcBorders>
            <w:shd w:val="clear" w:color="auto" w:fill="auto"/>
            <w:noWrap/>
            <w:vAlign w:val="bottom"/>
            <w:hideMark/>
          </w:tcPr>
          <w:p w14:paraId="38C1541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6BC4CD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7804EAF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96" w:type="dxa"/>
            <w:tcBorders>
              <w:top w:val="nil"/>
              <w:left w:val="nil"/>
              <w:bottom w:val="nil"/>
              <w:right w:val="nil"/>
            </w:tcBorders>
            <w:shd w:val="clear" w:color="auto" w:fill="auto"/>
            <w:noWrap/>
            <w:vAlign w:val="bottom"/>
            <w:hideMark/>
          </w:tcPr>
          <w:p w14:paraId="6FB730C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1D7A9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1B3228A7" w14:textId="77777777" w:rsidTr="00B80037">
        <w:trPr>
          <w:trHeight w:val="211"/>
        </w:trPr>
        <w:tc>
          <w:tcPr>
            <w:tcW w:w="3150" w:type="dxa"/>
            <w:tcBorders>
              <w:top w:val="nil"/>
              <w:left w:val="nil"/>
              <w:bottom w:val="nil"/>
              <w:right w:val="nil"/>
            </w:tcBorders>
            <w:shd w:val="clear" w:color="auto" w:fill="auto"/>
            <w:noWrap/>
            <w:vAlign w:val="bottom"/>
            <w:hideMark/>
          </w:tcPr>
          <w:p w14:paraId="662C8F03" w14:textId="6D326DFE"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AerialLoad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567740F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Influx of aerial POC (i.e., leaflitter)</w:t>
            </w:r>
          </w:p>
        </w:tc>
        <w:tc>
          <w:tcPr>
            <w:tcW w:w="1145" w:type="dxa"/>
            <w:gridSpan w:val="2"/>
            <w:tcBorders>
              <w:top w:val="nil"/>
              <w:left w:val="nil"/>
              <w:bottom w:val="nil"/>
              <w:right w:val="nil"/>
            </w:tcBorders>
            <w:shd w:val="clear" w:color="auto" w:fill="auto"/>
            <w:noWrap/>
            <w:vAlign w:val="bottom"/>
            <w:hideMark/>
          </w:tcPr>
          <w:p w14:paraId="38049D5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143F3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37C9CE1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53F4092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5410950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3752EA33" w14:textId="77777777" w:rsidTr="00B80037">
        <w:trPr>
          <w:trHeight w:val="220"/>
        </w:trPr>
        <w:tc>
          <w:tcPr>
            <w:tcW w:w="3150" w:type="dxa"/>
            <w:tcBorders>
              <w:top w:val="nil"/>
              <w:left w:val="nil"/>
              <w:bottom w:val="nil"/>
              <w:right w:val="nil"/>
            </w:tcBorders>
            <w:shd w:val="clear" w:color="auto" w:fill="auto"/>
            <w:noWrap/>
            <w:vAlign w:val="bottom"/>
            <w:hideMark/>
          </w:tcPr>
          <w:p w14:paraId="6E4E52D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770" w:type="dxa"/>
            <w:tcBorders>
              <w:top w:val="nil"/>
              <w:left w:val="nil"/>
              <w:bottom w:val="nil"/>
              <w:right w:val="nil"/>
            </w:tcBorders>
            <w:shd w:val="clear" w:color="auto" w:fill="auto"/>
            <w:noWrap/>
            <w:vAlign w:val="bottom"/>
            <w:hideMark/>
          </w:tcPr>
          <w:p w14:paraId="4DCD5A4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A0D0A9E"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15D2B6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E57371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62E8F59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E22C7A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120A9AF1" w14:textId="77777777" w:rsidTr="00B80037">
        <w:trPr>
          <w:trHeight w:val="220"/>
        </w:trPr>
        <w:tc>
          <w:tcPr>
            <w:tcW w:w="3150" w:type="dxa"/>
            <w:tcBorders>
              <w:top w:val="nil"/>
              <w:left w:val="nil"/>
              <w:bottom w:val="nil"/>
              <w:right w:val="nil"/>
            </w:tcBorders>
            <w:shd w:val="clear" w:color="auto" w:fill="auto"/>
            <w:noWrap/>
            <w:vAlign w:val="bottom"/>
            <w:hideMark/>
          </w:tcPr>
          <w:p w14:paraId="02EF82C5" w14:textId="49632B58"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Respiration_alloch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397863AF"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45" w:type="dxa"/>
            <w:gridSpan w:val="2"/>
            <w:tcBorders>
              <w:top w:val="nil"/>
              <w:left w:val="nil"/>
              <w:bottom w:val="nil"/>
              <w:right w:val="nil"/>
            </w:tcBorders>
            <w:shd w:val="clear" w:color="auto" w:fill="auto"/>
            <w:noWrap/>
            <w:vAlign w:val="bottom"/>
            <w:hideMark/>
          </w:tcPr>
          <w:p w14:paraId="5A94F92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76" w:type="dxa"/>
            <w:tcBorders>
              <w:top w:val="nil"/>
              <w:left w:val="nil"/>
              <w:bottom w:val="nil"/>
              <w:right w:val="nil"/>
            </w:tcBorders>
            <w:shd w:val="clear" w:color="auto" w:fill="auto"/>
            <w:noWrap/>
            <w:vAlign w:val="bottom"/>
            <w:hideMark/>
          </w:tcPr>
          <w:p w14:paraId="20284AE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76" w:type="dxa"/>
            <w:tcBorders>
              <w:top w:val="nil"/>
              <w:left w:val="nil"/>
              <w:bottom w:val="nil"/>
              <w:right w:val="nil"/>
            </w:tcBorders>
            <w:shd w:val="clear" w:color="auto" w:fill="auto"/>
            <w:noWrap/>
            <w:vAlign w:val="bottom"/>
            <w:hideMark/>
          </w:tcPr>
          <w:p w14:paraId="44CF518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96" w:type="dxa"/>
            <w:tcBorders>
              <w:top w:val="nil"/>
              <w:left w:val="nil"/>
              <w:bottom w:val="nil"/>
              <w:right w:val="nil"/>
            </w:tcBorders>
            <w:shd w:val="clear" w:color="auto" w:fill="auto"/>
            <w:noWrap/>
            <w:vAlign w:val="bottom"/>
            <w:hideMark/>
          </w:tcPr>
          <w:p w14:paraId="60782D7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7D75249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7E82F384" w14:textId="77777777" w:rsidTr="00B80037">
        <w:trPr>
          <w:trHeight w:val="220"/>
        </w:trPr>
        <w:tc>
          <w:tcPr>
            <w:tcW w:w="3150" w:type="dxa"/>
            <w:tcBorders>
              <w:top w:val="nil"/>
              <w:left w:val="nil"/>
              <w:bottom w:val="nil"/>
              <w:right w:val="nil"/>
            </w:tcBorders>
            <w:shd w:val="clear" w:color="auto" w:fill="auto"/>
            <w:noWrap/>
            <w:vAlign w:val="bottom"/>
            <w:hideMark/>
          </w:tcPr>
          <w:p w14:paraId="3BE6C56D" w14:textId="59A8CEB9" w:rsidR="00B80037" w:rsidRPr="00B80037" w:rsidRDefault="00514EF2" w:rsidP="00B80037">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Respiration_autoch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1F30B114"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45" w:type="dxa"/>
            <w:gridSpan w:val="2"/>
            <w:tcBorders>
              <w:top w:val="nil"/>
              <w:left w:val="nil"/>
              <w:bottom w:val="nil"/>
              <w:right w:val="nil"/>
            </w:tcBorders>
            <w:shd w:val="clear" w:color="auto" w:fill="auto"/>
            <w:noWrap/>
            <w:vAlign w:val="bottom"/>
            <w:hideMark/>
          </w:tcPr>
          <w:p w14:paraId="2A0614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76" w:type="dxa"/>
            <w:tcBorders>
              <w:top w:val="nil"/>
              <w:left w:val="nil"/>
              <w:bottom w:val="nil"/>
              <w:right w:val="nil"/>
            </w:tcBorders>
            <w:shd w:val="clear" w:color="auto" w:fill="auto"/>
            <w:noWrap/>
            <w:vAlign w:val="bottom"/>
            <w:hideMark/>
          </w:tcPr>
          <w:p w14:paraId="465B893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76" w:type="dxa"/>
            <w:tcBorders>
              <w:top w:val="nil"/>
              <w:left w:val="nil"/>
              <w:bottom w:val="nil"/>
              <w:right w:val="nil"/>
            </w:tcBorders>
            <w:shd w:val="clear" w:color="auto" w:fill="auto"/>
            <w:noWrap/>
            <w:vAlign w:val="bottom"/>
            <w:hideMark/>
          </w:tcPr>
          <w:p w14:paraId="40AC443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96" w:type="dxa"/>
            <w:tcBorders>
              <w:top w:val="nil"/>
              <w:left w:val="nil"/>
              <w:bottom w:val="nil"/>
              <w:right w:val="nil"/>
            </w:tcBorders>
            <w:shd w:val="clear" w:color="auto" w:fill="auto"/>
            <w:noWrap/>
            <w:vAlign w:val="bottom"/>
            <w:hideMark/>
          </w:tcPr>
          <w:p w14:paraId="2BC2037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D0CC8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69B23BE1" w14:textId="77777777" w:rsidTr="00B80037">
        <w:trPr>
          <w:trHeight w:val="211"/>
        </w:trPr>
        <w:tc>
          <w:tcPr>
            <w:tcW w:w="3150" w:type="dxa"/>
            <w:tcBorders>
              <w:top w:val="nil"/>
              <w:left w:val="nil"/>
              <w:bottom w:val="nil"/>
              <w:right w:val="nil"/>
            </w:tcBorders>
            <w:shd w:val="clear" w:color="auto" w:fill="auto"/>
            <w:noWrap/>
            <w:vAlign w:val="bottom"/>
            <w:hideMark/>
          </w:tcPr>
          <w:p w14:paraId="00C50D5D" w14:textId="17CBAA39" w:rsidR="00B80037" w:rsidRPr="00B80037" w:rsidRDefault="00F55FEA"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R_autotroph</w:t>
            </w:r>
          </w:p>
        </w:tc>
        <w:tc>
          <w:tcPr>
            <w:tcW w:w="4770" w:type="dxa"/>
            <w:tcBorders>
              <w:top w:val="nil"/>
              <w:left w:val="nil"/>
              <w:bottom w:val="nil"/>
              <w:right w:val="nil"/>
            </w:tcBorders>
            <w:shd w:val="clear" w:color="auto" w:fill="auto"/>
            <w:noWrap/>
            <w:vAlign w:val="bottom"/>
            <w:hideMark/>
          </w:tcPr>
          <w:p w14:paraId="229E466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GPP autotrophically respired</w:t>
            </w:r>
          </w:p>
        </w:tc>
        <w:tc>
          <w:tcPr>
            <w:tcW w:w="1145" w:type="dxa"/>
            <w:gridSpan w:val="2"/>
            <w:tcBorders>
              <w:top w:val="nil"/>
              <w:left w:val="nil"/>
              <w:bottom w:val="nil"/>
              <w:right w:val="nil"/>
            </w:tcBorders>
            <w:shd w:val="clear" w:color="auto" w:fill="auto"/>
            <w:noWrap/>
            <w:vAlign w:val="bottom"/>
            <w:hideMark/>
          </w:tcPr>
          <w:p w14:paraId="2CFEEDC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4AF4B7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29402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96" w:type="dxa"/>
            <w:tcBorders>
              <w:top w:val="nil"/>
              <w:left w:val="nil"/>
              <w:bottom w:val="nil"/>
              <w:right w:val="nil"/>
            </w:tcBorders>
            <w:shd w:val="clear" w:color="auto" w:fill="auto"/>
            <w:noWrap/>
            <w:vAlign w:val="bottom"/>
            <w:hideMark/>
          </w:tcPr>
          <w:p w14:paraId="1C5F6C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13DEE9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6F6EB5CF" w14:textId="77777777" w:rsidTr="00B80037">
        <w:trPr>
          <w:trHeight w:val="220"/>
        </w:trPr>
        <w:tc>
          <w:tcPr>
            <w:tcW w:w="3150" w:type="dxa"/>
            <w:tcBorders>
              <w:top w:val="nil"/>
              <w:left w:val="nil"/>
              <w:bottom w:val="nil"/>
              <w:right w:val="nil"/>
            </w:tcBorders>
            <w:shd w:val="clear" w:color="auto" w:fill="auto"/>
            <w:noWrap/>
            <w:vAlign w:val="bottom"/>
            <w:hideMark/>
          </w:tcPr>
          <w:p w14:paraId="75B0246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770" w:type="dxa"/>
            <w:tcBorders>
              <w:top w:val="nil"/>
              <w:left w:val="nil"/>
              <w:bottom w:val="nil"/>
              <w:right w:val="nil"/>
            </w:tcBorders>
            <w:shd w:val="clear" w:color="auto" w:fill="auto"/>
            <w:noWrap/>
            <w:vAlign w:val="bottom"/>
            <w:hideMark/>
          </w:tcPr>
          <w:p w14:paraId="017101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6757FCD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58A9F6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212815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3AF9E78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03369CE"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70F1A3D" w14:textId="77777777" w:rsidTr="00B80037">
        <w:trPr>
          <w:trHeight w:val="220"/>
        </w:trPr>
        <w:tc>
          <w:tcPr>
            <w:tcW w:w="3150" w:type="dxa"/>
            <w:tcBorders>
              <w:top w:val="nil"/>
              <w:left w:val="nil"/>
              <w:bottom w:val="nil"/>
              <w:right w:val="nil"/>
            </w:tcBorders>
            <w:shd w:val="clear" w:color="auto" w:fill="auto"/>
            <w:noWrap/>
            <w:vAlign w:val="bottom"/>
            <w:hideMark/>
          </w:tcPr>
          <w:p w14:paraId="0541CC53"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Burial_alloch</w:t>
            </w:r>
          </w:p>
        </w:tc>
        <w:tc>
          <w:tcPr>
            <w:tcW w:w="4770" w:type="dxa"/>
            <w:tcBorders>
              <w:top w:val="nil"/>
              <w:left w:val="nil"/>
              <w:bottom w:val="nil"/>
              <w:right w:val="nil"/>
            </w:tcBorders>
            <w:shd w:val="clear" w:color="auto" w:fill="auto"/>
            <w:noWrap/>
            <w:vAlign w:val="bottom"/>
            <w:hideMark/>
          </w:tcPr>
          <w:p w14:paraId="48484506"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45" w:type="dxa"/>
            <w:gridSpan w:val="2"/>
            <w:tcBorders>
              <w:top w:val="nil"/>
              <w:left w:val="nil"/>
              <w:bottom w:val="nil"/>
              <w:right w:val="nil"/>
            </w:tcBorders>
            <w:shd w:val="clear" w:color="auto" w:fill="auto"/>
            <w:noWrap/>
            <w:vAlign w:val="bottom"/>
            <w:hideMark/>
          </w:tcPr>
          <w:p w14:paraId="178CCBD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0F75276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1C75D05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96" w:type="dxa"/>
            <w:tcBorders>
              <w:top w:val="nil"/>
              <w:left w:val="nil"/>
              <w:bottom w:val="nil"/>
              <w:right w:val="nil"/>
            </w:tcBorders>
            <w:shd w:val="clear" w:color="auto" w:fill="auto"/>
            <w:noWrap/>
            <w:vAlign w:val="bottom"/>
            <w:hideMark/>
          </w:tcPr>
          <w:p w14:paraId="6EC69AB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429EA5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2321D569" w14:textId="77777777" w:rsidTr="00B80037">
        <w:trPr>
          <w:trHeight w:val="220"/>
        </w:trPr>
        <w:tc>
          <w:tcPr>
            <w:tcW w:w="3150" w:type="dxa"/>
            <w:tcBorders>
              <w:top w:val="nil"/>
              <w:left w:val="nil"/>
              <w:bottom w:val="nil"/>
              <w:right w:val="nil"/>
            </w:tcBorders>
            <w:shd w:val="clear" w:color="auto" w:fill="auto"/>
            <w:noWrap/>
            <w:vAlign w:val="bottom"/>
            <w:hideMark/>
          </w:tcPr>
          <w:p w14:paraId="496E76D1"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Burial_autoch</w:t>
            </w:r>
          </w:p>
        </w:tc>
        <w:tc>
          <w:tcPr>
            <w:tcW w:w="4770" w:type="dxa"/>
            <w:tcBorders>
              <w:top w:val="nil"/>
              <w:left w:val="nil"/>
              <w:bottom w:val="nil"/>
              <w:right w:val="nil"/>
            </w:tcBorders>
            <w:shd w:val="clear" w:color="auto" w:fill="auto"/>
            <w:noWrap/>
            <w:vAlign w:val="bottom"/>
            <w:hideMark/>
          </w:tcPr>
          <w:p w14:paraId="2DD115E8"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45" w:type="dxa"/>
            <w:gridSpan w:val="2"/>
            <w:tcBorders>
              <w:top w:val="nil"/>
              <w:left w:val="nil"/>
              <w:bottom w:val="nil"/>
              <w:right w:val="nil"/>
            </w:tcBorders>
            <w:shd w:val="clear" w:color="auto" w:fill="auto"/>
            <w:noWrap/>
            <w:vAlign w:val="bottom"/>
            <w:hideMark/>
          </w:tcPr>
          <w:p w14:paraId="494220E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76" w:type="dxa"/>
            <w:tcBorders>
              <w:top w:val="nil"/>
              <w:left w:val="nil"/>
              <w:bottom w:val="nil"/>
              <w:right w:val="nil"/>
            </w:tcBorders>
            <w:shd w:val="clear" w:color="auto" w:fill="auto"/>
            <w:noWrap/>
            <w:vAlign w:val="bottom"/>
            <w:hideMark/>
          </w:tcPr>
          <w:p w14:paraId="08F5EE0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5DBA4D4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96" w:type="dxa"/>
            <w:tcBorders>
              <w:top w:val="nil"/>
              <w:left w:val="nil"/>
              <w:bottom w:val="nil"/>
              <w:right w:val="nil"/>
            </w:tcBorders>
            <w:shd w:val="clear" w:color="auto" w:fill="auto"/>
            <w:noWrap/>
            <w:vAlign w:val="bottom"/>
            <w:hideMark/>
          </w:tcPr>
          <w:p w14:paraId="4F336D7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02FC464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5BF4BDF3" w14:textId="77777777" w:rsidTr="00B80037">
        <w:trPr>
          <w:trHeight w:val="211"/>
        </w:trPr>
        <w:tc>
          <w:tcPr>
            <w:tcW w:w="3150" w:type="dxa"/>
            <w:tcBorders>
              <w:top w:val="nil"/>
              <w:left w:val="nil"/>
              <w:bottom w:val="nil"/>
              <w:right w:val="nil"/>
            </w:tcBorders>
            <w:shd w:val="clear" w:color="auto" w:fill="auto"/>
            <w:noWrap/>
            <w:vAlign w:val="bottom"/>
            <w:hideMark/>
          </w:tcPr>
          <w:p w14:paraId="6404E407" w14:textId="544DC474"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Observed_MAR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2AACCAF1"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45" w:type="dxa"/>
            <w:gridSpan w:val="2"/>
            <w:tcBorders>
              <w:top w:val="nil"/>
              <w:left w:val="nil"/>
              <w:bottom w:val="nil"/>
              <w:right w:val="nil"/>
            </w:tcBorders>
            <w:shd w:val="clear" w:color="auto" w:fill="auto"/>
            <w:noWrap/>
            <w:vAlign w:val="bottom"/>
            <w:hideMark/>
          </w:tcPr>
          <w:p w14:paraId="41F256B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76" w:type="dxa"/>
            <w:tcBorders>
              <w:top w:val="nil"/>
              <w:left w:val="nil"/>
              <w:bottom w:val="nil"/>
              <w:right w:val="nil"/>
            </w:tcBorders>
            <w:shd w:val="clear" w:color="auto" w:fill="auto"/>
            <w:noWrap/>
            <w:vAlign w:val="bottom"/>
            <w:hideMark/>
          </w:tcPr>
          <w:p w14:paraId="08F4A7A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76" w:type="dxa"/>
            <w:tcBorders>
              <w:top w:val="nil"/>
              <w:left w:val="nil"/>
              <w:bottom w:val="nil"/>
              <w:right w:val="nil"/>
            </w:tcBorders>
            <w:shd w:val="clear" w:color="auto" w:fill="auto"/>
            <w:noWrap/>
            <w:vAlign w:val="bottom"/>
            <w:hideMark/>
          </w:tcPr>
          <w:p w14:paraId="2CD0AC5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96" w:type="dxa"/>
            <w:tcBorders>
              <w:top w:val="nil"/>
              <w:left w:val="nil"/>
              <w:bottom w:val="nil"/>
              <w:right w:val="nil"/>
            </w:tcBorders>
            <w:shd w:val="clear" w:color="auto" w:fill="auto"/>
            <w:noWrap/>
            <w:vAlign w:val="bottom"/>
            <w:hideMark/>
          </w:tcPr>
          <w:p w14:paraId="5C6FD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49083C0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B80037" w:rsidRPr="00B80037" w14:paraId="1ABC31BE" w14:textId="77777777" w:rsidTr="00B80037">
        <w:trPr>
          <w:trHeight w:val="220"/>
        </w:trPr>
        <w:tc>
          <w:tcPr>
            <w:tcW w:w="3150" w:type="dxa"/>
            <w:tcBorders>
              <w:top w:val="nil"/>
              <w:left w:val="nil"/>
              <w:bottom w:val="nil"/>
              <w:right w:val="nil"/>
            </w:tcBorders>
            <w:shd w:val="clear" w:color="auto" w:fill="auto"/>
            <w:noWrap/>
            <w:vAlign w:val="bottom"/>
            <w:hideMark/>
          </w:tcPr>
          <w:p w14:paraId="5727FD7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Other</w:t>
            </w:r>
          </w:p>
        </w:tc>
        <w:tc>
          <w:tcPr>
            <w:tcW w:w="4770" w:type="dxa"/>
            <w:tcBorders>
              <w:top w:val="nil"/>
              <w:left w:val="nil"/>
              <w:bottom w:val="nil"/>
              <w:right w:val="nil"/>
            </w:tcBorders>
            <w:shd w:val="clear" w:color="auto" w:fill="auto"/>
            <w:noWrap/>
            <w:vAlign w:val="bottom"/>
            <w:hideMark/>
          </w:tcPr>
          <w:p w14:paraId="34330D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25950B98"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61EA996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00B5CA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EED7B6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7A331D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B6C1139" w14:textId="77777777" w:rsidTr="00B80037">
        <w:trPr>
          <w:trHeight w:val="211"/>
        </w:trPr>
        <w:tc>
          <w:tcPr>
            <w:tcW w:w="3150" w:type="dxa"/>
            <w:tcBorders>
              <w:top w:val="nil"/>
              <w:left w:val="nil"/>
              <w:bottom w:val="nil"/>
              <w:right w:val="nil"/>
            </w:tcBorders>
            <w:shd w:val="clear" w:color="auto" w:fill="auto"/>
            <w:noWrap/>
            <w:vAlign w:val="bottom"/>
            <w:hideMark/>
          </w:tcPr>
          <w:p w14:paraId="40CD0CA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POClc_alloch</w:t>
            </w:r>
          </w:p>
        </w:tc>
        <w:tc>
          <w:tcPr>
            <w:tcW w:w="4770" w:type="dxa"/>
            <w:tcBorders>
              <w:top w:val="nil"/>
              <w:left w:val="nil"/>
              <w:bottom w:val="nil"/>
              <w:right w:val="nil"/>
            </w:tcBorders>
            <w:shd w:val="clear" w:color="auto" w:fill="auto"/>
            <w:noWrap/>
            <w:vAlign w:val="bottom"/>
            <w:hideMark/>
          </w:tcPr>
          <w:p w14:paraId="156C5411" w14:textId="405D0C7A"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allochthonous POC leached to </w:t>
            </w:r>
          </w:p>
        </w:tc>
        <w:tc>
          <w:tcPr>
            <w:tcW w:w="1145" w:type="dxa"/>
            <w:gridSpan w:val="2"/>
            <w:tcBorders>
              <w:top w:val="nil"/>
              <w:left w:val="nil"/>
              <w:bottom w:val="nil"/>
              <w:right w:val="nil"/>
            </w:tcBorders>
            <w:shd w:val="clear" w:color="auto" w:fill="auto"/>
            <w:noWrap/>
            <w:vAlign w:val="bottom"/>
            <w:hideMark/>
          </w:tcPr>
          <w:p w14:paraId="77E1D66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2DEA4F0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10E5DEA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5D9BD88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3ECF8D4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r w:rsidR="00B80037" w:rsidRPr="00B80037" w14:paraId="59EC91E1" w14:textId="77777777" w:rsidTr="00B80037">
        <w:trPr>
          <w:trHeight w:val="220"/>
        </w:trPr>
        <w:tc>
          <w:tcPr>
            <w:tcW w:w="3150" w:type="dxa"/>
            <w:tcBorders>
              <w:top w:val="nil"/>
              <w:left w:val="nil"/>
              <w:bottom w:val="single" w:sz="8" w:space="0" w:color="auto"/>
              <w:right w:val="nil"/>
            </w:tcBorders>
            <w:shd w:val="clear" w:color="auto" w:fill="auto"/>
            <w:noWrap/>
            <w:vAlign w:val="bottom"/>
            <w:hideMark/>
          </w:tcPr>
          <w:p w14:paraId="3BDD7A2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POClc_autoch</w:t>
            </w:r>
          </w:p>
        </w:tc>
        <w:tc>
          <w:tcPr>
            <w:tcW w:w="4770" w:type="dxa"/>
            <w:tcBorders>
              <w:top w:val="nil"/>
              <w:left w:val="nil"/>
              <w:bottom w:val="single" w:sz="8" w:space="0" w:color="auto"/>
              <w:right w:val="nil"/>
            </w:tcBorders>
            <w:shd w:val="clear" w:color="auto" w:fill="auto"/>
            <w:noWrap/>
            <w:vAlign w:val="bottom"/>
            <w:hideMark/>
          </w:tcPr>
          <w:p w14:paraId="3AA4A1E2" w14:textId="5D986F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p>
        </w:tc>
        <w:tc>
          <w:tcPr>
            <w:tcW w:w="1145" w:type="dxa"/>
            <w:gridSpan w:val="2"/>
            <w:tcBorders>
              <w:top w:val="nil"/>
              <w:left w:val="nil"/>
              <w:bottom w:val="single" w:sz="8" w:space="0" w:color="auto"/>
              <w:right w:val="nil"/>
            </w:tcBorders>
            <w:shd w:val="clear" w:color="auto" w:fill="auto"/>
            <w:noWrap/>
            <w:vAlign w:val="bottom"/>
            <w:hideMark/>
          </w:tcPr>
          <w:p w14:paraId="58E321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single" w:sz="8" w:space="0" w:color="auto"/>
              <w:right w:val="nil"/>
            </w:tcBorders>
            <w:shd w:val="clear" w:color="auto" w:fill="auto"/>
            <w:noWrap/>
            <w:vAlign w:val="bottom"/>
            <w:hideMark/>
          </w:tcPr>
          <w:p w14:paraId="1C98B4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single" w:sz="8" w:space="0" w:color="auto"/>
              <w:right w:val="nil"/>
            </w:tcBorders>
            <w:shd w:val="clear" w:color="auto" w:fill="auto"/>
            <w:noWrap/>
            <w:vAlign w:val="bottom"/>
            <w:hideMark/>
          </w:tcPr>
          <w:p w14:paraId="2940FA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96" w:type="dxa"/>
            <w:tcBorders>
              <w:top w:val="nil"/>
              <w:left w:val="nil"/>
              <w:bottom w:val="single" w:sz="8" w:space="0" w:color="auto"/>
              <w:right w:val="nil"/>
            </w:tcBorders>
            <w:shd w:val="clear" w:color="auto" w:fill="auto"/>
            <w:noWrap/>
            <w:vAlign w:val="bottom"/>
            <w:hideMark/>
          </w:tcPr>
          <w:p w14:paraId="3CE4F8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3729CE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24A81334" w14:textId="6AD9D951" w:rsidR="00E71A86" w:rsidRDefault="00E71A86">
      <w:pPr>
        <w:rPr>
          <w:rFonts w:ascii="Times New Roman" w:eastAsia="Times New Roman" w:hAnsi="Times New Roman" w:cs="Times New Roman"/>
          <w:sz w:val="24"/>
          <w:szCs w:val="24"/>
        </w:rPr>
      </w:pPr>
    </w:p>
    <w:p w14:paraId="0AFD4146" w14:textId="77777777" w:rsidR="00CC0821" w:rsidRDefault="00CC0821">
      <w:pPr>
        <w:rPr>
          <w:rFonts w:ascii="Times New Roman" w:eastAsia="Times New Roman" w:hAnsi="Times New Roman" w:cs="Times New Roman"/>
          <w:sz w:val="24"/>
          <w:szCs w:val="24"/>
        </w:rPr>
        <w:sectPr w:rsidR="00CC0821" w:rsidSect="009870ED">
          <w:pgSz w:w="15840" w:h="12240" w:orient="landscape"/>
          <w:pgMar w:top="1440" w:right="1440" w:bottom="1440" w:left="1440" w:header="0" w:footer="720" w:gutter="0"/>
          <w:pgNumType w:start="1"/>
          <w:cols w:space="720"/>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09ADA821"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1FBECEDE"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7612D4F1"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B800787"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58C44ECB"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6617A48C"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34106F4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758A6151"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71EC0F85" w14:textId="77777777" w:rsidTr="0098243D">
        <w:trPr>
          <w:trHeight w:val="297"/>
        </w:trPr>
        <w:tc>
          <w:tcPr>
            <w:tcW w:w="6660" w:type="dxa"/>
            <w:tcBorders>
              <w:top w:val="nil"/>
              <w:left w:val="nil"/>
              <w:bottom w:val="nil"/>
              <w:right w:val="nil"/>
            </w:tcBorders>
            <w:shd w:val="clear" w:color="auto" w:fill="auto"/>
            <w:noWrap/>
            <w:vAlign w:val="bottom"/>
            <w:hideMark/>
          </w:tcPr>
          <w:p w14:paraId="7E0FB103" w14:textId="45DE2F9F"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3B06B62D" w14:textId="660A8BC1"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B87C0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D04D49C" w14:textId="77777777" w:rsidTr="0098243D">
        <w:trPr>
          <w:trHeight w:val="297"/>
        </w:trPr>
        <w:tc>
          <w:tcPr>
            <w:tcW w:w="6660" w:type="dxa"/>
            <w:tcBorders>
              <w:top w:val="nil"/>
              <w:left w:val="nil"/>
              <w:bottom w:val="nil"/>
              <w:right w:val="nil"/>
            </w:tcBorders>
            <w:shd w:val="clear" w:color="auto" w:fill="auto"/>
            <w:noWrap/>
            <w:vAlign w:val="bottom"/>
            <w:hideMark/>
          </w:tcPr>
          <w:p w14:paraId="081C49B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4043E630" w14:textId="78D5EEDA"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7E2A5F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3782AED" w14:textId="77777777" w:rsidTr="0098243D">
        <w:trPr>
          <w:trHeight w:val="297"/>
        </w:trPr>
        <w:tc>
          <w:tcPr>
            <w:tcW w:w="6660" w:type="dxa"/>
            <w:tcBorders>
              <w:top w:val="nil"/>
              <w:left w:val="nil"/>
              <w:bottom w:val="nil"/>
              <w:right w:val="nil"/>
            </w:tcBorders>
            <w:shd w:val="clear" w:color="auto" w:fill="auto"/>
            <w:noWrap/>
            <w:vAlign w:val="bottom"/>
            <w:hideMark/>
          </w:tcPr>
          <w:p w14:paraId="5D5D382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1c) DOC precipitation = DOC_precip * Daily precipitation</w:t>
            </w:r>
          </w:p>
        </w:tc>
        <w:tc>
          <w:tcPr>
            <w:tcW w:w="1260" w:type="dxa"/>
            <w:tcBorders>
              <w:top w:val="nil"/>
              <w:left w:val="nil"/>
              <w:bottom w:val="nil"/>
              <w:right w:val="nil"/>
            </w:tcBorders>
            <w:shd w:val="clear" w:color="auto" w:fill="auto"/>
            <w:noWrap/>
            <w:vAlign w:val="bottom"/>
            <w:hideMark/>
          </w:tcPr>
          <w:p w14:paraId="5C3FA441" w14:textId="0171618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08D30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92C50B1" w14:textId="77777777" w:rsidTr="0098243D">
        <w:trPr>
          <w:trHeight w:val="297"/>
        </w:trPr>
        <w:tc>
          <w:tcPr>
            <w:tcW w:w="6660" w:type="dxa"/>
            <w:tcBorders>
              <w:top w:val="nil"/>
              <w:left w:val="nil"/>
              <w:bottom w:val="nil"/>
              <w:right w:val="nil"/>
            </w:tcBorders>
            <w:shd w:val="clear" w:color="auto" w:fill="auto"/>
            <w:noWrap/>
            <w:vAlign w:val="bottom"/>
            <w:hideMark/>
          </w:tcPr>
          <w:p w14:paraId="04138A4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1d) DOC Wetland = PropWetland * WetlandLoad * Perimeter</w:t>
            </w:r>
          </w:p>
        </w:tc>
        <w:tc>
          <w:tcPr>
            <w:tcW w:w="1260" w:type="dxa"/>
            <w:tcBorders>
              <w:top w:val="nil"/>
              <w:left w:val="nil"/>
              <w:bottom w:val="nil"/>
              <w:right w:val="nil"/>
            </w:tcBorders>
            <w:shd w:val="clear" w:color="auto" w:fill="auto"/>
            <w:noWrap/>
            <w:vAlign w:val="bottom"/>
            <w:hideMark/>
          </w:tcPr>
          <w:p w14:paraId="7CACD13B" w14:textId="22F9C6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CE3C5E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9352550" w14:textId="77777777" w:rsidTr="0098243D">
        <w:trPr>
          <w:trHeight w:val="297"/>
        </w:trPr>
        <w:tc>
          <w:tcPr>
            <w:tcW w:w="6660" w:type="dxa"/>
            <w:tcBorders>
              <w:top w:val="nil"/>
              <w:left w:val="nil"/>
              <w:bottom w:val="nil"/>
              <w:right w:val="nil"/>
            </w:tcBorders>
            <w:shd w:val="clear" w:color="auto" w:fill="auto"/>
            <w:noWrap/>
            <w:vAlign w:val="bottom"/>
            <w:hideMark/>
          </w:tcPr>
          <w:p w14:paraId="54204FF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76A9BE3A" w14:textId="35A2A7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8F3BA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FEFB459" w14:textId="77777777" w:rsidTr="0098243D">
        <w:trPr>
          <w:trHeight w:val="297"/>
        </w:trPr>
        <w:tc>
          <w:tcPr>
            <w:tcW w:w="6660" w:type="dxa"/>
            <w:tcBorders>
              <w:top w:val="nil"/>
              <w:left w:val="nil"/>
              <w:bottom w:val="nil"/>
              <w:right w:val="nil"/>
            </w:tcBorders>
            <w:shd w:val="clear" w:color="auto" w:fill="auto"/>
            <w:noWrap/>
            <w:vAlign w:val="bottom"/>
            <w:hideMark/>
          </w:tcPr>
          <w:p w14:paraId="36E56EC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1f) POC canopy = PropCanopy * AerialLoad * Perimeter</w:t>
            </w:r>
          </w:p>
        </w:tc>
        <w:tc>
          <w:tcPr>
            <w:tcW w:w="1260" w:type="dxa"/>
            <w:tcBorders>
              <w:top w:val="nil"/>
              <w:left w:val="nil"/>
              <w:bottom w:val="nil"/>
              <w:right w:val="nil"/>
            </w:tcBorders>
            <w:shd w:val="clear" w:color="auto" w:fill="auto"/>
            <w:noWrap/>
            <w:vAlign w:val="bottom"/>
            <w:hideMark/>
          </w:tcPr>
          <w:p w14:paraId="1AD81779" w14:textId="7A6495F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F09397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E833FA6" w14:textId="77777777" w:rsidTr="0098243D">
        <w:trPr>
          <w:trHeight w:val="297"/>
        </w:trPr>
        <w:tc>
          <w:tcPr>
            <w:tcW w:w="6660" w:type="dxa"/>
            <w:tcBorders>
              <w:top w:val="nil"/>
              <w:left w:val="nil"/>
              <w:bottom w:val="nil"/>
              <w:right w:val="nil"/>
            </w:tcBorders>
            <w:shd w:val="clear" w:color="auto" w:fill="auto"/>
            <w:noWrap/>
            <w:vAlign w:val="bottom"/>
            <w:hideMark/>
          </w:tcPr>
          <w:p w14:paraId="39E693D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5DC3AE2C" w14:textId="4FD9C461"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6FDB7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553553" w14:textId="77777777" w:rsidTr="0098243D">
        <w:trPr>
          <w:trHeight w:val="297"/>
        </w:trPr>
        <w:tc>
          <w:tcPr>
            <w:tcW w:w="6660" w:type="dxa"/>
            <w:tcBorders>
              <w:top w:val="nil"/>
              <w:left w:val="nil"/>
              <w:bottom w:val="nil"/>
              <w:right w:val="nil"/>
            </w:tcBorders>
            <w:shd w:val="clear" w:color="auto" w:fill="auto"/>
            <w:noWrap/>
            <w:vAlign w:val="bottom"/>
            <w:hideMark/>
          </w:tcPr>
          <w:p w14:paraId="4C2D9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0CF2661E" w14:textId="7DC0B79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A443FE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CAC7C71" w14:textId="77777777" w:rsidTr="0098243D">
        <w:trPr>
          <w:trHeight w:val="297"/>
        </w:trPr>
        <w:tc>
          <w:tcPr>
            <w:tcW w:w="6660" w:type="dxa"/>
            <w:tcBorders>
              <w:top w:val="nil"/>
              <w:left w:val="nil"/>
              <w:bottom w:val="nil"/>
              <w:right w:val="nil"/>
            </w:tcBorders>
            <w:shd w:val="clear" w:color="auto" w:fill="auto"/>
            <w:noWrap/>
            <w:vAlign w:val="bottom"/>
            <w:hideMark/>
          </w:tcPr>
          <w:p w14:paraId="5AEB7CE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7239C43" w14:textId="6622019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C2E70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0CA9B871" w14:textId="77777777" w:rsidTr="0098243D">
        <w:trPr>
          <w:trHeight w:val="297"/>
        </w:trPr>
        <w:tc>
          <w:tcPr>
            <w:tcW w:w="6660" w:type="dxa"/>
            <w:tcBorders>
              <w:top w:val="nil"/>
              <w:left w:val="nil"/>
              <w:bottom w:val="nil"/>
              <w:right w:val="nil"/>
            </w:tcBorders>
            <w:shd w:val="clear" w:color="auto" w:fill="auto"/>
            <w:noWrap/>
            <w:vAlign w:val="bottom"/>
            <w:hideMark/>
          </w:tcPr>
          <w:p w14:paraId="702ED0B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1j) POC Aerial = AerialLoad * Perimeter</w:t>
            </w:r>
          </w:p>
        </w:tc>
        <w:tc>
          <w:tcPr>
            <w:tcW w:w="1260" w:type="dxa"/>
            <w:tcBorders>
              <w:top w:val="nil"/>
              <w:left w:val="nil"/>
              <w:bottom w:val="nil"/>
              <w:right w:val="nil"/>
            </w:tcBorders>
            <w:shd w:val="clear" w:color="auto" w:fill="auto"/>
            <w:noWrap/>
            <w:vAlign w:val="bottom"/>
            <w:hideMark/>
          </w:tcPr>
          <w:p w14:paraId="4F0907BE" w14:textId="5B612782"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87ADE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CD8B23B" w14:textId="77777777" w:rsidTr="0098243D">
        <w:trPr>
          <w:trHeight w:val="297"/>
        </w:trPr>
        <w:tc>
          <w:tcPr>
            <w:tcW w:w="6660" w:type="dxa"/>
            <w:tcBorders>
              <w:top w:val="nil"/>
              <w:left w:val="nil"/>
              <w:bottom w:val="nil"/>
              <w:right w:val="nil"/>
            </w:tcBorders>
            <w:shd w:val="clear" w:color="auto" w:fill="auto"/>
            <w:noWrap/>
            <w:vAlign w:val="bottom"/>
            <w:hideMark/>
          </w:tcPr>
          <w:p w14:paraId="66158FF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644079B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188AB89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886137E" w14:textId="77777777" w:rsidTr="0098243D">
        <w:trPr>
          <w:trHeight w:val="297"/>
        </w:trPr>
        <w:tc>
          <w:tcPr>
            <w:tcW w:w="6660" w:type="dxa"/>
            <w:tcBorders>
              <w:top w:val="nil"/>
              <w:left w:val="nil"/>
              <w:bottom w:val="nil"/>
              <w:right w:val="nil"/>
            </w:tcBorders>
            <w:shd w:val="clear" w:color="auto" w:fill="auto"/>
            <w:noWrap/>
            <w:vAlign w:val="bottom"/>
            <w:hideMark/>
          </w:tcPr>
          <w:p w14:paraId="403A4372" w14:textId="53B4DEC4" w:rsidR="00CC0821" w:rsidRPr="00CC0821" w:rsidRDefault="00CC0821"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log10(chlorophyll-a * photic depth)) + (0.014 * epilimnion temperature))</w:t>
            </w:r>
          </w:p>
        </w:tc>
        <w:tc>
          <w:tcPr>
            <w:tcW w:w="1260" w:type="dxa"/>
            <w:tcBorders>
              <w:top w:val="nil"/>
              <w:left w:val="nil"/>
              <w:bottom w:val="nil"/>
              <w:right w:val="nil"/>
            </w:tcBorders>
            <w:shd w:val="clear" w:color="auto" w:fill="auto"/>
            <w:noWrap/>
            <w:vAlign w:val="bottom"/>
            <w:hideMark/>
          </w:tcPr>
          <w:p w14:paraId="163A473B" w14:textId="2AC6F325"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4CB5B9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3C6B769A" w14:textId="77777777" w:rsidTr="0098243D">
        <w:trPr>
          <w:trHeight w:val="297"/>
        </w:trPr>
        <w:tc>
          <w:tcPr>
            <w:tcW w:w="6660" w:type="dxa"/>
            <w:tcBorders>
              <w:top w:val="nil"/>
              <w:left w:val="nil"/>
              <w:bottom w:val="nil"/>
              <w:right w:val="nil"/>
            </w:tcBorders>
            <w:shd w:val="clear" w:color="auto" w:fill="auto"/>
            <w:noWrap/>
            <w:vAlign w:val="bottom"/>
            <w:hideMark/>
          </w:tcPr>
          <w:p w14:paraId="6AA6758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(chlorophyll-a * photic depth)^(-0.22)</w:t>
            </w:r>
          </w:p>
        </w:tc>
        <w:tc>
          <w:tcPr>
            <w:tcW w:w="1260" w:type="dxa"/>
            <w:tcBorders>
              <w:top w:val="nil"/>
              <w:left w:val="nil"/>
              <w:bottom w:val="nil"/>
              <w:right w:val="nil"/>
            </w:tcBorders>
            <w:shd w:val="clear" w:color="auto" w:fill="auto"/>
            <w:noWrap/>
            <w:vAlign w:val="bottom"/>
            <w:hideMark/>
          </w:tcPr>
          <w:p w14:paraId="0EF6C09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2B4620F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766D6A94" w14:textId="77777777" w:rsidTr="0098243D">
        <w:trPr>
          <w:trHeight w:val="297"/>
        </w:trPr>
        <w:tc>
          <w:tcPr>
            <w:tcW w:w="6660" w:type="dxa"/>
            <w:tcBorders>
              <w:top w:val="nil"/>
              <w:left w:val="nil"/>
              <w:bottom w:val="nil"/>
              <w:right w:val="nil"/>
            </w:tcBorders>
            <w:shd w:val="clear" w:color="auto" w:fill="auto"/>
            <w:noWrap/>
            <w:vAlign w:val="bottom"/>
            <w:hideMark/>
          </w:tcPr>
          <w:p w14:paraId="01B1C7B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1C4876AD" w14:textId="19CCC076"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FD9C9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E7CB855" w14:textId="77777777" w:rsidTr="0098243D">
        <w:trPr>
          <w:trHeight w:val="297"/>
        </w:trPr>
        <w:tc>
          <w:tcPr>
            <w:tcW w:w="6660" w:type="dxa"/>
            <w:tcBorders>
              <w:top w:val="nil"/>
              <w:left w:val="nil"/>
              <w:bottom w:val="nil"/>
              <w:right w:val="nil"/>
            </w:tcBorders>
            <w:shd w:val="clear" w:color="auto" w:fill="auto"/>
            <w:noWrap/>
            <w:vAlign w:val="bottom"/>
            <w:hideMark/>
          </w:tcPr>
          <w:p w14:paraId="5E9E97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051A1994" w14:textId="3364361E"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553E4C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BFD8F5A" w14:textId="77777777" w:rsidTr="0098243D">
        <w:trPr>
          <w:trHeight w:val="297"/>
        </w:trPr>
        <w:tc>
          <w:tcPr>
            <w:tcW w:w="6660" w:type="dxa"/>
            <w:tcBorders>
              <w:top w:val="nil"/>
              <w:left w:val="nil"/>
              <w:bottom w:val="nil"/>
              <w:right w:val="nil"/>
            </w:tcBorders>
            <w:shd w:val="clear" w:color="auto" w:fill="auto"/>
            <w:noWrap/>
            <w:vAlign w:val="bottom"/>
            <w:hideMark/>
          </w:tcPr>
          <w:p w14:paraId="61B849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2e) NPP DOC_autoch = GPP DOC_autoch * 0.2 * Area / 1000</w:t>
            </w:r>
          </w:p>
        </w:tc>
        <w:tc>
          <w:tcPr>
            <w:tcW w:w="1260" w:type="dxa"/>
            <w:tcBorders>
              <w:top w:val="nil"/>
              <w:left w:val="nil"/>
              <w:bottom w:val="nil"/>
              <w:right w:val="nil"/>
            </w:tcBorders>
            <w:shd w:val="clear" w:color="auto" w:fill="auto"/>
            <w:noWrap/>
            <w:vAlign w:val="bottom"/>
            <w:hideMark/>
          </w:tcPr>
          <w:p w14:paraId="75D67B90" w14:textId="7A8D6D1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04F445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DB0F4EB" w14:textId="77777777" w:rsidTr="0098243D">
        <w:trPr>
          <w:trHeight w:val="297"/>
        </w:trPr>
        <w:tc>
          <w:tcPr>
            <w:tcW w:w="6660" w:type="dxa"/>
            <w:tcBorders>
              <w:top w:val="nil"/>
              <w:left w:val="nil"/>
              <w:bottom w:val="nil"/>
              <w:right w:val="nil"/>
            </w:tcBorders>
            <w:shd w:val="clear" w:color="auto" w:fill="auto"/>
            <w:noWrap/>
            <w:vAlign w:val="bottom"/>
            <w:hideMark/>
          </w:tcPr>
          <w:p w14:paraId="0971500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2f) NPP POC_autoch = GPP POC_autoch * 0.2 * Area / 1000</w:t>
            </w:r>
          </w:p>
        </w:tc>
        <w:tc>
          <w:tcPr>
            <w:tcW w:w="1260" w:type="dxa"/>
            <w:tcBorders>
              <w:top w:val="nil"/>
              <w:left w:val="nil"/>
              <w:bottom w:val="nil"/>
              <w:right w:val="nil"/>
            </w:tcBorders>
            <w:shd w:val="clear" w:color="auto" w:fill="auto"/>
            <w:noWrap/>
            <w:vAlign w:val="bottom"/>
            <w:hideMark/>
          </w:tcPr>
          <w:p w14:paraId="5B18F330" w14:textId="6F30D4B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366AE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DC320D3" w14:textId="77777777" w:rsidTr="0098243D">
        <w:trPr>
          <w:trHeight w:val="297"/>
        </w:trPr>
        <w:tc>
          <w:tcPr>
            <w:tcW w:w="6660" w:type="dxa"/>
            <w:tcBorders>
              <w:top w:val="nil"/>
              <w:left w:val="nil"/>
              <w:bottom w:val="nil"/>
              <w:right w:val="nil"/>
            </w:tcBorders>
            <w:shd w:val="clear" w:color="auto" w:fill="auto"/>
            <w:noWrap/>
            <w:vAlign w:val="bottom"/>
            <w:hideMark/>
          </w:tcPr>
          <w:p w14:paraId="78B0A7A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2g) Autochthonous Respiration = GPP DOC rate * Respiration_autoch(</w:t>
            </w:r>
            <w:commentRangeStart w:id="41"/>
            <w:r w:rsidRPr="00CC0821">
              <w:rPr>
                <w:rFonts w:ascii="Times New Roman" w:eastAsia="Times New Roman" w:hAnsi="Times New Roman" w:cs="Times New Roman"/>
                <w:sz w:val="24"/>
                <w:szCs w:val="24"/>
              </w:rPr>
              <w:t>1.08</w:t>
            </w:r>
            <w:commentRangeEnd w:id="41"/>
            <w:r w:rsidR="00E4126A">
              <w:rPr>
                <w:rStyle w:val="CommentReference"/>
              </w:rPr>
              <w:commentReference w:id="41"/>
            </w:r>
            <w:r w:rsidRPr="00CC0821">
              <w:rPr>
                <w:rFonts w:ascii="Times New Roman" w:eastAsia="Times New Roman" w:hAnsi="Times New Roman" w:cs="Times New Roman"/>
                <w:sz w:val="24"/>
                <w:szCs w:val="24"/>
              </w:rPr>
              <w:t>^(epilimnion temp - 20))</w:t>
            </w:r>
          </w:p>
        </w:tc>
        <w:tc>
          <w:tcPr>
            <w:tcW w:w="1260" w:type="dxa"/>
            <w:tcBorders>
              <w:top w:val="nil"/>
              <w:left w:val="nil"/>
              <w:bottom w:val="nil"/>
              <w:right w:val="nil"/>
            </w:tcBorders>
            <w:shd w:val="clear" w:color="auto" w:fill="auto"/>
            <w:noWrap/>
            <w:vAlign w:val="bottom"/>
            <w:hideMark/>
          </w:tcPr>
          <w:p w14:paraId="2C1C61B3" w14:textId="0D20B408"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7DCD42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FABB4A9" w14:textId="77777777" w:rsidTr="0098243D">
        <w:trPr>
          <w:trHeight w:val="297"/>
        </w:trPr>
        <w:tc>
          <w:tcPr>
            <w:tcW w:w="6660" w:type="dxa"/>
            <w:tcBorders>
              <w:top w:val="nil"/>
              <w:left w:val="nil"/>
              <w:bottom w:val="nil"/>
              <w:right w:val="nil"/>
            </w:tcBorders>
            <w:shd w:val="clear" w:color="auto" w:fill="auto"/>
            <w:noWrap/>
            <w:vAlign w:val="bottom"/>
            <w:hideMark/>
          </w:tcPr>
          <w:p w14:paraId="51CF1DE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2h) Allochthonous Respiration = GPP DOC rate * Respiration_alloch(1.08^(epilimnion temp - 20))</w:t>
            </w:r>
          </w:p>
        </w:tc>
        <w:tc>
          <w:tcPr>
            <w:tcW w:w="1260" w:type="dxa"/>
            <w:tcBorders>
              <w:top w:val="nil"/>
              <w:left w:val="nil"/>
              <w:bottom w:val="nil"/>
              <w:right w:val="nil"/>
            </w:tcBorders>
            <w:shd w:val="clear" w:color="auto" w:fill="auto"/>
            <w:noWrap/>
            <w:vAlign w:val="bottom"/>
            <w:hideMark/>
          </w:tcPr>
          <w:p w14:paraId="11BA6223" w14:textId="49944AA1"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65395EF"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1E4B436" w14:textId="77777777" w:rsidTr="0098243D">
        <w:trPr>
          <w:trHeight w:val="297"/>
        </w:trPr>
        <w:tc>
          <w:tcPr>
            <w:tcW w:w="6660" w:type="dxa"/>
            <w:tcBorders>
              <w:top w:val="nil"/>
              <w:left w:val="nil"/>
              <w:bottom w:val="nil"/>
              <w:right w:val="nil"/>
            </w:tcBorders>
            <w:shd w:val="clear" w:color="auto" w:fill="auto"/>
            <w:noWrap/>
            <w:vAlign w:val="bottom"/>
            <w:hideMark/>
          </w:tcPr>
          <w:p w14:paraId="393E922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3078FAE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2C3ED7AC"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1D122EB4" w14:textId="77777777" w:rsidTr="0098243D">
        <w:trPr>
          <w:trHeight w:val="297"/>
        </w:trPr>
        <w:tc>
          <w:tcPr>
            <w:tcW w:w="6660" w:type="dxa"/>
            <w:tcBorders>
              <w:top w:val="nil"/>
              <w:left w:val="nil"/>
              <w:bottom w:val="nil"/>
              <w:right w:val="nil"/>
            </w:tcBorders>
            <w:shd w:val="clear" w:color="auto" w:fill="auto"/>
            <w:noWrap/>
            <w:vAlign w:val="bottom"/>
            <w:hideMark/>
          </w:tcPr>
          <w:p w14:paraId="3DE21D1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3a) MAR_alloch = POC mass * Burial_alloch * 365/Area</w:t>
            </w:r>
          </w:p>
        </w:tc>
        <w:tc>
          <w:tcPr>
            <w:tcW w:w="1260" w:type="dxa"/>
            <w:tcBorders>
              <w:top w:val="nil"/>
              <w:left w:val="nil"/>
              <w:bottom w:val="nil"/>
              <w:right w:val="nil"/>
            </w:tcBorders>
            <w:shd w:val="clear" w:color="auto" w:fill="auto"/>
            <w:noWrap/>
            <w:vAlign w:val="bottom"/>
            <w:hideMark/>
          </w:tcPr>
          <w:p w14:paraId="26839C6F" w14:textId="4DF26460"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150FF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1F6911C" w14:textId="77777777" w:rsidTr="0098243D">
        <w:trPr>
          <w:trHeight w:val="297"/>
        </w:trPr>
        <w:tc>
          <w:tcPr>
            <w:tcW w:w="6660" w:type="dxa"/>
            <w:tcBorders>
              <w:top w:val="nil"/>
              <w:left w:val="nil"/>
              <w:bottom w:val="nil"/>
              <w:right w:val="nil"/>
            </w:tcBorders>
            <w:shd w:val="clear" w:color="auto" w:fill="auto"/>
            <w:noWrap/>
            <w:vAlign w:val="bottom"/>
            <w:hideMark/>
          </w:tcPr>
          <w:p w14:paraId="5D967D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3b) MAR_autoch = POC mass * Burial_autoch * 365/Area</w:t>
            </w:r>
          </w:p>
        </w:tc>
        <w:tc>
          <w:tcPr>
            <w:tcW w:w="1260" w:type="dxa"/>
            <w:tcBorders>
              <w:top w:val="nil"/>
              <w:left w:val="nil"/>
              <w:bottom w:val="nil"/>
              <w:right w:val="nil"/>
            </w:tcBorders>
            <w:shd w:val="clear" w:color="auto" w:fill="auto"/>
            <w:noWrap/>
            <w:vAlign w:val="bottom"/>
            <w:hideMark/>
          </w:tcPr>
          <w:p w14:paraId="714CA2ED" w14:textId="4F1F6B55"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1342C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46E3A0" w14:textId="77777777" w:rsidTr="0098243D">
        <w:trPr>
          <w:trHeight w:val="297"/>
        </w:trPr>
        <w:tc>
          <w:tcPr>
            <w:tcW w:w="6660" w:type="dxa"/>
            <w:tcBorders>
              <w:top w:val="nil"/>
              <w:left w:val="nil"/>
              <w:bottom w:val="nil"/>
              <w:right w:val="nil"/>
            </w:tcBorders>
            <w:shd w:val="clear" w:color="auto" w:fill="auto"/>
            <w:noWrap/>
            <w:vAlign w:val="bottom"/>
            <w:hideMark/>
          </w:tcPr>
          <w:p w14:paraId="3B29A27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3c) POC Burial_alloch = MAR_alloch * (1/365) * Area</w:t>
            </w:r>
          </w:p>
        </w:tc>
        <w:tc>
          <w:tcPr>
            <w:tcW w:w="1260" w:type="dxa"/>
            <w:tcBorders>
              <w:top w:val="nil"/>
              <w:left w:val="nil"/>
              <w:bottom w:val="nil"/>
              <w:right w:val="nil"/>
            </w:tcBorders>
            <w:shd w:val="clear" w:color="auto" w:fill="auto"/>
            <w:noWrap/>
            <w:vAlign w:val="bottom"/>
            <w:hideMark/>
          </w:tcPr>
          <w:p w14:paraId="474A40B0" w14:textId="7E825C1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6A0862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F85F5CC" w14:textId="77777777" w:rsidTr="0098243D">
        <w:trPr>
          <w:trHeight w:val="297"/>
        </w:trPr>
        <w:tc>
          <w:tcPr>
            <w:tcW w:w="6660" w:type="dxa"/>
            <w:tcBorders>
              <w:top w:val="nil"/>
              <w:left w:val="nil"/>
              <w:bottom w:val="nil"/>
              <w:right w:val="nil"/>
            </w:tcBorders>
            <w:shd w:val="clear" w:color="auto" w:fill="auto"/>
            <w:noWrap/>
            <w:vAlign w:val="bottom"/>
            <w:hideMark/>
          </w:tcPr>
          <w:p w14:paraId="5597551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3d) POC Burial_autoch = MAR_autoch * (1/365) * Area</w:t>
            </w:r>
          </w:p>
        </w:tc>
        <w:tc>
          <w:tcPr>
            <w:tcW w:w="1260" w:type="dxa"/>
            <w:tcBorders>
              <w:top w:val="nil"/>
              <w:left w:val="nil"/>
              <w:bottom w:val="nil"/>
              <w:right w:val="nil"/>
            </w:tcBorders>
            <w:shd w:val="clear" w:color="auto" w:fill="auto"/>
            <w:noWrap/>
            <w:vAlign w:val="bottom"/>
            <w:hideMark/>
          </w:tcPr>
          <w:p w14:paraId="29A7C5F2" w14:textId="2B9B12E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619B0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F3FBD4A" w14:textId="77777777" w:rsidTr="0098243D">
        <w:trPr>
          <w:trHeight w:val="297"/>
        </w:trPr>
        <w:tc>
          <w:tcPr>
            <w:tcW w:w="6660" w:type="dxa"/>
            <w:tcBorders>
              <w:top w:val="nil"/>
              <w:left w:val="nil"/>
              <w:bottom w:val="nil"/>
              <w:right w:val="nil"/>
            </w:tcBorders>
            <w:shd w:val="clear" w:color="auto" w:fill="auto"/>
            <w:noWrap/>
            <w:vAlign w:val="bottom"/>
            <w:hideMark/>
          </w:tcPr>
          <w:p w14:paraId="613376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3e) POC_alloch leached out = POC_alloch concentration * POClc_alloch * Volume</w:t>
            </w:r>
          </w:p>
        </w:tc>
        <w:tc>
          <w:tcPr>
            <w:tcW w:w="1260" w:type="dxa"/>
            <w:tcBorders>
              <w:top w:val="nil"/>
              <w:left w:val="nil"/>
              <w:bottom w:val="nil"/>
              <w:right w:val="nil"/>
            </w:tcBorders>
            <w:shd w:val="clear" w:color="auto" w:fill="auto"/>
            <w:noWrap/>
            <w:vAlign w:val="bottom"/>
            <w:hideMark/>
          </w:tcPr>
          <w:p w14:paraId="0E49080C" w14:textId="2174DE5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C65F3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6CF2FE2" w14:textId="77777777" w:rsidTr="0098243D">
        <w:trPr>
          <w:trHeight w:val="297"/>
        </w:trPr>
        <w:tc>
          <w:tcPr>
            <w:tcW w:w="6660" w:type="dxa"/>
            <w:tcBorders>
              <w:top w:val="nil"/>
              <w:left w:val="nil"/>
              <w:bottom w:val="nil"/>
              <w:right w:val="nil"/>
            </w:tcBorders>
            <w:shd w:val="clear" w:color="auto" w:fill="auto"/>
            <w:noWrap/>
            <w:vAlign w:val="bottom"/>
            <w:hideMark/>
          </w:tcPr>
          <w:p w14:paraId="3B4D807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3f) POC_autoch leached out = POC_autoch concentration * POClc_autoch * Volume</w:t>
            </w:r>
          </w:p>
        </w:tc>
        <w:tc>
          <w:tcPr>
            <w:tcW w:w="1260" w:type="dxa"/>
            <w:tcBorders>
              <w:top w:val="nil"/>
              <w:left w:val="nil"/>
              <w:bottom w:val="nil"/>
              <w:right w:val="nil"/>
            </w:tcBorders>
            <w:shd w:val="clear" w:color="auto" w:fill="auto"/>
            <w:noWrap/>
            <w:vAlign w:val="bottom"/>
            <w:hideMark/>
          </w:tcPr>
          <w:p w14:paraId="27466B77" w14:textId="4EBB0AAB"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3956EF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9E1D5E" w14:textId="77777777" w:rsidTr="0098243D">
        <w:trPr>
          <w:trHeight w:val="297"/>
        </w:trPr>
        <w:tc>
          <w:tcPr>
            <w:tcW w:w="6660" w:type="dxa"/>
            <w:tcBorders>
              <w:top w:val="nil"/>
              <w:left w:val="nil"/>
              <w:bottom w:val="nil"/>
              <w:right w:val="nil"/>
            </w:tcBorders>
            <w:shd w:val="clear" w:color="auto" w:fill="auto"/>
            <w:noWrap/>
            <w:vAlign w:val="bottom"/>
            <w:hideMark/>
          </w:tcPr>
          <w:p w14:paraId="756CBA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3g) DOC_alloch leached in = POC_alloch leached out</w:t>
            </w:r>
          </w:p>
        </w:tc>
        <w:tc>
          <w:tcPr>
            <w:tcW w:w="1260" w:type="dxa"/>
            <w:tcBorders>
              <w:top w:val="nil"/>
              <w:left w:val="nil"/>
              <w:bottom w:val="nil"/>
              <w:right w:val="nil"/>
            </w:tcBorders>
            <w:shd w:val="clear" w:color="auto" w:fill="auto"/>
            <w:noWrap/>
            <w:vAlign w:val="bottom"/>
            <w:hideMark/>
          </w:tcPr>
          <w:p w14:paraId="67370DCD" w14:textId="5E696F30"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619675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BDB2D14" w14:textId="77777777" w:rsidTr="0098243D">
        <w:trPr>
          <w:trHeight w:val="297"/>
        </w:trPr>
        <w:tc>
          <w:tcPr>
            <w:tcW w:w="6660" w:type="dxa"/>
            <w:tcBorders>
              <w:top w:val="nil"/>
              <w:left w:val="nil"/>
              <w:bottom w:val="nil"/>
              <w:right w:val="nil"/>
            </w:tcBorders>
            <w:shd w:val="clear" w:color="auto" w:fill="auto"/>
            <w:noWrap/>
            <w:vAlign w:val="bottom"/>
            <w:hideMark/>
          </w:tcPr>
          <w:p w14:paraId="67D971C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3h) DOC_autoch leached in = POC_autoch leached out</w:t>
            </w:r>
          </w:p>
        </w:tc>
        <w:tc>
          <w:tcPr>
            <w:tcW w:w="1260" w:type="dxa"/>
            <w:tcBorders>
              <w:top w:val="nil"/>
              <w:left w:val="nil"/>
              <w:bottom w:val="nil"/>
              <w:right w:val="nil"/>
            </w:tcBorders>
            <w:shd w:val="clear" w:color="auto" w:fill="auto"/>
            <w:noWrap/>
            <w:vAlign w:val="bottom"/>
            <w:hideMark/>
          </w:tcPr>
          <w:p w14:paraId="1BEF6000" w14:textId="465F50F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9429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8BC548A" w14:textId="77777777" w:rsidTr="0098243D">
        <w:trPr>
          <w:trHeight w:val="297"/>
        </w:trPr>
        <w:tc>
          <w:tcPr>
            <w:tcW w:w="6660" w:type="dxa"/>
            <w:tcBorders>
              <w:top w:val="nil"/>
              <w:left w:val="nil"/>
              <w:bottom w:val="nil"/>
              <w:right w:val="nil"/>
            </w:tcBorders>
            <w:shd w:val="clear" w:color="auto" w:fill="auto"/>
            <w:noWrap/>
            <w:vAlign w:val="bottom"/>
            <w:hideMark/>
          </w:tcPr>
          <w:p w14:paraId="425D1CD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0927AC36"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065A20"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927C876" w14:textId="77777777" w:rsidTr="0098243D">
        <w:trPr>
          <w:trHeight w:val="297"/>
        </w:trPr>
        <w:tc>
          <w:tcPr>
            <w:tcW w:w="6660" w:type="dxa"/>
            <w:tcBorders>
              <w:top w:val="nil"/>
              <w:left w:val="nil"/>
              <w:bottom w:val="nil"/>
              <w:right w:val="nil"/>
            </w:tcBorders>
            <w:shd w:val="clear" w:color="auto" w:fill="auto"/>
            <w:noWrap/>
            <w:vAlign w:val="bottom"/>
            <w:hideMark/>
          </w:tcPr>
          <w:p w14:paraId="4C0426F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4a) NEP (as O2) = (NPP - DOCrespired) * 32/12</w:t>
            </w:r>
          </w:p>
        </w:tc>
        <w:tc>
          <w:tcPr>
            <w:tcW w:w="1260" w:type="dxa"/>
            <w:tcBorders>
              <w:top w:val="nil"/>
              <w:left w:val="nil"/>
              <w:bottom w:val="nil"/>
              <w:right w:val="nil"/>
            </w:tcBorders>
            <w:shd w:val="clear" w:color="auto" w:fill="auto"/>
            <w:noWrap/>
            <w:vAlign w:val="bottom"/>
            <w:hideMark/>
          </w:tcPr>
          <w:p w14:paraId="5656F292" w14:textId="0DFF2F6A"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0A4B1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187EBE4" w14:textId="77777777" w:rsidTr="0098243D">
        <w:trPr>
          <w:trHeight w:val="297"/>
        </w:trPr>
        <w:tc>
          <w:tcPr>
            <w:tcW w:w="6660" w:type="dxa"/>
            <w:tcBorders>
              <w:top w:val="nil"/>
              <w:left w:val="nil"/>
              <w:bottom w:val="nil"/>
              <w:right w:val="nil"/>
            </w:tcBorders>
            <w:shd w:val="clear" w:color="auto" w:fill="auto"/>
            <w:noWrap/>
            <w:vAlign w:val="bottom"/>
            <w:hideMark/>
          </w:tcPr>
          <w:p w14:paraId="764220D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4b) Fatm = 0.7 * (DOconc - DOsat)/Zmix</w:t>
            </w:r>
          </w:p>
        </w:tc>
        <w:tc>
          <w:tcPr>
            <w:tcW w:w="1260" w:type="dxa"/>
            <w:tcBorders>
              <w:top w:val="nil"/>
              <w:left w:val="nil"/>
              <w:bottom w:val="nil"/>
              <w:right w:val="nil"/>
            </w:tcBorders>
            <w:shd w:val="clear" w:color="auto" w:fill="auto"/>
            <w:noWrap/>
            <w:vAlign w:val="bottom"/>
            <w:hideMark/>
          </w:tcPr>
          <w:p w14:paraId="61F1FCD7" w14:textId="12C6215D"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7DBB52"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9B7595F"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16715F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4c) DO(t+1) = DOconc + NEP - Fatm</w:t>
            </w:r>
          </w:p>
        </w:tc>
        <w:tc>
          <w:tcPr>
            <w:tcW w:w="1260" w:type="dxa"/>
            <w:tcBorders>
              <w:top w:val="nil"/>
              <w:left w:val="nil"/>
              <w:bottom w:val="single" w:sz="8" w:space="0" w:color="auto"/>
              <w:right w:val="nil"/>
            </w:tcBorders>
            <w:shd w:val="clear" w:color="auto" w:fill="auto"/>
            <w:noWrap/>
            <w:vAlign w:val="bottom"/>
            <w:hideMark/>
          </w:tcPr>
          <w:p w14:paraId="165730D0" w14:textId="29A49B2C"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F867EB"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113D4C96" w14:textId="1946EF49"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 = mass accumulation rate, Fatm = atmospheric flux rate, Zmix = mix depth (m)</w:t>
      </w:r>
      <w:r>
        <w:rPr>
          <w:rFonts w:ascii="Times New Roman" w:eastAsia="Times New Roman" w:hAnsi="Times New Roman" w:cs="Times New Roman"/>
          <w:sz w:val="24"/>
          <w:szCs w:val="24"/>
        </w:rPr>
        <w:br w:type="page"/>
      </w:r>
    </w:p>
    <w:p w14:paraId="2AAD3EAC" w14:textId="61C23624"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500" w:type="dxa"/>
        <w:tblInd w:w="108" w:type="dxa"/>
        <w:tblLook w:val="04A0" w:firstRow="1" w:lastRow="0" w:firstColumn="1" w:lastColumn="0" w:noHBand="0" w:noVBand="1"/>
      </w:tblPr>
      <w:tblGrid>
        <w:gridCol w:w="1120"/>
        <w:gridCol w:w="1030"/>
        <w:gridCol w:w="1080"/>
        <w:gridCol w:w="270"/>
      </w:tblGrid>
      <w:tr w:rsidR="00E71A86" w:rsidRPr="00E71A86" w14:paraId="5F7101AB" w14:textId="77777777" w:rsidTr="008535B2">
        <w:trPr>
          <w:gridAfter w:val="1"/>
          <w:wAfter w:w="350" w:type="dxa"/>
          <w:trHeight w:val="305"/>
        </w:trPr>
        <w:tc>
          <w:tcPr>
            <w:tcW w:w="1120" w:type="dxa"/>
            <w:tcBorders>
              <w:top w:val="single" w:sz="8" w:space="0" w:color="auto"/>
              <w:left w:val="nil"/>
              <w:bottom w:val="single" w:sz="8" w:space="0" w:color="auto"/>
              <w:right w:val="nil"/>
            </w:tcBorders>
            <w:shd w:val="clear" w:color="auto" w:fill="auto"/>
            <w:noWrap/>
            <w:vAlign w:val="bottom"/>
            <w:hideMark/>
          </w:tcPr>
          <w:p w14:paraId="091C3FDA"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950" w:type="dxa"/>
            <w:tcBorders>
              <w:top w:val="single" w:sz="8" w:space="0" w:color="auto"/>
              <w:left w:val="nil"/>
              <w:bottom w:val="single" w:sz="8" w:space="0" w:color="auto"/>
              <w:right w:val="nil"/>
            </w:tcBorders>
            <w:shd w:val="clear" w:color="auto" w:fill="auto"/>
            <w:noWrap/>
            <w:vAlign w:val="bottom"/>
            <w:hideMark/>
          </w:tcPr>
          <w:p w14:paraId="1BCA3BAE"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080" w:type="dxa"/>
            <w:tcBorders>
              <w:top w:val="single" w:sz="8" w:space="0" w:color="auto"/>
              <w:left w:val="nil"/>
              <w:bottom w:val="single" w:sz="8" w:space="0" w:color="auto"/>
              <w:right w:val="nil"/>
            </w:tcBorders>
            <w:shd w:val="clear" w:color="auto" w:fill="auto"/>
            <w:noWrap/>
            <w:vAlign w:val="bottom"/>
            <w:hideMark/>
          </w:tcPr>
          <w:p w14:paraId="38603F81"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6FCF25AF"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0D59D3BE"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50" w:type="dxa"/>
            <w:tcBorders>
              <w:top w:val="nil"/>
              <w:left w:val="nil"/>
              <w:bottom w:val="nil"/>
              <w:right w:val="nil"/>
            </w:tcBorders>
            <w:shd w:val="clear" w:color="auto" w:fill="auto"/>
            <w:noWrap/>
            <w:vAlign w:val="bottom"/>
            <w:hideMark/>
          </w:tcPr>
          <w:p w14:paraId="4A1CD29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080" w:type="dxa"/>
            <w:tcBorders>
              <w:top w:val="nil"/>
              <w:left w:val="nil"/>
              <w:bottom w:val="nil"/>
              <w:right w:val="nil"/>
            </w:tcBorders>
            <w:shd w:val="clear" w:color="auto" w:fill="auto"/>
            <w:noWrap/>
            <w:vAlign w:val="bottom"/>
            <w:hideMark/>
          </w:tcPr>
          <w:p w14:paraId="4EC828B9"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71058DC3"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8E59AA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50" w:type="dxa"/>
            <w:tcBorders>
              <w:top w:val="nil"/>
              <w:left w:val="nil"/>
              <w:bottom w:val="nil"/>
              <w:right w:val="nil"/>
            </w:tcBorders>
            <w:shd w:val="clear" w:color="auto" w:fill="auto"/>
            <w:noWrap/>
            <w:vAlign w:val="bottom"/>
            <w:hideMark/>
          </w:tcPr>
          <w:p w14:paraId="1B6B61C6"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080" w:type="dxa"/>
            <w:tcBorders>
              <w:top w:val="nil"/>
              <w:left w:val="nil"/>
              <w:bottom w:val="nil"/>
              <w:right w:val="nil"/>
            </w:tcBorders>
            <w:shd w:val="clear" w:color="auto" w:fill="auto"/>
            <w:noWrap/>
            <w:vAlign w:val="bottom"/>
            <w:hideMark/>
          </w:tcPr>
          <w:p w14:paraId="01929FB5"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69DB9E17"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D1C55B8"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950" w:type="dxa"/>
            <w:tcBorders>
              <w:top w:val="nil"/>
              <w:left w:val="nil"/>
              <w:bottom w:val="nil"/>
              <w:right w:val="nil"/>
            </w:tcBorders>
            <w:shd w:val="clear" w:color="auto" w:fill="auto"/>
            <w:noWrap/>
            <w:vAlign w:val="bottom"/>
            <w:hideMark/>
          </w:tcPr>
          <w:p w14:paraId="43115E2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080" w:type="dxa"/>
            <w:tcBorders>
              <w:top w:val="nil"/>
              <w:left w:val="nil"/>
              <w:bottom w:val="nil"/>
              <w:right w:val="nil"/>
            </w:tcBorders>
            <w:shd w:val="clear" w:color="auto" w:fill="auto"/>
            <w:noWrap/>
            <w:vAlign w:val="bottom"/>
            <w:hideMark/>
          </w:tcPr>
          <w:p w14:paraId="0C5667DF"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25C8333A"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294CCE85"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50" w:type="dxa"/>
            <w:tcBorders>
              <w:top w:val="nil"/>
              <w:left w:val="nil"/>
              <w:bottom w:val="nil"/>
              <w:right w:val="nil"/>
            </w:tcBorders>
            <w:shd w:val="clear" w:color="auto" w:fill="auto"/>
            <w:noWrap/>
            <w:vAlign w:val="bottom"/>
            <w:hideMark/>
          </w:tcPr>
          <w:p w14:paraId="029B88F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080" w:type="dxa"/>
            <w:tcBorders>
              <w:top w:val="nil"/>
              <w:left w:val="nil"/>
              <w:bottom w:val="nil"/>
              <w:right w:val="nil"/>
            </w:tcBorders>
            <w:shd w:val="clear" w:color="auto" w:fill="auto"/>
            <w:noWrap/>
            <w:vAlign w:val="bottom"/>
            <w:hideMark/>
          </w:tcPr>
          <w:p w14:paraId="23E1BACE"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4CE1BCB0" w14:textId="77777777" w:rsidTr="008535B2">
        <w:trPr>
          <w:gridAfter w:val="1"/>
          <w:wAfter w:w="350" w:type="dxa"/>
          <w:trHeight w:val="305"/>
        </w:trPr>
        <w:tc>
          <w:tcPr>
            <w:tcW w:w="1120" w:type="dxa"/>
            <w:tcBorders>
              <w:top w:val="nil"/>
              <w:left w:val="nil"/>
              <w:bottom w:val="single" w:sz="8" w:space="0" w:color="auto"/>
              <w:right w:val="nil"/>
            </w:tcBorders>
            <w:shd w:val="clear" w:color="auto" w:fill="auto"/>
            <w:noWrap/>
            <w:vAlign w:val="bottom"/>
            <w:hideMark/>
          </w:tcPr>
          <w:p w14:paraId="0C620001"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50" w:type="dxa"/>
            <w:tcBorders>
              <w:top w:val="nil"/>
              <w:left w:val="nil"/>
              <w:bottom w:val="single" w:sz="8" w:space="0" w:color="auto"/>
              <w:right w:val="nil"/>
            </w:tcBorders>
            <w:shd w:val="clear" w:color="auto" w:fill="auto"/>
            <w:noWrap/>
            <w:vAlign w:val="bottom"/>
            <w:hideMark/>
          </w:tcPr>
          <w:p w14:paraId="26A6E83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080" w:type="dxa"/>
            <w:tcBorders>
              <w:top w:val="nil"/>
              <w:left w:val="nil"/>
              <w:bottom w:val="single" w:sz="8" w:space="0" w:color="auto"/>
              <w:right w:val="nil"/>
            </w:tcBorders>
            <w:shd w:val="clear" w:color="auto" w:fill="auto"/>
            <w:noWrap/>
            <w:vAlign w:val="bottom"/>
            <w:hideMark/>
          </w:tcPr>
          <w:p w14:paraId="6C27C5F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17360EF2" w14:textId="77777777" w:rsidTr="008535B2">
        <w:trPr>
          <w:trHeight w:val="295"/>
        </w:trPr>
        <w:tc>
          <w:tcPr>
            <w:tcW w:w="3500" w:type="dxa"/>
            <w:gridSpan w:val="4"/>
            <w:tcBorders>
              <w:top w:val="nil"/>
              <w:left w:val="nil"/>
              <w:bottom w:val="nil"/>
              <w:right w:val="nil"/>
            </w:tcBorders>
            <w:shd w:val="clear" w:color="auto" w:fill="auto"/>
            <w:noWrap/>
            <w:vAlign w:val="bottom"/>
            <w:hideMark/>
          </w:tcPr>
          <w:p w14:paraId="0B109BCF" w14:textId="0344415E" w:rsidR="00E71A86" w:rsidRPr="00E71A86" w:rsidRDefault="008535B2"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root mean square error (mg </w:t>
            </w:r>
            <w:r w:rsidR="00E71A86" w:rsidRPr="00E71A86">
              <w:rPr>
                <w:rFonts w:ascii="Times New Roman" w:eastAsia="Times New Roman" w:hAnsi="Times New Roman" w:cs="Times New Roman"/>
                <w:sz w:val="24"/>
                <w:szCs w:val="24"/>
              </w:rPr>
              <w:t>L</w:t>
            </w:r>
            <w:r>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AC6C19" w14:textId="77777777" w:rsidTr="008535B2">
        <w:trPr>
          <w:trHeight w:val="295"/>
        </w:trPr>
        <w:tc>
          <w:tcPr>
            <w:tcW w:w="3500" w:type="dxa"/>
            <w:gridSpan w:val="4"/>
            <w:tcBorders>
              <w:top w:val="nil"/>
              <w:left w:val="nil"/>
              <w:bottom w:val="nil"/>
              <w:right w:val="nil"/>
            </w:tcBorders>
            <w:shd w:val="clear" w:color="auto" w:fill="auto"/>
            <w:noWrap/>
            <w:vAlign w:val="bottom"/>
            <w:hideMark/>
          </w:tcPr>
          <w:p w14:paraId="0FE81CF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19B39849" w14:textId="4748057B" w:rsidR="00E71A86" w:rsidRDefault="00E71A86">
      <w:pPr>
        <w:rPr>
          <w:rFonts w:ascii="Times New Roman" w:eastAsia="Times New Roman" w:hAnsi="Times New Roman" w:cs="Times New Roman"/>
          <w:sz w:val="24"/>
          <w:szCs w:val="24"/>
        </w:rPr>
      </w:pPr>
    </w:p>
    <w:p w14:paraId="310708AB"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pPr w:leftFromText="180" w:rightFromText="180" w:horzAnchor="margin" w:tblpY="520"/>
        <w:tblW w:w="7560" w:type="dxa"/>
        <w:tblLook w:val="04A0" w:firstRow="1" w:lastRow="0" w:firstColumn="1" w:lastColumn="0" w:noHBand="0" w:noVBand="1"/>
      </w:tblPr>
      <w:tblGrid>
        <w:gridCol w:w="1087"/>
        <w:gridCol w:w="927"/>
        <w:gridCol w:w="1038"/>
        <w:gridCol w:w="1024"/>
        <w:gridCol w:w="1024"/>
        <w:gridCol w:w="1020"/>
        <w:gridCol w:w="1440"/>
      </w:tblGrid>
      <w:tr w:rsidR="00E71A86" w:rsidRPr="00E71A86" w14:paraId="7DB1146A" w14:textId="77777777" w:rsidTr="00AB1693">
        <w:trPr>
          <w:trHeight w:val="270"/>
        </w:trPr>
        <w:tc>
          <w:tcPr>
            <w:tcW w:w="1087" w:type="dxa"/>
            <w:tcBorders>
              <w:top w:val="single" w:sz="8" w:space="0" w:color="auto"/>
              <w:left w:val="nil"/>
              <w:bottom w:val="single" w:sz="8" w:space="0" w:color="auto"/>
              <w:right w:val="nil"/>
            </w:tcBorders>
            <w:shd w:val="clear" w:color="auto" w:fill="auto"/>
            <w:noWrap/>
            <w:vAlign w:val="bottom"/>
            <w:hideMark/>
          </w:tcPr>
          <w:p w14:paraId="1D5AF290"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lastRenderedPageBreak/>
              <w:t>Lake</w:t>
            </w:r>
          </w:p>
        </w:tc>
        <w:tc>
          <w:tcPr>
            <w:tcW w:w="927" w:type="dxa"/>
            <w:tcBorders>
              <w:top w:val="single" w:sz="8" w:space="0" w:color="auto"/>
              <w:left w:val="nil"/>
              <w:bottom w:val="single" w:sz="8" w:space="0" w:color="auto"/>
              <w:right w:val="nil"/>
            </w:tcBorders>
            <w:shd w:val="clear" w:color="auto" w:fill="auto"/>
            <w:noWrap/>
            <w:vAlign w:val="bottom"/>
            <w:hideMark/>
          </w:tcPr>
          <w:p w14:paraId="45183948"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Alloch</w:t>
            </w:r>
          </w:p>
        </w:tc>
        <w:tc>
          <w:tcPr>
            <w:tcW w:w="1038" w:type="dxa"/>
            <w:tcBorders>
              <w:top w:val="single" w:sz="8" w:space="0" w:color="auto"/>
              <w:left w:val="nil"/>
              <w:bottom w:val="single" w:sz="8" w:space="0" w:color="auto"/>
              <w:right w:val="nil"/>
            </w:tcBorders>
            <w:shd w:val="clear" w:color="auto" w:fill="auto"/>
            <w:noWrap/>
            <w:vAlign w:val="bottom"/>
            <w:hideMark/>
          </w:tcPr>
          <w:p w14:paraId="4D5A571F"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Autoch</w:t>
            </w:r>
          </w:p>
        </w:tc>
        <w:tc>
          <w:tcPr>
            <w:tcW w:w="1024" w:type="dxa"/>
            <w:tcBorders>
              <w:top w:val="single" w:sz="8" w:space="0" w:color="auto"/>
              <w:left w:val="nil"/>
              <w:bottom w:val="single" w:sz="8" w:space="0" w:color="auto"/>
              <w:right w:val="nil"/>
            </w:tcBorders>
            <w:shd w:val="clear" w:color="auto" w:fill="auto"/>
            <w:noWrap/>
            <w:vAlign w:val="bottom"/>
            <w:hideMark/>
          </w:tcPr>
          <w:p w14:paraId="1DCD238B"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Resp</w:t>
            </w:r>
          </w:p>
        </w:tc>
        <w:tc>
          <w:tcPr>
            <w:tcW w:w="1024" w:type="dxa"/>
            <w:tcBorders>
              <w:top w:val="single" w:sz="8" w:space="0" w:color="auto"/>
              <w:left w:val="nil"/>
              <w:bottom w:val="single" w:sz="8" w:space="0" w:color="auto"/>
              <w:right w:val="nil"/>
            </w:tcBorders>
            <w:shd w:val="clear" w:color="auto" w:fill="auto"/>
            <w:noWrap/>
            <w:vAlign w:val="bottom"/>
            <w:hideMark/>
          </w:tcPr>
          <w:p w14:paraId="61D958D2"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Burial</w:t>
            </w:r>
          </w:p>
        </w:tc>
        <w:tc>
          <w:tcPr>
            <w:tcW w:w="1020" w:type="dxa"/>
            <w:tcBorders>
              <w:top w:val="single" w:sz="8" w:space="0" w:color="auto"/>
              <w:left w:val="nil"/>
              <w:bottom w:val="single" w:sz="8" w:space="0" w:color="auto"/>
              <w:right w:val="nil"/>
            </w:tcBorders>
            <w:shd w:val="clear" w:color="auto" w:fill="auto"/>
            <w:noWrap/>
            <w:vAlign w:val="bottom"/>
            <w:hideMark/>
          </w:tcPr>
          <w:p w14:paraId="6A315B82"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Export</w:t>
            </w:r>
          </w:p>
        </w:tc>
        <w:tc>
          <w:tcPr>
            <w:tcW w:w="1440" w:type="dxa"/>
            <w:tcBorders>
              <w:top w:val="single" w:sz="8" w:space="0" w:color="auto"/>
              <w:left w:val="nil"/>
              <w:bottom w:val="single" w:sz="8" w:space="0" w:color="auto"/>
              <w:right w:val="nil"/>
            </w:tcBorders>
            <w:shd w:val="clear" w:color="auto" w:fill="auto"/>
            <w:noWrap/>
            <w:vAlign w:val="bottom"/>
            <w:hideMark/>
          </w:tcPr>
          <w:p w14:paraId="029087A9" w14:textId="77777777" w:rsidR="00E71A86" w:rsidRPr="00E71A86" w:rsidRDefault="00E71A86" w:rsidP="00AB1693">
            <w:pPr>
              <w:spacing w:line="240" w:lineRule="auto"/>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Total Load</w:t>
            </w:r>
          </w:p>
        </w:tc>
      </w:tr>
      <w:tr w:rsidR="00E71A86" w:rsidRPr="00E71A86" w14:paraId="6A4FDE5E" w14:textId="77777777" w:rsidTr="00AB1693">
        <w:trPr>
          <w:trHeight w:val="250"/>
        </w:trPr>
        <w:tc>
          <w:tcPr>
            <w:tcW w:w="1087" w:type="dxa"/>
            <w:tcBorders>
              <w:top w:val="nil"/>
              <w:left w:val="nil"/>
              <w:bottom w:val="nil"/>
              <w:right w:val="nil"/>
            </w:tcBorders>
            <w:shd w:val="clear" w:color="auto" w:fill="auto"/>
            <w:noWrap/>
            <w:vAlign w:val="bottom"/>
            <w:hideMark/>
          </w:tcPr>
          <w:p w14:paraId="0D69254B"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27" w:type="dxa"/>
            <w:tcBorders>
              <w:top w:val="nil"/>
              <w:left w:val="nil"/>
              <w:bottom w:val="nil"/>
              <w:right w:val="nil"/>
            </w:tcBorders>
            <w:shd w:val="clear" w:color="auto" w:fill="auto"/>
            <w:noWrap/>
            <w:vAlign w:val="bottom"/>
            <w:hideMark/>
          </w:tcPr>
          <w:p w14:paraId="15C85F5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39.227</w:t>
            </w:r>
          </w:p>
        </w:tc>
        <w:tc>
          <w:tcPr>
            <w:tcW w:w="1038" w:type="dxa"/>
            <w:tcBorders>
              <w:top w:val="nil"/>
              <w:left w:val="nil"/>
              <w:bottom w:val="nil"/>
              <w:right w:val="nil"/>
            </w:tcBorders>
            <w:shd w:val="clear" w:color="auto" w:fill="auto"/>
            <w:noWrap/>
            <w:vAlign w:val="bottom"/>
            <w:hideMark/>
          </w:tcPr>
          <w:p w14:paraId="42FDCC0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32.973</w:t>
            </w:r>
          </w:p>
        </w:tc>
        <w:tc>
          <w:tcPr>
            <w:tcW w:w="1024" w:type="dxa"/>
            <w:tcBorders>
              <w:top w:val="nil"/>
              <w:left w:val="nil"/>
              <w:bottom w:val="nil"/>
              <w:right w:val="nil"/>
            </w:tcBorders>
            <w:shd w:val="clear" w:color="auto" w:fill="auto"/>
            <w:noWrap/>
            <w:vAlign w:val="bottom"/>
            <w:hideMark/>
          </w:tcPr>
          <w:p w14:paraId="1D889FA1"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-49.362</w:t>
            </w:r>
          </w:p>
        </w:tc>
        <w:tc>
          <w:tcPr>
            <w:tcW w:w="1024" w:type="dxa"/>
            <w:tcBorders>
              <w:top w:val="nil"/>
              <w:left w:val="nil"/>
              <w:bottom w:val="nil"/>
              <w:right w:val="nil"/>
            </w:tcBorders>
            <w:shd w:val="clear" w:color="auto" w:fill="auto"/>
            <w:noWrap/>
            <w:vAlign w:val="bottom"/>
            <w:hideMark/>
          </w:tcPr>
          <w:p w14:paraId="1D60A5B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-5.240</w:t>
            </w:r>
          </w:p>
        </w:tc>
        <w:tc>
          <w:tcPr>
            <w:tcW w:w="1020" w:type="dxa"/>
            <w:tcBorders>
              <w:top w:val="nil"/>
              <w:left w:val="nil"/>
              <w:bottom w:val="nil"/>
              <w:right w:val="nil"/>
            </w:tcBorders>
            <w:shd w:val="clear" w:color="auto" w:fill="auto"/>
            <w:noWrap/>
            <w:vAlign w:val="bottom"/>
            <w:hideMark/>
          </w:tcPr>
          <w:p w14:paraId="1FC299E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-16.722</w:t>
            </w:r>
          </w:p>
        </w:tc>
        <w:tc>
          <w:tcPr>
            <w:tcW w:w="1440" w:type="dxa"/>
            <w:tcBorders>
              <w:top w:val="nil"/>
              <w:left w:val="nil"/>
              <w:bottom w:val="nil"/>
              <w:right w:val="nil"/>
            </w:tcBorders>
            <w:shd w:val="clear" w:color="auto" w:fill="auto"/>
            <w:noWrap/>
            <w:vAlign w:val="bottom"/>
            <w:hideMark/>
          </w:tcPr>
          <w:p w14:paraId="0797EC4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72.200</w:t>
            </w:r>
          </w:p>
        </w:tc>
      </w:tr>
      <w:tr w:rsidR="00E71A86" w:rsidRPr="00E71A86" w14:paraId="3BC0ADC1" w14:textId="77777777" w:rsidTr="00AB1693">
        <w:trPr>
          <w:trHeight w:val="250"/>
        </w:trPr>
        <w:tc>
          <w:tcPr>
            <w:tcW w:w="1087" w:type="dxa"/>
            <w:tcBorders>
              <w:top w:val="nil"/>
              <w:left w:val="nil"/>
              <w:bottom w:val="nil"/>
              <w:right w:val="nil"/>
            </w:tcBorders>
            <w:shd w:val="clear" w:color="auto" w:fill="auto"/>
            <w:noWrap/>
            <w:vAlign w:val="bottom"/>
            <w:hideMark/>
          </w:tcPr>
          <w:p w14:paraId="1512AB0C"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27" w:type="dxa"/>
            <w:tcBorders>
              <w:top w:val="nil"/>
              <w:left w:val="nil"/>
              <w:bottom w:val="nil"/>
              <w:right w:val="nil"/>
            </w:tcBorders>
            <w:shd w:val="clear" w:color="auto" w:fill="auto"/>
            <w:noWrap/>
            <w:vAlign w:val="bottom"/>
            <w:hideMark/>
          </w:tcPr>
          <w:p w14:paraId="0838983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64.279</w:t>
            </w:r>
          </w:p>
        </w:tc>
        <w:tc>
          <w:tcPr>
            <w:tcW w:w="1038" w:type="dxa"/>
            <w:tcBorders>
              <w:top w:val="nil"/>
              <w:left w:val="nil"/>
              <w:bottom w:val="nil"/>
              <w:right w:val="nil"/>
            </w:tcBorders>
            <w:shd w:val="clear" w:color="auto" w:fill="auto"/>
            <w:noWrap/>
            <w:vAlign w:val="bottom"/>
            <w:hideMark/>
          </w:tcPr>
          <w:p w14:paraId="7E3554C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53.989</w:t>
            </w:r>
          </w:p>
        </w:tc>
        <w:tc>
          <w:tcPr>
            <w:tcW w:w="1024" w:type="dxa"/>
            <w:tcBorders>
              <w:top w:val="nil"/>
              <w:left w:val="nil"/>
              <w:bottom w:val="nil"/>
              <w:right w:val="nil"/>
            </w:tcBorders>
            <w:shd w:val="clear" w:color="auto" w:fill="auto"/>
            <w:noWrap/>
            <w:vAlign w:val="bottom"/>
            <w:hideMark/>
          </w:tcPr>
          <w:p w14:paraId="5F02DA8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-17.297</w:t>
            </w:r>
          </w:p>
        </w:tc>
        <w:tc>
          <w:tcPr>
            <w:tcW w:w="1024" w:type="dxa"/>
            <w:tcBorders>
              <w:top w:val="nil"/>
              <w:left w:val="nil"/>
              <w:bottom w:val="nil"/>
              <w:right w:val="nil"/>
            </w:tcBorders>
            <w:shd w:val="clear" w:color="auto" w:fill="auto"/>
            <w:noWrap/>
            <w:vAlign w:val="bottom"/>
            <w:hideMark/>
          </w:tcPr>
          <w:p w14:paraId="0B85F40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-43.586</w:t>
            </w:r>
          </w:p>
        </w:tc>
        <w:tc>
          <w:tcPr>
            <w:tcW w:w="1020" w:type="dxa"/>
            <w:tcBorders>
              <w:top w:val="nil"/>
              <w:left w:val="nil"/>
              <w:bottom w:val="nil"/>
              <w:right w:val="nil"/>
            </w:tcBorders>
            <w:shd w:val="clear" w:color="auto" w:fill="auto"/>
            <w:noWrap/>
            <w:vAlign w:val="bottom"/>
            <w:hideMark/>
          </w:tcPr>
          <w:p w14:paraId="2CEEECC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-59.071</w:t>
            </w:r>
          </w:p>
        </w:tc>
        <w:tc>
          <w:tcPr>
            <w:tcW w:w="1440" w:type="dxa"/>
            <w:tcBorders>
              <w:top w:val="nil"/>
              <w:left w:val="nil"/>
              <w:bottom w:val="nil"/>
              <w:right w:val="nil"/>
            </w:tcBorders>
            <w:shd w:val="clear" w:color="auto" w:fill="auto"/>
            <w:noWrap/>
            <w:vAlign w:val="bottom"/>
            <w:hideMark/>
          </w:tcPr>
          <w:p w14:paraId="64FF933E"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118.268</w:t>
            </w:r>
          </w:p>
        </w:tc>
      </w:tr>
      <w:tr w:rsidR="00E71A86" w:rsidRPr="00E71A86" w14:paraId="5C9DE71D" w14:textId="77777777" w:rsidTr="00AB1693">
        <w:trPr>
          <w:trHeight w:val="250"/>
        </w:trPr>
        <w:tc>
          <w:tcPr>
            <w:tcW w:w="1087" w:type="dxa"/>
            <w:tcBorders>
              <w:top w:val="nil"/>
              <w:left w:val="nil"/>
              <w:bottom w:val="nil"/>
              <w:right w:val="nil"/>
            </w:tcBorders>
            <w:shd w:val="clear" w:color="auto" w:fill="auto"/>
            <w:noWrap/>
            <w:vAlign w:val="bottom"/>
            <w:hideMark/>
          </w:tcPr>
          <w:p w14:paraId="69D6A518"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927" w:type="dxa"/>
            <w:tcBorders>
              <w:top w:val="nil"/>
              <w:left w:val="nil"/>
              <w:bottom w:val="nil"/>
              <w:right w:val="nil"/>
            </w:tcBorders>
            <w:shd w:val="clear" w:color="auto" w:fill="auto"/>
            <w:noWrap/>
            <w:vAlign w:val="bottom"/>
            <w:hideMark/>
          </w:tcPr>
          <w:p w14:paraId="6A887DB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75.975</w:t>
            </w:r>
          </w:p>
        </w:tc>
        <w:tc>
          <w:tcPr>
            <w:tcW w:w="1038" w:type="dxa"/>
            <w:tcBorders>
              <w:top w:val="nil"/>
              <w:left w:val="nil"/>
              <w:bottom w:val="nil"/>
              <w:right w:val="nil"/>
            </w:tcBorders>
            <w:shd w:val="clear" w:color="auto" w:fill="auto"/>
            <w:noWrap/>
            <w:vAlign w:val="bottom"/>
            <w:hideMark/>
          </w:tcPr>
          <w:p w14:paraId="114B697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11.589</w:t>
            </w:r>
          </w:p>
        </w:tc>
        <w:tc>
          <w:tcPr>
            <w:tcW w:w="1024" w:type="dxa"/>
            <w:tcBorders>
              <w:top w:val="nil"/>
              <w:left w:val="nil"/>
              <w:bottom w:val="nil"/>
              <w:right w:val="nil"/>
            </w:tcBorders>
            <w:shd w:val="clear" w:color="auto" w:fill="auto"/>
            <w:noWrap/>
            <w:vAlign w:val="bottom"/>
            <w:hideMark/>
          </w:tcPr>
          <w:p w14:paraId="151AA6F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-24.699</w:t>
            </w:r>
          </w:p>
        </w:tc>
        <w:tc>
          <w:tcPr>
            <w:tcW w:w="1024" w:type="dxa"/>
            <w:tcBorders>
              <w:top w:val="nil"/>
              <w:left w:val="nil"/>
              <w:bottom w:val="nil"/>
              <w:right w:val="nil"/>
            </w:tcBorders>
            <w:shd w:val="clear" w:color="auto" w:fill="auto"/>
            <w:noWrap/>
            <w:vAlign w:val="bottom"/>
            <w:hideMark/>
          </w:tcPr>
          <w:p w14:paraId="3A853C2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-6.663</w:t>
            </w:r>
          </w:p>
        </w:tc>
        <w:tc>
          <w:tcPr>
            <w:tcW w:w="1020" w:type="dxa"/>
            <w:tcBorders>
              <w:top w:val="nil"/>
              <w:left w:val="nil"/>
              <w:bottom w:val="nil"/>
              <w:right w:val="nil"/>
            </w:tcBorders>
            <w:shd w:val="clear" w:color="auto" w:fill="auto"/>
            <w:noWrap/>
            <w:vAlign w:val="bottom"/>
            <w:hideMark/>
          </w:tcPr>
          <w:p w14:paraId="2461BB3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-55.798</w:t>
            </w:r>
          </w:p>
        </w:tc>
        <w:tc>
          <w:tcPr>
            <w:tcW w:w="1440" w:type="dxa"/>
            <w:tcBorders>
              <w:top w:val="nil"/>
              <w:left w:val="nil"/>
              <w:bottom w:val="nil"/>
              <w:right w:val="nil"/>
            </w:tcBorders>
            <w:shd w:val="clear" w:color="auto" w:fill="auto"/>
            <w:noWrap/>
            <w:vAlign w:val="bottom"/>
            <w:hideMark/>
          </w:tcPr>
          <w:p w14:paraId="54585AB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87.563</w:t>
            </w:r>
          </w:p>
        </w:tc>
      </w:tr>
      <w:tr w:rsidR="00E71A86" w:rsidRPr="00E71A86" w14:paraId="2D4AEDAD" w14:textId="77777777" w:rsidTr="00AB1693">
        <w:trPr>
          <w:trHeight w:val="250"/>
        </w:trPr>
        <w:tc>
          <w:tcPr>
            <w:tcW w:w="1087" w:type="dxa"/>
            <w:tcBorders>
              <w:top w:val="nil"/>
              <w:left w:val="nil"/>
              <w:bottom w:val="nil"/>
              <w:right w:val="nil"/>
            </w:tcBorders>
            <w:shd w:val="clear" w:color="auto" w:fill="auto"/>
            <w:noWrap/>
            <w:vAlign w:val="bottom"/>
            <w:hideMark/>
          </w:tcPr>
          <w:p w14:paraId="30B8374D"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27" w:type="dxa"/>
            <w:tcBorders>
              <w:top w:val="nil"/>
              <w:left w:val="nil"/>
              <w:bottom w:val="nil"/>
              <w:right w:val="nil"/>
            </w:tcBorders>
            <w:shd w:val="clear" w:color="auto" w:fill="auto"/>
            <w:noWrap/>
            <w:vAlign w:val="bottom"/>
            <w:hideMark/>
          </w:tcPr>
          <w:p w14:paraId="262E50C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13.767</w:t>
            </w:r>
          </w:p>
        </w:tc>
        <w:tc>
          <w:tcPr>
            <w:tcW w:w="1038" w:type="dxa"/>
            <w:tcBorders>
              <w:top w:val="nil"/>
              <w:left w:val="nil"/>
              <w:bottom w:val="nil"/>
              <w:right w:val="nil"/>
            </w:tcBorders>
            <w:shd w:val="clear" w:color="auto" w:fill="auto"/>
            <w:noWrap/>
            <w:vAlign w:val="bottom"/>
            <w:hideMark/>
          </w:tcPr>
          <w:p w14:paraId="59DE9B6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29.694</w:t>
            </w:r>
          </w:p>
        </w:tc>
        <w:tc>
          <w:tcPr>
            <w:tcW w:w="1024" w:type="dxa"/>
            <w:tcBorders>
              <w:top w:val="nil"/>
              <w:left w:val="nil"/>
              <w:bottom w:val="nil"/>
              <w:right w:val="nil"/>
            </w:tcBorders>
            <w:shd w:val="clear" w:color="auto" w:fill="auto"/>
            <w:noWrap/>
            <w:vAlign w:val="bottom"/>
            <w:hideMark/>
          </w:tcPr>
          <w:p w14:paraId="4BFD34A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-38.195</w:t>
            </w:r>
          </w:p>
        </w:tc>
        <w:tc>
          <w:tcPr>
            <w:tcW w:w="1024" w:type="dxa"/>
            <w:tcBorders>
              <w:top w:val="nil"/>
              <w:left w:val="nil"/>
              <w:bottom w:val="nil"/>
              <w:right w:val="nil"/>
            </w:tcBorders>
            <w:shd w:val="clear" w:color="auto" w:fill="auto"/>
            <w:noWrap/>
            <w:vAlign w:val="bottom"/>
            <w:hideMark/>
          </w:tcPr>
          <w:p w14:paraId="4BD8FFB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-1.212</w:t>
            </w:r>
          </w:p>
        </w:tc>
        <w:tc>
          <w:tcPr>
            <w:tcW w:w="1020" w:type="dxa"/>
            <w:tcBorders>
              <w:top w:val="nil"/>
              <w:left w:val="nil"/>
              <w:bottom w:val="nil"/>
              <w:right w:val="nil"/>
            </w:tcBorders>
            <w:shd w:val="clear" w:color="auto" w:fill="auto"/>
            <w:noWrap/>
            <w:vAlign w:val="bottom"/>
            <w:hideMark/>
          </w:tcPr>
          <w:p w14:paraId="5ED8148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-4.145</w:t>
            </w:r>
          </w:p>
        </w:tc>
        <w:tc>
          <w:tcPr>
            <w:tcW w:w="1440" w:type="dxa"/>
            <w:tcBorders>
              <w:top w:val="nil"/>
              <w:left w:val="nil"/>
              <w:bottom w:val="nil"/>
              <w:right w:val="nil"/>
            </w:tcBorders>
            <w:shd w:val="clear" w:color="auto" w:fill="auto"/>
            <w:noWrap/>
            <w:vAlign w:val="bottom"/>
            <w:hideMark/>
          </w:tcPr>
          <w:p w14:paraId="22979C11"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43.461</w:t>
            </w:r>
          </w:p>
        </w:tc>
      </w:tr>
      <w:tr w:rsidR="00E71A86" w:rsidRPr="00E71A86" w14:paraId="5F79F45C" w14:textId="77777777" w:rsidTr="00AB1693">
        <w:trPr>
          <w:trHeight w:val="250"/>
        </w:trPr>
        <w:tc>
          <w:tcPr>
            <w:tcW w:w="1087" w:type="dxa"/>
            <w:tcBorders>
              <w:top w:val="nil"/>
              <w:left w:val="nil"/>
              <w:bottom w:val="nil"/>
              <w:right w:val="nil"/>
            </w:tcBorders>
            <w:shd w:val="clear" w:color="auto" w:fill="auto"/>
            <w:noWrap/>
            <w:vAlign w:val="bottom"/>
            <w:hideMark/>
          </w:tcPr>
          <w:p w14:paraId="2E8CD3D9"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27" w:type="dxa"/>
            <w:tcBorders>
              <w:top w:val="nil"/>
              <w:left w:val="nil"/>
              <w:bottom w:val="nil"/>
              <w:right w:val="nil"/>
            </w:tcBorders>
            <w:shd w:val="clear" w:color="auto" w:fill="auto"/>
            <w:noWrap/>
            <w:vAlign w:val="bottom"/>
            <w:hideMark/>
          </w:tcPr>
          <w:p w14:paraId="6BA8090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40.947</w:t>
            </w:r>
          </w:p>
        </w:tc>
        <w:tc>
          <w:tcPr>
            <w:tcW w:w="1038" w:type="dxa"/>
            <w:tcBorders>
              <w:top w:val="nil"/>
              <w:left w:val="nil"/>
              <w:bottom w:val="nil"/>
              <w:right w:val="nil"/>
            </w:tcBorders>
            <w:shd w:val="clear" w:color="auto" w:fill="auto"/>
            <w:noWrap/>
            <w:vAlign w:val="bottom"/>
            <w:hideMark/>
          </w:tcPr>
          <w:p w14:paraId="286FC357"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26.868</w:t>
            </w:r>
          </w:p>
        </w:tc>
        <w:tc>
          <w:tcPr>
            <w:tcW w:w="1024" w:type="dxa"/>
            <w:tcBorders>
              <w:top w:val="nil"/>
              <w:left w:val="nil"/>
              <w:bottom w:val="nil"/>
              <w:right w:val="nil"/>
            </w:tcBorders>
            <w:shd w:val="clear" w:color="auto" w:fill="auto"/>
            <w:noWrap/>
            <w:vAlign w:val="bottom"/>
            <w:hideMark/>
          </w:tcPr>
          <w:p w14:paraId="62A59A13"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-35.341</w:t>
            </w:r>
          </w:p>
        </w:tc>
        <w:tc>
          <w:tcPr>
            <w:tcW w:w="1024" w:type="dxa"/>
            <w:tcBorders>
              <w:top w:val="nil"/>
              <w:left w:val="nil"/>
              <w:bottom w:val="nil"/>
              <w:right w:val="nil"/>
            </w:tcBorders>
            <w:shd w:val="clear" w:color="auto" w:fill="auto"/>
            <w:noWrap/>
            <w:vAlign w:val="bottom"/>
            <w:hideMark/>
          </w:tcPr>
          <w:p w14:paraId="0614B0F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-20.541</w:t>
            </w:r>
          </w:p>
        </w:tc>
        <w:tc>
          <w:tcPr>
            <w:tcW w:w="1020" w:type="dxa"/>
            <w:tcBorders>
              <w:top w:val="nil"/>
              <w:left w:val="nil"/>
              <w:bottom w:val="nil"/>
              <w:right w:val="nil"/>
            </w:tcBorders>
            <w:shd w:val="clear" w:color="auto" w:fill="auto"/>
            <w:noWrap/>
            <w:vAlign w:val="bottom"/>
            <w:hideMark/>
          </w:tcPr>
          <w:p w14:paraId="62D5699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-12.473</w:t>
            </w:r>
          </w:p>
        </w:tc>
        <w:tc>
          <w:tcPr>
            <w:tcW w:w="1440" w:type="dxa"/>
            <w:tcBorders>
              <w:top w:val="nil"/>
              <w:left w:val="nil"/>
              <w:bottom w:val="nil"/>
              <w:right w:val="nil"/>
            </w:tcBorders>
            <w:shd w:val="clear" w:color="auto" w:fill="auto"/>
            <w:noWrap/>
            <w:vAlign w:val="bottom"/>
            <w:hideMark/>
          </w:tcPr>
          <w:p w14:paraId="3041983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67.815</w:t>
            </w:r>
          </w:p>
        </w:tc>
      </w:tr>
      <w:tr w:rsidR="00E71A86" w:rsidRPr="00E71A86" w14:paraId="7F974365" w14:textId="77777777" w:rsidTr="00AB1693">
        <w:trPr>
          <w:trHeight w:val="250"/>
        </w:trPr>
        <w:tc>
          <w:tcPr>
            <w:tcW w:w="1087" w:type="dxa"/>
            <w:tcBorders>
              <w:top w:val="nil"/>
              <w:left w:val="nil"/>
              <w:bottom w:val="nil"/>
              <w:right w:val="nil"/>
            </w:tcBorders>
            <w:shd w:val="clear" w:color="auto" w:fill="auto"/>
            <w:noWrap/>
            <w:vAlign w:val="bottom"/>
            <w:hideMark/>
          </w:tcPr>
          <w:p w14:paraId="64A060F6"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c>
          <w:tcPr>
            <w:tcW w:w="927" w:type="dxa"/>
            <w:tcBorders>
              <w:top w:val="nil"/>
              <w:left w:val="nil"/>
              <w:bottom w:val="nil"/>
              <w:right w:val="nil"/>
            </w:tcBorders>
            <w:shd w:val="clear" w:color="auto" w:fill="auto"/>
            <w:noWrap/>
            <w:vAlign w:val="bottom"/>
            <w:hideMark/>
          </w:tcPr>
          <w:p w14:paraId="77B49AA6"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38" w:type="dxa"/>
            <w:tcBorders>
              <w:top w:val="nil"/>
              <w:left w:val="nil"/>
              <w:bottom w:val="nil"/>
              <w:right w:val="nil"/>
            </w:tcBorders>
            <w:shd w:val="clear" w:color="auto" w:fill="auto"/>
            <w:noWrap/>
            <w:vAlign w:val="bottom"/>
            <w:hideMark/>
          </w:tcPr>
          <w:p w14:paraId="669DD7FA"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4" w:type="dxa"/>
            <w:tcBorders>
              <w:top w:val="nil"/>
              <w:left w:val="nil"/>
              <w:bottom w:val="nil"/>
              <w:right w:val="nil"/>
            </w:tcBorders>
            <w:shd w:val="clear" w:color="auto" w:fill="auto"/>
            <w:noWrap/>
            <w:vAlign w:val="bottom"/>
            <w:hideMark/>
          </w:tcPr>
          <w:p w14:paraId="50736D75"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4" w:type="dxa"/>
            <w:tcBorders>
              <w:top w:val="nil"/>
              <w:left w:val="nil"/>
              <w:bottom w:val="nil"/>
              <w:right w:val="nil"/>
            </w:tcBorders>
            <w:shd w:val="clear" w:color="auto" w:fill="auto"/>
            <w:noWrap/>
            <w:vAlign w:val="bottom"/>
            <w:hideMark/>
          </w:tcPr>
          <w:p w14:paraId="773B00F6"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0" w:type="dxa"/>
            <w:tcBorders>
              <w:top w:val="nil"/>
              <w:left w:val="nil"/>
              <w:bottom w:val="nil"/>
              <w:right w:val="nil"/>
            </w:tcBorders>
            <w:shd w:val="clear" w:color="auto" w:fill="auto"/>
            <w:noWrap/>
            <w:vAlign w:val="bottom"/>
            <w:hideMark/>
          </w:tcPr>
          <w:p w14:paraId="2DA0C6F1"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440" w:type="dxa"/>
            <w:tcBorders>
              <w:top w:val="nil"/>
              <w:left w:val="nil"/>
              <w:bottom w:val="nil"/>
              <w:right w:val="nil"/>
            </w:tcBorders>
            <w:shd w:val="clear" w:color="auto" w:fill="auto"/>
            <w:noWrap/>
            <w:vAlign w:val="bottom"/>
            <w:hideMark/>
          </w:tcPr>
          <w:p w14:paraId="0BFCE2D9"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r>
      <w:tr w:rsidR="00E71A86" w:rsidRPr="00E71A86" w14:paraId="01918E61" w14:textId="77777777" w:rsidTr="00AB1693">
        <w:trPr>
          <w:trHeight w:val="290"/>
        </w:trPr>
        <w:tc>
          <w:tcPr>
            <w:tcW w:w="3052" w:type="dxa"/>
            <w:gridSpan w:val="3"/>
            <w:tcBorders>
              <w:top w:val="nil"/>
              <w:left w:val="nil"/>
              <w:bottom w:val="nil"/>
              <w:right w:val="nil"/>
            </w:tcBorders>
            <w:shd w:val="clear" w:color="auto" w:fill="auto"/>
            <w:noWrap/>
            <w:vAlign w:val="bottom"/>
            <w:hideMark/>
          </w:tcPr>
          <w:p w14:paraId="69016C1B" w14:textId="77777777" w:rsidR="00E71A86" w:rsidRPr="00E71A86" w:rsidRDefault="00E71A86" w:rsidP="00AB1693">
            <w:pPr>
              <w:spacing w:line="240" w:lineRule="auto"/>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Proportion of total load</w:t>
            </w:r>
          </w:p>
        </w:tc>
        <w:tc>
          <w:tcPr>
            <w:tcW w:w="1024" w:type="dxa"/>
            <w:tcBorders>
              <w:top w:val="nil"/>
              <w:left w:val="nil"/>
              <w:bottom w:val="nil"/>
              <w:right w:val="nil"/>
            </w:tcBorders>
            <w:shd w:val="clear" w:color="auto" w:fill="auto"/>
            <w:noWrap/>
            <w:vAlign w:val="bottom"/>
            <w:hideMark/>
          </w:tcPr>
          <w:p w14:paraId="769D2FBB" w14:textId="77777777" w:rsidR="00E71A86" w:rsidRPr="00E71A86" w:rsidRDefault="00E71A86" w:rsidP="00AB1693">
            <w:pPr>
              <w:spacing w:line="240" w:lineRule="auto"/>
              <w:rPr>
                <w:rFonts w:ascii="Times New Roman" w:eastAsia="Times New Roman" w:hAnsi="Times New Roman" w:cs="Times New Roman"/>
                <w:b/>
                <w:bCs/>
                <w:sz w:val="24"/>
                <w:szCs w:val="24"/>
              </w:rPr>
            </w:pPr>
          </w:p>
        </w:tc>
        <w:tc>
          <w:tcPr>
            <w:tcW w:w="1024" w:type="dxa"/>
            <w:tcBorders>
              <w:top w:val="nil"/>
              <w:left w:val="nil"/>
              <w:bottom w:val="nil"/>
              <w:right w:val="nil"/>
            </w:tcBorders>
            <w:shd w:val="clear" w:color="auto" w:fill="auto"/>
            <w:noWrap/>
            <w:vAlign w:val="bottom"/>
            <w:hideMark/>
          </w:tcPr>
          <w:p w14:paraId="073D16AB"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0" w:type="dxa"/>
            <w:tcBorders>
              <w:top w:val="nil"/>
              <w:left w:val="nil"/>
              <w:bottom w:val="nil"/>
              <w:right w:val="nil"/>
            </w:tcBorders>
            <w:shd w:val="clear" w:color="auto" w:fill="auto"/>
            <w:noWrap/>
            <w:vAlign w:val="bottom"/>
            <w:hideMark/>
          </w:tcPr>
          <w:p w14:paraId="4D9B49CE"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440" w:type="dxa"/>
            <w:tcBorders>
              <w:top w:val="nil"/>
              <w:left w:val="nil"/>
              <w:bottom w:val="nil"/>
              <w:right w:val="nil"/>
            </w:tcBorders>
            <w:shd w:val="clear" w:color="auto" w:fill="auto"/>
            <w:noWrap/>
            <w:vAlign w:val="bottom"/>
            <w:hideMark/>
          </w:tcPr>
          <w:p w14:paraId="596B39B4"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r>
      <w:tr w:rsidR="00E71A86" w:rsidRPr="00E71A86" w14:paraId="49E5D1A3" w14:textId="77777777" w:rsidTr="00AB1693">
        <w:trPr>
          <w:trHeight w:val="250"/>
        </w:trPr>
        <w:tc>
          <w:tcPr>
            <w:tcW w:w="1087" w:type="dxa"/>
            <w:tcBorders>
              <w:top w:val="nil"/>
              <w:left w:val="nil"/>
              <w:bottom w:val="nil"/>
              <w:right w:val="nil"/>
            </w:tcBorders>
            <w:shd w:val="clear" w:color="auto" w:fill="auto"/>
            <w:noWrap/>
            <w:vAlign w:val="bottom"/>
            <w:hideMark/>
          </w:tcPr>
          <w:p w14:paraId="480FC680"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27" w:type="dxa"/>
            <w:tcBorders>
              <w:top w:val="nil"/>
              <w:left w:val="nil"/>
              <w:bottom w:val="nil"/>
              <w:right w:val="nil"/>
            </w:tcBorders>
            <w:shd w:val="clear" w:color="auto" w:fill="auto"/>
            <w:noWrap/>
            <w:vAlign w:val="bottom"/>
            <w:hideMark/>
          </w:tcPr>
          <w:p w14:paraId="203EFD3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0.543</w:t>
            </w:r>
          </w:p>
        </w:tc>
        <w:tc>
          <w:tcPr>
            <w:tcW w:w="1038" w:type="dxa"/>
            <w:tcBorders>
              <w:top w:val="nil"/>
              <w:left w:val="nil"/>
              <w:bottom w:val="nil"/>
              <w:right w:val="nil"/>
            </w:tcBorders>
            <w:shd w:val="clear" w:color="auto" w:fill="auto"/>
            <w:noWrap/>
            <w:vAlign w:val="bottom"/>
            <w:hideMark/>
          </w:tcPr>
          <w:p w14:paraId="2B85B8D8"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0.457</w:t>
            </w:r>
          </w:p>
        </w:tc>
        <w:tc>
          <w:tcPr>
            <w:tcW w:w="1024" w:type="dxa"/>
            <w:tcBorders>
              <w:top w:val="nil"/>
              <w:left w:val="nil"/>
              <w:bottom w:val="nil"/>
              <w:right w:val="nil"/>
            </w:tcBorders>
            <w:shd w:val="clear" w:color="auto" w:fill="auto"/>
            <w:noWrap/>
            <w:vAlign w:val="bottom"/>
            <w:hideMark/>
          </w:tcPr>
          <w:p w14:paraId="44110C5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-0.684</w:t>
            </w:r>
          </w:p>
        </w:tc>
        <w:tc>
          <w:tcPr>
            <w:tcW w:w="1024" w:type="dxa"/>
            <w:tcBorders>
              <w:top w:val="nil"/>
              <w:left w:val="nil"/>
              <w:bottom w:val="nil"/>
              <w:right w:val="nil"/>
            </w:tcBorders>
            <w:shd w:val="clear" w:color="auto" w:fill="auto"/>
            <w:noWrap/>
            <w:vAlign w:val="bottom"/>
            <w:hideMark/>
          </w:tcPr>
          <w:p w14:paraId="5D131F3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-0.073</w:t>
            </w:r>
          </w:p>
        </w:tc>
        <w:tc>
          <w:tcPr>
            <w:tcW w:w="1020" w:type="dxa"/>
            <w:tcBorders>
              <w:top w:val="nil"/>
              <w:left w:val="nil"/>
              <w:bottom w:val="nil"/>
              <w:right w:val="nil"/>
            </w:tcBorders>
            <w:shd w:val="clear" w:color="auto" w:fill="auto"/>
            <w:noWrap/>
            <w:vAlign w:val="bottom"/>
            <w:hideMark/>
          </w:tcPr>
          <w:p w14:paraId="41A1C1B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-0.232</w:t>
            </w:r>
          </w:p>
        </w:tc>
        <w:tc>
          <w:tcPr>
            <w:tcW w:w="1440" w:type="dxa"/>
            <w:tcBorders>
              <w:top w:val="nil"/>
              <w:left w:val="nil"/>
              <w:bottom w:val="nil"/>
              <w:right w:val="nil"/>
            </w:tcBorders>
            <w:shd w:val="clear" w:color="auto" w:fill="auto"/>
            <w:noWrap/>
            <w:vAlign w:val="bottom"/>
            <w:hideMark/>
          </w:tcPr>
          <w:p w14:paraId="7590AA65"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503A983F" w14:textId="77777777" w:rsidTr="00AB1693">
        <w:trPr>
          <w:trHeight w:val="250"/>
        </w:trPr>
        <w:tc>
          <w:tcPr>
            <w:tcW w:w="1087" w:type="dxa"/>
            <w:tcBorders>
              <w:top w:val="nil"/>
              <w:left w:val="nil"/>
              <w:bottom w:val="nil"/>
              <w:right w:val="nil"/>
            </w:tcBorders>
            <w:shd w:val="clear" w:color="auto" w:fill="auto"/>
            <w:noWrap/>
            <w:vAlign w:val="bottom"/>
            <w:hideMark/>
          </w:tcPr>
          <w:p w14:paraId="10A83841"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27" w:type="dxa"/>
            <w:tcBorders>
              <w:top w:val="nil"/>
              <w:left w:val="nil"/>
              <w:bottom w:val="nil"/>
              <w:right w:val="nil"/>
            </w:tcBorders>
            <w:shd w:val="clear" w:color="auto" w:fill="auto"/>
            <w:noWrap/>
            <w:vAlign w:val="bottom"/>
            <w:hideMark/>
          </w:tcPr>
          <w:p w14:paraId="2082C78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0.543</w:t>
            </w:r>
          </w:p>
        </w:tc>
        <w:tc>
          <w:tcPr>
            <w:tcW w:w="1038" w:type="dxa"/>
            <w:tcBorders>
              <w:top w:val="nil"/>
              <w:left w:val="nil"/>
              <w:bottom w:val="nil"/>
              <w:right w:val="nil"/>
            </w:tcBorders>
            <w:shd w:val="clear" w:color="auto" w:fill="auto"/>
            <w:noWrap/>
            <w:vAlign w:val="bottom"/>
            <w:hideMark/>
          </w:tcPr>
          <w:p w14:paraId="542CEBBE"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0.457</w:t>
            </w:r>
          </w:p>
        </w:tc>
        <w:tc>
          <w:tcPr>
            <w:tcW w:w="1024" w:type="dxa"/>
            <w:tcBorders>
              <w:top w:val="nil"/>
              <w:left w:val="nil"/>
              <w:bottom w:val="nil"/>
              <w:right w:val="nil"/>
            </w:tcBorders>
            <w:shd w:val="clear" w:color="auto" w:fill="auto"/>
            <w:noWrap/>
            <w:vAlign w:val="bottom"/>
            <w:hideMark/>
          </w:tcPr>
          <w:p w14:paraId="5A5CBB3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-0.146</w:t>
            </w:r>
          </w:p>
        </w:tc>
        <w:tc>
          <w:tcPr>
            <w:tcW w:w="1024" w:type="dxa"/>
            <w:tcBorders>
              <w:top w:val="nil"/>
              <w:left w:val="nil"/>
              <w:bottom w:val="nil"/>
              <w:right w:val="nil"/>
            </w:tcBorders>
            <w:shd w:val="clear" w:color="auto" w:fill="auto"/>
            <w:noWrap/>
            <w:vAlign w:val="bottom"/>
            <w:hideMark/>
          </w:tcPr>
          <w:p w14:paraId="32878CC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-0.369</w:t>
            </w:r>
          </w:p>
        </w:tc>
        <w:tc>
          <w:tcPr>
            <w:tcW w:w="1020" w:type="dxa"/>
            <w:tcBorders>
              <w:top w:val="nil"/>
              <w:left w:val="nil"/>
              <w:bottom w:val="nil"/>
              <w:right w:val="nil"/>
            </w:tcBorders>
            <w:shd w:val="clear" w:color="auto" w:fill="auto"/>
            <w:noWrap/>
            <w:vAlign w:val="bottom"/>
            <w:hideMark/>
          </w:tcPr>
          <w:p w14:paraId="153110B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-0.499</w:t>
            </w:r>
          </w:p>
        </w:tc>
        <w:tc>
          <w:tcPr>
            <w:tcW w:w="1440" w:type="dxa"/>
            <w:tcBorders>
              <w:top w:val="nil"/>
              <w:left w:val="nil"/>
              <w:bottom w:val="nil"/>
              <w:right w:val="nil"/>
            </w:tcBorders>
            <w:shd w:val="clear" w:color="auto" w:fill="auto"/>
            <w:noWrap/>
            <w:vAlign w:val="bottom"/>
            <w:hideMark/>
          </w:tcPr>
          <w:p w14:paraId="165B8644"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5B9749D0" w14:textId="77777777" w:rsidTr="00AB1693">
        <w:trPr>
          <w:trHeight w:val="250"/>
        </w:trPr>
        <w:tc>
          <w:tcPr>
            <w:tcW w:w="1087" w:type="dxa"/>
            <w:tcBorders>
              <w:top w:val="nil"/>
              <w:left w:val="nil"/>
              <w:bottom w:val="nil"/>
              <w:right w:val="nil"/>
            </w:tcBorders>
            <w:shd w:val="clear" w:color="auto" w:fill="auto"/>
            <w:noWrap/>
            <w:vAlign w:val="bottom"/>
            <w:hideMark/>
          </w:tcPr>
          <w:p w14:paraId="72EF95E8"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927" w:type="dxa"/>
            <w:tcBorders>
              <w:top w:val="nil"/>
              <w:left w:val="nil"/>
              <w:bottom w:val="nil"/>
              <w:right w:val="nil"/>
            </w:tcBorders>
            <w:shd w:val="clear" w:color="auto" w:fill="auto"/>
            <w:noWrap/>
            <w:vAlign w:val="bottom"/>
            <w:hideMark/>
          </w:tcPr>
          <w:p w14:paraId="6C56CA2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0.868</w:t>
            </w:r>
          </w:p>
        </w:tc>
        <w:tc>
          <w:tcPr>
            <w:tcW w:w="1038" w:type="dxa"/>
            <w:tcBorders>
              <w:top w:val="nil"/>
              <w:left w:val="nil"/>
              <w:bottom w:val="nil"/>
              <w:right w:val="nil"/>
            </w:tcBorders>
            <w:shd w:val="clear" w:color="auto" w:fill="auto"/>
            <w:noWrap/>
            <w:vAlign w:val="bottom"/>
            <w:hideMark/>
          </w:tcPr>
          <w:p w14:paraId="5895671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0.132</w:t>
            </w:r>
          </w:p>
        </w:tc>
        <w:tc>
          <w:tcPr>
            <w:tcW w:w="1024" w:type="dxa"/>
            <w:tcBorders>
              <w:top w:val="nil"/>
              <w:left w:val="nil"/>
              <w:bottom w:val="nil"/>
              <w:right w:val="nil"/>
            </w:tcBorders>
            <w:shd w:val="clear" w:color="auto" w:fill="auto"/>
            <w:noWrap/>
            <w:vAlign w:val="bottom"/>
            <w:hideMark/>
          </w:tcPr>
          <w:p w14:paraId="76A00CF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-0.282</w:t>
            </w:r>
          </w:p>
        </w:tc>
        <w:tc>
          <w:tcPr>
            <w:tcW w:w="1024" w:type="dxa"/>
            <w:tcBorders>
              <w:top w:val="nil"/>
              <w:left w:val="nil"/>
              <w:bottom w:val="nil"/>
              <w:right w:val="nil"/>
            </w:tcBorders>
            <w:shd w:val="clear" w:color="auto" w:fill="auto"/>
            <w:noWrap/>
            <w:vAlign w:val="bottom"/>
            <w:hideMark/>
          </w:tcPr>
          <w:p w14:paraId="751DF0A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-0.076</w:t>
            </w:r>
          </w:p>
        </w:tc>
        <w:tc>
          <w:tcPr>
            <w:tcW w:w="1020" w:type="dxa"/>
            <w:tcBorders>
              <w:top w:val="nil"/>
              <w:left w:val="nil"/>
              <w:bottom w:val="nil"/>
              <w:right w:val="nil"/>
            </w:tcBorders>
            <w:shd w:val="clear" w:color="auto" w:fill="auto"/>
            <w:noWrap/>
            <w:vAlign w:val="bottom"/>
            <w:hideMark/>
          </w:tcPr>
          <w:p w14:paraId="18A685B3"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-0.637</w:t>
            </w:r>
          </w:p>
        </w:tc>
        <w:tc>
          <w:tcPr>
            <w:tcW w:w="1440" w:type="dxa"/>
            <w:tcBorders>
              <w:top w:val="nil"/>
              <w:left w:val="nil"/>
              <w:bottom w:val="nil"/>
              <w:right w:val="nil"/>
            </w:tcBorders>
            <w:shd w:val="clear" w:color="auto" w:fill="auto"/>
            <w:noWrap/>
            <w:vAlign w:val="bottom"/>
            <w:hideMark/>
          </w:tcPr>
          <w:p w14:paraId="4763D2B5"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772B083C" w14:textId="77777777" w:rsidTr="00AB1693">
        <w:trPr>
          <w:trHeight w:val="250"/>
        </w:trPr>
        <w:tc>
          <w:tcPr>
            <w:tcW w:w="1087" w:type="dxa"/>
            <w:tcBorders>
              <w:top w:val="nil"/>
              <w:left w:val="nil"/>
              <w:bottom w:val="nil"/>
              <w:right w:val="nil"/>
            </w:tcBorders>
            <w:shd w:val="clear" w:color="auto" w:fill="auto"/>
            <w:noWrap/>
            <w:vAlign w:val="bottom"/>
            <w:hideMark/>
          </w:tcPr>
          <w:p w14:paraId="55F78528"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27" w:type="dxa"/>
            <w:tcBorders>
              <w:top w:val="nil"/>
              <w:left w:val="nil"/>
              <w:bottom w:val="nil"/>
              <w:right w:val="nil"/>
            </w:tcBorders>
            <w:shd w:val="clear" w:color="auto" w:fill="auto"/>
            <w:noWrap/>
            <w:vAlign w:val="bottom"/>
            <w:hideMark/>
          </w:tcPr>
          <w:p w14:paraId="13BC2C2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0.317</w:t>
            </w:r>
          </w:p>
        </w:tc>
        <w:tc>
          <w:tcPr>
            <w:tcW w:w="1038" w:type="dxa"/>
            <w:tcBorders>
              <w:top w:val="nil"/>
              <w:left w:val="nil"/>
              <w:bottom w:val="nil"/>
              <w:right w:val="nil"/>
            </w:tcBorders>
            <w:shd w:val="clear" w:color="auto" w:fill="auto"/>
            <w:noWrap/>
            <w:vAlign w:val="bottom"/>
            <w:hideMark/>
          </w:tcPr>
          <w:p w14:paraId="34F64E6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0.683</w:t>
            </w:r>
          </w:p>
        </w:tc>
        <w:tc>
          <w:tcPr>
            <w:tcW w:w="1024" w:type="dxa"/>
            <w:tcBorders>
              <w:top w:val="nil"/>
              <w:left w:val="nil"/>
              <w:bottom w:val="nil"/>
              <w:right w:val="nil"/>
            </w:tcBorders>
            <w:shd w:val="clear" w:color="auto" w:fill="auto"/>
            <w:noWrap/>
            <w:vAlign w:val="bottom"/>
            <w:hideMark/>
          </w:tcPr>
          <w:p w14:paraId="682A796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-0.879</w:t>
            </w:r>
          </w:p>
        </w:tc>
        <w:tc>
          <w:tcPr>
            <w:tcW w:w="1024" w:type="dxa"/>
            <w:tcBorders>
              <w:top w:val="nil"/>
              <w:left w:val="nil"/>
              <w:bottom w:val="nil"/>
              <w:right w:val="nil"/>
            </w:tcBorders>
            <w:shd w:val="clear" w:color="auto" w:fill="auto"/>
            <w:noWrap/>
            <w:vAlign w:val="bottom"/>
            <w:hideMark/>
          </w:tcPr>
          <w:p w14:paraId="4080D9F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-0.028</w:t>
            </w:r>
          </w:p>
        </w:tc>
        <w:tc>
          <w:tcPr>
            <w:tcW w:w="1020" w:type="dxa"/>
            <w:tcBorders>
              <w:top w:val="nil"/>
              <w:left w:val="nil"/>
              <w:bottom w:val="nil"/>
              <w:right w:val="nil"/>
            </w:tcBorders>
            <w:shd w:val="clear" w:color="auto" w:fill="auto"/>
            <w:noWrap/>
            <w:vAlign w:val="bottom"/>
            <w:hideMark/>
          </w:tcPr>
          <w:p w14:paraId="2A366EE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-0.095</w:t>
            </w:r>
          </w:p>
        </w:tc>
        <w:tc>
          <w:tcPr>
            <w:tcW w:w="1440" w:type="dxa"/>
            <w:tcBorders>
              <w:top w:val="nil"/>
              <w:left w:val="nil"/>
              <w:bottom w:val="nil"/>
              <w:right w:val="nil"/>
            </w:tcBorders>
            <w:shd w:val="clear" w:color="auto" w:fill="auto"/>
            <w:noWrap/>
            <w:vAlign w:val="bottom"/>
            <w:hideMark/>
          </w:tcPr>
          <w:p w14:paraId="0549B17F"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26BD18A7" w14:textId="77777777" w:rsidTr="00AB1693">
        <w:trPr>
          <w:trHeight w:val="260"/>
        </w:trPr>
        <w:tc>
          <w:tcPr>
            <w:tcW w:w="1087" w:type="dxa"/>
            <w:tcBorders>
              <w:top w:val="nil"/>
              <w:left w:val="nil"/>
              <w:bottom w:val="single" w:sz="8" w:space="0" w:color="auto"/>
              <w:right w:val="nil"/>
            </w:tcBorders>
            <w:shd w:val="clear" w:color="auto" w:fill="auto"/>
            <w:noWrap/>
            <w:vAlign w:val="bottom"/>
            <w:hideMark/>
          </w:tcPr>
          <w:p w14:paraId="48E7E15A"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27" w:type="dxa"/>
            <w:tcBorders>
              <w:top w:val="nil"/>
              <w:left w:val="nil"/>
              <w:bottom w:val="single" w:sz="8" w:space="0" w:color="auto"/>
              <w:right w:val="nil"/>
            </w:tcBorders>
            <w:shd w:val="clear" w:color="auto" w:fill="auto"/>
            <w:noWrap/>
            <w:vAlign w:val="bottom"/>
            <w:hideMark/>
          </w:tcPr>
          <w:p w14:paraId="02BD27C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0.604</w:t>
            </w:r>
          </w:p>
        </w:tc>
        <w:tc>
          <w:tcPr>
            <w:tcW w:w="1038" w:type="dxa"/>
            <w:tcBorders>
              <w:top w:val="nil"/>
              <w:left w:val="nil"/>
              <w:bottom w:val="single" w:sz="8" w:space="0" w:color="auto"/>
              <w:right w:val="nil"/>
            </w:tcBorders>
            <w:shd w:val="clear" w:color="auto" w:fill="auto"/>
            <w:noWrap/>
            <w:vAlign w:val="bottom"/>
            <w:hideMark/>
          </w:tcPr>
          <w:p w14:paraId="2DAB5D8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0.396</w:t>
            </w:r>
          </w:p>
        </w:tc>
        <w:tc>
          <w:tcPr>
            <w:tcW w:w="1024" w:type="dxa"/>
            <w:tcBorders>
              <w:top w:val="nil"/>
              <w:left w:val="nil"/>
              <w:bottom w:val="single" w:sz="8" w:space="0" w:color="auto"/>
              <w:right w:val="nil"/>
            </w:tcBorders>
            <w:shd w:val="clear" w:color="auto" w:fill="auto"/>
            <w:noWrap/>
            <w:vAlign w:val="bottom"/>
            <w:hideMark/>
          </w:tcPr>
          <w:p w14:paraId="222FB6E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-0.521</w:t>
            </w:r>
          </w:p>
        </w:tc>
        <w:tc>
          <w:tcPr>
            <w:tcW w:w="1024" w:type="dxa"/>
            <w:tcBorders>
              <w:top w:val="nil"/>
              <w:left w:val="nil"/>
              <w:bottom w:val="single" w:sz="8" w:space="0" w:color="auto"/>
              <w:right w:val="nil"/>
            </w:tcBorders>
            <w:shd w:val="clear" w:color="auto" w:fill="auto"/>
            <w:noWrap/>
            <w:vAlign w:val="bottom"/>
            <w:hideMark/>
          </w:tcPr>
          <w:p w14:paraId="1B895307"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-0.303</w:t>
            </w:r>
          </w:p>
        </w:tc>
        <w:tc>
          <w:tcPr>
            <w:tcW w:w="1020" w:type="dxa"/>
            <w:tcBorders>
              <w:top w:val="nil"/>
              <w:left w:val="nil"/>
              <w:bottom w:val="single" w:sz="8" w:space="0" w:color="auto"/>
              <w:right w:val="nil"/>
            </w:tcBorders>
            <w:shd w:val="clear" w:color="auto" w:fill="auto"/>
            <w:noWrap/>
            <w:vAlign w:val="bottom"/>
            <w:hideMark/>
          </w:tcPr>
          <w:p w14:paraId="7E42FE78"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-0.184</w:t>
            </w:r>
          </w:p>
        </w:tc>
        <w:tc>
          <w:tcPr>
            <w:tcW w:w="1440" w:type="dxa"/>
            <w:tcBorders>
              <w:top w:val="nil"/>
              <w:left w:val="nil"/>
              <w:bottom w:val="single" w:sz="8" w:space="0" w:color="auto"/>
              <w:right w:val="nil"/>
            </w:tcBorders>
            <w:shd w:val="clear" w:color="auto" w:fill="auto"/>
            <w:noWrap/>
            <w:vAlign w:val="bottom"/>
            <w:hideMark/>
          </w:tcPr>
          <w:p w14:paraId="6B293402"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w:t>
            </w:r>
          </w:p>
        </w:tc>
      </w:tr>
    </w:tbl>
    <w:p w14:paraId="01702BAC" w14:textId="2B841C07" w:rsidR="000233C2" w:rsidRPr="00AB1693" w:rsidRDefault="00AB1693">
      <w:pPr>
        <w:rPr>
          <w:rFonts w:ascii="Times New Roman" w:eastAsia="Times New Roman" w:hAnsi="Times New Roman" w:cs="Times New Roman"/>
          <w:b/>
          <w:sz w:val="24"/>
          <w:szCs w:val="24"/>
        </w:rPr>
      </w:pPr>
      <w:r w:rsidRPr="00AB1693">
        <w:rPr>
          <w:rFonts w:ascii="Times New Roman" w:eastAsia="Times New Roman" w:hAnsi="Times New Roman" w:cs="Times New Roman"/>
          <w:b/>
          <w:sz w:val="24"/>
          <w:szCs w:val="24"/>
        </w:rPr>
        <w:t>Table 5. S</w:t>
      </w:r>
      <w:r w:rsidR="008535B2">
        <w:rPr>
          <w:rFonts w:ascii="Times New Roman" w:eastAsia="Times New Roman" w:hAnsi="Times New Roman" w:cs="Times New Roman"/>
          <w:b/>
          <w:sz w:val="24"/>
          <w:szCs w:val="24"/>
        </w:rPr>
        <w:t>ummary of mean mass balances (g m</w:t>
      </w:r>
      <w:r w:rsidR="008535B2">
        <w:rPr>
          <w:rFonts w:ascii="Times New Roman" w:eastAsia="Times New Roman" w:hAnsi="Times New Roman" w:cs="Times New Roman"/>
          <w:b/>
          <w:sz w:val="24"/>
          <w:szCs w:val="24"/>
          <w:vertAlign w:val="superscript"/>
        </w:rPr>
        <w:t>-2</w:t>
      </w:r>
      <w:r w:rsidR="008535B2">
        <w:rPr>
          <w:rFonts w:ascii="Times New Roman" w:eastAsia="Times New Roman" w:hAnsi="Times New Roman" w:cs="Times New Roman"/>
          <w:b/>
          <w:sz w:val="24"/>
          <w:szCs w:val="24"/>
        </w:rPr>
        <w:t xml:space="preserve"> </w:t>
      </w:r>
      <w:r w:rsidRPr="00AB1693">
        <w:rPr>
          <w:rFonts w:ascii="Times New Roman" w:eastAsia="Times New Roman" w:hAnsi="Times New Roman" w:cs="Times New Roman"/>
          <w:b/>
          <w:sz w:val="24"/>
          <w:szCs w:val="24"/>
        </w:rPr>
        <w:t>yr</w:t>
      </w:r>
      <w:r w:rsidR="008535B2">
        <w:rPr>
          <w:rFonts w:ascii="Times New Roman" w:eastAsia="Times New Roman" w:hAnsi="Times New Roman" w:cs="Times New Roman"/>
          <w:b/>
          <w:sz w:val="24"/>
          <w:szCs w:val="24"/>
          <w:vertAlign w:val="superscript"/>
        </w:rPr>
        <w:t>-1</w:t>
      </w:r>
      <w:r w:rsidRPr="00AB1693">
        <w:rPr>
          <w:rFonts w:ascii="Times New Roman" w:eastAsia="Times New Roman" w:hAnsi="Times New Roman" w:cs="Times New Roman"/>
          <w:b/>
          <w:sz w:val="24"/>
          <w:szCs w:val="24"/>
        </w:rPr>
        <w:t>)</w:t>
      </w:r>
    </w:p>
    <w:p w14:paraId="11DC87E9" w14:textId="77777777" w:rsidR="000233C2" w:rsidRDefault="000233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BC350A" w14:textId="77777777" w:rsidR="000233C2" w:rsidRDefault="000233C2">
      <w:pPr>
        <w:rPr>
          <w:rFonts w:ascii="Times New Roman" w:eastAsia="Times New Roman" w:hAnsi="Times New Roman" w:cs="Times New Roman"/>
          <w:sz w:val="24"/>
          <w:szCs w:val="24"/>
        </w:rPr>
        <w:sectPr w:rsidR="000233C2" w:rsidSect="00CC0821">
          <w:pgSz w:w="12240" w:h="15840"/>
          <w:pgMar w:top="1440" w:right="1440" w:bottom="1440" w:left="1440" w:header="0" w:footer="720" w:gutter="0"/>
          <w:pgNumType w:start="1"/>
          <w:cols w:space="720"/>
        </w:sectPr>
      </w:pPr>
    </w:p>
    <w:p w14:paraId="1011DE07" w14:textId="1CF56C06" w:rsidR="000233C2" w:rsidRDefault="000233C2" w:rsidP="000233C2">
      <w:pPr>
        <w:spacing w:line="480" w:lineRule="auto"/>
        <w:rPr>
          <w:rFonts w:ascii="Times New Roman" w:eastAsia="Times New Roman" w:hAnsi="Times New Roman" w:cs="Times New Roman"/>
          <w:b/>
          <w:sz w:val="24"/>
          <w:szCs w:val="24"/>
        </w:rPr>
      </w:pPr>
      <w:r w:rsidRPr="000233C2">
        <w:rPr>
          <w:rFonts w:ascii="Times New Roman" w:eastAsia="Times New Roman" w:hAnsi="Times New Roman" w:cs="Times New Roman"/>
          <w:b/>
          <w:sz w:val="24"/>
          <w:szCs w:val="24"/>
        </w:rPr>
        <w:lastRenderedPageBreak/>
        <w:t>FIGURE CAPTIONS</w:t>
      </w:r>
    </w:p>
    <w:p w14:paraId="6D755D65" w14:textId="7A36A4EF" w:rsidR="000233C2" w:rsidRDefault="000233C2" w:rsidP="000233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1. Conceptual model based on allocthonous and autochthonous inputs, burial, leaching of particulate organic carbon (POC) to dissolved organic carbon (DOC) and export.</w:t>
      </w:r>
    </w:p>
    <w:p w14:paraId="1D626ACC" w14:textId="77777777" w:rsidR="000233C2" w:rsidRDefault="000233C2" w:rsidP="000233C2">
      <w:pPr>
        <w:spacing w:line="480" w:lineRule="auto"/>
        <w:rPr>
          <w:rFonts w:ascii="Times New Roman" w:eastAsia="Times New Roman" w:hAnsi="Times New Roman" w:cs="Times New Roman"/>
          <w:sz w:val="24"/>
          <w:szCs w:val="24"/>
        </w:rPr>
      </w:pPr>
    </w:p>
    <w:p w14:paraId="4D2726A9" w14:textId="58F14AB6" w:rsidR="000233C2" w:rsidRDefault="000233C2" w:rsidP="000233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 Modeled vs. observed dissolved organic carbon (DOC) and dissolved oxygen (DO). </w:t>
      </w:r>
    </w:p>
    <w:p w14:paraId="3BCC1391" w14:textId="77777777" w:rsidR="000233C2" w:rsidRDefault="000233C2" w:rsidP="000233C2">
      <w:pPr>
        <w:spacing w:line="480" w:lineRule="auto"/>
        <w:rPr>
          <w:rFonts w:ascii="Times New Roman" w:eastAsia="Times New Roman" w:hAnsi="Times New Roman" w:cs="Times New Roman"/>
          <w:sz w:val="24"/>
          <w:szCs w:val="24"/>
        </w:rPr>
      </w:pPr>
    </w:p>
    <w:p w14:paraId="65049802" w14:textId="35EC4A9D" w:rsidR="000233C2" w:rsidRDefault="000233C2" w:rsidP="000233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 Sensitivity analysis for calibrated model parameters. Shaded areas represent the range of resulting modeled DOC based on the specified range of parameter values. Other parameter </w:t>
      </w:r>
      <w:r w:rsidRPr="000233C2">
        <w:rPr>
          <w:rFonts w:ascii="Times New Roman" w:eastAsia="Times New Roman" w:hAnsi="Times New Roman" w:cs="Times New Roman"/>
          <w:sz w:val="24"/>
          <w:szCs w:val="24"/>
        </w:rPr>
        <w:t>values were used at their calibrated values to test the sensitivity of a particular parameter.</w:t>
      </w:r>
    </w:p>
    <w:p w14:paraId="44F740C7" w14:textId="77777777" w:rsidR="000233C2" w:rsidRPr="000233C2" w:rsidRDefault="000233C2" w:rsidP="000233C2">
      <w:pPr>
        <w:spacing w:line="480" w:lineRule="auto"/>
        <w:rPr>
          <w:rFonts w:ascii="Times New Roman" w:eastAsia="Times New Roman" w:hAnsi="Times New Roman" w:cs="Times New Roman"/>
          <w:sz w:val="24"/>
          <w:szCs w:val="24"/>
        </w:rPr>
      </w:pPr>
    </w:p>
    <w:p w14:paraId="7280EB19" w14:textId="5BB64E98" w:rsidR="000233C2" w:rsidRDefault="000233C2" w:rsidP="000233C2">
      <w:pPr>
        <w:pStyle w:val="NormalWeb"/>
        <w:spacing w:before="0" w:beforeAutospacing="0" w:after="0" w:afterAutospacing="0" w:line="480" w:lineRule="auto"/>
        <w:rPr>
          <w:color w:val="000000"/>
        </w:rPr>
      </w:pPr>
      <w:r w:rsidRPr="000233C2">
        <w:t xml:space="preserve">Fig. 4. </w:t>
      </w:r>
      <w:r w:rsidRPr="000233C2">
        <w:rPr>
          <w:color w:val="000000"/>
        </w:rPr>
        <w:t>Tim</w:t>
      </w:r>
      <w:r>
        <w:rPr>
          <w:color w:val="000000"/>
        </w:rPr>
        <w:t>e series of organic carbon</w:t>
      </w:r>
      <w:r w:rsidRPr="000233C2">
        <w:rPr>
          <w:color w:val="000000"/>
        </w:rPr>
        <w:t xml:space="preserve"> fluxes and fates. Colored areas represent relative magnitudes among fluxes. Right column contains absolute values of export, burial and respiration. </w:t>
      </w:r>
      <w:r>
        <w:rPr>
          <w:color w:val="000000"/>
        </w:rPr>
        <w:t xml:space="preserve">Values were stacked on top of each other to show relative magnitudes. </w:t>
      </w:r>
      <w:r w:rsidRPr="000233C2">
        <w:rPr>
          <w:color w:val="000000"/>
        </w:rPr>
        <w:t>A lake is a net source when respiration exceeds burial.</w:t>
      </w:r>
      <w:r>
        <w:rPr>
          <w:color w:val="000000"/>
        </w:rPr>
        <w:t xml:space="preserve"> </w:t>
      </w:r>
    </w:p>
    <w:p w14:paraId="7BF1F99A" w14:textId="77777777" w:rsidR="000233C2" w:rsidRDefault="000233C2" w:rsidP="000233C2">
      <w:pPr>
        <w:pStyle w:val="NormalWeb"/>
        <w:spacing w:before="0" w:beforeAutospacing="0" w:after="0" w:afterAutospacing="0" w:line="480" w:lineRule="auto"/>
        <w:rPr>
          <w:color w:val="000000"/>
        </w:rPr>
      </w:pPr>
    </w:p>
    <w:p w14:paraId="6645DD1F" w14:textId="1862BCC6" w:rsidR="000233C2" w:rsidRDefault="000233C2" w:rsidP="000233C2">
      <w:pPr>
        <w:pStyle w:val="NormalWeb"/>
        <w:spacing w:before="0" w:beforeAutospacing="0" w:after="0" w:afterAutospacing="0" w:line="480" w:lineRule="auto"/>
        <w:rPr>
          <w:color w:val="000000"/>
        </w:rPr>
      </w:pPr>
      <w:r w:rsidRPr="000233C2">
        <w:rPr>
          <w:color w:val="000000"/>
        </w:rPr>
        <w:t>Fig. 5. Relationship between log-transformed (base 10) allochthony/autochthony and re</w:t>
      </w:r>
      <w:r w:rsidR="008535B2">
        <w:rPr>
          <w:color w:val="000000"/>
        </w:rPr>
        <w:t>spiration/burial (g m</w:t>
      </w:r>
      <w:r w:rsidR="008535B2">
        <w:rPr>
          <w:color w:val="000000"/>
          <w:vertAlign w:val="superscript"/>
        </w:rPr>
        <w:t xml:space="preserve">-2 </w:t>
      </w:r>
      <w:r>
        <w:rPr>
          <w:color w:val="000000"/>
        </w:rPr>
        <w:t>yr</w:t>
      </w:r>
      <w:r w:rsidR="008535B2">
        <w:rPr>
          <w:color w:val="000000"/>
          <w:vertAlign w:val="superscript"/>
        </w:rPr>
        <w:t>-1</w:t>
      </w:r>
      <w:r>
        <w:rPr>
          <w:color w:val="000000"/>
        </w:rPr>
        <w:t>) of organic carbon. The four quadrants in each figure represent dominant processes associated with these ratios.</w:t>
      </w:r>
    </w:p>
    <w:p w14:paraId="5B20339D" w14:textId="58B603D4" w:rsidR="00664D73" w:rsidRDefault="00664D73">
      <w:pPr>
        <w:rPr>
          <w:rFonts w:ascii="Times New Roman" w:eastAsia="Times New Roman" w:hAnsi="Times New Roman" w:cs="Times New Roman"/>
          <w:sz w:val="24"/>
          <w:szCs w:val="24"/>
        </w:rPr>
      </w:pPr>
      <w:r>
        <w:br w:type="page"/>
      </w:r>
    </w:p>
    <w:p w14:paraId="186EAA96" w14:textId="202F05D6"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6B16B108" w14:textId="605ADA1E" w:rsidR="00664D73" w:rsidRDefault="00B90A7A" w:rsidP="000233C2">
      <w:pPr>
        <w:pStyle w:val="NormalWeb"/>
        <w:spacing w:before="0" w:beforeAutospacing="0" w:after="0" w:afterAutospacing="0" w:line="480" w:lineRule="auto"/>
      </w:pPr>
      <w:r>
        <w:rPr>
          <w:noProof/>
        </w:rPr>
        <w:drawing>
          <wp:inline distT="0" distB="0" distL="0" distR="0" wp14:anchorId="0EF37EC1" wp14:editId="67197E13">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2E57D66D" w14:textId="52FFAC80" w:rsidR="00B90A7A" w:rsidRPr="00B90A7A" w:rsidRDefault="00B90A7A" w:rsidP="000233C2">
      <w:pPr>
        <w:pStyle w:val="NormalWeb"/>
        <w:spacing w:before="0" w:beforeAutospacing="0" w:after="0" w:afterAutospacing="0" w:line="480" w:lineRule="auto"/>
        <w:rPr>
          <w:b/>
        </w:rPr>
      </w:pPr>
      <w:r w:rsidRPr="00B90A7A">
        <w:rPr>
          <w:b/>
        </w:rPr>
        <w:t>Fig. 1.</w:t>
      </w:r>
    </w:p>
    <w:p w14:paraId="2EFE505E" w14:textId="109EAF3F" w:rsidR="00B90A7A" w:rsidRDefault="00B90A7A">
      <w:pPr>
        <w:rPr>
          <w:rFonts w:ascii="Times New Roman" w:eastAsia="Times New Roman" w:hAnsi="Times New Roman" w:cs="Times New Roman"/>
          <w:color w:val="auto"/>
          <w:sz w:val="24"/>
          <w:szCs w:val="24"/>
        </w:rPr>
      </w:pPr>
      <w:r>
        <w:br w:type="page"/>
      </w:r>
    </w:p>
    <w:p w14:paraId="32B5B0B2" w14:textId="56FF9A29" w:rsidR="00B90A7A" w:rsidRDefault="00B90A7A" w:rsidP="000233C2">
      <w:pPr>
        <w:pStyle w:val="NormalWeb"/>
        <w:spacing w:before="0" w:beforeAutospacing="0" w:after="0" w:afterAutospacing="0" w:line="480" w:lineRule="auto"/>
      </w:pPr>
      <w:r>
        <w:rPr>
          <w:noProof/>
        </w:rPr>
        <w:lastRenderedPageBreak/>
        <w:drawing>
          <wp:inline distT="0" distB="0" distL="0" distR="0" wp14:anchorId="23C09504" wp14:editId="6D2C64B4">
            <wp:extent cx="4655127"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26C9FF59" w14:textId="31819DCF" w:rsidR="00B90A7A" w:rsidRDefault="00B90A7A" w:rsidP="000233C2">
      <w:pPr>
        <w:pStyle w:val="NormalWeb"/>
        <w:spacing w:before="0" w:beforeAutospacing="0" w:after="0" w:afterAutospacing="0" w:line="480" w:lineRule="auto"/>
        <w:rPr>
          <w:b/>
        </w:rPr>
      </w:pPr>
      <w:r w:rsidRPr="00B90A7A">
        <w:rPr>
          <w:b/>
        </w:rPr>
        <w:t>Fig. 2.</w:t>
      </w:r>
    </w:p>
    <w:p w14:paraId="548FD515" w14:textId="3C3630CF" w:rsidR="00B90A7A" w:rsidRDefault="00B90A7A">
      <w:pPr>
        <w:rPr>
          <w:rFonts w:ascii="Times New Roman" w:eastAsia="Times New Roman" w:hAnsi="Times New Roman" w:cs="Times New Roman"/>
          <w:b/>
          <w:color w:val="auto"/>
          <w:sz w:val="24"/>
          <w:szCs w:val="24"/>
        </w:rPr>
      </w:pPr>
      <w:r>
        <w:rPr>
          <w:b/>
        </w:rPr>
        <w:br w:type="page"/>
      </w:r>
    </w:p>
    <w:p w14:paraId="05FB4E38" w14:textId="6D462DC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60C06618" wp14:editId="6604E685">
            <wp:extent cx="256032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0320" cy="6400800"/>
                    </a:xfrm>
                    <a:prstGeom prst="rect">
                      <a:avLst/>
                    </a:prstGeom>
                  </pic:spPr>
                </pic:pic>
              </a:graphicData>
            </a:graphic>
          </wp:inline>
        </w:drawing>
      </w:r>
    </w:p>
    <w:p w14:paraId="38561177" w14:textId="426485E9" w:rsidR="00B90A7A" w:rsidRDefault="00B90A7A" w:rsidP="000233C2">
      <w:pPr>
        <w:pStyle w:val="NormalWeb"/>
        <w:spacing w:before="0" w:beforeAutospacing="0" w:after="0" w:afterAutospacing="0" w:line="480" w:lineRule="auto"/>
        <w:rPr>
          <w:b/>
        </w:rPr>
      </w:pPr>
      <w:r>
        <w:rPr>
          <w:b/>
        </w:rPr>
        <w:t>Fig. 3.</w:t>
      </w:r>
    </w:p>
    <w:p w14:paraId="2572115D" w14:textId="77777777" w:rsidR="00B90A7A" w:rsidRDefault="00B90A7A">
      <w:pPr>
        <w:rPr>
          <w:rFonts w:ascii="Times New Roman" w:eastAsia="Times New Roman" w:hAnsi="Times New Roman" w:cs="Times New Roman"/>
          <w:b/>
          <w:color w:val="auto"/>
          <w:sz w:val="24"/>
          <w:szCs w:val="24"/>
        </w:rPr>
      </w:pPr>
      <w:r>
        <w:rPr>
          <w:b/>
        </w:rPr>
        <w:br w:type="page"/>
      </w:r>
    </w:p>
    <w:p w14:paraId="531E09A3" w14:textId="2786ED0D" w:rsidR="00B90A7A" w:rsidRDefault="00CD0058" w:rsidP="000233C2">
      <w:pPr>
        <w:pStyle w:val="NormalWeb"/>
        <w:spacing w:before="0" w:beforeAutospacing="0" w:after="0" w:afterAutospacing="0" w:line="480" w:lineRule="auto"/>
        <w:rPr>
          <w:b/>
        </w:rPr>
      </w:pPr>
      <w:r>
        <w:rPr>
          <w:b/>
          <w:noProof/>
        </w:rPr>
        <w:lastRenderedPageBreak/>
        <w:drawing>
          <wp:inline distT="0" distB="0" distL="0" distR="0" wp14:anchorId="7E40D3CD" wp14:editId="49013ECD">
            <wp:extent cx="4655127"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Cfates_fluxesAllLakes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1A297012" w14:textId="7C573571" w:rsidR="00B90A7A" w:rsidRDefault="00B90A7A" w:rsidP="000233C2">
      <w:pPr>
        <w:pStyle w:val="NormalWeb"/>
        <w:spacing w:before="0" w:beforeAutospacing="0" w:after="0" w:afterAutospacing="0" w:line="480" w:lineRule="auto"/>
        <w:rPr>
          <w:b/>
        </w:rPr>
      </w:pPr>
      <w:r>
        <w:rPr>
          <w:b/>
        </w:rPr>
        <w:t>Fig. 4.</w:t>
      </w:r>
    </w:p>
    <w:p w14:paraId="38AA1CEC" w14:textId="77777777" w:rsidR="00B90A7A" w:rsidRDefault="00B90A7A">
      <w:pPr>
        <w:rPr>
          <w:rFonts w:ascii="Times New Roman" w:eastAsia="Times New Roman" w:hAnsi="Times New Roman" w:cs="Times New Roman"/>
          <w:b/>
          <w:color w:val="auto"/>
          <w:sz w:val="24"/>
          <w:szCs w:val="24"/>
        </w:rPr>
      </w:pPr>
      <w:r>
        <w:rPr>
          <w:b/>
        </w:rPr>
        <w:br w:type="page"/>
      </w:r>
    </w:p>
    <w:p w14:paraId="76E64E4F" w14:textId="4E187F9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02D510C8" wp14:editId="4700C05B">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ardplot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1CE29FD7" w14:textId="55E67E06" w:rsidR="00B90A7A" w:rsidRDefault="00B90A7A" w:rsidP="000233C2">
      <w:pPr>
        <w:pStyle w:val="NormalWeb"/>
        <w:spacing w:before="0" w:beforeAutospacing="0" w:after="0" w:afterAutospacing="0" w:line="480" w:lineRule="auto"/>
        <w:rPr>
          <w:b/>
        </w:rPr>
      </w:pPr>
      <w:r>
        <w:rPr>
          <w:b/>
        </w:rPr>
        <w:t>Fig. 5.</w:t>
      </w:r>
    </w:p>
    <w:p w14:paraId="3E41D24B" w14:textId="3D7E0454" w:rsidR="000233C2" w:rsidRPr="00363C56" w:rsidRDefault="000233C2">
      <w:pPr>
        <w:rPr>
          <w:rFonts w:ascii="Times New Roman" w:eastAsia="Times New Roman" w:hAnsi="Times New Roman" w:cs="Times New Roman"/>
          <w:b/>
          <w:color w:val="auto"/>
          <w:sz w:val="24"/>
          <w:szCs w:val="24"/>
        </w:rPr>
      </w:pPr>
      <w:r>
        <w:rPr>
          <w:rFonts w:ascii="Times New Roman" w:eastAsia="Times New Roman" w:hAnsi="Times New Roman" w:cs="Times New Roman"/>
          <w:sz w:val="24"/>
          <w:szCs w:val="24"/>
        </w:rPr>
        <w:t xml:space="preserve">  </w:t>
      </w:r>
    </w:p>
    <w:sectPr w:rsidR="000233C2" w:rsidRPr="00363C56" w:rsidSect="00CC082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Ian McCullough" w:date="2017-03-30T04:59:00Z" w:initials="">
    <w:p w14:paraId="753870DC" w14:textId="179C9299" w:rsidR="003A0D4C" w:rsidRDefault="003A0D4C">
      <w:pPr>
        <w:widowControl w:val="0"/>
        <w:spacing w:line="240" w:lineRule="auto"/>
      </w:pPr>
      <w:r>
        <w:t>note: for consistency, I've removed oxford commas because they had been used inconsistently. These aren't a deal-breaker for me, so if someone feels strongly and wants to go through and insert them everywhere...</w:t>
      </w:r>
    </w:p>
  </w:comment>
  <w:comment w:id="2" w:author="Ian McCullough" w:date="2017-03-29T04:38:00Z" w:initials="">
    <w:p w14:paraId="114EA248" w14:textId="77777777" w:rsidR="003A0D4C" w:rsidRDefault="003A0D4C">
      <w:pPr>
        <w:widowControl w:val="0"/>
        <w:spacing w:line="240" w:lineRule="auto"/>
      </w:pPr>
      <w:r>
        <w:t>executive order: this is the order</w:t>
      </w:r>
    </w:p>
  </w:comment>
  <w:comment w:id="4" w:author="Ian McCullough" w:date="2017-03-29T00:19:00Z" w:initials="">
    <w:p w14:paraId="10B46F76" w14:textId="77777777" w:rsidR="003A0D4C" w:rsidRDefault="003A0D4C">
      <w:pPr>
        <w:widowControl w:val="0"/>
        <w:spacing w:line="240" w:lineRule="auto"/>
      </w:pPr>
      <w:r>
        <w:t>350 word limit for Ecol Appl</w:t>
      </w:r>
    </w:p>
  </w:comment>
  <w:comment w:id="5" w:author="Ian McCullough" w:date="2017-03-29T04:45:00Z" w:initials="">
    <w:p w14:paraId="7524CA65" w14:textId="77777777" w:rsidR="003A0D4C" w:rsidRDefault="003A0D4C">
      <w:pPr>
        <w:widowControl w:val="0"/>
        <w:spacing w:line="240" w:lineRule="auto"/>
      </w:pPr>
      <w:r>
        <w:t>up to 12, suggestions welcome (in no particular order right now)</w:t>
      </w:r>
    </w:p>
  </w:comment>
  <w:comment w:id="12" w:author="Ian McCullough" w:date="2017-03-24T02:16:00Z" w:initials="">
    <w:p w14:paraId="03E06F2C" w14:textId="77777777" w:rsidR="003A0D4C" w:rsidRDefault="003A0D4C">
      <w:pPr>
        <w:widowControl w:val="0"/>
        <w:spacing w:line="240" w:lineRule="auto"/>
      </w:pPr>
      <w:r>
        <w:t>is this really why? Temp, DO, chl-a data aren't that rare. Is it simply that people haven't made the connection?</w:t>
      </w:r>
    </w:p>
  </w:comment>
  <w:comment w:id="13" w:author="Ian McCullough" w:date="2017-03-30T02:43:00Z" w:initials="">
    <w:p w14:paraId="54159445" w14:textId="6519863F" w:rsidR="003A0D4C" w:rsidRDefault="003A0D4C">
      <w:pPr>
        <w:widowControl w:val="0"/>
        <w:spacing w:line="240" w:lineRule="auto"/>
      </w:pPr>
      <w:r>
        <w:t>whoever wrote this: i</w:t>
      </w:r>
      <w:r w:rsidR="00DB37D5">
        <w:t>t sounds like you knew what you</w:t>
      </w:r>
      <w:r>
        <w:t xml:space="preserve"> were doing, so it would be helpful if you added the references</w:t>
      </w:r>
    </w:p>
  </w:comment>
  <w:comment w:id="14" w:author="Ian McCullough" w:date="2017-03-29T06:32:00Z" w:initials="">
    <w:p w14:paraId="5AE5F820" w14:textId="77777777" w:rsidR="003A0D4C" w:rsidRDefault="003A0D4C">
      <w:pPr>
        <w:widowControl w:val="0"/>
        <w:spacing w:line="240" w:lineRule="auto"/>
      </w:pPr>
      <w:r>
        <w:t>I think I heard Paul make some comment that evaporation basically equaled precip and that it was small...</w:t>
      </w:r>
    </w:p>
  </w:comment>
  <w:comment w:id="19" w:author="Ian McCullough" w:date="2017-03-30T04:33:00Z" w:initials="">
    <w:p w14:paraId="436CD464" w14:textId="77777777" w:rsidR="003A0D4C" w:rsidRDefault="003A0D4C">
      <w:pPr>
        <w:widowControl w:val="0"/>
        <w:spacing w:line="240" w:lineRule="auto"/>
      </w:pPr>
      <w:r>
        <w:t>General comment on this section and corresponding table 3. I wasn't always clear where we came up with equations. If possible, it would be great if you inserted more references, if applicable</w:t>
      </w:r>
    </w:p>
  </w:comment>
  <w:comment w:id="22" w:author="immccull@gmail.com" w:date="2017-03-29T20:08:00Z" w:initials="i">
    <w:p w14:paraId="0D382326" w14:textId="12355A38" w:rsidR="00F55FEA" w:rsidRDefault="00F55FEA">
      <w:pPr>
        <w:pStyle w:val="CommentText"/>
      </w:pPr>
      <w:r>
        <w:rPr>
          <w:rStyle w:val="CommentReference"/>
        </w:rPr>
        <w:annotationRef/>
      </w:r>
      <w:r>
        <w:t>Help here would be appreciated</w:t>
      </w:r>
    </w:p>
  </w:comment>
  <w:comment w:id="24" w:author="Ian McCullough" w:date="2017-03-29T02:45:00Z" w:initials="">
    <w:p w14:paraId="739023A2" w14:textId="77777777" w:rsidR="003A0D4C" w:rsidRDefault="003A0D4C">
      <w:pPr>
        <w:widowControl w:val="0"/>
        <w:spacing w:line="240" w:lineRule="auto"/>
      </w:pPr>
      <w:r>
        <w:t>Given that we ended up constraining burial parameters 0-1, is the current language in this paragraph enough to address the topic of resuspension? Mindy made a comment a few weeks ago that resuspension can occur under anoxic conditions in the hypolimnion</w:t>
      </w:r>
    </w:p>
  </w:comment>
  <w:comment w:id="26" w:author="Ian McCullough" w:date="2017-03-30T04:37:00Z" w:initials="">
    <w:p w14:paraId="7BB4028C" w14:textId="77777777" w:rsidR="003A0D4C" w:rsidRDefault="003A0D4C">
      <w:pPr>
        <w:widowControl w:val="0"/>
        <w:spacing w:line="240" w:lineRule="auto"/>
      </w:pPr>
      <w:r>
        <w:t>what is k? Can you define it here?</w:t>
      </w:r>
    </w:p>
  </w:comment>
  <w:comment w:id="29" w:author="Ian McCullough" w:date="2017-03-30T04:44:00Z" w:initials="">
    <w:p w14:paraId="03AD0D41" w14:textId="77777777" w:rsidR="003A0D4C" w:rsidRDefault="003A0D4C">
      <w:pPr>
        <w:widowControl w:val="0"/>
        <w:spacing w:line="240" w:lineRule="auto"/>
      </w:pPr>
      <w:r>
        <w:t>want to say something here about bootstrapped parameter results to reassure people we used sensible parameter values?</w:t>
      </w:r>
    </w:p>
  </w:comment>
  <w:comment w:id="34" w:author="immccull@gmail.com" w:date="2017-03-29T20:26:00Z" w:initials="i">
    <w:p w14:paraId="23F67BED" w14:textId="55368871" w:rsidR="004D6AB9" w:rsidRDefault="004D6AB9">
      <w:pPr>
        <w:pStyle w:val="CommentText"/>
      </w:pPr>
      <w:r>
        <w:rPr>
          <w:rStyle w:val="CommentReference"/>
        </w:rPr>
        <w:annotationRef/>
      </w:r>
      <w:r>
        <w:t>You might notice this discussion section has no references. In some cases, this was intentional because we already cited papers above for the same points. However, if anyone knows of any relevant papers I missed…</w:t>
      </w:r>
    </w:p>
  </w:comment>
  <w:comment w:id="38" w:author="Ian McCullough" w:date="2017-03-30T04:57:00Z" w:initials="">
    <w:p w14:paraId="20E237CE" w14:textId="77777777" w:rsidR="003A0D4C" w:rsidRDefault="003A0D4C">
      <w:pPr>
        <w:widowControl w:val="0"/>
        <w:spacing w:line="240" w:lineRule="auto"/>
      </w:pPr>
      <w:r>
        <w:t>how this journal spells it</w:t>
      </w:r>
    </w:p>
  </w:comment>
  <w:comment w:id="41" w:author="immccull@gmail.com" w:date="2017-03-29T16:15:00Z" w:initials="i">
    <w:p w14:paraId="2B58E24A" w14:textId="6E6D49A6" w:rsidR="003A0D4C" w:rsidRDefault="003A0D4C">
      <w:pPr>
        <w:pStyle w:val="CommentText"/>
      </w:pPr>
      <w:r>
        <w:rPr>
          <w:rStyle w:val="CommentReference"/>
        </w:rPr>
        <w:annotationRef/>
      </w:r>
      <w:r w:rsidRPr="00E4126A">
        <w:t>1.08 cited in Resp function as Hanson personal comm. Do we have anything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3870DC" w15:done="0"/>
  <w15:commentEx w15:paraId="114EA248" w15:done="0"/>
  <w15:commentEx w15:paraId="10B46F76" w15:done="0"/>
  <w15:commentEx w15:paraId="7524CA65" w15:done="0"/>
  <w15:commentEx w15:paraId="03E06F2C" w15:done="0"/>
  <w15:commentEx w15:paraId="54159445" w15:done="0"/>
  <w15:commentEx w15:paraId="5AE5F820" w15:done="0"/>
  <w15:commentEx w15:paraId="436CD464" w15:done="0"/>
  <w15:commentEx w15:paraId="0D382326" w15:done="0"/>
  <w15:commentEx w15:paraId="739023A2" w15:done="0"/>
  <w15:commentEx w15:paraId="7BB4028C" w15:done="0"/>
  <w15:commentEx w15:paraId="03AD0D41" w15:done="0"/>
  <w15:commentEx w15:paraId="23F67BED" w15:done="0"/>
  <w15:commentEx w15:paraId="20E237CE" w15:done="0"/>
  <w15:commentEx w15:paraId="2B58E24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976C31" w14:textId="77777777" w:rsidR="007E55F4" w:rsidRDefault="007E55F4">
      <w:pPr>
        <w:spacing w:line="240" w:lineRule="auto"/>
      </w:pPr>
      <w:r>
        <w:separator/>
      </w:r>
    </w:p>
  </w:endnote>
  <w:endnote w:type="continuationSeparator" w:id="0">
    <w:p w14:paraId="1805DBF1" w14:textId="77777777" w:rsidR="007E55F4" w:rsidRDefault="007E55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4226F" w14:textId="77777777" w:rsidR="003A0D4C" w:rsidRDefault="003A0D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139ED0" w14:textId="77777777" w:rsidR="007E55F4" w:rsidRDefault="007E55F4">
      <w:pPr>
        <w:spacing w:line="240" w:lineRule="auto"/>
      </w:pPr>
      <w:r>
        <w:separator/>
      </w:r>
    </w:p>
  </w:footnote>
  <w:footnote w:type="continuationSeparator" w:id="0">
    <w:p w14:paraId="7AFC4A90" w14:textId="77777777" w:rsidR="007E55F4" w:rsidRDefault="007E55F4">
      <w:pPr>
        <w:spacing w:line="240" w:lineRule="auto"/>
      </w:pPr>
      <w:r>
        <w:continuationSeparator/>
      </w:r>
    </w:p>
  </w:footnote>
  <w:footnote w:id="1">
    <w:p w14:paraId="4ED0ACE4" w14:textId="4E1F6725" w:rsidR="003A0D4C" w:rsidRDefault="003A0D4C">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Current address: Rubenstein School of Environment and Natural Resources, University of Vermont, 81 Carrigan Dr., Burlington, VT, 05405, 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70364" w14:textId="44108621" w:rsidR="003A0D4C" w:rsidRDefault="003A0D4C">
    <w:pPr>
      <w:jc w:val="right"/>
    </w:pPr>
    <w:r>
      <w:fldChar w:fldCharType="begin"/>
    </w:r>
    <w:r>
      <w:instrText>PAGE</w:instrText>
    </w:r>
    <w:r>
      <w:fldChar w:fldCharType="separate"/>
    </w:r>
    <w:r w:rsidR="00037B72">
      <w:rPr>
        <w:noProof/>
      </w:rPr>
      <w:t>25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mmccull@gmail.com">
    <w15:presenceInfo w15:providerId="Windows Live" w15:userId="78f0df2372ec28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009C"/>
    <w:rsid w:val="000233C2"/>
    <w:rsid w:val="00034A7C"/>
    <w:rsid w:val="0003575B"/>
    <w:rsid w:val="00037B72"/>
    <w:rsid w:val="000D12C7"/>
    <w:rsid w:val="000F2BC7"/>
    <w:rsid w:val="001D3328"/>
    <w:rsid w:val="0028403D"/>
    <w:rsid w:val="002D28EA"/>
    <w:rsid w:val="0032009C"/>
    <w:rsid w:val="00363C56"/>
    <w:rsid w:val="003A0D4C"/>
    <w:rsid w:val="003D3BA1"/>
    <w:rsid w:val="004561A2"/>
    <w:rsid w:val="004D38EC"/>
    <w:rsid w:val="004D6AB9"/>
    <w:rsid w:val="00514EF2"/>
    <w:rsid w:val="0053770E"/>
    <w:rsid w:val="00564156"/>
    <w:rsid w:val="005A7FAB"/>
    <w:rsid w:val="005D06E6"/>
    <w:rsid w:val="00664D73"/>
    <w:rsid w:val="006F4EC1"/>
    <w:rsid w:val="00735D13"/>
    <w:rsid w:val="00796693"/>
    <w:rsid w:val="00797426"/>
    <w:rsid w:val="007E55F4"/>
    <w:rsid w:val="007F6933"/>
    <w:rsid w:val="00801593"/>
    <w:rsid w:val="008535B2"/>
    <w:rsid w:val="008B57C5"/>
    <w:rsid w:val="009147CB"/>
    <w:rsid w:val="0092086A"/>
    <w:rsid w:val="0098243D"/>
    <w:rsid w:val="009870ED"/>
    <w:rsid w:val="009B39CD"/>
    <w:rsid w:val="009F2196"/>
    <w:rsid w:val="00A74EDC"/>
    <w:rsid w:val="00AB1693"/>
    <w:rsid w:val="00AD6663"/>
    <w:rsid w:val="00B80037"/>
    <w:rsid w:val="00B90A7A"/>
    <w:rsid w:val="00BE121D"/>
    <w:rsid w:val="00C1238B"/>
    <w:rsid w:val="00C22873"/>
    <w:rsid w:val="00C40E0D"/>
    <w:rsid w:val="00C64C78"/>
    <w:rsid w:val="00C73B00"/>
    <w:rsid w:val="00CC0821"/>
    <w:rsid w:val="00CD0058"/>
    <w:rsid w:val="00CD35AF"/>
    <w:rsid w:val="00DB37D5"/>
    <w:rsid w:val="00E4126A"/>
    <w:rsid w:val="00E71A86"/>
    <w:rsid w:val="00F55FEA"/>
    <w:rsid w:val="00FA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DF3A"/>
  <w15:docId w15:val="{F8B4FDE6-BA5B-45CE-BFF6-8C86D368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semiHidden/>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79609622">
      <w:bodyDiv w:val="1"/>
      <w:marLeft w:val="0"/>
      <w:marRight w:val="0"/>
      <w:marTop w:val="0"/>
      <w:marBottom w:val="0"/>
      <w:divBdr>
        <w:top w:val="none" w:sz="0" w:space="0" w:color="auto"/>
        <w:left w:val="none" w:sz="0" w:space="0" w:color="auto"/>
        <w:bottom w:val="none" w:sz="0" w:space="0" w:color="auto"/>
        <w:right w:val="none" w:sz="0" w:space="0" w:color="auto"/>
      </w:divBdr>
      <w:divsChild>
        <w:div w:id="638146675">
          <w:marLeft w:val="0"/>
          <w:marRight w:val="0"/>
          <w:marTop w:val="0"/>
          <w:marBottom w:val="0"/>
          <w:divBdr>
            <w:top w:val="none" w:sz="0" w:space="0" w:color="auto"/>
            <w:left w:val="none" w:sz="0" w:space="0" w:color="auto"/>
            <w:bottom w:val="none" w:sz="0" w:space="0" w:color="auto"/>
            <w:right w:val="none" w:sz="0" w:space="0" w:color="auto"/>
          </w:divBdr>
        </w:div>
      </w:divsChild>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mmccull@gmail.com"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5771D-0E04-49FA-A564-837E8228D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38</Pages>
  <Words>7691</Words>
  <Characters>43842</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immccull@gmail.com</cp:lastModifiedBy>
  <cp:revision>40</cp:revision>
  <dcterms:created xsi:type="dcterms:W3CDTF">2017-03-29T22:05:00Z</dcterms:created>
  <dcterms:modified xsi:type="dcterms:W3CDTF">2017-03-31T02:14:00Z</dcterms:modified>
</cp:coreProperties>
</file>