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Title: Source or sink? Integrating biogeochemical, trophic and landscap</w:t>
      </w:r>
      <w:commentRangeStart w:id="1"/>
      <w:r>
        <w:rPr>
          <w:rFonts w:ascii="Times New Roman" w:eastAsia="Times New Roman" w:hAnsi="Times New Roman" w:cs="Times New Roman"/>
          <w:sz w:val="24"/>
          <w:szCs w:val="24"/>
        </w:rPr>
        <w:t>e</w:t>
      </w:r>
      <w:commentRangeEnd w:id="1"/>
      <w:r>
        <w:commentReference w:id="1"/>
      </w:r>
      <w:r>
        <w:rPr>
          <w:rFonts w:ascii="Times New Roman" w:eastAsia="Times New Roman" w:hAnsi="Times New Roman" w:cs="Times New Roman"/>
          <w:sz w:val="24"/>
          <w:szCs w:val="24"/>
        </w:rPr>
        <w:t xml:space="preserve"> processes to model lake organic carbon budgets</w:t>
      </w:r>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2"/>
      <w:r>
        <w:rPr>
          <w:rFonts w:ascii="Times New Roman" w:eastAsia="Times New Roman" w:hAnsi="Times New Roman" w:cs="Times New Roman"/>
          <w:sz w:val="24"/>
          <w:szCs w:val="24"/>
        </w:rPr>
        <w:t>Hilary A. Dugan</w:t>
      </w:r>
      <w:commentRangeEnd w:id="2"/>
      <w:r>
        <w:commentReference w:id="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Pr>
          <w:rFonts w:ascii="Times New Roman" w:eastAsia="Times New Roman" w:hAnsi="Times New Roman" w:cs="Times New Roman"/>
          <w:sz w:val="24"/>
          <w:szCs w:val="24"/>
          <w:vertAlign w:val="superscript"/>
        </w:rPr>
        <w:t xml:space="preserve"> </w:t>
      </w:r>
    </w:p>
    <w:p w14:paraId="6BFEB9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p>
    <w:p w14:paraId="7F69ABF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p>
    <w:p w14:paraId="13F80D9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p>
    <w:p w14:paraId="2E2EE78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p>
    <w:p w14:paraId="349D34B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3" w:name="_6hiy0534m7k8" w:colFirst="0" w:colLast="0"/>
      <w:bookmarkEnd w:id="3"/>
      <w:commentRangeStart w:id="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4"/>
      <w:r>
        <w:commentReference w:id="4"/>
      </w:r>
    </w:p>
    <w:p w14:paraId="73A3807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below-ground outflows. Although these processes provide a solid basis for a conceptual understanding of lake OC budgets, few studies have integrated these various fluxes under a unified modeling framework to examine their interactions and relative magnitudes. We developed a flexible, dynamical mass balance model for OC rooted in our conceptual understanding of lake OC budgets and applied the model to a heterogeneous set of 5 lakes with available data. We examined the relative importance of OC fluxes and found that long-term lake OC dynamics were predominantly driven by allochthonous loads in 4 of the 5 lakes, underscoring the importance of terrestrially-derived OC in lake ecosystems. Burial, the main OC sink mechanism in lakes, represented a relatively small component of the total budget (&lt;10%) in 3 of 5 lakes and was driven largely by autochthony. Two lakes buried 100% of autochthonous OC, increasing the proportion of burial in total budgets to 20.5 and 43.6%, respectively. Proportions for respiration were more variable, ranging 14.6-87.9% of total budgets. Given the relatively low rates of burial compared to respiration across lakes, we concluded that 4 of the 5 lakes represented net OC source. The exception was Lake Monona, Wisconsin, a eutrophic lake with short (&lt; 1 year) hydrologic residence time located in an agricultural watershed. In addition, we found that lakes generally transitioned seasonally from OC sinks to sources as water temperatures and lake productivity increased. Finally, we highlighted critical research needs, which include collection of additional data for surface water DOC, burial rates and budgets of particulate OC. These data will help </w:t>
      </w:r>
      <w:r>
        <w:rPr>
          <w:rFonts w:ascii="Times New Roman" w:eastAsia="Times New Roman" w:hAnsi="Times New Roman" w:cs="Times New Roman"/>
          <w:sz w:val="24"/>
          <w:szCs w:val="24"/>
        </w:rPr>
        <w:lastRenderedPageBreak/>
        <w:t>better constrain parameter estimates in future lake OC models and further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Key words</w:t>
      </w:r>
      <w:commentRangeEnd w:id="5"/>
      <w:r>
        <w:commentReference w:id="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6" w:name="_rwp1srpn25su" w:colFirst="0" w:colLast="0"/>
      <w:bookmarkEnd w:id="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7" w:name="_kfraquamimep" w:colFirst="0" w:colLast="0"/>
      <w:bookmarkStart w:id="8" w:name="_a19hf2z0hrxx" w:colFirst="0" w:colLast="0"/>
      <w:bookmarkEnd w:id="7"/>
      <w:bookmarkEnd w:id="8"/>
      <w:r>
        <w:rPr>
          <w:rFonts w:ascii="Times New Roman" w:eastAsia="Times New Roman" w:hAnsi="Times New Roman" w:cs="Times New Roman"/>
          <w:b/>
          <w:sz w:val="24"/>
          <w:szCs w:val="24"/>
        </w:rPr>
        <w:lastRenderedPageBreak/>
        <w:t xml:space="preserve">INTRODUCTION </w:t>
      </w:r>
    </w:p>
    <w:p w14:paraId="686257D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era of rapid environmental changes, understanding of the global carbon cycle is critically important for scientists, policymakers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 as well as emit inorganic carbon to the atmosphere (Arvola et al. 2002, Weyhenmeyer et al., 2015), efforts to model the internal processing of OC in lakes that adequately incorporate all critical OC fluxes (i.e., “mass balances”) 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9" w:name="_fgbmh3q8shl8" w:colFirst="0" w:colLast="0"/>
      <w:bookmarkEnd w:id="9"/>
      <w:r>
        <w:rPr>
          <w:rFonts w:ascii="Times New Roman" w:eastAsia="Times New Roman" w:hAnsi="Times New Roman" w:cs="Times New Roman"/>
          <w:i/>
          <w:color w:val="000000"/>
          <w:sz w:val="24"/>
          <w:szCs w:val="24"/>
        </w:rPr>
        <w:t>Overview of concepts of key OC fluxes in lake ecosystems</w:t>
      </w:r>
    </w:p>
    <w:p w14:paraId="18B76E21"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term “mass balance” has been broadly used to describe attempts to quantify nutrient budgets (not strictly OC) of a lake as the sum of inputs, internal processes and outputs. Inputs represent the sum of allochthonous (external origin) dissolved (DOC) and particulate OC (POC) inflows from surface or groundwater sources, precipitation and litterfall. Internal processes consist of autochthonous (in-lake) mechanisms that produce, consume and store OC (i.e., primary production, respiration, burial in sediments). Outputs comprise DOC and POC pools that exit a lake via surface or groundwater exports. Therefore, a lake does not function as simply a “source” or “sink” (hereinafter, “net lake function”) of OC based on differences between inputs and outputs due to the mediating influence of internal processes. In other words, lakes actively transform and process OC and function as more than passive “pipes” of OC (Cole et al. 2007, </w:t>
      </w:r>
      <w:r>
        <w:rPr>
          <w:rFonts w:ascii="Times New Roman" w:eastAsia="Times New Roman" w:hAnsi="Times New Roman" w:cs="Times New Roman"/>
          <w:sz w:val="24"/>
          <w:szCs w:val="24"/>
        </w:rPr>
        <w:lastRenderedPageBreak/>
        <w:t xml:space="preserve">Tranvik et al. 2009). Although it has long been recognized that lake sediments store OC and therefore may act as important sinks in the global carbon cycle (Mulholland and Elwood 1982, Dillon and Molot 1997, Dean and Gorham 1998, Einsele et al. 2001, Kortelainen et al. 2004, Rantakari and Kortelainen 2005, Einola et al. 2011, Raymond et al. 2013), the magnitude of these fluxes has not been adequately compared to other important fluxes in overall lake OC budgets (Hanson et al. 2015), precluding determination of net lake function in terms of OC. Lakes as carbon sources have generally been described in terms of carbon dioxide (Striegl et al. 2001, Rantakari and Kortelainen 2005, Kortelainen et al. 2006, Tranvik et al. 2009, Raymond et al. 2013) or methane emissions (Bastviken et al. 2011); although these represent important carbon fluxes, emissions are not sources of OC. We therefore broadened definitions of sources and sinks for lake OC to account for the interacting nature of fluxes based on the following </w:t>
      </w:r>
      <w:r w:rsidR="006F4EC1"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14:anchorId="15078B26" wp14:editId="5D71E3AE">
                <wp:simplePos x="0" y="0"/>
                <wp:positionH relativeFrom="column">
                  <wp:posOffset>0</wp:posOffset>
                </wp:positionH>
                <wp:positionV relativeFrom="paragraph">
                  <wp:posOffset>4368800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B80037" w:rsidRPr="006F4EC1" w:rsidRDefault="00B80037"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B80037" w:rsidRDefault="00B80037"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B80037" w:rsidRDefault="00B800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44pt;width:503pt;height:25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">
                <v:textbox>
                  <w:txbxContent>
                    <w:p w14:paraId="448BA99F" w14:textId="77777777" w:rsidR="00B80037" w:rsidRPr="006F4EC1" w:rsidRDefault="00B80037"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B80037" w:rsidRDefault="00B80037"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B80037" w:rsidRDefault="00B80037"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B80037" w:rsidRDefault="00B80037"/>
                  </w:txbxContent>
                </v:textbox>
                <w10:wrap type="square"/>
              </v:shape>
            </w:pict>
          </mc:Fallback>
        </mc:AlternateContent>
      </w:r>
      <w:r>
        <w:rPr>
          <w:rFonts w:ascii="Times New Roman" w:eastAsia="Times New Roman" w:hAnsi="Times New Roman" w:cs="Times New Roman"/>
          <w:sz w:val="24"/>
          <w:szCs w:val="24"/>
        </w:rPr>
        <w:t>criteria:</w:t>
      </w:r>
    </w:p>
    <w:p w14:paraId="5008AC2C" w14:textId="77777777" w:rsidR="0032009C" w:rsidRDefault="0032009C">
      <w:pPr>
        <w:spacing w:line="480" w:lineRule="auto"/>
        <w:rPr>
          <w:rFonts w:ascii="Times New Roman" w:eastAsia="Times New Roman" w:hAnsi="Times New Roman" w:cs="Times New Roman"/>
          <w:sz w:val="24"/>
          <w:szCs w:val="24"/>
        </w:rPr>
      </w:pPr>
    </w:p>
    <w:p w14:paraId="77C1F90F" w14:textId="77777777"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oversimplification or inability to account for these key carbon fluxes that constitute the full budget. These fluxes interact with each other, underscoring the importance of including them together in a unified model 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 and 3) other fluxes. </w:t>
      </w:r>
    </w:p>
    <w:p w14:paraId="677CB5EC" w14:textId="77777777" w:rsidR="0032009C" w:rsidRDefault="00B80037">
      <w:pPr>
        <w:spacing w:line="480" w:lineRule="auto"/>
        <w:rPr>
          <w:rFonts w:ascii="Times New Roman" w:eastAsia="Times New Roman" w:hAnsi="Times New Roman" w:cs="Times New Roman"/>
          <w:color w:val="CC0000"/>
          <w:sz w:val="20"/>
          <w:szCs w:val="20"/>
        </w:rPr>
      </w:pPr>
      <w:r>
        <w:rPr>
          <w:rFonts w:ascii="Times New Roman" w:eastAsia="Times New Roman" w:hAnsi="Times New Roman" w:cs="Times New Roman"/>
          <w:i/>
          <w:sz w:val="20"/>
          <w:szCs w:val="20"/>
        </w:rPr>
        <w:t xml:space="preserve">Text only preserved to preserve comment thread in margin: </w:t>
      </w:r>
      <w:r>
        <w:rPr>
          <w:rFonts w:ascii="Times New Roman" w:eastAsia="Times New Roman" w:hAnsi="Times New Roman" w:cs="Times New Roman"/>
          <w:sz w:val="20"/>
          <w:szCs w:val="20"/>
        </w:rPr>
        <w:t xml:space="preserve">We grouped these fluxes into three major categories: 1) surface and groundwater inflows, 2) gross primary </w:t>
      </w:r>
      <w:commentRangeStart w:id="10"/>
      <w:commentRangeStart w:id="11"/>
      <w:r>
        <w:rPr>
          <w:rFonts w:ascii="Times New Roman" w:eastAsia="Times New Roman" w:hAnsi="Times New Roman" w:cs="Times New Roman"/>
          <w:sz w:val="20"/>
          <w:szCs w:val="20"/>
        </w:rPr>
        <w:t>producti</w:t>
      </w:r>
      <w:commentRangeEnd w:id="10"/>
      <w:r>
        <w:commentReference w:id="10"/>
      </w:r>
      <w:commentRangeEnd w:id="11"/>
      <w:r>
        <w:commentReference w:id="11"/>
      </w:r>
      <w:r>
        <w:rPr>
          <w:rFonts w:ascii="Times New Roman" w:eastAsia="Times New Roman" w:hAnsi="Times New Roman" w:cs="Times New Roman"/>
          <w:sz w:val="20"/>
          <w:szCs w:val="20"/>
        </w:rPr>
        <w:t xml:space="preserve">on and 3) burial.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2" w:name="_cia0tf49w3t8" w:colFirst="0" w:colLast="0"/>
      <w:bookmarkEnd w:id="12"/>
      <w:r>
        <w:rPr>
          <w:rFonts w:ascii="Times New Roman" w:eastAsia="Times New Roman" w:hAnsi="Times New Roman" w:cs="Times New Roman"/>
          <w:i/>
          <w:color w:val="000000"/>
          <w:sz w:val="24"/>
          <w:szCs w:val="24"/>
        </w:rPr>
        <w:t>Allochthony</w:t>
      </w:r>
    </w:p>
    <w:p w14:paraId="0663B724"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surface and groundwater inflows, litterfall and direct-fall precipitation. Although surface water inflows regularly deliver OC to lake ecosystems, the role of terrestrially derived OC from these inflows is perhaps the most commonly ignored set of processes in OC budgets, largely owing to data limitations (Hanson et al. 2015). These inflows originate from streams, wetlands and groundwater, each of which is affected by seasonal patterns of temperature and precipitation, as well as surrounding landscape composition. Prior studies have used 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Although groundwater </w:t>
      </w:r>
      <w:r>
        <w:rPr>
          <w:rFonts w:ascii="Times New Roman" w:eastAsia="Times New Roman" w:hAnsi="Times New Roman" w:cs="Times New Roman"/>
          <w:sz w:val="24"/>
          <w:szCs w:val="24"/>
        </w:rPr>
        <w:lastRenderedPageBreak/>
        <w:t xml:space="preserve">delivers OC to lakes, especially when groundwater passes through organic-rich soils (Schindler and Krabennhoft 1998), groundwater volume and OC concentration data are rare and difficult to estimate (Hanson et al. 2014). In lakes without permanent tributaries, groundwater may be the dominant source of hydrological input (e.g., Gaiser et al. 2009). Inputs from litterfall, direct-fall precipitation and atmospheric deposition are generally small and have been estimated as a function of static load parameters and lake area (Hanson et al. 2004, 2014).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 w:name="_z80hadduisff" w:colFirst="0" w:colLast="0"/>
      <w:bookmarkEnd w:id="13"/>
      <w:r>
        <w:rPr>
          <w:rFonts w:ascii="Times New Roman" w:eastAsia="Times New Roman" w:hAnsi="Times New Roman" w:cs="Times New Roman"/>
          <w:i/>
          <w:sz w:val="24"/>
          <w:szCs w:val="24"/>
        </w:rPr>
        <w:t>Autochthony</w:t>
      </w:r>
    </w:p>
    <w:p w14:paraId="4AE1494F" w14:textId="77777777"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is produced as a function of gross primary production (GPP) and autotrophic and heterotrophic respiration. These processes vary as a function of nutrient inputs and seasonal, ambient lake conditions. DOC supports a significant fraction of respiration in most lakes, affirming the importance of accounting for food web relationships and their effects on lake OC budgets (Cole et al. 2000). Similar to surface and groundwater inflows, GPP and respiration are commonly ignored in OC budgets </w:t>
      </w:r>
      <w:commentRangeStart w:id="14"/>
      <w:r>
        <w:rPr>
          <w:rFonts w:ascii="Times New Roman" w:eastAsia="Times New Roman" w:hAnsi="Times New Roman" w:cs="Times New Roman"/>
          <w:sz w:val="24"/>
          <w:szCs w:val="24"/>
        </w:rPr>
        <w:t>owing to data limitations</w:t>
      </w:r>
      <w:commentRangeEnd w:id="14"/>
      <w:r>
        <w:commentReference w:id="14"/>
      </w:r>
      <w:r>
        <w:rPr>
          <w:rFonts w:ascii="Times New Roman" w:eastAsia="Times New Roman" w:hAnsi="Times New Roman" w:cs="Times New Roman"/>
          <w:sz w:val="24"/>
          <w:szCs w:val="24"/>
        </w:rPr>
        <w:t xml:space="preserve">. Approaches previously employed to estimate GPP and respiratio include measured dissolved oxygen (DO) (Cole et al. 2002, Staehr et al. 2010), total phosphorus (TP) (Hanson et al. 2004) or chlorophyll-A (ChlA) (Jonsson et al. 2001, Ramlal et al. 2003). Other estimation methods include bottle incubation (Urban 2005, Yang et al. 2008) or static proportions of the overall OC pool (Aberg et al. 2004). </w:t>
      </w:r>
      <w:r>
        <w:rPr>
          <w:rFonts w:ascii="Times New Roman" w:eastAsia="Times New Roman" w:hAnsi="Times New Roman" w:cs="Times New Roman"/>
          <w:i/>
          <w:sz w:val="24"/>
          <w:szCs w:val="24"/>
        </w:rPr>
        <w:t>Other fluxes</w:t>
      </w:r>
    </w:p>
    <w:p w14:paraId="3FC6490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 other fluxes in OC budgets, perhaps the most critical to source or sink dynamics is burial of both allochthonous and autochthonous OC. Burial is the storage of carbon in bottom sediments and is the main “sink” pathway for carbon in lakes (Cole et al. 2002, Tranvik et al. 2009). </w:t>
      </w:r>
      <w:commentRangeStart w:id="15"/>
      <w:r>
        <w:rPr>
          <w:rFonts w:ascii="Times New Roman" w:eastAsia="Times New Roman" w:hAnsi="Times New Roman" w:cs="Times New Roman"/>
          <w:sz w:val="24"/>
          <w:szCs w:val="24"/>
        </w:rPr>
        <w:t xml:space="preserve">Permanent OC burial in lakes is a product of in-lake POC concentrations, POC particle sizes and associated settling rates, sediment particle size and density that affect </w:t>
      </w:r>
      <w:r>
        <w:rPr>
          <w:rFonts w:ascii="Times New Roman" w:eastAsia="Times New Roman" w:hAnsi="Times New Roman" w:cs="Times New Roman"/>
          <w:sz w:val="24"/>
          <w:szCs w:val="24"/>
        </w:rPr>
        <w:lastRenderedPageBreak/>
        <w:t>resuspension, lake hydrodynamics that affect settling rates and resuspension and benthic biogeochemistry (citations to be added).</w:t>
      </w:r>
      <w:commentRangeEnd w:id="15"/>
      <w:r>
        <w:commentReference w:id="15"/>
      </w:r>
      <w:r>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p>
    <w:p w14:paraId="34EC1F2E"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Quantities of allocthonous and autochthonous POC not buried are leached to DOC ore exported (Cole et al. 1984). Exports may serve as allochthonous inputs to other aquatic ecosystems including lakes and therefore play an important role in landscape carbon cycling (Kling et al. 2000). </w:t>
      </w:r>
      <w:commentRangeStart w:id="16"/>
      <w:r>
        <w:rPr>
          <w:rFonts w:ascii="Times New Roman" w:eastAsia="Times New Roman" w:hAnsi="Times New Roman" w:cs="Times New Roman"/>
          <w:sz w:val="24"/>
          <w:szCs w:val="24"/>
        </w:rPr>
        <w:t>A small amount of water</w:t>
      </w:r>
      <w:commentRangeEnd w:id="16"/>
      <w:r>
        <w:commentReference w:id="16"/>
      </w:r>
      <w:r>
        <w:rPr>
          <w:rFonts w:ascii="Times New Roman" w:eastAsia="Times New Roman" w:hAnsi="Times New Roman" w:cs="Times New Roman"/>
          <w:sz w:val="24"/>
          <w:szCs w:val="24"/>
        </w:rPr>
        <w:t xml:space="preserve"> relative to lake volume evaporates depending on seasonal weather conditions, but we did not account for process. Finally, under anoxic conditions in the hypolimnion, buried sediments may undergo resuspension and release OC back into the water column (reference? This was from a Mindy comment).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7" w:name="_hwd1sfdwl8es" w:colFirst="0" w:colLast="0"/>
      <w:bookmarkEnd w:id="17"/>
      <w:r>
        <w:rPr>
          <w:rFonts w:ascii="Times New Roman" w:eastAsia="Times New Roman" w:hAnsi="Times New Roman" w:cs="Times New Roman"/>
          <w:i/>
          <w:sz w:val="24"/>
          <w:szCs w:val="24"/>
        </w:rPr>
        <w:t>Objective and research questions</w:t>
      </w:r>
    </w:p>
    <w:p w14:paraId="611F8C0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 integrated the various OC fluxes described above into a dynamical mass balance model applied over a heterogeneous set of 5 lakes. Our broad objective was to develop a flexible </w:t>
      </w:r>
      <w:r>
        <w:rPr>
          <w:rFonts w:ascii="Times New Roman" w:eastAsia="Times New Roman" w:hAnsi="Times New Roman" w:cs="Times New Roman"/>
          <w:sz w:val="24"/>
          <w:szCs w:val="24"/>
        </w:rPr>
        <w:lastRenderedPageBreak/>
        <w:t>model that represented the magnitudes of key fluxes over time. We applied the model to ask 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likely to be net sources or sinks of OC?</w:t>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8" w:name="_d5wy3t4llow9" w:colFirst="0" w:colLast="0"/>
      <w:bookmarkEnd w:id="18"/>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9" w:name="_hvnmkjqwqiaq" w:colFirst="0" w:colLast="0"/>
      <w:bookmarkEnd w:id="19"/>
      <w:r>
        <w:rPr>
          <w:rFonts w:ascii="Times New Roman" w:eastAsia="Times New Roman" w:hAnsi="Times New Roman" w:cs="Times New Roman"/>
          <w:i/>
          <w:sz w:val="24"/>
          <w:szCs w:val="24"/>
        </w:rPr>
        <w:t>Study lakes and data sources</w:t>
      </w:r>
    </w:p>
    <w:p w14:paraId="58352385" w14:textId="77777777"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We modeled OC budgets for 5 lakes that span a range of environmental conditions and limnological characteristics (e.g., hydrological residence time, lake area) (Table 1). Lakes were selected primarily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Necessary observational data included daily precipitation, daily hydrological inflow (discharge), sub-annual inflow DOC concentration and sub-annual in-lake measurements (surface temperature, ChlA, and Secchi depth). Land cover datasets were used to calculate the proportion of lake shorelines occupied by forests and wetlands. All lakes had a minimum of 10 years of limnological data used for model training (Table 1) and at least 4 years of in-lake DOC and dissolved oxygen (DO) measurements for model validation. See supplemental material for detailed data descriptions (S2). </w:t>
      </w:r>
    </w:p>
    <w:p w14:paraId="707034FD" w14:textId="7D9803F0" w:rsidR="000D12C7" w:rsidRDefault="000D12C7">
      <w:pPr>
        <w:rPr>
          <w:rFonts w:ascii="Times New Roman" w:eastAsia="Times New Roman" w:hAnsi="Times New Roman" w:cs="Times New Roman"/>
          <w:i/>
          <w:sz w:val="24"/>
          <w:szCs w:val="24"/>
        </w:rPr>
      </w:pPr>
      <w:bookmarkStart w:id="20" w:name="_zhqmebn7y8o8" w:colFirst="0" w:colLast="0"/>
      <w:bookmarkEnd w:id="20"/>
      <w:r>
        <w:rPr>
          <w:rFonts w:ascii="Times New Roman" w:eastAsia="Times New Roman" w:hAnsi="Times New Roman" w:cs="Times New Roman"/>
          <w:i/>
          <w:sz w:val="24"/>
          <w:szCs w:val="24"/>
        </w:rPr>
        <w:br w:type="page"/>
      </w:r>
    </w:p>
    <w:p w14:paraId="075B20C3" w14:textId="77777777" w:rsidR="000D12C7" w:rsidRDefault="000D12C7">
      <w:pPr>
        <w:rPr>
          <w:rFonts w:ascii="Times New Roman" w:eastAsia="Times New Roman" w:hAnsi="Times New Roman" w:cs="Times New Roman"/>
          <w:i/>
          <w:sz w:val="24"/>
          <w:szCs w:val="24"/>
        </w:rPr>
        <w:sectPr w:rsidR="000D12C7">
          <w:headerReference w:type="default" r:id="rId11"/>
          <w:footerReference w:type="default" r:id="rId12"/>
          <w:pgSz w:w="12240" w:h="15840"/>
          <w:pgMar w:top="1440" w:right="1440" w:bottom="1440" w:left="1440" w:header="0" w:footer="720" w:gutter="0"/>
          <w:pgNumType w:start="1"/>
          <w:cols w:space="720"/>
        </w:sectPr>
      </w:pPr>
    </w:p>
    <w:p w14:paraId="6BFF029A" w14:textId="77777777" w:rsidR="009870ED" w:rsidRDefault="009870E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br w:type="page"/>
      </w:r>
    </w:p>
    <w:p w14:paraId="16B838C4" w14:textId="77777777" w:rsidR="009870ED" w:rsidRDefault="009870ED">
      <w:pPr>
        <w:rPr>
          <w:rFonts w:ascii="Times New Roman" w:eastAsia="Times New Roman" w:hAnsi="Times New Roman" w:cs="Times New Roman"/>
          <w:i/>
          <w:sz w:val="24"/>
          <w:szCs w:val="24"/>
        </w:rPr>
        <w:sectPr w:rsidR="009870ED" w:rsidSect="000D12C7">
          <w:pgSz w:w="15840" w:h="12240" w:orient="landscape"/>
          <w:pgMar w:top="1440" w:right="1440" w:bottom="1440" w:left="1440" w:header="0" w:footer="720" w:gutter="0"/>
          <w:pgNumType w:start="1"/>
          <w:cols w:space="720"/>
        </w:sectPr>
      </w:pPr>
    </w:p>
    <w:p w14:paraId="09A07E8F" w14:textId="57322B88" w:rsidR="0032009C" w:rsidRDefault="00B80037" w:rsidP="009870ED">
      <w:pPr>
        <w:rPr>
          <w:rFonts w:ascii="Times New Roman" w:eastAsia="Times New Roman" w:hAnsi="Times New Roman" w:cs="Times New Roman"/>
          <w:i/>
          <w:sz w:val="24"/>
          <w:szCs w:val="24"/>
        </w:rPr>
      </w:pPr>
      <w:commentRangeStart w:id="21"/>
      <w:r>
        <w:rPr>
          <w:rFonts w:ascii="Times New Roman" w:eastAsia="Times New Roman" w:hAnsi="Times New Roman" w:cs="Times New Roman"/>
          <w:i/>
          <w:sz w:val="24"/>
          <w:szCs w:val="24"/>
        </w:rPr>
        <w:lastRenderedPageBreak/>
        <w:t>General model approach</w:t>
      </w:r>
      <w:commentRangeEnd w:id="21"/>
      <w:r>
        <w:commentReference w:id="21"/>
      </w:r>
    </w:p>
    <w:p w14:paraId="6D23F43C"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operated the model on a daily time step. Lake volume was assumed static and inflow volume was assumed equal to outflow volume. Because observational data were not always available</w:t>
      </w:r>
      <w:commentRangeStart w:id="22"/>
      <w:commentRangeStart w:id="23"/>
      <w:r>
        <w:rPr>
          <w:rFonts w:ascii="Times New Roman" w:eastAsia="Times New Roman" w:hAnsi="Times New Roman" w:cs="Times New Roman"/>
          <w:sz w:val="24"/>
          <w:szCs w:val="24"/>
        </w:rPr>
        <w:t xml:space="preserve"> at daily temporal </w:t>
      </w:r>
      <w:commentRangeEnd w:id="22"/>
      <w:r>
        <w:commentReference w:id="22"/>
      </w:r>
      <w:commentRangeEnd w:id="23"/>
      <w:r>
        <w:commentReference w:id="23"/>
      </w:r>
      <w:r>
        <w:rPr>
          <w:rFonts w:ascii="Times New Roman" w:eastAsia="Times New Roman" w:hAnsi="Times New Roman" w:cs="Times New Roman"/>
          <w:sz w:val="24"/>
          <w:szCs w:val="24"/>
        </w:rPr>
        <w:t>resolution (i.e, weekly to bi-weekly for some lakes), we filled gaps using linear interpolations. We made an exception for precipitation: data gaps were filled as 0. To account for the absence of winter data at Toolik Lake,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4" w:name="_e3qajp1968u" w:colFirst="0" w:colLast="0"/>
      <w:bookmarkEnd w:id="24"/>
      <w:r>
        <w:rPr>
          <w:rFonts w:ascii="Times New Roman" w:eastAsia="Times New Roman" w:hAnsi="Times New Roman" w:cs="Times New Roman"/>
          <w:i/>
          <w:sz w:val="24"/>
          <w:szCs w:val="24"/>
        </w:rPr>
        <w:t>Allochthonous DOC and POC</w:t>
      </w:r>
    </w:p>
    <w:p w14:paraId="7D3C75D5"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Allochthonous DOC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load was calculated as a combined function of 1) stream load, 2) precipitation load, 3) wetland load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on based on canopy cover and an additional 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w:t>
      </w:r>
      <w:r>
        <w:rPr>
          <w:rFonts w:ascii="Times New Roman" w:eastAsia="Times New Roman" w:hAnsi="Times New Roman" w:cs="Times New Roman"/>
          <w:sz w:val="24"/>
          <w:szCs w:val="24"/>
        </w:rPr>
        <w:lastRenderedPageBreak/>
        <w:t xml:space="preserve">proportion of total inflow volume and the assumption that inflow DOC concentration was the same in all tributaries. </w:t>
      </w:r>
    </w:p>
    <w:p w14:paraId="64975FAC"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(DOC_precip; Table 2)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p>
    <w:p w14:paraId="1E3E421F"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Contributions of OC from shoreline-adjacent wetlands were estimated using GIS and publicly available spatial datasets (S2). We focused on wetlands adjacent to the shoreline because these wetlands contribute the vast majority of wetland-derived OC to lakes; distant wetlands contribute negligible OC that is not transported via streams (Hanson et al. 2014). DOC contribution of wetlands was calculated by multiplying the proportion of lake shoreline covered by wetlands (PropWetland; Table 2) by lake perimeter (m), and then multiplying this value by a static parameter representing wetland DOC in g/m shoreline/day (Table 3: Eq. 1d).</w:t>
      </w:r>
    </w:p>
    <w:p w14:paraId="557B63AC"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study lakes ranged from (0-19%) (S1)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 The contribution of groundwater to the allochthonous DOC load was therefore calculated as the product of DOC concentration and a percentage of total surface inflow (groundwater inflow rate) (Table 3: Eq. 1e). </w:t>
      </w:r>
    </w:p>
    <w:p w14:paraId="79AB911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(PropCanopy; Table 2)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5" w:name="_6mc5pfc13zyv" w:colFirst="0" w:colLast="0"/>
      <w:bookmarkEnd w:id="25"/>
      <w:r>
        <w:rPr>
          <w:rFonts w:ascii="Times New Roman" w:eastAsia="Times New Roman" w:hAnsi="Times New Roman" w:cs="Times New Roman"/>
          <w:i/>
          <w:color w:val="000000"/>
          <w:sz w:val="24"/>
          <w:szCs w:val="24"/>
        </w:rPr>
        <w:lastRenderedPageBreak/>
        <w:t xml:space="preserve">Autochthonous DOC and POC: primary production </w:t>
      </w:r>
    </w:p>
    <w:p w14:paraId="515F4F31" w14:textId="77777777"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ChlA was unavailable) and surface water temperature (°C) per Morin et al. (1999) (Table 3: Eq. 2a). This empirical statistical model was based on observational temperature and ChlA data that ranged from 5-25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this model does not predict GPP well for winter-temperatures, we set GPP to zero if surface water temperatures were &lt; 4 </w:t>
      </w:r>
      <w:r>
        <w:rPr>
          <w:rFonts w:ascii="Times New Roman" w:eastAsia="Times New Roman" w:hAnsi="Times New Roman" w:cs="Times New Roman"/>
          <w:sz w:val="24"/>
          <w:szCs w:val="24"/>
          <w:vertAlign w:val="superscript"/>
        </w:rPr>
        <w:t>o</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(R_auto; Table 2) was assumed to equal 80% of total GPP; therefore, net 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the concentration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 and two free parameters: Respiration_autoch and Respiration_alloch (Table 2, Table 3: Eqs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(add some citations),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6" w:name="_ny5h27mmaq7k" w:colFirst="0" w:colLast="0"/>
      <w:bookmarkEnd w:id="26"/>
      <w:r>
        <w:rPr>
          <w:rFonts w:ascii="Times New Roman" w:eastAsia="Times New Roman" w:hAnsi="Times New Roman" w:cs="Times New Roman"/>
          <w:i/>
          <w:color w:val="000000"/>
          <w:sz w:val="24"/>
          <w:szCs w:val="24"/>
        </w:rPr>
        <w:lastRenderedPageBreak/>
        <w:t>Burial of POC</w:t>
      </w:r>
    </w:p>
    <w:p w14:paraId="7BE69FCF"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 associated with estimating net burial, burial parameters were treated as a free calibration parameter in the model and allowed to vary as a proportion between 0 (no burial of POC) and 1 (all POC is buried). This simple approach allowed burial to function as the expected feedback mechanism to high POC loads from inflows and/or primary production without the need for challenging, highly uncertain gross sedimentation and </w:t>
      </w:r>
      <w:commentRangeStart w:id="27"/>
      <w:r>
        <w:rPr>
          <w:rFonts w:ascii="Times New Roman" w:eastAsia="Times New Roman" w:hAnsi="Times New Roman" w:cs="Times New Roman"/>
          <w:sz w:val="24"/>
          <w:szCs w:val="24"/>
        </w:rPr>
        <w:t>resuspension estimates</w:t>
      </w:r>
      <w:commentRangeEnd w:id="27"/>
      <w:r>
        <w:commentReference w:id="27"/>
      </w:r>
      <w:r>
        <w:rPr>
          <w:rFonts w:ascii="Times New Roman" w:eastAsia="Times New Roman" w:hAnsi="Times New Roman" w:cs="Times New Roman"/>
          <w:sz w:val="24"/>
          <w:szCs w:val="24"/>
        </w:rPr>
        <w:t xml:space="preserve">. </w:t>
      </w: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l03fr54i2e0u" w:colFirst="0" w:colLast="0"/>
      <w:bookmarkEnd w:id="28"/>
      <w:r>
        <w:rPr>
          <w:rFonts w:ascii="Times New Roman" w:eastAsia="Times New Roman" w:hAnsi="Times New Roman" w:cs="Times New Roman"/>
          <w:i/>
          <w:sz w:val="24"/>
          <w:szCs w:val="24"/>
        </w:rPr>
        <w:t xml:space="preserve">Model output and calibration </w:t>
      </w:r>
    </w:p>
    <w:p w14:paraId="2F87669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All fluxes and loads of DOC and POC were tracked at the daily model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w:t>
      </w:r>
      <w:commentRangeStart w:id="29"/>
      <w:r>
        <w:rPr>
          <w:rFonts w:ascii="Times New Roman" w:eastAsia="Times New Roman" w:hAnsi="Times New Roman" w:cs="Times New Roman"/>
          <w:sz w:val="24"/>
          <w:szCs w:val="24"/>
        </w:rPr>
        <w:t>k</w:t>
      </w:r>
      <w:commentRangeEnd w:id="29"/>
      <w:r>
        <w:commentReference w:id="29"/>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 and k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and DO were used to calculate the change in DO in the surface water using (Table 3: Eq. 4c). Modeled DOC and DO were compared to corresponding observed concentrations using </w:t>
      </w:r>
      <w:commentRangeStart w:id="30"/>
      <w:r>
        <w:rPr>
          <w:rFonts w:ascii="Times New Roman" w:eastAsia="Times New Roman" w:hAnsi="Times New Roman" w:cs="Times New Roman"/>
          <w:sz w:val="24"/>
          <w:szCs w:val="24"/>
        </w:rPr>
        <w:t>RMSE</w:t>
      </w:r>
      <w:commentRangeEnd w:id="30"/>
      <w:r>
        <w:commentReference w:id="30"/>
      </w:r>
      <w:r>
        <w:rPr>
          <w:rFonts w:ascii="Times New Roman" w:eastAsia="Times New Roman" w:hAnsi="Times New Roman" w:cs="Times New Roman"/>
          <w:sz w:val="24"/>
          <w:szCs w:val="24"/>
        </w:rPr>
        <w:t xml:space="preserve"> (root mean square error) and Nash-Sutcliffe efficiency scores for each lake to determine model goodness of fit.</w:t>
      </w:r>
    </w:p>
    <w:p w14:paraId="7877166D"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w:t>
      </w:r>
      <w:r>
        <w:rPr>
          <w:rFonts w:ascii="Times New Roman" w:eastAsia="Times New Roman" w:hAnsi="Times New Roman" w:cs="Times New Roman"/>
          <w:sz w:val="24"/>
          <w:szCs w:val="24"/>
        </w:rPr>
        <w:lastRenderedPageBreak/>
        <w:t xml:space="preserve">of observations). The model was fit using a pseudo-random search algorithm in the R package FME (Soetaert and Petzoldt 2010). 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Bootstrapping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1" w:name="_ocy0aysirc6j" w:colFirst="0" w:colLast="0"/>
      <w:bookmarkEnd w:id="31"/>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 w:name="_5q3azwjwpxro" w:colFirst="0" w:colLast="0"/>
      <w:bookmarkEnd w:id="32"/>
      <w:r>
        <w:rPr>
          <w:rFonts w:ascii="Times New Roman" w:eastAsia="Times New Roman" w:hAnsi="Times New Roman" w:cs="Times New Roman"/>
          <w:i/>
          <w:sz w:val="24"/>
          <w:szCs w:val="24"/>
        </w:rPr>
        <w:t>Model performance, parameter estimates and sensitivity analysis</w:t>
      </w:r>
    </w:p>
    <w:p w14:paraId="0183F9C1"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Modeled DOC and DO generally mimicked observed temporal patterns across years and study lakes. RMSE ranged 0.73-1.46 across lakes, demonstrating overall strong goodness of fit for both DOC and DO (Table 4). NSE values ranged 0.69-0.96, indicating that the model accounted for considerably more information than long-term means of DOC and DO. Although the model captured general upward and downward trends across years, as well as seasonal peaks and lows in DOC and DO,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allochthonous POC buried in sediments, was 1 (i.e., 1=100% burial, 0% leached to DOC) for all lakes (Table). Similarly, Burial_autoch was near 1 for Monona, Vanern and Toolik; however, values were 0 for Harp and Trout, indicating nearly all autochthonous POC was leached to DOC in these two lakes. DOC respiration parameters were lower for allochthonous than autochthonous DOC across all lakes, indicating that respiration was largely driven by autochthony. Respiration_alloch was largely </w:t>
      </w:r>
      <w:r>
        <w:rPr>
          <w:rFonts w:ascii="Times New Roman" w:eastAsia="Times New Roman" w:hAnsi="Times New Roman" w:cs="Times New Roman"/>
          <w:sz w:val="24"/>
          <w:szCs w:val="24"/>
        </w:rPr>
        <w:lastRenderedPageBreak/>
        <w:t>similar across lakes, ranging 0.001-0.003, whereas Respiration_autoch was more variable, ranging 0.015 (Trout) to 0.297 (Toolik).</w:t>
      </w:r>
    </w:p>
    <w:p w14:paraId="0C38E314"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sensitivity analysis demonstrated that modeled DOC (mg/L) was generally most sensitive to Respiration_alloch, except for Monona, for which modeled DOC was most sensitive to Burial_autoch (Fig. 3). The other 4 lakes were minimally affected by changes in this parameter (&lt; 1 mg/L difference across the range of parameter values). Changes in the parameter Burial_alloch had consistently minimal effects on modeled DOC across lakes. Harp and Monona were the only lakes with considerable sensitivity to Respiration_autoch. </w:t>
      </w:r>
      <w:commentRangeStart w:id="33"/>
      <w:r>
        <w:rPr>
          <w:rFonts w:ascii="Times New Roman" w:eastAsia="Times New Roman" w:hAnsi="Times New Roman" w:cs="Times New Roman"/>
          <w:sz w:val="24"/>
          <w:szCs w:val="24"/>
        </w:rPr>
        <w:t>Overall</w:t>
      </w:r>
      <w:commentRangeEnd w:id="33"/>
      <w:r>
        <w:commentReference w:id="33"/>
      </w:r>
      <w:r>
        <w:rPr>
          <w:rFonts w:ascii="Times New Roman" w:eastAsia="Times New Roman" w:hAnsi="Times New Roman" w:cs="Times New Roman"/>
          <w:sz w:val="24"/>
          <w:szCs w:val="24"/>
        </w:rPr>
        <w:t xml:space="preserve">, parameter sensitivity was greatest for Vanern, Harp and Monona, for which modeled DOC varied as much as 5-6 mg/L across the range of parameter values. Conversely, modeled DOC varied no more than 2 and 3 mg/L for Toolik and Trout, respectively.  </w:t>
      </w:r>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4" w:name="_xlemxvr7c40e" w:colFirst="0" w:colLast="0"/>
      <w:bookmarkEnd w:id="34"/>
      <w:r>
        <w:rPr>
          <w:rFonts w:ascii="Times New Roman" w:eastAsia="Times New Roman" w:hAnsi="Times New Roman" w:cs="Times New Roman"/>
          <w:i/>
          <w:sz w:val="24"/>
          <w:szCs w:val="24"/>
        </w:rPr>
        <w:t>Summary of fluxes and fates</w:t>
      </w:r>
    </w:p>
    <w:p w14:paraId="37DB0318" w14:textId="77777777"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model tracked spring peaks and general seasonal declines in allochthony, as well as additional short-term spikes associated with precipitation events (Fig. 4). Trends in autochthony demonstrated annual peaks associated with summer water temperatures. Trajectories of burial, respiration and export followed similarly shaped trajectories within and across years. Some lakes showed variability in the magnitude of fluxes across years, demonstrating the ability of the model to account for inter-annual fluctuations. For example, overall trajectories were generally consistent over time for Trout and Vanern, whereas Harp, Monona and Toolik demonstrated more variability. In Harp, total budget variability was driven by trends in allochthony, autochthony and respiration, whereas burial and export were consistently smaller proportions of the budget. All fluxes were highly variable through time in Monona, except for consistently low </w:t>
      </w:r>
      <w:r>
        <w:rPr>
          <w:rFonts w:ascii="Times New Roman" w:eastAsia="Times New Roman" w:hAnsi="Times New Roman" w:cs="Times New Roman"/>
          <w:sz w:val="24"/>
          <w:szCs w:val="24"/>
        </w:rPr>
        <w:lastRenderedPageBreak/>
        <w:t>respiration. Toolik demonstrated consistently low autochthony, respiration and burial; long-term variability in total budgets followed similarly shaped trajectories of allochthony and export.</w:t>
      </w:r>
    </w:p>
    <w:p w14:paraId="68128D74"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lake budgets (Table 5). Trout Lake had the lowest allochthony by nearly a factor of 3 or more, which translated into a relatively low allocthonous contribution (31.7%) to the overall budget compared to the other lakes (54.3 - 89.3%). Toolik was dominated by allochthony, accounting for 89.3% of its overall budget. Exports ranged from 9.5 (Trout) to 62.0% (Toolik) and were less than the sum of respiration and burial across all lakes except Toolik, indicating that these lakes actively processed OC. Monona was a borderline processor, however, given that export basically equalled respiration plus sedimentation.</w:t>
      </w:r>
    </w:p>
    <w:p w14:paraId="2AC97DE6"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Respiration consistently exceeded burial in all lakes but Monona, indicating that these lakes were net sources of OC (Table 5). Among the 5 lakes, respiration was lowest and burial was greatest for Monona by a factor of 2 or more for all lakes but Toolik (respiration). Burial accounted for 12.0% or less of total budgets for Harp, Toolik and Trout, indicating that burial was a relatively minor sink mechanism in these lakes. The burial rate for Vanern was closer to that of Monona than to the other three lakes, but was still close to half of its respiration rate. Monona was the only long-term net sink of OC due to its low rate of respiration relative to burial.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5" w:name="_23giog1xmb1e" w:colFirst="0" w:colLast="0"/>
      <w:bookmarkEnd w:id="35"/>
      <w:r>
        <w:rPr>
          <w:rFonts w:ascii="Times New Roman" w:eastAsia="Times New Roman" w:hAnsi="Times New Roman" w:cs="Times New Roman"/>
          <w:i/>
          <w:sz w:val="24"/>
          <w:szCs w:val="24"/>
        </w:rPr>
        <w:t>Seasonal fates</w:t>
      </w:r>
    </w:p>
    <w:p w14:paraId="1A5EEDF1"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allochthony and autochthony generally shifted in favor of autochthony (due to increases in GPP), whereas the ratio between respiration and burial generally shifted towards respiration and </w:t>
      </w:r>
      <w:r>
        <w:rPr>
          <w:rFonts w:ascii="Times New Roman" w:eastAsia="Times New Roman" w:hAnsi="Times New Roman" w:cs="Times New Roman"/>
          <w:sz w:val="24"/>
          <w:szCs w:val="24"/>
        </w:rPr>
        <w:lastRenderedPageBreak/>
        <w:t>therefore source status (Fig. 5). The four quadrants in Fig. 5 demonstrate seasonal variability in source or sink status for some lakes. 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however, Monona remained a net sink on an annual basis (Table 5). Monona and Vanern also showed less of an increase in autochthony as 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6" w:name="_3o4ewidztyp5" w:colFirst="0" w:colLast="0"/>
      <w:bookmarkEnd w:id="36"/>
      <w:r>
        <w:rPr>
          <w:rFonts w:ascii="Times New Roman" w:eastAsia="Times New Roman" w:hAnsi="Times New Roman" w:cs="Times New Roman"/>
          <w:b/>
          <w:sz w:val="24"/>
          <w:szCs w:val="24"/>
        </w:rPr>
        <w:t>DISCUSSION</w:t>
      </w:r>
    </w:p>
    <w:p w14:paraId="5681E98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7" w:name="_a3c9orcnsv16" w:colFirst="0" w:colLast="0"/>
      <w:bookmarkEnd w:id="37"/>
      <w:r>
        <w:rPr>
          <w:rFonts w:ascii="Times New Roman" w:eastAsia="Times New Roman" w:hAnsi="Times New Roman" w:cs="Times New Roman"/>
          <w:i/>
          <w:sz w:val="24"/>
          <w:szCs w:val="24"/>
        </w:rPr>
        <w:t>Are lakes sources or sinks of organic carbon?</w:t>
      </w:r>
    </w:p>
    <w:p w14:paraId="50E8AF3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prior studies have identified lakes as important carbon sinks owing to burial in lake sediments, our study showed that burial can be a relatively small component of overall lake OC budgets. Many lakes, therefore, may actually be net OC sources due to the ratio between burial and respiration, which prior studies did not consider. Even with some uncertainty in burial parameters, the range of potential burial amounts essentially exists within the noise of the overall budget compared to other fluxes. 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broader ecosystem responses to climate change.</w:t>
      </w:r>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allochthony and autochthony under climate warming. Further, the turnover rate of autochthonous OC in lakes is faster than for allochthonous OC (based on respective respiration parameters). As such, increases in lake productivity could rapidly increase allochthonous inputs to other lakes.</w:t>
      </w:r>
    </w:p>
    <w:p w14:paraId="1C599CD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3s028hwr8v82" w:colFirst="0" w:colLast="0"/>
      <w:bookmarkEnd w:id="38"/>
      <w:r>
        <w:rPr>
          <w:rFonts w:ascii="Times New Roman" w:eastAsia="Times New Roman" w:hAnsi="Times New Roman" w:cs="Times New Roman"/>
          <w:i/>
          <w:sz w:val="24"/>
          <w:szCs w:val="24"/>
        </w:rPr>
        <w:t>Recreating important lake processes</w:t>
      </w:r>
    </w:p>
    <w:p w14:paraId="34E2F039"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results indicated that a relatively simple, dynamical model can represent the set of key biogeochemical, trophic and landscape processes that combine to determine the fate of OC in lake ecosystems. Our model worked reasonably well for both eutrophic and oligotrophic lakes, temperate to subarctic climate zones, forested and agricultural watersheds and orders of magnitude differences in lake morphometry, which demonstrated the generalizable nature of our modeling approach. Further, the flux rates we produced were within the range of other published studies for these lakes based on steady-state models. Using much of the same LTER data, Hanson et al. (2014) provided similar estimates for Trout of allochthony, burial and export, but not for respiration. Whalen and Cornwall (1985) modeled Toolik based on a different set of years from our study (1980-1981), but similarly demonstrated that the system contained high allochthony relative to autochthony, low burial and high export. Similar to Hanson et al. (2014), Dillon and Molot (1997)’s estimates for Harp of autochthony, burial and export, but not respiration (based on field data from 1981-1989) were comparable to our results. Although our </w:t>
      </w:r>
      <w:r>
        <w:rPr>
          <w:rFonts w:ascii="Times New Roman" w:eastAsia="Times New Roman" w:hAnsi="Times New Roman" w:cs="Times New Roman"/>
          <w:sz w:val="24"/>
          <w:szCs w:val="24"/>
        </w:rPr>
        <w:lastRenderedPageBreak/>
        <w:t xml:space="preserve">results generally agreed with prior studies based on steady-state models, this was not true for autochthony and respiration.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source or sink function of lakes, given the importance of autochthony and respiration. </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9" w:name="_vg8pldrl49h3" w:colFirst="0" w:colLast="0"/>
      <w:bookmarkEnd w:id="39"/>
      <w:r>
        <w:rPr>
          <w:rFonts w:ascii="Times New Roman" w:eastAsia="Times New Roman" w:hAnsi="Times New Roman" w:cs="Times New Roman"/>
          <w:i/>
          <w:sz w:val="24"/>
          <w:szCs w:val="24"/>
        </w:rPr>
        <w:t>On-going research needs and future implications</w:t>
      </w:r>
    </w:p>
    <w:p w14:paraId="3E34E68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 yet without them, examining whole-lake OC budgets is 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(cite GLEON-esque example?). In addition, relatively little is currently known about POC budgets despite their key interactions with DOC (Einsele et al. 2001); we need more POC observational data to incorporate into dynamical models of OC. Such studies would help constrain POC parameters and improve estimates of the fates of POC within overall OC budgets. Finally, although burial is in many cases a relatively small OC flux in lake ecosystems, burial may be underestimated if large </w:t>
      </w:r>
      <w:r>
        <w:rPr>
          <w:rFonts w:ascii="Times New Roman" w:eastAsia="Times New Roman" w:hAnsi="Times New Roman" w:cs="Times New Roman"/>
          <w:sz w:val="24"/>
          <w:szCs w:val="24"/>
        </w:rPr>
        <w:lastRenderedPageBreak/>
        <w:t xml:space="preserve">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allochthonous DOC inputs to lakes at regional scales (Rose et al. 2016). </w:t>
      </w:r>
    </w:p>
    <w:p w14:paraId="0E7C3963"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 Lake resource managers should be aware of the importance of allochthonous inputs derived from watershed sources in lake OC budgets; allochthony exceeded autochthony in 4 of the 5 lakes in this study. Allochthony not only strongly influences lake ecosystem productivity, but also may increase as connected lakes and streams transport relatively mobile autochthonous OC from one system to another. Lakes become increasingly productive as water temperatures warm, which increases autochthony as well as the OC source capacity of lakes.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40" w:name="_jodkgtnyf02z" w:colFirst="0" w:colLast="0"/>
      <w:bookmarkEnd w:id="40"/>
      <w:r>
        <w:rPr>
          <w:rFonts w:ascii="Times New Roman" w:eastAsia="Times New Roman" w:hAnsi="Times New Roman" w:cs="Times New Roman"/>
          <w:b/>
          <w:sz w:val="24"/>
          <w:szCs w:val="24"/>
        </w:rPr>
        <w:t xml:space="preserve"> </w:t>
      </w:r>
      <w:commentRangeStart w:id="41"/>
      <w:r>
        <w:rPr>
          <w:rFonts w:ascii="Times New Roman" w:eastAsia="Times New Roman" w:hAnsi="Times New Roman" w:cs="Times New Roman"/>
          <w:b/>
          <w:sz w:val="24"/>
          <w:szCs w:val="24"/>
        </w:rPr>
        <w:t>ACKNOWLEDGMENTS</w:t>
      </w:r>
      <w:commentRangeEnd w:id="41"/>
      <w:r>
        <w:commentReference w:id="41"/>
      </w:r>
    </w:p>
    <w:p w14:paraId="2900B07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w:t>
      </w:r>
      <w:r>
        <w:rPr>
          <w:rFonts w:ascii="Times New Roman" w:eastAsia="Times New Roman" w:hAnsi="Times New Roman" w:cs="Times New Roman"/>
          <w:sz w:val="24"/>
          <w:szCs w:val="24"/>
        </w:rPr>
        <w:lastRenderedPageBreak/>
        <w:t>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2" w:name="_j77eak7kbqvt" w:colFirst="0" w:colLast="0"/>
      <w:bookmarkEnd w:id="42"/>
      <w:r>
        <w:rPr>
          <w:rFonts w:ascii="Times New Roman" w:eastAsia="Times New Roman" w:hAnsi="Times New Roman" w:cs="Times New Roman"/>
          <w:b/>
          <w:sz w:val="24"/>
          <w:szCs w:val="24"/>
        </w:rPr>
        <w:t>LITERATURE CITED</w:t>
      </w:r>
    </w:p>
    <w:p w14:paraId="29A9736C"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64BDB386"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9D0BD9"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FDC5A74" w14:textId="77777777" w:rsidR="0032009C" w:rsidRDefault="0032009C">
      <w:pPr>
        <w:spacing w:line="240" w:lineRule="auto"/>
        <w:ind w:left="450" w:hanging="450"/>
        <w:rPr>
          <w:rFonts w:ascii="Times New Roman" w:eastAsia="Times New Roman" w:hAnsi="Times New Roman" w:cs="Times New Roman"/>
          <w:sz w:val="24"/>
          <w:szCs w:val="24"/>
        </w:rPr>
      </w:pPr>
    </w:p>
    <w:p w14:paraId="1386C6B8"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p>
    <w:p w14:paraId="34824BA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9BF73F"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4B68CF4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E3C044"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97-106.</w:t>
      </w:r>
    </w:p>
    <w:p w14:paraId="5253A766"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49E4D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23DC344B" w14:textId="77777777" w:rsidR="0032009C" w:rsidRDefault="0032009C">
      <w:pPr>
        <w:spacing w:line="240" w:lineRule="auto"/>
        <w:ind w:left="450" w:hanging="450"/>
        <w:rPr>
          <w:rFonts w:ascii="Times New Roman" w:eastAsia="Times New Roman" w:hAnsi="Times New Roman" w:cs="Times New Roman"/>
          <w:sz w:val="24"/>
          <w:szCs w:val="24"/>
        </w:rPr>
      </w:pPr>
    </w:p>
    <w:p w14:paraId="51CED937"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07700720" w14:textId="77777777" w:rsidR="0032009C" w:rsidRDefault="0032009C">
      <w:pPr>
        <w:spacing w:line="240" w:lineRule="auto"/>
        <w:ind w:left="450" w:hanging="450"/>
        <w:rPr>
          <w:rFonts w:ascii="Times New Roman" w:eastAsia="Times New Roman" w:hAnsi="Times New Roman" w:cs="Times New Roman"/>
          <w:sz w:val="24"/>
          <w:szCs w:val="24"/>
        </w:rPr>
      </w:pPr>
    </w:p>
    <w:p w14:paraId="6FCDF89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4BC5B76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18E2DF"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4C46EAA"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D627BA"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8BEFEB5" w14:textId="77777777" w:rsidR="0032009C" w:rsidRDefault="0032009C">
      <w:pPr>
        <w:spacing w:line="240" w:lineRule="auto"/>
        <w:ind w:left="450" w:hanging="450"/>
        <w:rPr>
          <w:rFonts w:ascii="Times New Roman" w:eastAsia="Times New Roman" w:hAnsi="Times New Roman" w:cs="Times New Roman"/>
          <w:sz w:val="24"/>
          <w:szCs w:val="24"/>
        </w:rPr>
      </w:pPr>
    </w:p>
    <w:p w14:paraId="523E549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C3F57C1" w14:textId="77777777" w:rsidR="0032009C" w:rsidRDefault="0032009C">
      <w:pPr>
        <w:spacing w:line="240" w:lineRule="auto"/>
        <w:ind w:left="450" w:hanging="450"/>
        <w:rPr>
          <w:rFonts w:ascii="Times New Roman" w:eastAsia="Times New Roman" w:hAnsi="Times New Roman" w:cs="Times New Roman"/>
          <w:sz w:val="24"/>
          <w:szCs w:val="24"/>
        </w:rPr>
      </w:pPr>
    </w:p>
    <w:p w14:paraId="65166479"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(1).</w:t>
      </w:r>
    </w:p>
    <w:p w14:paraId="27195C3C"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F4415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F7A79E5"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A32C3E"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06E52F8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5C0756"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62922CCE"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CDCE6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E73162A"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260234"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D2F6088"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96FA8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Sweden).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46</w:t>
      </w:r>
      <w:r>
        <w:rPr>
          <w:rFonts w:ascii="Times New Roman" w:eastAsia="Times New Roman" w:hAnsi="Times New Roman" w:cs="Times New Roman"/>
          <w:sz w:val="24"/>
          <w:szCs w:val="24"/>
        </w:rPr>
        <w:t>(7), 1691-1700.</w:t>
      </w:r>
    </w:p>
    <w:p w14:paraId="5414EA13" w14:textId="77777777" w:rsidR="0032009C" w:rsidRDefault="0032009C">
      <w:pPr>
        <w:spacing w:line="240" w:lineRule="auto"/>
        <w:ind w:left="450" w:hanging="450"/>
        <w:rPr>
          <w:rFonts w:ascii="Times New Roman" w:eastAsia="Times New Roman" w:hAnsi="Times New Roman" w:cs="Times New Roman"/>
          <w:sz w:val="24"/>
          <w:szCs w:val="24"/>
        </w:rPr>
      </w:pPr>
    </w:p>
    <w:p w14:paraId="4164B23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4F14F317"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BEABC5"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3AD08C6B" w14:textId="77777777" w:rsidR="0032009C" w:rsidRDefault="0032009C">
      <w:pPr>
        <w:spacing w:line="240" w:lineRule="auto"/>
        <w:ind w:left="450" w:hanging="450"/>
        <w:rPr>
          <w:rFonts w:ascii="Times New Roman" w:eastAsia="Times New Roman" w:hAnsi="Times New Roman" w:cs="Times New Roman"/>
          <w:sz w:val="24"/>
          <w:szCs w:val="24"/>
        </w:rPr>
      </w:pPr>
    </w:p>
    <w:p w14:paraId="6DA7B56B"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55E7ADD3" w14:textId="77777777" w:rsidR="0032009C" w:rsidRDefault="0032009C">
      <w:pPr>
        <w:spacing w:line="240" w:lineRule="auto"/>
        <w:ind w:left="450" w:hanging="450"/>
        <w:rPr>
          <w:rFonts w:ascii="Times New Roman" w:eastAsia="Times New Roman" w:hAnsi="Times New Roman" w:cs="Times New Roman"/>
          <w:sz w:val="24"/>
          <w:szCs w:val="24"/>
        </w:rPr>
      </w:pPr>
    </w:p>
    <w:p w14:paraId="34045D7B"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(2-3), 273-290.</w:t>
      </w:r>
    </w:p>
    <w:p w14:paraId="26830BC1" w14:textId="77777777" w:rsidR="0032009C" w:rsidRDefault="0032009C">
      <w:pPr>
        <w:spacing w:line="240" w:lineRule="auto"/>
        <w:ind w:left="450" w:hanging="450"/>
        <w:rPr>
          <w:rFonts w:ascii="Times New Roman" w:eastAsia="Times New Roman" w:hAnsi="Times New Roman" w:cs="Times New Roman"/>
          <w:sz w:val="24"/>
          <w:szCs w:val="24"/>
        </w:rPr>
      </w:pPr>
    </w:p>
    <w:p w14:paraId="0C66BD5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C79638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EB239B"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52C1BFAF"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E37643"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4A3CD270" w14:textId="77777777" w:rsidR="0032009C" w:rsidRDefault="0032009C">
      <w:pPr>
        <w:spacing w:line="240" w:lineRule="auto"/>
        <w:ind w:left="450" w:hanging="450"/>
        <w:rPr>
          <w:rFonts w:ascii="Times New Roman" w:eastAsia="Times New Roman" w:hAnsi="Times New Roman" w:cs="Times New Roman"/>
          <w:sz w:val="24"/>
          <w:szCs w:val="24"/>
        </w:rPr>
      </w:pPr>
    </w:p>
    <w:p w14:paraId="1A61F45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3AE6BB44"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AAF28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7925E75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28384A"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28044055" w14:textId="77777777" w:rsidR="0032009C" w:rsidRDefault="0032009C">
      <w:pPr>
        <w:spacing w:line="240" w:lineRule="auto"/>
        <w:ind w:left="450" w:hanging="450"/>
        <w:rPr>
          <w:rFonts w:ascii="Times New Roman" w:eastAsia="Times New Roman" w:hAnsi="Times New Roman" w:cs="Times New Roman"/>
          <w:sz w:val="24"/>
          <w:szCs w:val="24"/>
        </w:rPr>
      </w:pPr>
    </w:p>
    <w:p w14:paraId="4624C15D"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0B1AE76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2B188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7E367"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8BBDEC1"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6A5D6103"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F943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3CC50F6A" w14:textId="77777777" w:rsidR="0032009C" w:rsidRDefault="0032009C">
      <w:pPr>
        <w:spacing w:line="240" w:lineRule="auto"/>
        <w:ind w:left="450" w:hanging="450"/>
        <w:rPr>
          <w:rFonts w:ascii="Times New Roman" w:eastAsia="Times New Roman" w:hAnsi="Times New Roman" w:cs="Times New Roman"/>
          <w:sz w:val="24"/>
          <w:szCs w:val="24"/>
        </w:rPr>
      </w:pPr>
    </w:p>
    <w:p w14:paraId="6EED39C2"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DCDC908"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A5EDA0"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4A9A1C65" w14:textId="77777777" w:rsidR="0032009C" w:rsidRDefault="0032009C">
      <w:pPr>
        <w:spacing w:line="240" w:lineRule="auto"/>
        <w:ind w:left="450" w:hanging="450"/>
        <w:rPr>
          <w:rFonts w:ascii="Times New Roman" w:eastAsia="Times New Roman" w:hAnsi="Times New Roman" w:cs="Times New Roman"/>
          <w:sz w:val="24"/>
          <w:szCs w:val="24"/>
        </w:rPr>
      </w:pPr>
    </w:p>
    <w:p w14:paraId="15401F8B"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5806CA99" w14:textId="77777777" w:rsidR="0032009C" w:rsidRDefault="0032009C">
      <w:pPr>
        <w:spacing w:line="240" w:lineRule="auto"/>
        <w:ind w:left="450" w:hanging="450"/>
        <w:rPr>
          <w:rFonts w:ascii="Times New Roman" w:eastAsia="Times New Roman" w:hAnsi="Times New Roman" w:cs="Times New Roman"/>
          <w:sz w:val="24"/>
          <w:szCs w:val="24"/>
        </w:rPr>
      </w:pPr>
    </w:p>
    <w:p w14:paraId="179724C7"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1C6AADED" w14:textId="77777777" w:rsidR="0032009C" w:rsidRDefault="0032009C">
      <w:pPr>
        <w:spacing w:line="240" w:lineRule="auto"/>
        <w:ind w:left="450" w:hanging="450"/>
        <w:rPr>
          <w:rFonts w:ascii="Times New Roman" w:eastAsia="Times New Roman" w:hAnsi="Times New Roman" w:cs="Times New Roman"/>
          <w:sz w:val="24"/>
          <w:szCs w:val="24"/>
        </w:rPr>
      </w:pPr>
    </w:p>
    <w:p w14:paraId="439F2973"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4C05FE23" w14:textId="77777777" w:rsidR="0032009C" w:rsidRDefault="00B80037">
      <w:pPr>
        <w:spacing w:line="24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F36AFF" w14:textId="77777777" w:rsidR="0032009C" w:rsidRDefault="00B80037">
      <w:pPr>
        <w:spacing w:line="24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7777777" w:rsidR="009870ED" w:rsidRDefault="009870ED">
      <w:r>
        <w:br w:type="page"/>
      </w:r>
    </w:p>
    <w:p w14:paraId="25840164" w14:textId="77777777" w:rsidR="009870ED" w:rsidRDefault="009870ED">
      <w:pPr>
        <w:spacing w:line="480" w:lineRule="auto"/>
        <w:sectPr w:rsidR="009870ED" w:rsidSect="009870ED">
          <w:pgSz w:w="12240" w:h="15840"/>
          <w:pgMar w:top="1440" w:right="1440" w:bottom="1440" w:left="1440" w:header="0" w:footer="720" w:gutter="0"/>
          <w:pgNumType w:start="1"/>
          <w:cols w:space="720"/>
        </w:sectPr>
      </w:pPr>
    </w:p>
    <w:tbl>
      <w:tblPr>
        <w:tblW w:w="18575" w:type="dxa"/>
        <w:tblInd w:w="108" w:type="dxa"/>
        <w:tblLayout w:type="fixed"/>
        <w:tblLook w:val="04A0" w:firstRow="1" w:lastRow="0" w:firstColumn="1" w:lastColumn="0" w:noHBand="0" w:noVBand="1"/>
      </w:tblPr>
      <w:tblGrid>
        <w:gridCol w:w="1080"/>
        <w:gridCol w:w="1350"/>
        <w:gridCol w:w="1170"/>
        <w:gridCol w:w="1260"/>
        <w:gridCol w:w="25"/>
        <w:gridCol w:w="605"/>
        <w:gridCol w:w="445"/>
        <w:gridCol w:w="185"/>
        <w:gridCol w:w="708"/>
        <w:gridCol w:w="732"/>
        <w:gridCol w:w="373"/>
        <w:gridCol w:w="347"/>
        <w:gridCol w:w="838"/>
        <w:gridCol w:w="62"/>
        <w:gridCol w:w="900"/>
        <w:gridCol w:w="11"/>
        <w:gridCol w:w="889"/>
        <w:gridCol w:w="297"/>
        <w:gridCol w:w="1327"/>
        <w:gridCol w:w="830"/>
        <w:gridCol w:w="516"/>
        <w:gridCol w:w="306"/>
        <w:gridCol w:w="897"/>
        <w:gridCol w:w="797"/>
        <w:gridCol w:w="2625"/>
      </w:tblGrid>
      <w:tr w:rsidR="009870ED" w:rsidRPr="00C64C78" w14:paraId="4ED5437C" w14:textId="77777777" w:rsidTr="00B80037">
        <w:trPr>
          <w:trHeight w:val="120"/>
        </w:trPr>
        <w:tc>
          <w:tcPr>
            <w:tcW w:w="4885" w:type="dxa"/>
            <w:gridSpan w:val="5"/>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050"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3"/>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5"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9870ED" w:rsidRPr="00C64C78" w14:paraId="17F88EA7" w14:textId="77777777" w:rsidTr="00B80037">
        <w:trPr>
          <w:gridAfter w:val="4"/>
          <w:wAfter w:w="4625" w:type="dxa"/>
          <w:trHeight w:val="246"/>
        </w:trPr>
        <w:tc>
          <w:tcPr>
            <w:tcW w:w="1080"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50"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70" w:type="dxa"/>
            <w:tcBorders>
              <w:top w:val="single" w:sz="8" w:space="0" w:color="auto"/>
              <w:left w:val="nil"/>
              <w:bottom w:val="single" w:sz="8" w:space="0" w:color="auto"/>
              <w:right w:val="nil"/>
            </w:tcBorders>
            <w:shd w:val="clear" w:color="auto" w:fill="auto"/>
            <w:noWrap/>
            <w:vAlign w:val="bottom"/>
            <w:hideMark/>
          </w:tcPr>
          <w:p w14:paraId="7F2A388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r w:rsidRPr="00C64C78">
              <w:rPr>
                <w:rFonts w:ascii="Times New Roman" w:eastAsia="Times New Roman" w:hAnsi="Times New Roman" w:cs="Times New Roman"/>
                <w:b/>
                <w:bCs/>
                <w:sz w:val="24"/>
                <w:szCs w:val="24"/>
              </w:rPr>
              <w:t>W lon</w:t>
            </w:r>
          </w:p>
        </w:tc>
        <w:tc>
          <w:tcPr>
            <w:tcW w:w="1260" w:type="dxa"/>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630" w:type="dxa"/>
            <w:gridSpan w:val="2"/>
            <w:tcBorders>
              <w:top w:val="single" w:sz="8" w:space="0" w:color="auto"/>
              <w:left w:val="nil"/>
              <w:bottom w:val="single" w:sz="8" w:space="0" w:color="auto"/>
              <w:right w:val="nil"/>
            </w:tcBorders>
            <w:shd w:val="clear" w:color="auto" w:fill="auto"/>
            <w:vAlign w:val="bottom"/>
            <w:hideMark/>
          </w:tcPr>
          <w:p w14:paraId="51AAEA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MD</w:t>
            </w:r>
            <w:r w:rsidRPr="00C64C78">
              <w:rPr>
                <w:rFonts w:ascii="Times New Roman" w:eastAsia="Times New Roman" w:hAnsi="Times New Roman" w:cs="Times New Roman"/>
                <w:b/>
                <w:bCs/>
                <w:sz w:val="24"/>
                <w:szCs w:val="24"/>
              </w:rPr>
              <w:t xml:space="preserve"> (m)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720" w:type="dxa"/>
            <w:gridSpan w:val="2"/>
            <w:tcBorders>
              <w:top w:val="single" w:sz="8" w:space="0" w:color="auto"/>
              <w:left w:val="nil"/>
              <w:bottom w:val="single" w:sz="8" w:space="0" w:color="auto"/>
              <w:right w:val="nil"/>
            </w:tcBorders>
            <w:shd w:val="clear" w:color="auto" w:fill="auto"/>
            <w:vAlign w:val="bottom"/>
            <w:hideMark/>
          </w:tcPr>
          <w:p w14:paraId="142A114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SD </w:t>
            </w:r>
            <w:r w:rsidRPr="00C64C78">
              <w:rPr>
                <w:rFonts w:ascii="Times New Roman" w:eastAsia="Times New Roman" w:hAnsi="Times New Roman" w:cs="Times New Roman"/>
                <w:b/>
                <w:bCs/>
                <w:sz w:val="24"/>
                <w:szCs w:val="24"/>
              </w:rPr>
              <w:t>(m)</w:t>
            </w:r>
          </w:p>
        </w:tc>
        <w:tc>
          <w:tcPr>
            <w:tcW w:w="900" w:type="dxa"/>
            <w:gridSpan w:val="2"/>
            <w:tcBorders>
              <w:top w:val="single" w:sz="8" w:space="0" w:color="auto"/>
              <w:left w:val="nil"/>
              <w:bottom w:val="single" w:sz="8" w:space="0" w:color="auto"/>
              <w:right w:val="nil"/>
            </w:tcBorders>
            <w:shd w:val="clear" w:color="auto" w:fill="auto"/>
            <w:vAlign w:val="bottom"/>
            <w:hideMark/>
          </w:tcPr>
          <w:p w14:paraId="2CE6829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ChlA (µg/L)</w:t>
            </w:r>
          </w:p>
        </w:tc>
        <w:tc>
          <w:tcPr>
            <w:tcW w:w="900" w:type="dxa"/>
            <w:tcBorders>
              <w:top w:val="single" w:sz="8" w:space="0" w:color="auto"/>
              <w:left w:val="nil"/>
              <w:bottom w:val="single" w:sz="8" w:space="0" w:color="auto"/>
              <w:right w:val="nil"/>
            </w:tcBorders>
            <w:shd w:val="clear" w:color="auto" w:fill="auto"/>
            <w:vAlign w:val="bottom"/>
            <w:hideMark/>
          </w:tcPr>
          <w:p w14:paraId="222C3CD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SW DOC (g/ m³)</w:t>
            </w:r>
          </w:p>
        </w:tc>
        <w:tc>
          <w:tcPr>
            <w:tcW w:w="900" w:type="dxa"/>
            <w:gridSpan w:val="2"/>
            <w:tcBorders>
              <w:top w:val="single" w:sz="8" w:space="0" w:color="auto"/>
              <w:left w:val="nil"/>
              <w:bottom w:val="single" w:sz="8" w:space="0" w:color="auto"/>
              <w:right w:val="nil"/>
            </w:tcBorders>
            <w:shd w:val="clear" w:color="auto" w:fill="auto"/>
            <w:vAlign w:val="bottom"/>
            <w:hideMark/>
          </w:tcPr>
          <w:p w14:paraId="1625B143"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DOC (g/m³)</w:t>
            </w:r>
          </w:p>
        </w:tc>
        <w:tc>
          <w:tcPr>
            <w:tcW w:w="2970" w:type="dxa"/>
            <w:gridSpan w:val="4"/>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9870ED" w:rsidRPr="00C64C78" w14:paraId="5E9D0745" w14:textId="77777777" w:rsidTr="00B80037">
        <w:trPr>
          <w:gridAfter w:val="4"/>
          <w:wAfter w:w="4625" w:type="dxa"/>
          <w:trHeight w:val="116"/>
        </w:trPr>
        <w:tc>
          <w:tcPr>
            <w:tcW w:w="1080"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50"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7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630" w:type="dxa"/>
            <w:gridSpan w:val="2"/>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0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0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970" w:type="dxa"/>
            <w:gridSpan w:val="4"/>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9870ED" w:rsidRPr="00C64C78" w14:paraId="1899CFC2" w14:textId="77777777" w:rsidTr="00B80037">
        <w:trPr>
          <w:gridAfter w:val="4"/>
          <w:wAfter w:w="4625" w:type="dxa"/>
          <w:trHeight w:val="116"/>
        </w:trPr>
        <w:tc>
          <w:tcPr>
            <w:tcW w:w="1080"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50"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630" w:type="dxa"/>
            <w:gridSpan w:val="2"/>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72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0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0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970" w:type="dxa"/>
            <w:gridSpan w:val="4"/>
            <w:tcBorders>
              <w:top w:val="nil"/>
              <w:left w:val="nil"/>
              <w:bottom w:val="nil"/>
              <w:right w:val="nil"/>
            </w:tcBorders>
            <w:shd w:val="clear" w:color="auto" w:fill="auto"/>
            <w:vAlign w:val="bottom"/>
            <w:hideMark/>
          </w:tcPr>
          <w:p w14:paraId="51893A9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http://limnology.wisc.edu/</w:t>
            </w:r>
          </w:p>
        </w:tc>
      </w:tr>
      <w:tr w:rsidR="009870ED" w:rsidRPr="00C64C78" w14:paraId="5B329793" w14:textId="77777777" w:rsidTr="00B80037">
        <w:trPr>
          <w:gridAfter w:val="4"/>
          <w:wAfter w:w="4625" w:type="dxa"/>
          <w:trHeight w:val="116"/>
        </w:trPr>
        <w:tc>
          <w:tcPr>
            <w:tcW w:w="1080"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350"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7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630" w:type="dxa"/>
            <w:gridSpan w:val="2"/>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0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0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970" w:type="dxa"/>
            <w:gridSpan w:val="4"/>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9870ED" w:rsidRPr="00C64C78" w14:paraId="21BAB6E3" w14:textId="77777777" w:rsidTr="00B80037">
        <w:trPr>
          <w:gridAfter w:val="4"/>
          <w:wAfter w:w="4625" w:type="dxa"/>
          <w:trHeight w:val="246"/>
        </w:trPr>
        <w:tc>
          <w:tcPr>
            <w:tcW w:w="1080"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50"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7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630" w:type="dxa"/>
            <w:gridSpan w:val="2"/>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0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0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970" w:type="dxa"/>
            <w:gridSpan w:val="4"/>
            <w:tcBorders>
              <w:top w:val="nil"/>
              <w:left w:val="nil"/>
              <w:bottom w:val="nil"/>
              <w:right w:val="nil"/>
            </w:tcBorders>
            <w:shd w:val="clear" w:color="auto" w:fill="auto"/>
            <w:vAlign w:val="bottom"/>
            <w:hideMark/>
          </w:tcPr>
          <w:p w14:paraId="65F5CCB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Webster et al. 1996, http://limnology.wisc.edu/</w:t>
            </w:r>
          </w:p>
        </w:tc>
      </w:tr>
      <w:tr w:rsidR="009870ED" w:rsidRPr="00C64C78" w14:paraId="50B42071" w14:textId="77777777" w:rsidTr="00B80037">
        <w:trPr>
          <w:gridAfter w:val="4"/>
          <w:wAfter w:w="4625" w:type="dxa"/>
          <w:trHeight w:val="153"/>
        </w:trPr>
        <w:tc>
          <w:tcPr>
            <w:tcW w:w="1080"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50"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70"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0" w:type="dxa"/>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630" w:type="dxa"/>
            <w:gridSpan w:val="2"/>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72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0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0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970" w:type="dxa"/>
            <w:gridSpan w:val="4"/>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4E47A2DB" w:rsidR="009870ED" w:rsidRDefault="009870ED" w:rsidP="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t>MD = mean depth, RT = hydrologic residence time, SD = Secchi depth, ChlA = chlorophyll-a, SW DOC = inflow dissolved organic carbon, 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77777777" w:rsidR="00B80037" w:rsidRPr="00664D73" w:rsidRDefault="00B80037"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(optimized 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DOC_init (g/m³)</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(g/m³)</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WetlandLoad (g/d)</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DOC_gw (g/m³)</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 (g/m³)</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AerialLoad (g/d)</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Pr="00B80037">
              <w:rPr>
                <w:rFonts w:ascii="Times New Roman" w:eastAsia="Times New Roman" w:hAnsi="Times New Roman" w:cs="Times New Roman"/>
                <w:sz w:val="24"/>
                <w:szCs w:val="24"/>
              </w:rPr>
              <w:t>¯¹</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Respiration_autoch (d¯¹)</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R_auto</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Observed_MAR_oc (g/m²/yr)</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0652" w:type="dxa"/>
        <w:tblInd w:w="108" w:type="dxa"/>
        <w:tblLook w:val="04A0" w:firstRow="1" w:lastRow="0" w:firstColumn="1" w:lastColumn="0" w:noHBand="0" w:noVBand="1"/>
      </w:tblPr>
      <w:tblGrid>
        <w:gridCol w:w="6660"/>
        <w:gridCol w:w="1083"/>
        <w:gridCol w:w="1446"/>
        <w:gridCol w:w="768"/>
        <w:gridCol w:w="1513"/>
      </w:tblGrid>
      <w:tr w:rsidR="00CC0821" w:rsidRPr="00CC0821" w14:paraId="09ADA821" w14:textId="77777777" w:rsidTr="00CC0821">
        <w:trPr>
          <w:trHeight w:val="306"/>
        </w:trPr>
        <w:tc>
          <w:tcPr>
            <w:tcW w:w="8371"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CC0821">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265"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727"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CC0821">
        <w:trPr>
          <w:trHeight w:val="297"/>
        </w:trPr>
        <w:tc>
          <w:tcPr>
            <w:tcW w:w="6660" w:type="dxa"/>
            <w:tcBorders>
              <w:top w:val="nil"/>
              <w:left w:val="nil"/>
              <w:bottom w:val="nil"/>
              <w:right w:val="nil"/>
            </w:tcBorders>
            <w:shd w:val="clear" w:color="auto" w:fill="auto"/>
            <w:noWrap/>
            <w:vAlign w:val="bottom"/>
            <w:hideMark/>
          </w:tcPr>
          <w:p w14:paraId="7E0FB10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1a) DOC SW =  surface water concentration * surface water inflow rate * 86400</w:t>
            </w:r>
          </w:p>
        </w:tc>
        <w:tc>
          <w:tcPr>
            <w:tcW w:w="265" w:type="dxa"/>
            <w:tcBorders>
              <w:top w:val="nil"/>
              <w:left w:val="nil"/>
              <w:bottom w:val="nil"/>
              <w:right w:val="nil"/>
            </w:tcBorders>
            <w:shd w:val="clear" w:color="auto" w:fill="auto"/>
            <w:noWrap/>
            <w:vAlign w:val="bottom"/>
            <w:hideMark/>
          </w:tcPr>
          <w:p w14:paraId="3B06B62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CC0821">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265" w:type="dxa"/>
            <w:tcBorders>
              <w:top w:val="nil"/>
              <w:left w:val="nil"/>
              <w:bottom w:val="nil"/>
              <w:right w:val="nil"/>
            </w:tcBorders>
            <w:shd w:val="clear" w:color="auto" w:fill="auto"/>
            <w:noWrap/>
            <w:vAlign w:val="bottom"/>
            <w:hideMark/>
          </w:tcPr>
          <w:p w14:paraId="4043E6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m3/d</w:t>
            </w:r>
          </w:p>
        </w:tc>
        <w:tc>
          <w:tcPr>
            <w:tcW w:w="3727"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CC0821">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265" w:type="dxa"/>
            <w:tcBorders>
              <w:top w:val="nil"/>
              <w:left w:val="nil"/>
              <w:bottom w:val="nil"/>
              <w:right w:val="nil"/>
            </w:tcBorders>
            <w:shd w:val="clear" w:color="auto" w:fill="auto"/>
            <w:noWrap/>
            <w:vAlign w:val="bottom"/>
            <w:hideMark/>
          </w:tcPr>
          <w:p w14:paraId="5C3FA44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CC0821">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265" w:type="dxa"/>
            <w:tcBorders>
              <w:top w:val="nil"/>
              <w:left w:val="nil"/>
              <w:bottom w:val="nil"/>
              <w:right w:val="nil"/>
            </w:tcBorders>
            <w:shd w:val="clear" w:color="auto" w:fill="auto"/>
            <w:noWrap/>
            <w:vAlign w:val="bottom"/>
            <w:hideMark/>
          </w:tcPr>
          <w:p w14:paraId="7CACD13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CC0821">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265" w:type="dxa"/>
            <w:tcBorders>
              <w:top w:val="nil"/>
              <w:left w:val="nil"/>
              <w:bottom w:val="nil"/>
              <w:right w:val="nil"/>
            </w:tcBorders>
            <w:shd w:val="clear" w:color="auto" w:fill="auto"/>
            <w:noWrap/>
            <w:vAlign w:val="bottom"/>
            <w:hideMark/>
          </w:tcPr>
          <w:p w14:paraId="76A9BE3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CC0821">
        <w:trPr>
          <w:trHeight w:val="297"/>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265" w:type="dxa"/>
            <w:tcBorders>
              <w:top w:val="nil"/>
              <w:left w:val="nil"/>
              <w:bottom w:val="nil"/>
              <w:right w:val="nil"/>
            </w:tcBorders>
            <w:shd w:val="clear" w:color="auto" w:fill="auto"/>
            <w:noWrap/>
            <w:vAlign w:val="bottom"/>
            <w:hideMark/>
          </w:tcPr>
          <w:p w14:paraId="1AD817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CC0821">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265" w:type="dxa"/>
            <w:tcBorders>
              <w:top w:val="nil"/>
              <w:left w:val="nil"/>
              <w:bottom w:val="nil"/>
              <w:right w:val="nil"/>
            </w:tcBorders>
            <w:shd w:val="clear" w:color="auto" w:fill="auto"/>
            <w:noWrap/>
            <w:vAlign w:val="bottom"/>
            <w:hideMark/>
          </w:tcPr>
          <w:p w14:paraId="5DC3AE2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CC0821">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265" w:type="dxa"/>
            <w:tcBorders>
              <w:top w:val="nil"/>
              <w:left w:val="nil"/>
              <w:bottom w:val="nil"/>
              <w:right w:val="nil"/>
            </w:tcBorders>
            <w:shd w:val="clear" w:color="auto" w:fill="auto"/>
            <w:noWrap/>
            <w:vAlign w:val="bottom"/>
            <w:hideMark/>
          </w:tcPr>
          <w:p w14:paraId="0CF2661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CC0821">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265" w:type="dxa"/>
            <w:tcBorders>
              <w:top w:val="nil"/>
              <w:left w:val="nil"/>
              <w:bottom w:val="nil"/>
              <w:right w:val="nil"/>
            </w:tcBorders>
            <w:shd w:val="clear" w:color="auto" w:fill="auto"/>
            <w:noWrap/>
            <w:vAlign w:val="bottom"/>
            <w:hideMark/>
          </w:tcPr>
          <w:p w14:paraId="17239C4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CC0821">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265" w:type="dxa"/>
            <w:tcBorders>
              <w:top w:val="nil"/>
              <w:left w:val="nil"/>
              <w:bottom w:val="nil"/>
              <w:right w:val="nil"/>
            </w:tcBorders>
            <w:shd w:val="clear" w:color="auto" w:fill="auto"/>
            <w:noWrap/>
            <w:vAlign w:val="bottom"/>
            <w:hideMark/>
          </w:tcPr>
          <w:p w14:paraId="4F090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g/m/d</w:t>
            </w:r>
          </w:p>
        </w:tc>
        <w:tc>
          <w:tcPr>
            <w:tcW w:w="3727"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CC0821">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265"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727"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CC0821">
        <w:trPr>
          <w:trHeight w:val="297"/>
        </w:trPr>
        <w:tc>
          <w:tcPr>
            <w:tcW w:w="6660" w:type="dxa"/>
            <w:tcBorders>
              <w:top w:val="nil"/>
              <w:left w:val="nil"/>
              <w:bottom w:val="nil"/>
              <w:right w:val="nil"/>
            </w:tcBorders>
            <w:shd w:val="clear" w:color="auto" w:fill="auto"/>
            <w:noWrap/>
            <w:vAlign w:val="bottom"/>
            <w:hideMark/>
          </w:tcPr>
          <w:p w14:paraId="403A4372" w14:textId="53B4DEC4" w:rsidR="00CC0821" w:rsidRPr="00CC0821" w:rsidRDefault="00CC0821"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log10(chlorophyll-a * photic depth)) + (0.014 * epilimnion temperature))</w:t>
            </w:r>
          </w:p>
        </w:tc>
        <w:tc>
          <w:tcPr>
            <w:tcW w:w="265" w:type="dxa"/>
            <w:tcBorders>
              <w:top w:val="nil"/>
              <w:left w:val="nil"/>
              <w:bottom w:val="nil"/>
              <w:right w:val="nil"/>
            </w:tcBorders>
            <w:shd w:val="clear" w:color="auto" w:fill="auto"/>
            <w:noWrap/>
            <w:vAlign w:val="bottom"/>
            <w:hideMark/>
          </w:tcPr>
          <w:p w14:paraId="163A473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mg/m2/d</w:t>
            </w:r>
          </w:p>
        </w:tc>
        <w:tc>
          <w:tcPr>
            <w:tcW w:w="3727"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CC0821">
        <w:trPr>
          <w:trHeight w:val="297"/>
        </w:trPr>
        <w:tc>
          <w:tcPr>
            <w:tcW w:w="6660" w:type="dxa"/>
            <w:tcBorders>
              <w:top w:val="nil"/>
              <w:left w:val="nil"/>
              <w:bottom w:val="nil"/>
              <w:right w:val="nil"/>
            </w:tcBorders>
            <w:shd w:val="clear" w:color="auto" w:fill="auto"/>
            <w:noWrap/>
            <w:vAlign w:val="bottom"/>
            <w:hideMark/>
          </w:tcPr>
          <w:p w14:paraId="6AA675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(chlorophyll-a * photic depth)^(-0.22)</w:t>
            </w:r>
          </w:p>
        </w:tc>
        <w:tc>
          <w:tcPr>
            <w:tcW w:w="265"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727"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CC0821">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265" w:type="dxa"/>
            <w:tcBorders>
              <w:top w:val="nil"/>
              <w:left w:val="nil"/>
              <w:bottom w:val="nil"/>
              <w:right w:val="nil"/>
            </w:tcBorders>
            <w:shd w:val="clear" w:color="auto" w:fill="auto"/>
            <w:noWrap/>
            <w:vAlign w:val="bottom"/>
            <w:hideMark/>
          </w:tcPr>
          <w:p w14:paraId="1C4876A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mg/m2/d</w:t>
            </w:r>
          </w:p>
        </w:tc>
        <w:tc>
          <w:tcPr>
            <w:tcW w:w="3727"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CC0821">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265" w:type="dxa"/>
            <w:tcBorders>
              <w:top w:val="nil"/>
              <w:left w:val="nil"/>
              <w:bottom w:val="nil"/>
              <w:right w:val="nil"/>
            </w:tcBorders>
            <w:shd w:val="clear" w:color="auto" w:fill="auto"/>
            <w:noWrap/>
            <w:vAlign w:val="bottom"/>
            <w:hideMark/>
          </w:tcPr>
          <w:p w14:paraId="051A199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mg/m2/d</w:t>
            </w:r>
          </w:p>
        </w:tc>
        <w:tc>
          <w:tcPr>
            <w:tcW w:w="3727"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CC0821">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265" w:type="dxa"/>
            <w:tcBorders>
              <w:top w:val="nil"/>
              <w:left w:val="nil"/>
              <w:bottom w:val="nil"/>
              <w:right w:val="nil"/>
            </w:tcBorders>
            <w:shd w:val="clear" w:color="auto" w:fill="auto"/>
            <w:noWrap/>
            <w:vAlign w:val="bottom"/>
            <w:hideMark/>
          </w:tcPr>
          <w:p w14:paraId="75D67B9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CC0821">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265" w:type="dxa"/>
            <w:tcBorders>
              <w:top w:val="nil"/>
              <w:left w:val="nil"/>
              <w:bottom w:val="nil"/>
              <w:right w:val="nil"/>
            </w:tcBorders>
            <w:shd w:val="clear" w:color="auto" w:fill="auto"/>
            <w:noWrap/>
            <w:vAlign w:val="bottom"/>
            <w:hideMark/>
          </w:tcPr>
          <w:p w14:paraId="5B18F3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CC0821">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43"/>
            <w:r w:rsidRPr="00CC0821">
              <w:rPr>
                <w:rFonts w:ascii="Times New Roman" w:eastAsia="Times New Roman" w:hAnsi="Times New Roman" w:cs="Times New Roman"/>
                <w:sz w:val="24"/>
                <w:szCs w:val="24"/>
              </w:rPr>
              <w:t>1.08</w:t>
            </w:r>
            <w:commentRangeEnd w:id="43"/>
            <w:r w:rsidR="00E4126A">
              <w:rPr>
                <w:rStyle w:val="CommentReference"/>
              </w:rPr>
              <w:commentReference w:id="43"/>
            </w:r>
            <w:r w:rsidRPr="00CC0821">
              <w:rPr>
                <w:rFonts w:ascii="Times New Roman" w:eastAsia="Times New Roman" w:hAnsi="Times New Roman" w:cs="Times New Roman"/>
                <w:sz w:val="24"/>
                <w:szCs w:val="24"/>
              </w:rPr>
              <w:t>^(epilimnion temp - 20))</w:t>
            </w:r>
          </w:p>
        </w:tc>
        <w:tc>
          <w:tcPr>
            <w:tcW w:w="265" w:type="dxa"/>
            <w:tcBorders>
              <w:top w:val="nil"/>
              <w:left w:val="nil"/>
              <w:bottom w:val="nil"/>
              <w:right w:val="nil"/>
            </w:tcBorders>
            <w:shd w:val="clear" w:color="auto" w:fill="auto"/>
            <w:noWrap/>
            <w:vAlign w:val="bottom"/>
            <w:hideMark/>
          </w:tcPr>
          <w:p w14:paraId="2C1C61B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g/m3</w:t>
            </w:r>
          </w:p>
        </w:tc>
        <w:tc>
          <w:tcPr>
            <w:tcW w:w="3727"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CC0821">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265" w:type="dxa"/>
            <w:tcBorders>
              <w:top w:val="nil"/>
              <w:left w:val="nil"/>
              <w:bottom w:val="nil"/>
              <w:right w:val="nil"/>
            </w:tcBorders>
            <w:shd w:val="clear" w:color="auto" w:fill="auto"/>
            <w:noWrap/>
            <w:vAlign w:val="bottom"/>
            <w:hideMark/>
          </w:tcPr>
          <w:p w14:paraId="11BA622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g/m3</w:t>
            </w:r>
          </w:p>
        </w:tc>
        <w:tc>
          <w:tcPr>
            <w:tcW w:w="3727"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CC0821">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265"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727"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CC0821">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265" w:type="dxa"/>
            <w:tcBorders>
              <w:top w:val="nil"/>
              <w:left w:val="nil"/>
              <w:bottom w:val="nil"/>
              <w:right w:val="nil"/>
            </w:tcBorders>
            <w:shd w:val="clear" w:color="auto" w:fill="auto"/>
            <w:noWrap/>
            <w:vAlign w:val="bottom"/>
            <w:hideMark/>
          </w:tcPr>
          <w:p w14:paraId="26839C6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g/m2/yr</w:t>
            </w:r>
          </w:p>
        </w:tc>
        <w:tc>
          <w:tcPr>
            <w:tcW w:w="3727"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CC0821">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265" w:type="dxa"/>
            <w:tcBorders>
              <w:top w:val="nil"/>
              <w:left w:val="nil"/>
              <w:bottom w:val="nil"/>
              <w:right w:val="nil"/>
            </w:tcBorders>
            <w:shd w:val="clear" w:color="auto" w:fill="auto"/>
            <w:noWrap/>
            <w:vAlign w:val="bottom"/>
            <w:hideMark/>
          </w:tcPr>
          <w:p w14:paraId="714CA2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g/m2/yr</w:t>
            </w:r>
          </w:p>
        </w:tc>
        <w:tc>
          <w:tcPr>
            <w:tcW w:w="3727"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CC0821">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265" w:type="dxa"/>
            <w:tcBorders>
              <w:top w:val="nil"/>
              <w:left w:val="nil"/>
              <w:bottom w:val="nil"/>
              <w:right w:val="nil"/>
            </w:tcBorders>
            <w:shd w:val="clear" w:color="auto" w:fill="auto"/>
            <w:noWrap/>
            <w:vAlign w:val="bottom"/>
            <w:hideMark/>
          </w:tcPr>
          <w:p w14:paraId="474A40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CC0821">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265" w:type="dxa"/>
            <w:tcBorders>
              <w:top w:val="nil"/>
              <w:left w:val="nil"/>
              <w:bottom w:val="nil"/>
              <w:right w:val="nil"/>
            </w:tcBorders>
            <w:shd w:val="clear" w:color="auto" w:fill="auto"/>
            <w:noWrap/>
            <w:vAlign w:val="bottom"/>
            <w:hideMark/>
          </w:tcPr>
          <w:p w14:paraId="29A7C5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bookmarkStart w:id="44" w:name="_GoBack"/>
        <w:bookmarkEnd w:id="44"/>
      </w:tr>
      <w:tr w:rsidR="00CC0821" w:rsidRPr="00CC0821" w14:paraId="2F3FBD4A" w14:textId="77777777" w:rsidTr="00CC0821">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265" w:type="dxa"/>
            <w:tcBorders>
              <w:top w:val="nil"/>
              <w:left w:val="nil"/>
              <w:bottom w:val="nil"/>
              <w:right w:val="nil"/>
            </w:tcBorders>
            <w:shd w:val="clear" w:color="auto" w:fill="auto"/>
            <w:noWrap/>
            <w:vAlign w:val="bottom"/>
            <w:hideMark/>
          </w:tcPr>
          <w:p w14:paraId="0E4908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CC0821">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265" w:type="dxa"/>
            <w:tcBorders>
              <w:top w:val="nil"/>
              <w:left w:val="nil"/>
              <w:bottom w:val="nil"/>
              <w:right w:val="nil"/>
            </w:tcBorders>
            <w:shd w:val="clear" w:color="auto" w:fill="auto"/>
            <w:noWrap/>
            <w:vAlign w:val="bottom"/>
            <w:hideMark/>
          </w:tcPr>
          <w:p w14:paraId="27466B7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CC0821">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265" w:type="dxa"/>
            <w:tcBorders>
              <w:top w:val="nil"/>
              <w:left w:val="nil"/>
              <w:bottom w:val="nil"/>
              <w:right w:val="nil"/>
            </w:tcBorders>
            <w:shd w:val="clear" w:color="auto" w:fill="auto"/>
            <w:noWrap/>
            <w:vAlign w:val="bottom"/>
            <w:hideMark/>
          </w:tcPr>
          <w:p w14:paraId="67370DC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CC0821">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265" w:type="dxa"/>
            <w:tcBorders>
              <w:top w:val="nil"/>
              <w:left w:val="nil"/>
              <w:bottom w:val="nil"/>
              <w:right w:val="nil"/>
            </w:tcBorders>
            <w:shd w:val="clear" w:color="auto" w:fill="auto"/>
            <w:noWrap/>
            <w:vAlign w:val="bottom"/>
            <w:hideMark/>
          </w:tcPr>
          <w:p w14:paraId="1BEF600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g/d</w:t>
            </w:r>
          </w:p>
        </w:tc>
        <w:tc>
          <w:tcPr>
            <w:tcW w:w="3727"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CC0821">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265"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727"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CC0821">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265" w:type="dxa"/>
            <w:tcBorders>
              <w:top w:val="nil"/>
              <w:left w:val="nil"/>
              <w:bottom w:val="nil"/>
              <w:right w:val="nil"/>
            </w:tcBorders>
            <w:shd w:val="clear" w:color="auto" w:fill="auto"/>
            <w:noWrap/>
            <w:vAlign w:val="bottom"/>
            <w:hideMark/>
          </w:tcPr>
          <w:p w14:paraId="5656F29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g/m3/d</w:t>
            </w:r>
          </w:p>
        </w:tc>
        <w:tc>
          <w:tcPr>
            <w:tcW w:w="3727"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CC0821">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265" w:type="dxa"/>
            <w:tcBorders>
              <w:top w:val="nil"/>
              <w:left w:val="nil"/>
              <w:bottom w:val="nil"/>
              <w:right w:val="nil"/>
            </w:tcBorders>
            <w:shd w:val="clear" w:color="auto" w:fill="auto"/>
            <w:noWrap/>
            <w:vAlign w:val="bottom"/>
            <w:hideMark/>
          </w:tcPr>
          <w:p w14:paraId="61F1FCD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g/m3/d</w:t>
            </w:r>
          </w:p>
        </w:tc>
        <w:tc>
          <w:tcPr>
            <w:tcW w:w="3727"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CC0821">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265" w:type="dxa"/>
            <w:tcBorders>
              <w:top w:val="nil"/>
              <w:left w:val="nil"/>
              <w:bottom w:val="single" w:sz="8" w:space="0" w:color="auto"/>
              <w:right w:val="nil"/>
            </w:tcBorders>
            <w:shd w:val="clear" w:color="auto" w:fill="auto"/>
            <w:noWrap/>
            <w:vAlign w:val="bottom"/>
            <w:hideMark/>
          </w:tcPr>
          <w:p w14:paraId="165730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g/m3/d</w:t>
            </w:r>
          </w:p>
        </w:tc>
        <w:tc>
          <w:tcPr>
            <w:tcW w:w="3727"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1946EF49"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330" w:type="dxa"/>
        <w:tblInd w:w="108" w:type="dxa"/>
        <w:tblLook w:val="04A0" w:firstRow="1" w:lastRow="0" w:firstColumn="1" w:lastColumn="0" w:noHBand="0" w:noVBand="1"/>
      </w:tblPr>
      <w:tblGrid>
        <w:gridCol w:w="1066"/>
        <w:gridCol w:w="1030"/>
        <w:gridCol w:w="1234"/>
      </w:tblGrid>
      <w:tr w:rsidR="00E71A86" w:rsidRPr="00E71A86" w14:paraId="5F7101AB" w14:textId="77777777" w:rsidTr="00E71A86">
        <w:trPr>
          <w:trHeight w:val="300"/>
        </w:trPr>
        <w:tc>
          <w:tcPr>
            <w:tcW w:w="1066"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03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234"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E71A86">
        <w:trPr>
          <w:trHeight w:val="290"/>
        </w:trPr>
        <w:tc>
          <w:tcPr>
            <w:tcW w:w="1066"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03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234"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E71A86">
        <w:trPr>
          <w:trHeight w:val="290"/>
        </w:trPr>
        <w:tc>
          <w:tcPr>
            <w:tcW w:w="1066"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03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234"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E71A86">
        <w:trPr>
          <w:trHeight w:val="290"/>
        </w:trPr>
        <w:tc>
          <w:tcPr>
            <w:tcW w:w="1066"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03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234"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E71A86">
        <w:trPr>
          <w:trHeight w:val="290"/>
        </w:trPr>
        <w:tc>
          <w:tcPr>
            <w:tcW w:w="1066"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03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234"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E71A86">
        <w:trPr>
          <w:trHeight w:val="300"/>
        </w:trPr>
        <w:tc>
          <w:tcPr>
            <w:tcW w:w="1066"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03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234"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E71A86">
        <w:trPr>
          <w:trHeight w:val="290"/>
        </w:trPr>
        <w:tc>
          <w:tcPr>
            <w:tcW w:w="3330" w:type="dxa"/>
            <w:gridSpan w:val="3"/>
            <w:tcBorders>
              <w:top w:val="nil"/>
              <w:left w:val="nil"/>
              <w:bottom w:val="nil"/>
              <w:right w:val="nil"/>
            </w:tcBorders>
            <w:shd w:val="clear" w:color="auto" w:fill="auto"/>
            <w:noWrap/>
            <w:vAlign w:val="bottom"/>
            <w:hideMark/>
          </w:tcPr>
          <w:p w14:paraId="0B109BC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root mean square error (mg/L)</w:t>
            </w:r>
          </w:p>
        </w:tc>
      </w:tr>
      <w:tr w:rsidR="00E71A86" w:rsidRPr="00E71A86" w14:paraId="56AC6C19" w14:textId="77777777" w:rsidTr="00E71A86">
        <w:trPr>
          <w:trHeight w:val="290"/>
        </w:trPr>
        <w:tc>
          <w:tcPr>
            <w:tcW w:w="3330" w:type="dxa"/>
            <w:gridSpan w:val="3"/>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pPr w:leftFromText="180" w:rightFromText="180" w:horzAnchor="margin" w:tblpY="520"/>
        <w:tblW w:w="7560" w:type="dxa"/>
        <w:tblLook w:val="04A0" w:firstRow="1" w:lastRow="0" w:firstColumn="1" w:lastColumn="0" w:noHBand="0" w:noVBand="1"/>
      </w:tblPr>
      <w:tblGrid>
        <w:gridCol w:w="1087"/>
        <w:gridCol w:w="927"/>
        <w:gridCol w:w="1038"/>
        <w:gridCol w:w="1024"/>
        <w:gridCol w:w="1024"/>
        <w:gridCol w:w="1020"/>
        <w:gridCol w:w="1440"/>
      </w:tblGrid>
      <w:tr w:rsidR="00E71A86" w:rsidRPr="00E71A86" w14:paraId="7DB1146A" w14:textId="77777777" w:rsidTr="00AB1693">
        <w:trPr>
          <w:trHeight w:val="270"/>
        </w:trPr>
        <w:tc>
          <w:tcPr>
            <w:tcW w:w="1087" w:type="dxa"/>
            <w:tcBorders>
              <w:top w:val="single" w:sz="8" w:space="0" w:color="auto"/>
              <w:left w:val="nil"/>
              <w:bottom w:val="single" w:sz="8" w:space="0" w:color="auto"/>
              <w:right w:val="nil"/>
            </w:tcBorders>
            <w:shd w:val="clear" w:color="auto" w:fill="auto"/>
            <w:noWrap/>
            <w:vAlign w:val="bottom"/>
            <w:hideMark/>
          </w:tcPr>
          <w:p w14:paraId="1D5AF290"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lastRenderedPageBreak/>
              <w:t>Lake</w:t>
            </w:r>
          </w:p>
        </w:tc>
        <w:tc>
          <w:tcPr>
            <w:tcW w:w="927" w:type="dxa"/>
            <w:tcBorders>
              <w:top w:val="single" w:sz="8" w:space="0" w:color="auto"/>
              <w:left w:val="nil"/>
              <w:bottom w:val="single" w:sz="8" w:space="0" w:color="auto"/>
              <w:right w:val="nil"/>
            </w:tcBorders>
            <w:shd w:val="clear" w:color="auto" w:fill="auto"/>
            <w:noWrap/>
            <w:vAlign w:val="bottom"/>
            <w:hideMark/>
          </w:tcPr>
          <w:p w14:paraId="45183948"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Alloch</w:t>
            </w:r>
          </w:p>
        </w:tc>
        <w:tc>
          <w:tcPr>
            <w:tcW w:w="1038" w:type="dxa"/>
            <w:tcBorders>
              <w:top w:val="single" w:sz="8" w:space="0" w:color="auto"/>
              <w:left w:val="nil"/>
              <w:bottom w:val="single" w:sz="8" w:space="0" w:color="auto"/>
              <w:right w:val="nil"/>
            </w:tcBorders>
            <w:shd w:val="clear" w:color="auto" w:fill="auto"/>
            <w:noWrap/>
            <w:vAlign w:val="bottom"/>
            <w:hideMark/>
          </w:tcPr>
          <w:p w14:paraId="4D5A571F"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Autoch</w:t>
            </w:r>
          </w:p>
        </w:tc>
        <w:tc>
          <w:tcPr>
            <w:tcW w:w="1024" w:type="dxa"/>
            <w:tcBorders>
              <w:top w:val="single" w:sz="8" w:space="0" w:color="auto"/>
              <w:left w:val="nil"/>
              <w:bottom w:val="single" w:sz="8" w:space="0" w:color="auto"/>
              <w:right w:val="nil"/>
            </w:tcBorders>
            <w:shd w:val="clear" w:color="auto" w:fill="auto"/>
            <w:noWrap/>
            <w:vAlign w:val="bottom"/>
            <w:hideMark/>
          </w:tcPr>
          <w:p w14:paraId="1DCD238B"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Resp</w:t>
            </w:r>
          </w:p>
        </w:tc>
        <w:tc>
          <w:tcPr>
            <w:tcW w:w="1024" w:type="dxa"/>
            <w:tcBorders>
              <w:top w:val="single" w:sz="8" w:space="0" w:color="auto"/>
              <w:left w:val="nil"/>
              <w:bottom w:val="single" w:sz="8" w:space="0" w:color="auto"/>
              <w:right w:val="nil"/>
            </w:tcBorders>
            <w:shd w:val="clear" w:color="auto" w:fill="auto"/>
            <w:noWrap/>
            <w:vAlign w:val="bottom"/>
            <w:hideMark/>
          </w:tcPr>
          <w:p w14:paraId="61D958D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Burial</w:t>
            </w:r>
          </w:p>
        </w:tc>
        <w:tc>
          <w:tcPr>
            <w:tcW w:w="1020" w:type="dxa"/>
            <w:tcBorders>
              <w:top w:val="single" w:sz="8" w:space="0" w:color="auto"/>
              <w:left w:val="nil"/>
              <w:bottom w:val="single" w:sz="8" w:space="0" w:color="auto"/>
              <w:right w:val="nil"/>
            </w:tcBorders>
            <w:shd w:val="clear" w:color="auto" w:fill="auto"/>
            <w:noWrap/>
            <w:vAlign w:val="bottom"/>
            <w:hideMark/>
          </w:tcPr>
          <w:p w14:paraId="6A315B82" w14:textId="77777777" w:rsidR="00E71A86" w:rsidRPr="00E71A86" w:rsidRDefault="00E71A86" w:rsidP="00AB1693">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Export</w:t>
            </w:r>
          </w:p>
        </w:tc>
        <w:tc>
          <w:tcPr>
            <w:tcW w:w="1440" w:type="dxa"/>
            <w:tcBorders>
              <w:top w:val="single" w:sz="8" w:space="0" w:color="auto"/>
              <w:left w:val="nil"/>
              <w:bottom w:val="single" w:sz="8" w:space="0" w:color="auto"/>
              <w:right w:val="nil"/>
            </w:tcBorders>
            <w:shd w:val="clear" w:color="auto" w:fill="auto"/>
            <w:noWrap/>
            <w:vAlign w:val="bottom"/>
            <w:hideMark/>
          </w:tcPr>
          <w:p w14:paraId="029087A9"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Total Load</w:t>
            </w:r>
          </w:p>
        </w:tc>
      </w:tr>
      <w:tr w:rsidR="00E71A86" w:rsidRPr="00E71A86" w14:paraId="6A4FDE5E" w14:textId="77777777" w:rsidTr="00AB1693">
        <w:trPr>
          <w:trHeight w:val="250"/>
        </w:trPr>
        <w:tc>
          <w:tcPr>
            <w:tcW w:w="1087" w:type="dxa"/>
            <w:tcBorders>
              <w:top w:val="nil"/>
              <w:left w:val="nil"/>
              <w:bottom w:val="nil"/>
              <w:right w:val="nil"/>
            </w:tcBorders>
            <w:shd w:val="clear" w:color="auto" w:fill="auto"/>
            <w:noWrap/>
            <w:vAlign w:val="bottom"/>
            <w:hideMark/>
          </w:tcPr>
          <w:p w14:paraId="0D69254B"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15C85F5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39.227</w:t>
            </w:r>
          </w:p>
        </w:tc>
        <w:tc>
          <w:tcPr>
            <w:tcW w:w="1038" w:type="dxa"/>
            <w:tcBorders>
              <w:top w:val="nil"/>
              <w:left w:val="nil"/>
              <w:bottom w:val="nil"/>
              <w:right w:val="nil"/>
            </w:tcBorders>
            <w:shd w:val="clear" w:color="auto" w:fill="auto"/>
            <w:noWrap/>
            <w:vAlign w:val="bottom"/>
            <w:hideMark/>
          </w:tcPr>
          <w:p w14:paraId="42FDCC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32.973</w:t>
            </w:r>
          </w:p>
        </w:tc>
        <w:tc>
          <w:tcPr>
            <w:tcW w:w="1024" w:type="dxa"/>
            <w:tcBorders>
              <w:top w:val="nil"/>
              <w:left w:val="nil"/>
              <w:bottom w:val="nil"/>
              <w:right w:val="nil"/>
            </w:tcBorders>
            <w:shd w:val="clear" w:color="auto" w:fill="auto"/>
            <w:noWrap/>
            <w:vAlign w:val="bottom"/>
            <w:hideMark/>
          </w:tcPr>
          <w:p w14:paraId="1D889FA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-49.362</w:t>
            </w:r>
          </w:p>
        </w:tc>
        <w:tc>
          <w:tcPr>
            <w:tcW w:w="1024" w:type="dxa"/>
            <w:tcBorders>
              <w:top w:val="nil"/>
              <w:left w:val="nil"/>
              <w:bottom w:val="nil"/>
              <w:right w:val="nil"/>
            </w:tcBorders>
            <w:shd w:val="clear" w:color="auto" w:fill="auto"/>
            <w:noWrap/>
            <w:vAlign w:val="bottom"/>
            <w:hideMark/>
          </w:tcPr>
          <w:p w14:paraId="1D60A5B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-5.240</w:t>
            </w:r>
          </w:p>
        </w:tc>
        <w:tc>
          <w:tcPr>
            <w:tcW w:w="1020" w:type="dxa"/>
            <w:tcBorders>
              <w:top w:val="nil"/>
              <w:left w:val="nil"/>
              <w:bottom w:val="nil"/>
              <w:right w:val="nil"/>
            </w:tcBorders>
            <w:shd w:val="clear" w:color="auto" w:fill="auto"/>
            <w:noWrap/>
            <w:vAlign w:val="bottom"/>
            <w:hideMark/>
          </w:tcPr>
          <w:p w14:paraId="1FC299E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-16.722</w:t>
            </w:r>
          </w:p>
        </w:tc>
        <w:tc>
          <w:tcPr>
            <w:tcW w:w="1440" w:type="dxa"/>
            <w:tcBorders>
              <w:top w:val="nil"/>
              <w:left w:val="nil"/>
              <w:bottom w:val="nil"/>
              <w:right w:val="nil"/>
            </w:tcBorders>
            <w:shd w:val="clear" w:color="auto" w:fill="auto"/>
            <w:noWrap/>
            <w:vAlign w:val="bottom"/>
            <w:hideMark/>
          </w:tcPr>
          <w:p w14:paraId="0797EC4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72.200</w:t>
            </w:r>
          </w:p>
        </w:tc>
      </w:tr>
      <w:tr w:rsidR="00E71A86" w:rsidRPr="00E71A86" w14:paraId="3BC0ADC1" w14:textId="77777777" w:rsidTr="00AB1693">
        <w:trPr>
          <w:trHeight w:val="250"/>
        </w:trPr>
        <w:tc>
          <w:tcPr>
            <w:tcW w:w="1087" w:type="dxa"/>
            <w:tcBorders>
              <w:top w:val="nil"/>
              <w:left w:val="nil"/>
              <w:bottom w:val="nil"/>
              <w:right w:val="nil"/>
            </w:tcBorders>
            <w:shd w:val="clear" w:color="auto" w:fill="auto"/>
            <w:noWrap/>
            <w:vAlign w:val="bottom"/>
            <w:hideMark/>
          </w:tcPr>
          <w:p w14:paraId="1512AB0C"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0838983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64.279</w:t>
            </w:r>
          </w:p>
        </w:tc>
        <w:tc>
          <w:tcPr>
            <w:tcW w:w="1038" w:type="dxa"/>
            <w:tcBorders>
              <w:top w:val="nil"/>
              <w:left w:val="nil"/>
              <w:bottom w:val="nil"/>
              <w:right w:val="nil"/>
            </w:tcBorders>
            <w:shd w:val="clear" w:color="auto" w:fill="auto"/>
            <w:noWrap/>
            <w:vAlign w:val="bottom"/>
            <w:hideMark/>
          </w:tcPr>
          <w:p w14:paraId="7E3554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53.989</w:t>
            </w:r>
          </w:p>
        </w:tc>
        <w:tc>
          <w:tcPr>
            <w:tcW w:w="1024" w:type="dxa"/>
            <w:tcBorders>
              <w:top w:val="nil"/>
              <w:left w:val="nil"/>
              <w:bottom w:val="nil"/>
              <w:right w:val="nil"/>
            </w:tcBorders>
            <w:shd w:val="clear" w:color="auto" w:fill="auto"/>
            <w:noWrap/>
            <w:vAlign w:val="bottom"/>
            <w:hideMark/>
          </w:tcPr>
          <w:p w14:paraId="5F02DA8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-17.297</w:t>
            </w:r>
          </w:p>
        </w:tc>
        <w:tc>
          <w:tcPr>
            <w:tcW w:w="1024" w:type="dxa"/>
            <w:tcBorders>
              <w:top w:val="nil"/>
              <w:left w:val="nil"/>
              <w:bottom w:val="nil"/>
              <w:right w:val="nil"/>
            </w:tcBorders>
            <w:shd w:val="clear" w:color="auto" w:fill="auto"/>
            <w:noWrap/>
            <w:vAlign w:val="bottom"/>
            <w:hideMark/>
          </w:tcPr>
          <w:p w14:paraId="0B85F40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-43.586</w:t>
            </w:r>
          </w:p>
        </w:tc>
        <w:tc>
          <w:tcPr>
            <w:tcW w:w="1020" w:type="dxa"/>
            <w:tcBorders>
              <w:top w:val="nil"/>
              <w:left w:val="nil"/>
              <w:bottom w:val="nil"/>
              <w:right w:val="nil"/>
            </w:tcBorders>
            <w:shd w:val="clear" w:color="auto" w:fill="auto"/>
            <w:noWrap/>
            <w:vAlign w:val="bottom"/>
            <w:hideMark/>
          </w:tcPr>
          <w:p w14:paraId="2CEEECC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-59.071</w:t>
            </w:r>
          </w:p>
        </w:tc>
        <w:tc>
          <w:tcPr>
            <w:tcW w:w="1440" w:type="dxa"/>
            <w:tcBorders>
              <w:top w:val="nil"/>
              <w:left w:val="nil"/>
              <w:bottom w:val="nil"/>
              <w:right w:val="nil"/>
            </w:tcBorders>
            <w:shd w:val="clear" w:color="auto" w:fill="auto"/>
            <w:noWrap/>
            <w:vAlign w:val="bottom"/>
            <w:hideMark/>
          </w:tcPr>
          <w:p w14:paraId="64FF933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118.268</w:t>
            </w:r>
          </w:p>
        </w:tc>
      </w:tr>
      <w:tr w:rsidR="00E71A86" w:rsidRPr="00E71A86" w14:paraId="5C9DE71D" w14:textId="77777777" w:rsidTr="00AB1693">
        <w:trPr>
          <w:trHeight w:val="250"/>
        </w:trPr>
        <w:tc>
          <w:tcPr>
            <w:tcW w:w="1087" w:type="dxa"/>
            <w:tcBorders>
              <w:top w:val="nil"/>
              <w:left w:val="nil"/>
              <w:bottom w:val="nil"/>
              <w:right w:val="nil"/>
            </w:tcBorders>
            <w:shd w:val="clear" w:color="auto" w:fill="auto"/>
            <w:noWrap/>
            <w:vAlign w:val="bottom"/>
            <w:hideMark/>
          </w:tcPr>
          <w:p w14:paraId="69D6A51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A887DB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75.975</w:t>
            </w:r>
          </w:p>
        </w:tc>
        <w:tc>
          <w:tcPr>
            <w:tcW w:w="1038" w:type="dxa"/>
            <w:tcBorders>
              <w:top w:val="nil"/>
              <w:left w:val="nil"/>
              <w:bottom w:val="nil"/>
              <w:right w:val="nil"/>
            </w:tcBorders>
            <w:shd w:val="clear" w:color="auto" w:fill="auto"/>
            <w:noWrap/>
            <w:vAlign w:val="bottom"/>
            <w:hideMark/>
          </w:tcPr>
          <w:p w14:paraId="114B697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11.589</w:t>
            </w:r>
          </w:p>
        </w:tc>
        <w:tc>
          <w:tcPr>
            <w:tcW w:w="1024" w:type="dxa"/>
            <w:tcBorders>
              <w:top w:val="nil"/>
              <w:left w:val="nil"/>
              <w:bottom w:val="nil"/>
              <w:right w:val="nil"/>
            </w:tcBorders>
            <w:shd w:val="clear" w:color="auto" w:fill="auto"/>
            <w:noWrap/>
            <w:vAlign w:val="bottom"/>
            <w:hideMark/>
          </w:tcPr>
          <w:p w14:paraId="151AA6F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-24.699</w:t>
            </w:r>
          </w:p>
        </w:tc>
        <w:tc>
          <w:tcPr>
            <w:tcW w:w="1024" w:type="dxa"/>
            <w:tcBorders>
              <w:top w:val="nil"/>
              <w:left w:val="nil"/>
              <w:bottom w:val="nil"/>
              <w:right w:val="nil"/>
            </w:tcBorders>
            <w:shd w:val="clear" w:color="auto" w:fill="auto"/>
            <w:noWrap/>
            <w:vAlign w:val="bottom"/>
            <w:hideMark/>
          </w:tcPr>
          <w:p w14:paraId="3A853C2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-6.663</w:t>
            </w:r>
          </w:p>
        </w:tc>
        <w:tc>
          <w:tcPr>
            <w:tcW w:w="1020" w:type="dxa"/>
            <w:tcBorders>
              <w:top w:val="nil"/>
              <w:left w:val="nil"/>
              <w:bottom w:val="nil"/>
              <w:right w:val="nil"/>
            </w:tcBorders>
            <w:shd w:val="clear" w:color="auto" w:fill="auto"/>
            <w:noWrap/>
            <w:vAlign w:val="bottom"/>
            <w:hideMark/>
          </w:tcPr>
          <w:p w14:paraId="2461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-55.798</w:t>
            </w:r>
          </w:p>
        </w:tc>
        <w:tc>
          <w:tcPr>
            <w:tcW w:w="1440" w:type="dxa"/>
            <w:tcBorders>
              <w:top w:val="nil"/>
              <w:left w:val="nil"/>
              <w:bottom w:val="nil"/>
              <w:right w:val="nil"/>
            </w:tcBorders>
            <w:shd w:val="clear" w:color="auto" w:fill="auto"/>
            <w:noWrap/>
            <w:vAlign w:val="bottom"/>
            <w:hideMark/>
          </w:tcPr>
          <w:p w14:paraId="54585AB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87.563</w:t>
            </w:r>
          </w:p>
        </w:tc>
      </w:tr>
      <w:tr w:rsidR="00E71A86" w:rsidRPr="00E71A86" w14:paraId="2D4AEDAD" w14:textId="77777777" w:rsidTr="00AB1693">
        <w:trPr>
          <w:trHeight w:val="250"/>
        </w:trPr>
        <w:tc>
          <w:tcPr>
            <w:tcW w:w="1087" w:type="dxa"/>
            <w:tcBorders>
              <w:top w:val="nil"/>
              <w:left w:val="nil"/>
              <w:bottom w:val="nil"/>
              <w:right w:val="nil"/>
            </w:tcBorders>
            <w:shd w:val="clear" w:color="auto" w:fill="auto"/>
            <w:noWrap/>
            <w:vAlign w:val="bottom"/>
            <w:hideMark/>
          </w:tcPr>
          <w:p w14:paraId="30B8374D"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262E50C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13.767</w:t>
            </w:r>
          </w:p>
        </w:tc>
        <w:tc>
          <w:tcPr>
            <w:tcW w:w="1038" w:type="dxa"/>
            <w:tcBorders>
              <w:top w:val="nil"/>
              <w:left w:val="nil"/>
              <w:bottom w:val="nil"/>
              <w:right w:val="nil"/>
            </w:tcBorders>
            <w:shd w:val="clear" w:color="auto" w:fill="auto"/>
            <w:noWrap/>
            <w:vAlign w:val="bottom"/>
            <w:hideMark/>
          </w:tcPr>
          <w:p w14:paraId="59DE9B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29.694</w:t>
            </w:r>
          </w:p>
        </w:tc>
        <w:tc>
          <w:tcPr>
            <w:tcW w:w="1024" w:type="dxa"/>
            <w:tcBorders>
              <w:top w:val="nil"/>
              <w:left w:val="nil"/>
              <w:bottom w:val="nil"/>
              <w:right w:val="nil"/>
            </w:tcBorders>
            <w:shd w:val="clear" w:color="auto" w:fill="auto"/>
            <w:noWrap/>
            <w:vAlign w:val="bottom"/>
            <w:hideMark/>
          </w:tcPr>
          <w:p w14:paraId="4BFD34A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-38.195</w:t>
            </w:r>
          </w:p>
        </w:tc>
        <w:tc>
          <w:tcPr>
            <w:tcW w:w="1024" w:type="dxa"/>
            <w:tcBorders>
              <w:top w:val="nil"/>
              <w:left w:val="nil"/>
              <w:bottom w:val="nil"/>
              <w:right w:val="nil"/>
            </w:tcBorders>
            <w:shd w:val="clear" w:color="auto" w:fill="auto"/>
            <w:noWrap/>
            <w:vAlign w:val="bottom"/>
            <w:hideMark/>
          </w:tcPr>
          <w:p w14:paraId="4BD8FFBF"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-1.212</w:t>
            </w:r>
          </w:p>
        </w:tc>
        <w:tc>
          <w:tcPr>
            <w:tcW w:w="1020" w:type="dxa"/>
            <w:tcBorders>
              <w:top w:val="nil"/>
              <w:left w:val="nil"/>
              <w:bottom w:val="nil"/>
              <w:right w:val="nil"/>
            </w:tcBorders>
            <w:shd w:val="clear" w:color="auto" w:fill="auto"/>
            <w:noWrap/>
            <w:vAlign w:val="bottom"/>
            <w:hideMark/>
          </w:tcPr>
          <w:p w14:paraId="5ED8148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-4.145</w:t>
            </w:r>
          </w:p>
        </w:tc>
        <w:tc>
          <w:tcPr>
            <w:tcW w:w="1440" w:type="dxa"/>
            <w:tcBorders>
              <w:top w:val="nil"/>
              <w:left w:val="nil"/>
              <w:bottom w:val="nil"/>
              <w:right w:val="nil"/>
            </w:tcBorders>
            <w:shd w:val="clear" w:color="auto" w:fill="auto"/>
            <w:noWrap/>
            <w:vAlign w:val="bottom"/>
            <w:hideMark/>
          </w:tcPr>
          <w:p w14:paraId="22979C11"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43.461</w:t>
            </w:r>
          </w:p>
        </w:tc>
      </w:tr>
      <w:tr w:rsidR="00E71A86" w:rsidRPr="00E71A86" w14:paraId="5F79F45C" w14:textId="77777777" w:rsidTr="00AB1693">
        <w:trPr>
          <w:trHeight w:val="250"/>
        </w:trPr>
        <w:tc>
          <w:tcPr>
            <w:tcW w:w="1087" w:type="dxa"/>
            <w:tcBorders>
              <w:top w:val="nil"/>
              <w:left w:val="nil"/>
              <w:bottom w:val="nil"/>
              <w:right w:val="nil"/>
            </w:tcBorders>
            <w:shd w:val="clear" w:color="auto" w:fill="auto"/>
            <w:noWrap/>
            <w:vAlign w:val="bottom"/>
            <w:hideMark/>
          </w:tcPr>
          <w:p w14:paraId="2E8CD3D9"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nil"/>
              <w:right w:val="nil"/>
            </w:tcBorders>
            <w:shd w:val="clear" w:color="auto" w:fill="auto"/>
            <w:noWrap/>
            <w:vAlign w:val="bottom"/>
            <w:hideMark/>
          </w:tcPr>
          <w:p w14:paraId="6BA8090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40.947</w:t>
            </w:r>
          </w:p>
        </w:tc>
        <w:tc>
          <w:tcPr>
            <w:tcW w:w="1038" w:type="dxa"/>
            <w:tcBorders>
              <w:top w:val="nil"/>
              <w:left w:val="nil"/>
              <w:bottom w:val="nil"/>
              <w:right w:val="nil"/>
            </w:tcBorders>
            <w:shd w:val="clear" w:color="auto" w:fill="auto"/>
            <w:noWrap/>
            <w:vAlign w:val="bottom"/>
            <w:hideMark/>
          </w:tcPr>
          <w:p w14:paraId="286FC35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26.868</w:t>
            </w:r>
          </w:p>
        </w:tc>
        <w:tc>
          <w:tcPr>
            <w:tcW w:w="1024" w:type="dxa"/>
            <w:tcBorders>
              <w:top w:val="nil"/>
              <w:left w:val="nil"/>
              <w:bottom w:val="nil"/>
              <w:right w:val="nil"/>
            </w:tcBorders>
            <w:shd w:val="clear" w:color="auto" w:fill="auto"/>
            <w:noWrap/>
            <w:vAlign w:val="bottom"/>
            <w:hideMark/>
          </w:tcPr>
          <w:p w14:paraId="62A59A1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-35.341</w:t>
            </w:r>
          </w:p>
        </w:tc>
        <w:tc>
          <w:tcPr>
            <w:tcW w:w="1024" w:type="dxa"/>
            <w:tcBorders>
              <w:top w:val="nil"/>
              <w:left w:val="nil"/>
              <w:bottom w:val="nil"/>
              <w:right w:val="nil"/>
            </w:tcBorders>
            <w:shd w:val="clear" w:color="auto" w:fill="auto"/>
            <w:noWrap/>
            <w:vAlign w:val="bottom"/>
            <w:hideMark/>
          </w:tcPr>
          <w:p w14:paraId="0614B0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-20.541</w:t>
            </w:r>
          </w:p>
        </w:tc>
        <w:tc>
          <w:tcPr>
            <w:tcW w:w="1020" w:type="dxa"/>
            <w:tcBorders>
              <w:top w:val="nil"/>
              <w:left w:val="nil"/>
              <w:bottom w:val="nil"/>
              <w:right w:val="nil"/>
            </w:tcBorders>
            <w:shd w:val="clear" w:color="auto" w:fill="auto"/>
            <w:noWrap/>
            <w:vAlign w:val="bottom"/>
            <w:hideMark/>
          </w:tcPr>
          <w:p w14:paraId="62D5699D"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-12.473</w:t>
            </w:r>
          </w:p>
        </w:tc>
        <w:tc>
          <w:tcPr>
            <w:tcW w:w="1440" w:type="dxa"/>
            <w:tcBorders>
              <w:top w:val="nil"/>
              <w:left w:val="nil"/>
              <w:bottom w:val="nil"/>
              <w:right w:val="nil"/>
            </w:tcBorders>
            <w:shd w:val="clear" w:color="auto" w:fill="auto"/>
            <w:noWrap/>
            <w:vAlign w:val="bottom"/>
            <w:hideMark/>
          </w:tcPr>
          <w:p w14:paraId="304198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67.815</w:t>
            </w:r>
          </w:p>
        </w:tc>
      </w:tr>
      <w:tr w:rsidR="00E71A86" w:rsidRPr="00E71A86" w14:paraId="7F974365" w14:textId="77777777" w:rsidTr="00AB1693">
        <w:trPr>
          <w:trHeight w:val="250"/>
        </w:trPr>
        <w:tc>
          <w:tcPr>
            <w:tcW w:w="1087" w:type="dxa"/>
            <w:tcBorders>
              <w:top w:val="nil"/>
              <w:left w:val="nil"/>
              <w:bottom w:val="nil"/>
              <w:right w:val="nil"/>
            </w:tcBorders>
            <w:shd w:val="clear" w:color="auto" w:fill="auto"/>
            <w:noWrap/>
            <w:vAlign w:val="bottom"/>
            <w:hideMark/>
          </w:tcPr>
          <w:p w14:paraId="64A060F6"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c>
          <w:tcPr>
            <w:tcW w:w="927" w:type="dxa"/>
            <w:tcBorders>
              <w:top w:val="nil"/>
              <w:left w:val="nil"/>
              <w:bottom w:val="nil"/>
              <w:right w:val="nil"/>
            </w:tcBorders>
            <w:shd w:val="clear" w:color="auto" w:fill="auto"/>
            <w:noWrap/>
            <w:vAlign w:val="bottom"/>
            <w:hideMark/>
          </w:tcPr>
          <w:p w14:paraId="77B49AA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38" w:type="dxa"/>
            <w:tcBorders>
              <w:top w:val="nil"/>
              <w:left w:val="nil"/>
              <w:bottom w:val="nil"/>
              <w:right w:val="nil"/>
            </w:tcBorders>
            <w:shd w:val="clear" w:color="auto" w:fill="auto"/>
            <w:noWrap/>
            <w:vAlign w:val="bottom"/>
            <w:hideMark/>
          </w:tcPr>
          <w:p w14:paraId="669DD7FA"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50736D75"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4" w:type="dxa"/>
            <w:tcBorders>
              <w:top w:val="nil"/>
              <w:left w:val="nil"/>
              <w:bottom w:val="nil"/>
              <w:right w:val="nil"/>
            </w:tcBorders>
            <w:shd w:val="clear" w:color="auto" w:fill="auto"/>
            <w:noWrap/>
            <w:vAlign w:val="bottom"/>
            <w:hideMark/>
          </w:tcPr>
          <w:p w14:paraId="773B00F6"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2DA0C6F1"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0BFCE2D9"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01918E61" w14:textId="77777777" w:rsidTr="00AB1693">
        <w:trPr>
          <w:trHeight w:val="290"/>
        </w:trPr>
        <w:tc>
          <w:tcPr>
            <w:tcW w:w="3052" w:type="dxa"/>
            <w:gridSpan w:val="3"/>
            <w:tcBorders>
              <w:top w:val="nil"/>
              <w:left w:val="nil"/>
              <w:bottom w:val="nil"/>
              <w:right w:val="nil"/>
            </w:tcBorders>
            <w:shd w:val="clear" w:color="auto" w:fill="auto"/>
            <w:noWrap/>
            <w:vAlign w:val="bottom"/>
            <w:hideMark/>
          </w:tcPr>
          <w:p w14:paraId="69016C1B" w14:textId="77777777" w:rsidR="00E71A86" w:rsidRPr="00E71A86" w:rsidRDefault="00E71A86" w:rsidP="00AB1693">
            <w:pPr>
              <w:spacing w:line="240" w:lineRule="auto"/>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Proportion of total load</w:t>
            </w:r>
          </w:p>
        </w:tc>
        <w:tc>
          <w:tcPr>
            <w:tcW w:w="1024" w:type="dxa"/>
            <w:tcBorders>
              <w:top w:val="nil"/>
              <w:left w:val="nil"/>
              <w:bottom w:val="nil"/>
              <w:right w:val="nil"/>
            </w:tcBorders>
            <w:shd w:val="clear" w:color="auto" w:fill="auto"/>
            <w:noWrap/>
            <w:vAlign w:val="bottom"/>
            <w:hideMark/>
          </w:tcPr>
          <w:p w14:paraId="769D2FBB" w14:textId="77777777" w:rsidR="00E71A86" w:rsidRPr="00E71A86" w:rsidRDefault="00E71A86" w:rsidP="00AB1693">
            <w:pPr>
              <w:spacing w:line="240" w:lineRule="auto"/>
              <w:rPr>
                <w:rFonts w:ascii="Times New Roman" w:eastAsia="Times New Roman" w:hAnsi="Times New Roman" w:cs="Times New Roman"/>
                <w:b/>
                <w:bCs/>
                <w:sz w:val="24"/>
                <w:szCs w:val="24"/>
              </w:rPr>
            </w:pPr>
          </w:p>
        </w:tc>
        <w:tc>
          <w:tcPr>
            <w:tcW w:w="1024" w:type="dxa"/>
            <w:tcBorders>
              <w:top w:val="nil"/>
              <w:left w:val="nil"/>
              <w:bottom w:val="nil"/>
              <w:right w:val="nil"/>
            </w:tcBorders>
            <w:shd w:val="clear" w:color="auto" w:fill="auto"/>
            <w:noWrap/>
            <w:vAlign w:val="bottom"/>
            <w:hideMark/>
          </w:tcPr>
          <w:p w14:paraId="073D16AB"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020" w:type="dxa"/>
            <w:tcBorders>
              <w:top w:val="nil"/>
              <w:left w:val="nil"/>
              <w:bottom w:val="nil"/>
              <w:right w:val="nil"/>
            </w:tcBorders>
            <w:shd w:val="clear" w:color="auto" w:fill="auto"/>
            <w:noWrap/>
            <w:vAlign w:val="bottom"/>
            <w:hideMark/>
          </w:tcPr>
          <w:p w14:paraId="4D9B49CE"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c>
          <w:tcPr>
            <w:tcW w:w="1440" w:type="dxa"/>
            <w:tcBorders>
              <w:top w:val="nil"/>
              <w:left w:val="nil"/>
              <w:bottom w:val="nil"/>
              <w:right w:val="nil"/>
            </w:tcBorders>
            <w:shd w:val="clear" w:color="auto" w:fill="auto"/>
            <w:noWrap/>
            <w:vAlign w:val="bottom"/>
            <w:hideMark/>
          </w:tcPr>
          <w:p w14:paraId="596B39B4" w14:textId="77777777" w:rsidR="00E71A86" w:rsidRPr="00E71A86" w:rsidRDefault="00E71A86" w:rsidP="00AB1693">
            <w:pPr>
              <w:spacing w:line="240" w:lineRule="auto"/>
              <w:rPr>
                <w:rFonts w:ascii="Times New Roman" w:eastAsia="Times New Roman" w:hAnsi="Times New Roman" w:cs="Times New Roman"/>
                <w:color w:val="auto"/>
                <w:sz w:val="24"/>
                <w:szCs w:val="24"/>
              </w:rPr>
            </w:pPr>
          </w:p>
        </w:tc>
      </w:tr>
      <w:tr w:rsidR="00E71A86" w:rsidRPr="00E71A86" w14:paraId="49E5D1A3" w14:textId="77777777" w:rsidTr="00AB1693">
        <w:trPr>
          <w:trHeight w:val="250"/>
        </w:trPr>
        <w:tc>
          <w:tcPr>
            <w:tcW w:w="1087" w:type="dxa"/>
            <w:tcBorders>
              <w:top w:val="nil"/>
              <w:left w:val="nil"/>
              <w:bottom w:val="nil"/>
              <w:right w:val="nil"/>
            </w:tcBorders>
            <w:shd w:val="clear" w:color="auto" w:fill="auto"/>
            <w:noWrap/>
            <w:vAlign w:val="bottom"/>
            <w:hideMark/>
          </w:tcPr>
          <w:p w14:paraId="480FC680"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27" w:type="dxa"/>
            <w:tcBorders>
              <w:top w:val="nil"/>
              <w:left w:val="nil"/>
              <w:bottom w:val="nil"/>
              <w:right w:val="nil"/>
            </w:tcBorders>
            <w:shd w:val="clear" w:color="auto" w:fill="auto"/>
            <w:noWrap/>
            <w:vAlign w:val="bottom"/>
            <w:hideMark/>
          </w:tcPr>
          <w:p w14:paraId="203EFD3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2B85B8D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44110C5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-0.684</w:t>
            </w:r>
          </w:p>
        </w:tc>
        <w:tc>
          <w:tcPr>
            <w:tcW w:w="1024" w:type="dxa"/>
            <w:tcBorders>
              <w:top w:val="nil"/>
              <w:left w:val="nil"/>
              <w:bottom w:val="nil"/>
              <w:right w:val="nil"/>
            </w:tcBorders>
            <w:shd w:val="clear" w:color="auto" w:fill="auto"/>
            <w:noWrap/>
            <w:vAlign w:val="bottom"/>
            <w:hideMark/>
          </w:tcPr>
          <w:p w14:paraId="5D131F3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-0.073</w:t>
            </w:r>
          </w:p>
        </w:tc>
        <w:tc>
          <w:tcPr>
            <w:tcW w:w="1020" w:type="dxa"/>
            <w:tcBorders>
              <w:top w:val="nil"/>
              <w:left w:val="nil"/>
              <w:bottom w:val="nil"/>
              <w:right w:val="nil"/>
            </w:tcBorders>
            <w:shd w:val="clear" w:color="auto" w:fill="auto"/>
            <w:noWrap/>
            <w:vAlign w:val="bottom"/>
            <w:hideMark/>
          </w:tcPr>
          <w:p w14:paraId="41A1C1B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-0.232</w:t>
            </w:r>
          </w:p>
        </w:tc>
        <w:tc>
          <w:tcPr>
            <w:tcW w:w="1440" w:type="dxa"/>
            <w:tcBorders>
              <w:top w:val="nil"/>
              <w:left w:val="nil"/>
              <w:bottom w:val="nil"/>
              <w:right w:val="nil"/>
            </w:tcBorders>
            <w:shd w:val="clear" w:color="auto" w:fill="auto"/>
            <w:noWrap/>
            <w:vAlign w:val="bottom"/>
            <w:hideMark/>
          </w:tcPr>
          <w:p w14:paraId="7590AA6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03A983F" w14:textId="77777777" w:rsidTr="00AB1693">
        <w:trPr>
          <w:trHeight w:val="250"/>
        </w:trPr>
        <w:tc>
          <w:tcPr>
            <w:tcW w:w="1087" w:type="dxa"/>
            <w:tcBorders>
              <w:top w:val="nil"/>
              <w:left w:val="nil"/>
              <w:bottom w:val="nil"/>
              <w:right w:val="nil"/>
            </w:tcBorders>
            <w:shd w:val="clear" w:color="auto" w:fill="auto"/>
            <w:noWrap/>
            <w:vAlign w:val="bottom"/>
            <w:hideMark/>
          </w:tcPr>
          <w:p w14:paraId="10A83841"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27" w:type="dxa"/>
            <w:tcBorders>
              <w:top w:val="nil"/>
              <w:left w:val="nil"/>
              <w:bottom w:val="nil"/>
              <w:right w:val="nil"/>
            </w:tcBorders>
            <w:shd w:val="clear" w:color="auto" w:fill="auto"/>
            <w:noWrap/>
            <w:vAlign w:val="bottom"/>
            <w:hideMark/>
          </w:tcPr>
          <w:p w14:paraId="2082C78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0.543</w:t>
            </w:r>
          </w:p>
        </w:tc>
        <w:tc>
          <w:tcPr>
            <w:tcW w:w="1038" w:type="dxa"/>
            <w:tcBorders>
              <w:top w:val="nil"/>
              <w:left w:val="nil"/>
              <w:bottom w:val="nil"/>
              <w:right w:val="nil"/>
            </w:tcBorders>
            <w:shd w:val="clear" w:color="auto" w:fill="auto"/>
            <w:noWrap/>
            <w:vAlign w:val="bottom"/>
            <w:hideMark/>
          </w:tcPr>
          <w:p w14:paraId="542CEBBE"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0.457</w:t>
            </w:r>
          </w:p>
        </w:tc>
        <w:tc>
          <w:tcPr>
            <w:tcW w:w="1024" w:type="dxa"/>
            <w:tcBorders>
              <w:top w:val="nil"/>
              <w:left w:val="nil"/>
              <w:bottom w:val="nil"/>
              <w:right w:val="nil"/>
            </w:tcBorders>
            <w:shd w:val="clear" w:color="auto" w:fill="auto"/>
            <w:noWrap/>
            <w:vAlign w:val="bottom"/>
            <w:hideMark/>
          </w:tcPr>
          <w:p w14:paraId="5A5CBB3A"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-0.146</w:t>
            </w:r>
          </w:p>
        </w:tc>
        <w:tc>
          <w:tcPr>
            <w:tcW w:w="1024" w:type="dxa"/>
            <w:tcBorders>
              <w:top w:val="nil"/>
              <w:left w:val="nil"/>
              <w:bottom w:val="nil"/>
              <w:right w:val="nil"/>
            </w:tcBorders>
            <w:shd w:val="clear" w:color="auto" w:fill="auto"/>
            <w:noWrap/>
            <w:vAlign w:val="bottom"/>
            <w:hideMark/>
          </w:tcPr>
          <w:p w14:paraId="32878CC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-0.369</w:t>
            </w:r>
          </w:p>
        </w:tc>
        <w:tc>
          <w:tcPr>
            <w:tcW w:w="1020" w:type="dxa"/>
            <w:tcBorders>
              <w:top w:val="nil"/>
              <w:left w:val="nil"/>
              <w:bottom w:val="nil"/>
              <w:right w:val="nil"/>
            </w:tcBorders>
            <w:shd w:val="clear" w:color="auto" w:fill="auto"/>
            <w:noWrap/>
            <w:vAlign w:val="bottom"/>
            <w:hideMark/>
          </w:tcPr>
          <w:p w14:paraId="153110B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-0.499</w:t>
            </w:r>
          </w:p>
        </w:tc>
        <w:tc>
          <w:tcPr>
            <w:tcW w:w="1440" w:type="dxa"/>
            <w:tcBorders>
              <w:top w:val="nil"/>
              <w:left w:val="nil"/>
              <w:bottom w:val="nil"/>
              <w:right w:val="nil"/>
            </w:tcBorders>
            <w:shd w:val="clear" w:color="auto" w:fill="auto"/>
            <w:noWrap/>
            <w:vAlign w:val="bottom"/>
            <w:hideMark/>
          </w:tcPr>
          <w:p w14:paraId="165B8644"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5B9749D0" w14:textId="77777777" w:rsidTr="00AB1693">
        <w:trPr>
          <w:trHeight w:val="250"/>
        </w:trPr>
        <w:tc>
          <w:tcPr>
            <w:tcW w:w="1087" w:type="dxa"/>
            <w:tcBorders>
              <w:top w:val="nil"/>
              <w:left w:val="nil"/>
              <w:bottom w:val="nil"/>
              <w:right w:val="nil"/>
            </w:tcBorders>
            <w:shd w:val="clear" w:color="auto" w:fill="auto"/>
            <w:noWrap/>
            <w:vAlign w:val="bottom"/>
            <w:hideMark/>
          </w:tcPr>
          <w:p w14:paraId="72EF95E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27" w:type="dxa"/>
            <w:tcBorders>
              <w:top w:val="nil"/>
              <w:left w:val="nil"/>
              <w:bottom w:val="nil"/>
              <w:right w:val="nil"/>
            </w:tcBorders>
            <w:shd w:val="clear" w:color="auto" w:fill="auto"/>
            <w:noWrap/>
            <w:vAlign w:val="bottom"/>
            <w:hideMark/>
          </w:tcPr>
          <w:p w14:paraId="6C56CA2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0.868</w:t>
            </w:r>
          </w:p>
        </w:tc>
        <w:tc>
          <w:tcPr>
            <w:tcW w:w="1038" w:type="dxa"/>
            <w:tcBorders>
              <w:top w:val="nil"/>
              <w:left w:val="nil"/>
              <w:bottom w:val="nil"/>
              <w:right w:val="nil"/>
            </w:tcBorders>
            <w:shd w:val="clear" w:color="auto" w:fill="auto"/>
            <w:noWrap/>
            <w:vAlign w:val="bottom"/>
            <w:hideMark/>
          </w:tcPr>
          <w:p w14:paraId="58956712"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0.132</w:t>
            </w:r>
          </w:p>
        </w:tc>
        <w:tc>
          <w:tcPr>
            <w:tcW w:w="1024" w:type="dxa"/>
            <w:tcBorders>
              <w:top w:val="nil"/>
              <w:left w:val="nil"/>
              <w:bottom w:val="nil"/>
              <w:right w:val="nil"/>
            </w:tcBorders>
            <w:shd w:val="clear" w:color="auto" w:fill="auto"/>
            <w:noWrap/>
            <w:vAlign w:val="bottom"/>
            <w:hideMark/>
          </w:tcPr>
          <w:p w14:paraId="76A00CF4"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-0.282</w:t>
            </w:r>
          </w:p>
        </w:tc>
        <w:tc>
          <w:tcPr>
            <w:tcW w:w="1024" w:type="dxa"/>
            <w:tcBorders>
              <w:top w:val="nil"/>
              <w:left w:val="nil"/>
              <w:bottom w:val="nil"/>
              <w:right w:val="nil"/>
            </w:tcBorders>
            <w:shd w:val="clear" w:color="auto" w:fill="auto"/>
            <w:noWrap/>
            <w:vAlign w:val="bottom"/>
            <w:hideMark/>
          </w:tcPr>
          <w:p w14:paraId="751DF0A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-0.076</w:t>
            </w:r>
          </w:p>
        </w:tc>
        <w:tc>
          <w:tcPr>
            <w:tcW w:w="1020" w:type="dxa"/>
            <w:tcBorders>
              <w:top w:val="nil"/>
              <w:left w:val="nil"/>
              <w:bottom w:val="nil"/>
              <w:right w:val="nil"/>
            </w:tcBorders>
            <w:shd w:val="clear" w:color="auto" w:fill="auto"/>
            <w:noWrap/>
            <w:vAlign w:val="bottom"/>
            <w:hideMark/>
          </w:tcPr>
          <w:p w14:paraId="18A685B3"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-0.637</w:t>
            </w:r>
          </w:p>
        </w:tc>
        <w:tc>
          <w:tcPr>
            <w:tcW w:w="1440" w:type="dxa"/>
            <w:tcBorders>
              <w:top w:val="nil"/>
              <w:left w:val="nil"/>
              <w:bottom w:val="nil"/>
              <w:right w:val="nil"/>
            </w:tcBorders>
            <w:shd w:val="clear" w:color="auto" w:fill="auto"/>
            <w:noWrap/>
            <w:vAlign w:val="bottom"/>
            <w:hideMark/>
          </w:tcPr>
          <w:p w14:paraId="4763D2B5"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772B083C" w14:textId="77777777" w:rsidTr="00AB1693">
        <w:trPr>
          <w:trHeight w:val="250"/>
        </w:trPr>
        <w:tc>
          <w:tcPr>
            <w:tcW w:w="1087" w:type="dxa"/>
            <w:tcBorders>
              <w:top w:val="nil"/>
              <w:left w:val="nil"/>
              <w:bottom w:val="nil"/>
              <w:right w:val="nil"/>
            </w:tcBorders>
            <w:shd w:val="clear" w:color="auto" w:fill="auto"/>
            <w:noWrap/>
            <w:vAlign w:val="bottom"/>
            <w:hideMark/>
          </w:tcPr>
          <w:p w14:paraId="55F78528"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27" w:type="dxa"/>
            <w:tcBorders>
              <w:top w:val="nil"/>
              <w:left w:val="nil"/>
              <w:bottom w:val="nil"/>
              <w:right w:val="nil"/>
            </w:tcBorders>
            <w:shd w:val="clear" w:color="auto" w:fill="auto"/>
            <w:noWrap/>
            <w:vAlign w:val="bottom"/>
            <w:hideMark/>
          </w:tcPr>
          <w:p w14:paraId="13BC2C2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0.317</w:t>
            </w:r>
          </w:p>
        </w:tc>
        <w:tc>
          <w:tcPr>
            <w:tcW w:w="1038" w:type="dxa"/>
            <w:tcBorders>
              <w:top w:val="nil"/>
              <w:left w:val="nil"/>
              <w:bottom w:val="nil"/>
              <w:right w:val="nil"/>
            </w:tcBorders>
            <w:shd w:val="clear" w:color="auto" w:fill="auto"/>
            <w:noWrap/>
            <w:vAlign w:val="bottom"/>
            <w:hideMark/>
          </w:tcPr>
          <w:p w14:paraId="34F64E6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0.683</w:t>
            </w:r>
          </w:p>
        </w:tc>
        <w:tc>
          <w:tcPr>
            <w:tcW w:w="1024" w:type="dxa"/>
            <w:tcBorders>
              <w:top w:val="nil"/>
              <w:left w:val="nil"/>
              <w:bottom w:val="nil"/>
              <w:right w:val="nil"/>
            </w:tcBorders>
            <w:shd w:val="clear" w:color="auto" w:fill="auto"/>
            <w:noWrap/>
            <w:vAlign w:val="bottom"/>
            <w:hideMark/>
          </w:tcPr>
          <w:p w14:paraId="682A796B"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-0.879</w:t>
            </w:r>
          </w:p>
        </w:tc>
        <w:tc>
          <w:tcPr>
            <w:tcW w:w="1024" w:type="dxa"/>
            <w:tcBorders>
              <w:top w:val="nil"/>
              <w:left w:val="nil"/>
              <w:bottom w:val="nil"/>
              <w:right w:val="nil"/>
            </w:tcBorders>
            <w:shd w:val="clear" w:color="auto" w:fill="auto"/>
            <w:noWrap/>
            <w:vAlign w:val="bottom"/>
            <w:hideMark/>
          </w:tcPr>
          <w:p w14:paraId="4080D9F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-0.028</w:t>
            </w:r>
          </w:p>
        </w:tc>
        <w:tc>
          <w:tcPr>
            <w:tcW w:w="1020" w:type="dxa"/>
            <w:tcBorders>
              <w:top w:val="nil"/>
              <w:left w:val="nil"/>
              <w:bottom w:val="nil"/>
              <w:right w:val="nil"/>
            </w:tcBorders>
            <w:shd w:val="clear" w:color="auto" w:fill="auto"/>
            <w:noWrap/>
            <w:vAlign w:val="bottom"/>
            <w:hideMark/>
          </w:tcPr>
          <w:p w14:paraId="2A366EE9"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-0.095</w:t>
            </w:r>
          </w:p>
        </w:tc>
        <w:tc>
          <w:tcPr>
            <w:tcW w:w="1440" w:type="dxa"/>
            <w:tcBorders>
              <w:top w:val="nil"/>
              <w:left w:val="nil"/>
              <w:bottom w:val="nil"/>
              <w:right w:val="nil"/>
            </w:tcBorders>
            <w:shd w:val="clear" w:color="auto" w:fill="auto"/>
            <w:noWrap/>
            <w:vAlign w:val="bottom"/>
            <w:hideMark/>
          </w:tcPr>
          <w:p w14:paraId="0549B17F" w14:textId="77777777" w:rsidR="00E71A86" w:rsidRPr="00E71A86" w:rsidRDefault="00E71A86" w:rsidP="00AB1693">
            <w:pPr>
              <w:spacing w:line="240" w:lineRule="auto"/>
              <w:jc w:val="right"/>
              <w:rPr>
                <w:rFonts w:ascii="Times New Roman" w:eastAsia="Times New Roman" w:hAnsi="Times New Roman" w:cs="Times New Roman"/>
                <w:sz w:val="24"/>
                <w:szCs w:val="24"/>
              </w:rPr>
            </w:pPr>
          </w:p>
        </w:tc>
      </w:tr>
      <w:tr w:rsidR="00E71A86" w:rsidRPr="00E71A86" w14:paraId="26BD18A7" w14:textId="77777777" w:rsidTr="00AB1693">
        <w:trPr>
          <w:trHeight w:val="260"/>
        </w:trPr>
        <w:tc>
          <w:tcPr>
            <w:tcW w:w="1087" w:type="dxa"/>
            <w:tcBorders>
              <w:top w:val="nil"/>
              <w:left w:val="nil"/>
              <w:bottom w:val="single" w:sz="8" w:space="0" w:color="auto"/>
              <w:right w:val="nil"/>
            </w:tcBorders>
            <w:shd w:val="clear" w:color="auto" w:fill="auto"/>
            <w:noWrap/>
            <w:vAlign w:val="bottom"/>
            <w:hideMark/>
          </w:tcPr>
          <w:p w14:paraId="48E7E15A"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27" w:type="dxa"/>
            <w:tcBorders>
              <w:top w:val="nil"/>
              <w:left w:val="nil"/>
              <w:bottom w:val="single" w:sz="8" w:space="0" w:color="auto"/>
              <w:right w:val="nil"/>
            </w:tcBorders>
            <w:shd w:val="clear" w:color="auto" w:fill="auto"/>
            <w:noWrap/>
            <w:vAlign w:val="bottom"/>
            <w:hideMark/>
          </w:tcPr>
          <w:p w14:paraId="02BD27C5"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0.604</w:t>
            </w:r>
          </w:p>
        </w:tc>
        <w:tc>
          <w:tcPr>
            <w:tcW w:w="1038" w:type="dxa"/>
            <w:tcBorders>
              <w:top w:val="nil"/>
              <w:left w:val="nil"/>
              <w:bottom w:val="single" w:sz="8" w:space="0" w:color="auto"/>
              <w:right w:val="nil"/>
            </w:tcBorders>
            <w:shd w:val="clear" w:color="auto" w:fill="auto"/>
            <w:noWrap/>
            <w:vAlign w:val="bottom"/>
            <w:hideMark/>
          </w:tcPr>
          <w:p w14:paraId="2DAB5D86"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0.396</w:t>
            </w:r>
          </w:p>
        </w:tc>
        <w:tc>
          <w:tcPr>
            <w:tcW w:w="1024" w:type="dxa"/>
            <w:tcBorders>
              <w:top w:val="nil"/>
              <w:left w:val="nil"/>
              <w:bottom w:val="single" w:sz="8" w:space="0" w:color="auto"/>
              <w:right w:val="nil"/>
            </w:tcBorders>
            <w:shd w:val="clear" w:color="auto" w:fill="auto"/>
            <w:noWrap/>
            <w:vAlign w:val="bottom"/>
            <w:hideMark/>
          </w:tcPr>
          <w:p w14:paraId="222FB6EC"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-0.521</w:t>
            </w:r>
          </w:p>
        </w:tc>
        <w:tc>
          <w:tcPr>
            <w:tcW w:w="1024" w:type="dxa"/>
            <w:tcBorders>
              <w:top w:val="nil"/>
              <w:left w:val="nil"/>
              <w:bottom w:val="single" w:sz="8" w:space="0" w:color="auto"/>
              <w:right w:val="nil"/>
            </w:tcBorders>
            <w:shd w:val="clear" w:color="auto" w:fill="auto"/>
            <w:noWrap/>
            <w:vAlign w:val="bottom"/>
            <w:hideMark/>
          </w:tcPr>
          <w:p w14:paraId="1B895307"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-0.303</w:t>
            </w:r>
          </w:p>
        </w:tc>
        <w:tc>
          <w:tcPr>
            <w:tcW w:w="1020" w:type="dxa"/>
            <w:tcBorders>
              <w:top w:val="nil"/>
              <w:left w:val="nil"/>
              <w:bottom w:val="single" w:sz="8" w:space="0" w:color="auto"/>
              <w:right w:val="nil"/>
            </w:tcBorders>
            <w:shd w:val="clear" w:color="auto" w:fill="auto"/>
            <w:noWrap/>
            <w:vAlign w:val="bottom"/>
            <w:hideMark/>
          </w:tcPr>
          <w:p w14:paraId="7E42FE78" w14:textId="77777777" w:rsidR="00E71A86" w:rsidRPr="00E71A86" w:rsidRDefault="00E71A86" w:rsidP="00AB1693">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-0.184</w:t>
            </w:r>
          </w:p>
        </w:tc>
        <w:tc>
          <w:tcPr>
            <w:tcW w:w="1440" w:type="dxa"/>
            <w:tcBorders>
              <w:top w:val="nil"/>
              <w:left w:val="nil"/>
              <w:bottom w:val="single" w:sz="8" w:space="0" w:color="auto"/>
              <w:right w:val="nil"/>
            </w:tcBorders>
            <w:shd w:val="clear" w:color="auto" w:fill="auto"/>
            <w:noWrap/>
            <w:vAlign w:val="bottom"/>
            <w:hideMark/>
          </w:tcPr>
          <w:p w14:paraId="6B293402" w14:textId="77777777" w:rsidR="00E71A86" w:rsidRPr="00E71A86" w:rsidRDefault="00E71A86" w:rsidP="00AB1693">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w:t>
            </w:r>
          </w:p>
        </w:tc>
      </w:tr>
    </w:tbl>
    <w:p w14:paraId="01702BAC" w14:textId="02D40203"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t>Table 5. Summary of mean mass balances (g/m2/yr)</w:t>
      </w:r>
    </w:p>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r w:rsidRPr="000233C2">
        <w:rPr>
          <w:rFonts w:ascii="Times New Roman" w:eastAsia="Times New Roman" w:hAnsi="Times New Roman" w:cs="Times New Roman"/>
          <w:b/>
          <w:sz w:val="24"/>
          <w:szCs w:val="24"/>
        </w:rPr>
        <w:lastRenderedPageBreak/>
        <w:t>FIGURE CAPTIONS</w:t>
      </w:r>
    </w:p>
    <w:p w14:paraId="6D755D65" w14:textId="7A36A4EF"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model based on allocthonous and autochthonous inputs, burial, leaching of particulate organic carbon (POC) to dissolved organic carbon (DOC) and export.</w:t>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4D2726A9" w14:textId="58F14AB6"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Modeled vs. observed dissolved organic carbon (DOC) and dissolved oxygen (DO). </w:t>
      </w:r>
    </w:p>
    <w:p w14:paraId="3BCC1391" w14:textId="77777777" w:rsidR="000233C2" w:rsidRDefault="000233C2" w:rsidP="000233C2">
      <w:pPr>
        <w:spacing w:line="480" w:lineRule="auto"/>
        <w:rPr>
          <w:rFonts w:ascii="Times New Roman" w:eastAsia="Times New Roman" w:hAnsi="Times New Roman" w:cs="Times New Roman"/>
          <w:sz w:val="24"/>
          <w:szCs w:val="24"/>
        </w:rPr>
      </w:pPr>
    </w:p>
    <w:p w14:paraId="65049802" w14:textId="35EC4A9D" w:rsidR="000233C2" w:rsidRDefault="000233C2" w:rsidP="000233C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analysis for calibrated model parameters. Shaded areas represent the range of resulting modeled DOC based on the specified range of parameter values. Other parameter </w:t>
      </w:r>
      <w:r w:rsidRPr="000233C2">
        <w:rPr>
          <w:rFonts w:ascii="Times New Roman" w:eastAsia="Times New Roman" w:hAnsi="Times New Roman" w:cs="Times New Roman"/>
          <w:sz w:val="24"/>
          <w:szCs w:val="24"/>
        </w:rPr>
        <w:t>values were used at their calibrated values to test the sensitivity of a particular parameter.</w:t>
      </w:r>
    </w:p>
    <w:p w14:paraId="44F740C7" w14:textId="77777777" w:rsidR="000233C2" w:rsidRPr="000233C2" w:rsidRDefault="000233C2" w:rsidP="000233C2">
      <w:pPr>
        <w:spacing w:line="480" w:lineRule="auto"/>
        <w:rPr>
          <w:rFonts w:ascii="Times New Roman" w:eastAsia="Times New Roman" w:hAnsi="Times New Roman" w:cs="Times New Roman"/>
          <w:sz w:val="24"/>
          <w:szCs w:val="24"/>
        </w:rPr>
      </w:pPr>
    </w:p>
    <w:p w14:paraId="7280EB19" w14:textId="5BB64E98" w:rsidR="000233C2" w:rsidRDefault="000233C2" w:rsidP="000233C2">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Colored areas represent relative magnitudes among fluxes. Right column contains absolute values of export, burial and respiration. </w:t>
      </w:r>
      <w:r>
        <w:rPr>
          <w:color w:val="000000"/>
        </w:rPr>
        <w:t xml:space="preserve">Values were stacked on top of each other to show relative magnitudes. </w:t>
      </w:r>
      <w:r w:rsidRPr="000233C2">
        <w:rPr>
          <w:color w:val="000000"/>
        </w:rPr>
        <w:t>A lake is a net source when respiration exceeds burial.</w:t>
      </w:r>
      <w:r>
        <w:rPr>
          <w:color w:val="000000"/>
        </w:rPr>
        <w:t xml:space="preserve"> </w:t>
      </w:r>
    </w:p>
    <w:p w14:paraId="7BF1F99A" w14:textId="77777777" w:rsidR="000233C2" w:rsidRDefault="000233C2" w:rsidP="000233C2">
      <w:pPr>
        <w:pStyle w:val="NormalWeb"/>
        <w:spacing w:before="0" w:beforeAutospacing="0" w:after="0" w:afterAutospacing="0" w:line="480" w:lineRule="auto"/>
        <w:rPr>
          <w:color w:val="000000"/>
        </w:rPr>
      </w:pPr>
    </w:p>
    <w:p w14:paraId="6645DD1F" w14:textId="3AE7A076" w:rsidR="000233C2" w:rsidRDefault="000233C2" w:rsidP="000233C2">
      <w:pPr>
        <w:pStyle w:val="NormalWeb"/>
        <w:spacing w:before="0" w:beforeAutospacing="0" w:after="0" w:afterAutospacing="0" w:line="480" w:lineRule="auto"/>
        <w:rPr>
          <w:color w:val="000000"/>
        </w:rPr>
      </w:pPr>
      <w:r w:rsidRPr="000233C2">
        <w:rPr>
          <w:color w:val="000000"/>
        </w:rPr>
        <w:t>Fig. 5. Relationship between log-transformed (base 10) allochthony/autochthony and re</w:t>
      </w:r>
      <w:r>
        <w:rPr>
          <w:color w:val="000000"/>
        </w:rPr>
        <w:t>spiration/burial (g/m2/yr) of organic carbon. The four quadrants in each figure represent dominant processes associated with these ratios.</w:t>
      </w:r>
    </w:p>
    <w:p w14:paraId="63039A9E" w14:textId="77777777" w:rsidR="000233C2" w:rsidRDefault="000233C2" w:rsidP="000233C2">
      <w:pPr>
        <w:pStyle w:val="NormalWeb"/>
        <w:spacing w:before="0" w:beforeAutospacing="0" w:after="0" w:afterAutospacing="0" w:line="480" w:lineRule="auto"/>
        <w:rPr>
          <w:color w:val="000000"/>
        </w:rPr>
      </w:pPr>
    </w:p>
    <w:p w14:paraId="432B190D" w14:textId="675C4DC4" w:rsidR="000233C2" w:rsidRDefault="000233C2" w:rsidP="000233C2">
      <w:pPr>
        <w:pStyle w:val="NormalWeb"/>
        <w:spacing w:before="0" w:beforeAutospacing="0" w:after="0" w:afterAutospacing="0" w:line="480" w:lineRule="auto"/>
        <w:rPr>
          <w:color w:val="000000"/>
        </w:rPr>
      </w:pPr>
      <w:r w:rsidRPr="000233C2">
        <w:rPr>
          <w:color w:val="000000"/>
        </w:rPr>
        <w:t>Fig. 6. Interannual variation in lake function (SOS status). Values above and below the dashed 0 line indicate net source and sinks of OC, respectively. See Table 1 for years used in calculations. Net lake function was calculated as the difference between respiration and burial.</w:t>
      </w:r>
    </w:p>
    <w:p w14:paraId="5B20339D" w14:textId="5DCBB61F"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Pr="00B90A7A" w:rsidRDefault="00B90A7A" w:rsidP="000233C2">
      <w:pPr>
        <w:pStyle w:val="NormalWeb"/>
        <w:spacing w:before="0" w:beforeAutospacing="0" w:after="0" w:afterAutospacing="0" w:line="480" w:lineRule="auto"/>
        <w:rPr>
          <w:b/>
        </w:rPr>
      </w:pPr>
      <w:r w:rsidRPr="00B90A7A">
        <w:rPr>
          <w:b/>
        </w:rPr>
        <w:t>Fig. 1.</w:t>
      </w: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548FD515" w14:textId="3C3630CF" w:rsidR="00B90A7A" w:rsidRDefault="00B90A7A">
      <w:pPr>
        <w:rPr>
          <w:rFonts w:ascii="Times New Roman" w:eastAsia="Times New Roman" w:hAnsi="Times New Roman" w:cs="Times New Roman"/>
          <w:b/>
          <w:color w:val="auto"/>
          <w:sz w:val="24"/>
          <w:szCs w:val="24"/>
        </w:rPr>
      </w:pPr>
      <w:r>
        <w:rPr>
          <w:b/>
        </w:rPr>
        <w:br w:type="page"/>
      </w: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2572115D" w14:textId="77777777" w:rsidR="00B90A7A" w:rsidRDefault="00B90A7A">
      <w:pPr>
        <w:rPr>
          <w:rFonts w:ascii="Times New Roman" w:eastAsia="Times New Roman" w:hAnsi="Times New Roman" w:cs="Times New Roman"/>
          <w:b/>
          <w:color w:val="auto"/>
          <w:sz w:val="24"/>
          <w:szCs w:val="24"/>
        </w:rPr>
      </w:pPr>
      <w:r>
        <w:rPr>
          <w:b/>
        </w:rPr>
        <w:br w:type="page"/>
      </w:r>
    </w:p>
    <w:p w14:paraId="531E09A3" w14:textId="3BBE9A12"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1BC4468" wp14:editId="28A44AC9">
            <wp:extent cx="4655127"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r>
        <w:rPr>
          <w:b/>
        </w:rPr>
        <w:t>Fig. 4.</w:t>
      </w:r>
    </w:p>
    <w:p w14:paraId="38AA1CEC" w14:textId="77777777" w:rsidR="00B90A7A" w:rsidRDefault="00B90A7A">
      <w:pPr>
        <w:rPr>
          <w:rFonts w:ascii="Times New Roman" w:eastAsia="Times New Roman" w:hAnsi="Times New Roman" w:cs="Times New Roman"/>
          <w:b/>
          <w:color w:val="auto"/>
          <w:sz w:val="24"/>
          <w:szCs w:val="24"/>
        </w:rPr>
      </w:pPr>
      <w:r>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067D9169" w14:textId="7F666320" w:rsidR="00B90A7A" w:rsidRDefault="00B90A7A">
      <w:pPr>
        <w:rPr>
          <w:rFonts w:ascii="Times New Roman" w:eastAsia="Times New Roman" w:hAnsi="Times New Roman" w:cs="Times New Roman"/>
          <w:b/>
          <w:color w:val="auto"/>
          <w:sz w:val="24"/>
          <w:szCs w:val="24"/>
        </w:rPr>
      </w:pPr>
      <w:r>
        <w:rPr>
          <w:b/>
        </w:rPr>
        <w:br w:type="page"/>
      </w:r>
    </w:p>
    <w:p w14:paraId="15F5B6D7" w14:textId="561248D9"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48FD7237" wp14:editId="09B7DFB1">
            <wp:extent cx="5486400" cy="448876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4488766"/>
                    </a:xfrm>
                    <a:prstGeom prst="rect">
                      <a:avLst/>
                    </a:prstGeom>
                  </pic:spPr>
                </pic:pic>
              </a:graphicData>
            </a:graphic>
          </wp:inline>
        </w:drawing>
      </w:r>
    </w:p>
    <w:p w14:paraId="16818A45" w14:textId="5D253676" w:rsidR="00B90A7A" w:rsidRPr="00B90A7A" w:rsidRDefault="00B90A7A" w:rsidP="000233C2">
      <w:pPr>
        <w:pStyle w:val="NormalWeb"/>
        <w:spacing w:before="0" w:beforeAutospacing="0" w:after="0" w:afterAutospacing="0" w:line="480" w:lineRule="auto"/>
        <w:rPr>
          <w:b/>
        </w:rPr>
      </w:pPr>
      <w:r>
        <w:rPr>
          <w:b/>
        </w:rPr>
        <w:t>Fig. 6. Note, this is the one that needs to be redone post-bootstrapping, but we don’t think it would change much</w:t>
      </w:r>
    </w:p>
    <w:p w14:paraId="3E41D24B" w14:textId="0ABE9116" w:rsidR="000233C2" w:rsidRP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0233C2" w:rsidRPr="000233C2"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Ian McCullough" w:date="2017-03-30T04:59:00Z" w:initials="">
    <w:p w14:paraId="753870DC" w14:textId="77777777" w:rsidR="00B80037" w:rsidRDefault="00B80037">
      <w:pPr>
        <w:widowControl w:val="0"/>
        <w:spacing w:line="240" w:lineRule="auto"/>
      </w:pPr>
      <w:r>
        <w:t>note: for consistency, I've removed oxford commas because they were used inconsistently. These aren't a deal-breaker for me, so if someone wants to go through and insert them everywhere...fine</w:t>
      </w:r>
    </w:p>
  </w:comment>
  <w:comment w:id="2" w:author="Ian McCullough" w:date="2017-03-29T04:38:00Z" w:initials="">
    <w:p w14:paraId="114EA248" w14:textId="77777777" w:rsidR="00B80037" w:rsidRDefault="00B80037">
      <w:pPr>
        <w:widowControl w:val="0"/>
        <w:spacing w:line="240" w:lineRule="auto"/>
      </w:pPr>
      <w:r>
        <w:t>executive order: this is the order</w:t>
      </w:r>
    </w:p>
  </w:comment>
  <w:comment w:id="4" w:author="Ian McCullough" w:date="2017-03-29T00:19:00Z" w:initials="">
    <w:p w14:paraId="10B46F76" w14:textId="77777777" w:rsidR="00B80037" w:rsidRDefault="00B80037">
      <w:pPr>
        <w:widowControl w:val="0"/>
        <w:spacing w:line="240" w:lineRule="auto"/>
      </w:pPr>
      <w:r>
        <w:t>350 word limit for Ecol Appl</w:t>
      </w:r>
    </w:p>
  </w:comment>
  <w:comment w:id="5" w:author="Ian McCullough" w:date="2017-03-29T04:45:00Z" w:initials="">
    <w:p w14:paraId="7524CA65" w14:textId="77777777" w:rsidR="00B80037" w:rsidRDefault="00B80037">
      <w:pPr>
        <w:widowControl w:val="0"/>
        <w:spacing w:line="240" w:lineRule="auto"/>
      </w:pPr>
      <w:r>
        <w:t>up to 12, suggestions welcome (in no particular order right now)</w:t>
      </w:r>
    </w:p>
  </w:comment>
  <w:comment w:id="10" w:author="Derek Roberts" w:date="2017-03-29T06:15:00Z" w:initials="">
    <w:p w14:paraId="1F757E4D" w14:textId="77777777" w:rsidR="00B80037" w:rsidRDefault="00B80037">
      <w:pPr>
        <w:widowControl w:val="0"/>
        <w:spacing w:line="240" w:lineRule="auto"/>
      </w:pPr>
      <w:r>
        <w:t>I know we've discussed this a bit already... but I would break this down better, rather than using our sub-function titles. If I'm a reviewer, the first thing that jumps to my head is: "are these the 'major' categories? And what does 'major' mean? And isn't the point of this paper to see which categories are 'major'? We sub-divide our code (perhaps with poor organization) for the sake of coding simplicity, but I don't see a reason to use the same categorization for explanation in the paper.</w:t>
      </w:r>
    </w:p>
  </w:comment>
  <w:comment w:id="11" w:author="Ian McCullough" w:date="2017-03-29T06:15:00Z" w:initials="">
    <w:p w14:paraId="797B2251" w14:textId="77777777" w:rsidR="00B80037" w:rsidRDefault="00B80037">
      <w:pPr>
        <w:widowControl w:val="0"/>
        <w:spacing w:line="240" w:lineRule="auto"/>
      </w:pPr>
      <w:r>
        <w:t>This is a good point. I think what makes most sense is to follow the conceptual model, which has evolved since we began this discussion. We now have allocthony, burial, leaching, GPP/R (autoch) and export</w:t>
      </w:r>
    </w:p>
  </w:comment>
  <w:comment w:id="14" w:author="Ian McCullough" w:date="2017-03-24T02:16:00Z" w:initials="">
    <w:p w14:paraId="03E06F2C" w14:textId="77777777" w:rsidR="00B80037" w:rsidRDefault="00B80037">
      <w:pPr>
        <w:widowControl w:val="0"/>
        <w:spacing w:line="240" w:lineRule="auto"/>
      </w:pPr>
      <w:r>
        <w:t>is this really why? Temp, DO, chl-a data aren't that rare. Is it simply that people haven't made the connection?</w:t>
      </w:r>
    </w:p>
  </w:comment>
  <w:comment w:id="15" w:author="Ian McCullough" w:date="2017-03-30T02:43:00Z" w:initials="">
    <w:p w14:paraId="54159445" w14:textId="77777777" w:rsidR="00B80037" w:rsidRDefault="00B80037">
      <w:pPr>
        <w:widowControl w:val="0"/>
        <w:spacing w:line="240" w:lineRule="auto"/>
      </w:pPr>
      <w:r>
        <w:t>whoever wrote this: it sounds like you knew what your were doing, so it would be helpful if you added the references</w:t>
      </w:r>
    </w:p>
  </w:comment>
  <w:comment w:id="16" w:author="Ian McCullough" w:date="2017-03-29T06:32:00Z" w:initials="">
    <w:p w14:paraId="5AE5F820" w14:textId="77777777" w:rsidR="00B80037" w:rsidRDefault="00B80037">
      <w:pPr>
        <w:widowControl w:val="0"/>
        <w:spacing w:line="240" w:lineRule="auto"/>
      </w:pPr>
      <w:r>
        <w:t>I think I heard Paul make some comment that evaporation basically equaled precip and that it was small...</w:t>
      </w:r>
    </w:p>
  </w:comment>
  <w:comment w:id="21" w:author="Ian McCullough" w:date="2017-03-30T04:33:00Z" w:initials="">
    <w:p w14:paraId="436CD464" w14:textId="77777777" w:rsidR="00B80037" w:rsidRDefault="00B80037">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22" w:author="Hilary Dugan" w:date="2017-03-29T02:07:00Z" w:initials="">
    <w:p w14:paraId="411CE854" w14:textId="77777777" w:rsidR="00B80037" w:rsidRDefault="00B80037">
      <w:pPr>
        <w:widowControl w:val="0"/>
        <w:spacing w:line="240" w:lineRule="auto"/>
      </w:pPr>
      <w:r>
        <w:t>This is where we should have some values backing this up. Weekly to monthly?</w:t>
      </w:r>
    </w:p>
  </w:comment>
  <w:comment w:id="23" w:author="Ian McCullough" w:date="2017-03-29T02:07:00Z" w:initials="">
    <w:p w14:paraId="0D09BCDB" w14:textId="77777777" w:rsidR="00B80037" w:rsidRDefault="00B80037">
      <w:pPr>
        <w:widowControl w:val="0"/>
        <w:spacing w:line="240" w:lineRule="auto"/>
      </w:pPr>
      <w:r>
        <w:t>Trout: daily</w:t>
      </w:r>
    </w:p>
    <w:p w14:paraId="499EC4F8" w14:textId="77777777" w:rsidR="00B80037" w:rsidRDefault="00B80037">
      <w:pPr>
        <w:widowControl w:val="0"/>
        <w:spacing w:line="240" w:lineRule="auto"/>
      </w:pPr>
      <w:r>
        <w:t>Monona: ~bi-weekly</w:t>
      </w:r>
    </w:p>
    <w:p w14:paraId="6AF74CC3" w14:textId="77777777" w:rsidR="00B80037" w:rsidRDefault="00B80037">
      <w:pPr>
        <w:widowControl w:val="0"/>
        <w:spacing w:line="240" w:lineRule="auto"/>
      </w:pPr>
      <w:r>
        <w:t>Vanern: daily</w:t>
      </w:r>
    </w:p>
    <w:p w14:paraId="2C48B98C" w14:textId="77777777" w:rsidR="00B80037" w:rsidRDefault="00B80037">
      <w:pPr>
        <w:widowControl w:val="0"/>
        <w:spacing w:line="240" w:lineRule="auto"/>
      </w:pPr>
      <w:r>
        <w:t>Toolik: ~ weekly Jun-Aug</w:t>
      </w:r>
    </w:p>
    <w:p w14:paraId="7D02E821" w14:textId="77777777" w:rsidR="00B80037" w:rsidRDefault="00B80037">
      <w:pPr>
        <w:widowControl w:val="0"/>
        <w:spacing w:line="240" w:lineRule="auto"/>
      </w:pPr>
      <w:r>
        <w:t>Harp: ~ bi-weekly</w:t>
      </w:r>
    </w:p>
  </w:comment>
  <w:comment w:id="27" w:author="Ian McCullough" w:date="2017-03-29T02:45:00Z" w:initials="">
    <w:p w14:paraId="739023A2" w14:textId="77777777" w:rsidR="00B80037" w:rsidRDefault="00B80037">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29" w:author="Ian McCullough" w:date="2017-03-30T04:37:00Z" w:initials="">
    <w:p w14:paraId="7BB4028C" w14:textId="77777777" w:rsidR="00B80037" w:rsidRDefault="00B80037">
      <w:pPr>
        <w:widowControl w:val="0"/>
        <w:spacing w:line="240" w:lineRule="auto"/>
      </w:pPr>
      <w:r>
        <w:t>what is k? Can you define it here?</w:t>
      </w:r>
    </w:p>
  </w:comment>
  <w:comment w:id="30" w:author="Ian McCullough" w:date="2017-03-30T04:40:00Z" w:initials="">
    <w:p w14:paraId="43D2A913" w14:textId="77777777" w:rsidR="00B80037" w:rsidRDefault="00B80037">
      <w:pPr>
        <w:widowControl w:val="0"/>
        <w:spacing w:line="240" w:lineRule="auto"/>
      </w:pPr>
      <w:r>
        <w:t>Do you want to say in 1 sentence how this was weighted by DOC and DO?</w:t>
      </w:r>
    </w:p>
  </w:comment>
  <w:comment w:id="33" w:author="Ian McCullough" w:date="2017-03-30T04:44:00Z" w:initials="">
    <w:p w14:paraId="03AD0D41" w14:textId="77777777" w:rsidR="00B80037" w:rsidRDefault="00B80037">
      <w:pPr>
        <w:widowControl w:val="0"/>
        <w:spacing w:line="240" w:lineRule="auto"/>
      </w:pPr>
      <w:r>
        <w:t>want to say something here about bootstrapped parameter results to reassure people we used sensible parameter values?</w:t>
      </w:r>
    </w:p>
  </w:comment>
  <w:comment w:id="41" w:author="Ian McCullough" w:date="2017-03-30T04:57:00Z" w:initials="">
    <w:p w14:paraId="20E237CE" w14:textId="77777777" w:rsidR="00B80037" w:rsidRDefault="00B80037">
      <w:pPr>
        <w:widowControl w:val="0"/>
        <w:spacing w:line="240" w:lineRule="auto"/>
      </w:pPr>
      <w:r>
        <w:t>how this journal spells it</w:t>
      </w:r>
    </w:p>
  </w:comment>
  <w:comment w:id="43" w:author="immccull@gmail.com" w:date="2017-03-29T16:15:00Z" w:initials="i">
    <w:p w14:paraId="2B58E24A" w14:textId="6E6D49A6" w:rsidR="00E4126A" w:rsidRDefault="00E4126A">
      <w:pPr>
        <w:pStyle w:val="CommentText"/>
      </w:pPr>
      <w:r>
        <w:rPr>
          <w:rStyle w:val="CommentReference"/>
        </w:rPr>
        <w:annotationRef/>
      </w:r>
      <w:r w:rsidRPr="00E4126A">
        <w:t>1.08 cited in Resp function as Hanson personal comm. Do we have anything else?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3870DC" w15:done="0"/>
  <w15:commentEx w15:paraId="114EA248" w15:done="0"/>
  <w15:commentEx w15:paraId="10B46F76" w15:done="0"/>
  <w15:commentEx w15:paraId="7524CA65" w15:done="0"/>
  <w15:commentEx w15:paraId="1F757E4D" w15:done="0"/>
  <w15:commentEx w15:paraId="797B2251" w15:done="0"/>
  <w15:commentEx w15:paraId="03E06F2C" w15:done="0"/>
  <w15:commentEx w15:paraId="54159445" w15:done="0"/>
  <w15:commentEx w15:paraId="5AE5F820" w15:done="0"/>
  <w15:commentEx w15:paraId="436CD464" w15:done="0"/>
  <w15:commentEx w15:paraId="411CE854" w15:done="0"/>
  <w15:commentEx w15:paraId="7D02E821" w15:done="0"/>
  <w15:commentEx w15:paraId="739023A2" w15:done="0"/>
  <w15:commentEx w15:paraId="7BB4028C" w15:done="0"/>
  <w15:commentEx w15:paraId="43D2A913" w15:done="0"/>
  <w15:commentEx w15:paraId="03AD0D41" w15:done="0"/>
  <w15:commentEx w15:paraId="20E237CE" w15:done="0"/>
  <w15:commentEx w15:paraId="2B58E24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81C9C" w14:textId="77777777" w:rsidR="005A7FAB" w:rsidRDefault="005A7FAB">
      <w:pPr>
        <w:spacing w:line="240" w:lineRule="auto"/>
      </w:pPr>
      <w:r>
        <w:separator/>
      </w:r>
    </w:p>
  </w:endnote>
  <w:endnote w:type="continuationSeparator" w:id="0">
    <w:p w14:paraId="68B50B17" w14:textId="77777777" w:rsidR="005A7FAB" w:rsidRDefault="005A7F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4226F" w14:textId="77777777" w:rsidR="00B80037" w:rsidRDefault="00B800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35763" w14:textId="77777777" w:rsidR="005A7FAB" w:rsidRDefault="005A7FAB">
      <w:pPr>
        <w:spacing w:line="240" w:lineRule="auto"/>
      </w:pPr>
      <w:r>
        <w:separator/>
      </w:r>
    </w:p>
  </w:footnote>
  <w:footnote w:type="continuationSeparator" w:id="0">
    <w:p w14:paraId="0750E759" w14:textId="77777777" w:rsidR="005A7FAB" w:rsidRDefault="005A7FAB">
      <w:pPr>
        <w:spacing w:line="240" w:lineRule="auto"/>
      </w:pPr>
      <w:r>
        <w:continuationSeparator/>
      </w:r>
    </w:p>
  </w:footnote>
  <w:footnote w:id="1">
    <w:p w14:paraId="6D807150" w14:textId="77777777" w:rsidR="00B80037" w:rsidRDefault="00B80037">
      <w:pPr>
        <w:spacing w:line="240" w:lineRule="auto"/>
        <w:rPr>
          <w:sz w:val="20"/>
          <w:szCs w:val="20"/>
        </w:rPr>
      </w:pPr>
      <w:r>
        <w:rPr>
          <w:vertAlign w:val="superscript"/>
        </w:rPr>
        <w:footnoteRef/>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70364" w14:textId="01757CF6" w:rsidR="00B80037" w:rsidRDefault="00B80037">
    <w:pPr>
      <w:jc w:val="right"/>
    </w:pPr>
    <w:r>
      <w:fldChar w:fldCharType="begin"/>
    </w:r>
    <w:r>
      <w:instrText>PAGE</w:instrText>
    </w:r>
    <w:r>
      <w:fldChar w:fldCharType="separate"/>
    </w:r>
    <w:r w:rsidR="00E4126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mmccull@gmail.com">
    <w15:presenceInfo w15:providerId="Windows Live" w15:userId="78f0df2372ec28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233C2"/>
    <w:rsid w:val="000D12C7"/>
    <w:rsid w:val="000F2BC7"/>
    <w:rsid w:val="0028403D"/>
    <w:rsid w:val="0032009C"/>
    <w:rsid w:val="003D3BA1"/>
    <w:rsid w:val="00564156"/>
    <w:rsid w:val="005A7FAB"/>
    <w:rsid w:val="00664D73"/>
    <w:rsid w:val="006F4EC1"/>
    <w:rsid w:val="00801593"/>
    <w:rsid w:val="009870ED"/>
    <w:rsid w:val="00AB1693"/>
    <w:rsid w:val="00B80037"/>
    <w:rsid w:val="00B90A7A"/>
    <w:rsid w:val="00C22873"/>
    <w:rsid w:val="00C64C78"/>
    <w:rsid w:val="00C73B00"/>
    <w:rsid w:val="00CC0821"/>
    <w:rsid w:val="00E4126A"/>
    <w:rsid w:val="00E71A86"/>
    <w:rsid w:val="00FA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DF3A"/>
  <w15:docId w15:val="{F8B4FDE6-BA5B-45CE-BFF6-8C86D36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semiHidden/>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20068-B9DD-4E08-B5F4-A731AC09A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38</Pages>
  <Words>7766</Words>
  <Characters>44269</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immccull@gmail.com</cp:lastModifiedBy>
  <cp:revision>15</cp:revision>
  <dcterms:created xsi:type="dcterms:W3CDTF">2017-03-29T22:05:00Z</dcterms:created>
  <dcterms:modified xsi:type="dcterms:W3CDTF">2017-03-29T23:15:00Z</dcterms:modified>
</cp:coreProperties>
</file>