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942DE" w14:textId="125F184F" w:rsidR="00E55CDF" w:rsidRDefault="00F65D8E">
      <w:pPr>
        <w:rPr>
          <w:rFonts w:ascii="Arial" w:hAnsi="Arial" w:cs="Arial"/>
        </w:rPr>
      </w:pPr>
      <w:r>
        <w:rPr>
          <w:rFonts w:ascii="Arial" w:hAnsi="Arial" w:cs="Arial"/>
        </w:rPr>
        <w:t>Highlights</w:t>
      </w:r>
    </w:p>
    <w:p w14:paraId="6534373C" w14:textId="5ABEE47E" w:rsidR="00F65D8E" w:rsidRDefault="00F65D8E" w:rsidP="00F65D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5D8E">
        <w:rPr>
          <w:rFonts w:ascii="Arial" w:hAnsi="Arial" w:cs="Arial"/>
        </w:rPr>
        <w:t>We developed a dynamic mass balance model for organic carbon in lake ecosystems</w:t>
      </w:r>
    </w:p>
    <w:p w14:paraId="68508BF0" w14:textId="79C7974D" w:rsidR="00F65D8E" w:rsidRDefault="00F65D8E" w:rsidP="00F65D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Allochthonous loads dominated in four of five lakes</w:t>
      </w:r>
    </w:p>
    <w:p w14:paraId="7904513E" w14:textId="5639FB7B" w:rsidR="00F65D8E" w:rsidRDefault="00F65D8E" w:rsidP="00F65D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ratio of respiration to burial increased as water temperatures increased during summer</w:t>
      </w:r>
    </w:p>
    <w:p w14:paraId="1A77A4C4" w14:textId="539F57D0" w:rsidR="00F65D8E" w:rsidRDefault="00F65D8E" w:rsidP="00F65D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Organic carbon fates were mediated by carbon source (allochthonous vs. autochthonous)</w:t>
      </w:r>
    </w:p>
    <w:p w14:paraId="09717E32" w14:textId="046DB504" w:rsidR="00F65D8E" w:rsidRPr="00F65D8E" w:rsidRDefault="00F65D8E" w:rsidP="00F65D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Future research should address dissolved organic carbon concentrations in tributaries and groundwater, budgets of particulate organic carbon, and measurement of burial</w:t>
      </w:r>
      <w:bookmarkStart w:id="0" w:name="_GoBack"/>
      <w:bookmarkEnd w:id="0"/>
    </w:p>
    <w:p w14:paraId="61027EFE" w14:textId="77777777" w:rsidR="00F65D8E" w:rsidRPr="00F65D8E" w:rsidRDefault="00F65D8E">
      <w:pPr>
        <w:rPr>
          <w:rFonts w:ascii="Arial" w:hAnsi="Arial" w:cs="Arial"/>
        </w:rPr>
      </w:pPr>
    </w:p>
    <w:sectPr w:rsidR="00F65D8E" w:rsidRPr="00F65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E117D"/>
    <w:multiLevelType w:val="hybridMultilevel"/>
    <w:tmpl w:val="23E8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36"/>
    <w:rsid w:val="00265336"/>
    <w:rsid w:val="00270276"/>
    <w:rsid w:val="00E55CDF"/>
    <w:rsid w:val="00F6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5323"/>
  <w15:chartTrackingRefBased/>
  <w15:docId w15:val="{2199FCA7-D11A-41F8-BE31-4E4130F4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McCullough, Ian</dc:creator>
  <cp:keywords/>
  <dc:description/>
  <cp:lastModifiedBy>McCullough, Ian</cp:lastModifiedBy>
  <cp:revision>2</cp:revision>
  <dcterms:created xsi:type="dcterms:W3CDTF">2018-06-08T16:49:00Z</dcterms:created>
  <dcterms:modified xsi:type="dcterms:W3CDTF">2018-06-08T16:58:00Z</dcterms:modified>
</cp:coreProperties>
</file>