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Content Map</w:t>
      </w:r>
    </w:p>
    <w:p>
      <w:pPr>
        <w:spacing w:after="160"/>
      </w:pPr>
      <w:r>
        <w:rPr>
          <w:rFonts w:ascii="Arial" w:hAnsi="Arial"/>
          <w:b/>
          <w:i w:val="0"/>
          <w:color w:val="000000"/>
          <w:sz w:val="24"/>
        </w:rPr>
        <w:t>Public website and printed interview book</w:t>
      </w:r>
    </w:p>
    <w:p>
      <w:pPr>
        <w:keepLines w:val="0"/>
        <w:spacing w:after="140"/>
      </w:pPr>
      <w:r>
        <w:rPr>
          <w:rFonts w:ascii="Arial" w:hAnsi="Arial"/>
          <w:b w:val="0"/>
          <w:i w:val="0"/>
          <w:color w:val="000000"/>
          <w:sz w:val="21"/>
        </w:rPr>
        <w:t>The recovered material supports two strong final products without creating two separate research projects. A single evidence-rich master collection should feed a concise public website and a more detailed interview book. The strongest initial featured cases are B&amp;H enterprise systems, GHCM, WeightWatchers and a selected consulting workflow case. The full chronological record remains available without forcing every employer to carry an equally large case study.</w:t>
      </w:r>
    </w:p>
    <w:p>
      <w:pPr>
        <w:pStyle w:val="Heading1"/>
      </w:pPr>
      <w:r>
        <w:t>Core editorial principle</w:t>
      </w:r>
    </w:p>
    <w:p>
      <w:pPr>
        <w:keepLines w:val="0"/>
        <w:spacing w:after="100"/>
      </w:pPr>
      <w:r>
        <w:rPr>
          <w:rFonts w:ascii="Arial" w:hAnsi="Arial"/>
          <w:b w:val="0"/>
          <w:i w:val="0"/>
          <w:color w:val="000000"/>
          <w:sz w:val="20"/>
        </w:rPr>
        <w:t>The portfolio should emphasize design reasoning rather than the age or visual polish of an interface. The surviving artifacts are strongest when they show how users, roles, business rules, exceptions, permissions and operational constraints shaped the design.</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Document expansively in the master source, then edit selectively for the website and book.</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Use only supported claims and surviving evidence; do not reconstruct missing screens.</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Let chronological and discipline-based navigation point to the same underlying case material.</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Keep the public site quickly scannable; reserve deeper evidence and discussion prompts for the interview book.</w:t>
      </w:r>
    </w:p>
    <w:p>
      <w:pPr>
        <w:pStyle w:val="Heading1"/>
      </w:pPr>
      <w:r>
        <w:t>Public Website Structure</w:t>
      </w:r>
    </w:p>
    <w:p>
      <w:pPr>
        <w:keepLines w:val="0"/>
        <w:spacing w:after="120"/>
      </w:pPr>
      <w:r>
        <w:rPr>
          <w:rFonts w:ascii="Arial" w:hAnsi="Arial"/>
          <w:b w:val="0"/>
          <w:i w:val="0"/>
          <w:color w:val="000000"/>
          <w:sz w:val="20"/>
        </w:rPr>
        <w:t>The existing organization is worth preserving. The main improvement is to make the two exploration paths explicit and to replace the vague More category with a clearly labeled methods and artifacts section.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656"/>
            <w:shd w:fill="23364D"/>
            <w:tcMar>
              <w:top w:w="105" w:type="dxa"/>
              <w:start w:w="110" w:type="dxa"/>
              <w:bottom w:w="105" w:type="dxa"/>
              <w:end w:w="110" w:type="dxa"/>
            </w:tcMar>
            <w:vAlign w:val="center"/>
          </w:tcPr>
          <w:p>
            <w:pPr>
              <w:spacing w:after="0"/>
            </w:pPr>
            <w:r>
              <w:rPr>
                <w:rFonts w:ascii="Arial" w:hAnsi="Arial"/>
                <w:b/>
                <w:i w:val="0"/>
                <w:color w:val="FFFFFF"/>
                <w:sz w:val="17"/>
              </w:rPr>
              <w:t>Page</w:t>
            </w:r>
          </w:p>
        </w:tc>
        <w:tc>
          <w:tcPr>
            <w:tcW w:type="dxa" w:w="2376"/>
            <w:shd w:fill="23364D"/>
            <w:tcMar>
              <w:top w:w="105" w:type="dxa"/>
              <w:start w:w="110" w:type="dxa"/>
              <w:bottom w:w="105" w:type="dxa"/>
              <w:end w:w="110" w:type="dxa"/>
            </w:tcMar>
            <w:vAlign w:val="center"/>
          </w:tcPr>
          <w:p>
            <w:pPr>
              <w:spacing w:after="0"/>
            </w:pPr>
            <w:r>
              <w:rPr>
                <w:rFonts w:ascii="Arial" w:hAnsi="Arial"/>
                <w:b/>
                <w:i w:val="0"/>
                <w:color w:val="FFFFFF"/>
                <w:sz w:val="17"/>
              </w:rPr>
              <w:t>Purpose</w:t>
            </w:r>
          </w:p>
        </w:tc>
        <w:tc>
          <w:tcPr>
            <w:tcW w:type="dxa" w:w="5976"/>
            <w:shd w:fill="23364D"/>
            <w:tcMar>
              <w:top w:w="105" w:type="dxa"/>
              <w:start w:w="110" w:type="dxa"/>
              <w:bottom w:w="105" w:type="dxa"/>
              <w:end w:w="110" w:type="dxa"/>
            </w:tcMar>
            <w:vAlign w:val="center"/>
          </w:tcPr>
          <w:p>
            <w:pPr>
              <w:spacing w:after="0"/>
            </w:pPr>
            <w:r>
              <w:rPr>
                <w:rFonts w:ascii="Arial" w:hAnsi="Arial"/>
                <w:b/>
                <w:i w:val="0"/>
                <w:color w:val="FFFFFF"/>
                <w:sz w:val="17"/>
              </w:rPr>
              <w:t>Primary content</w:t>
            </w:r>
          </w:p>
        </w:tc>
      </w:tr>
      <w:tr>
        <w:trPr>
          <w:cantSplit/>
        </w:trPr>
        <w:tc>
          <w:tcPr>
            <w:tcW w:type="dxa" w:w="165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Home</w:t>
            </w:r>
          </w:p>
        </w:tc>
        <w:tc>
          <w:tcPr>
            <w:tcW w:type="dxa" w:w="23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Immediate positioning</w:t>
            </w:r>
          </w:p>
        </w:tc>
        <w:tc>
          <w:tcPr>
            <w:tcW w:type="dxa" w:w="59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Short introduction with two choices: Follow my career and Explore my work by type.</w:t>
            </w:r>
          </w:p>
        </w:tc>
      </w:tr>
      <w:tr>
        <w:trPr>
          <w:cantSplit/>
        </w:trPr>
        <w:tc>
          <w:tcPr>
            <w:tcW w:type="dxa" w:w="165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Who Am I</w:t>
            </w:r>
          </w:p>
        </w:tc>
        <w:tc>
          <w:tcPr>
            <w:tcW w:type="dxa" w:w="23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Explain the professional identity</w:t>
            </w:r>
          </w:p>
        </w:tc>
        <w:tc>
          <w:tcPr>
            <w:tcW w:type="dxa" w:w="59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UX-to-CX progression, enterprise systems focus, technical and business background, resume and contact links.</w:t>
            </w:r>
          </w:p>
        </w:tc>
      </w:tr>
      <w:tr>
        <w:trPr>
          <w:cantSplit/>
        </w:trPr>
        <w:tc>
          <w:tcPr>
            <w:tcW w:type="dxa" w:w="165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Career Timeline</w:t>
            </w:r>
          </w:p>
        </w:tc>
        <w:tc>
          <w:tcPr>
            <w:tcW w:type="dxa" w:w="23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Show the work chronologically</w:t>
            </w:r>
          </w:p>
        </w:tc>
        <w:tc>
          <w:tcPr>
            <w:tcW w:type="dxa" w:w="59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Brooklyn College through B&amp;H, with concise role summaries and links into relevant case studies.</w:t>
            </w:r>
          </w:p>
        </w:tc>
      </w:tr>
      <w:tr>
        <w:trPr>
          <w:cantSplit/>
        </w:trPr>
        <w:tc>
          <w:tcPr>
            <w:tcW w:type="dxa" w:w="165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Work by Type</w:t>
            </w:r>
          </w:p>
        </w:tc>
        <w:tc>
          <w:tcPr>
            <w:tcW w:type="dxa" w:w="23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Let visitors enter by need</w:t>
            </w:r>
          </w:p>
        </w:tc>
        <w:tc>
          <w:tcPr>
            <w:tcW w:type="dxa" w:w="59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Enterprise UX and IA; CX and customer insights; business analysis and technical delivery; project leadership; methods and artifacts.</w:t>
            </w:r>
          </w:p>
        </w:tc>
      </w:tr>
      <w:tr>
        <w:trPr>
          <w:cantSplit/>
        </w:trPr>
        <w:tc>
          <w:tcPr>
            <w:tcW w:type="dxa" w:w="165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Case Studies</w:t>
            </w:r>
          </w:p>
        </w:tc>
        <w:tc>
          <w:tcPr>
            <w:tcW w:type="dxa" w:w="23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Demonstrate judgment with evidence</w:t>
            </w:r>
          </w:p>
        </w:tc>
        <w:tc>
          <w:tcPr>
            <w:tcW w:type="dxa" w:w="59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A small set of substantial stories reached from both the timeline and type views.</w:t>
            </w:r>
          </w:p>
        </w:tc>
      </w:tr>
      <w:tr>
        <w:trPr>
          <w:cantSplit/>
        </w:trPr>
        <w:tc>
          <w:tcPr>
            <w:tcW w:type="dxa" w:w="165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Resume and Contact</w:t>
            </w:r>
          </w:p>
        </w:tc>
        <w:tc>
          <w:tcPr>
            <w:tcW w:type="dxa" w:w="23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Support the hiring action</w:t>
            </w:r>
          </w:p>
        </w:tc>
        <w:tc>
          <w:tcPr>
            <w:tcW w:type="dxa" w:w="59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Current UX/CX resume, email and a print-friendly resume link.</w:t>
            </w:r>
          </w:p>
        </w:tc>
      </w:tr>
    </w:tbl>
    <w:p>
      <w:pPr>
        <w:spacing w:after="20"/>
      </w:pPr>
    </w:p>
    <w:p>
      <w:pPr>
        <w:pStyle w:val="Heading1"/>
      </w:pPr>
      <w:r>
        <w:t>Recommended Featured Cases</w:t>
      </w:r>
    </w:p>
    <w:p>
      <w:pPr>
        <w:pStyle w:val="Heading2"/>
      </w:pPr>
      <w:r>
        <w:t>B&amp;H Enterprise Systems</w:t>
      </w:r>
    </w:p>
    <w:p>
      <w:pPr>
        <w:keepLines w:val="0"/>
        <w:spacing w:after="60"/>
      </w:pPr>
      <w:r>
        <w:rPr>
          <w:rFonts w:ascii="Arial" w:hAnsi="Arial"/>
          <w:b/>
          <w:i w:val="0"/>
          <w:color w:val="000000"/>
          <w:sz w:val="19"/>
        </w:rPr>
        <w:t xml:space="preserve">Recommendation: </w:t>
      </w:r>
      <w:r>
        <w:rPr>
          <w:rFonts w:ascii="Arial" w:hAnsi="Arial"/>
          <w:b w:val="0"/>
          <w:i w:val="0"/>
          <w:color w:val="000000"/>
          <w:sz w:val="19"/>
        </w:rPr>
        <w:t>Featured case for both products.</w:t>
      </w:r>
    </w:p>
    <w:p>
      <w:pPr>
        <w:keepLines w:val="0"/>
        <w:spacing w:after="60"/>
      </w:pPr>
      <w:r>
        <w:rPr>
          <w:rFonts w:ascii="Arial" w:hAnsi="Arial"/>
          <w:b/>
          <w:i w:val="0"/>
          <w:color w:val="000000"/>
          <w:sz w:val="19"/>
        </w:rPr>
        <w:t xml:space="preserve">Why it is strong: </w:t>
      </w:r>
      <w:r>
        <w:rPr>
          <w:rFonts w:ascii="Arial" w:hAnsi="Arial"/>
          <w:b w:val="0"/>
          <w:i w:val="0"/>
          <w:color w:val="000000"/>
          <w:sz w:val="19"/>
        </w:rPr>
        <w:t>The material covers several genuinely complex employee systems: IBM Sterling OMS, Salesforce customer and order views, price comparison, information reorganization, buyer workflows, dashboards and discrepancy review. The work shows the recurring challenge of moving from dense expert systems to modern interfaces without discarding speed or information.</w:t>
      </w:r>
    </w:p>
    <w:p>
      <w:pPr>
        <w:keepLines w:val="0"/>
        <w:spacing w:after="60"/>
      </w:pPr>
      <w:r>
        <w:rPr>
          <w:rFonts w:ascii="Arial" w:hAnsi="Arial"/>
          <w:b/>
          <w:i w:val="0"/>
          <w:color w:val="000000"/>
          <w:sz w:val="19"/>
        </w:rPr>
        <w:t xml:space="preserve">Website: </w:t>
      </w:r>
      <w:r>
        <w:rPr>
          <w:rFonts w:ascii="Arial" w:hAnsi="Arial"/>
          <w:b w:val="0"/>
          <w:i w:val="0"/>
          <w:color w:val="000000"/>
          <w:sz w:val="19"/>
        </w:rPr>
        <w:t>One consolidated case built around designing for expert employees, role-based information and progressive disclosure. Use a carefully selected subset of the existing screens rather than presenting every project.</w:t>
      </w:r>
    </w:p>
    <w:p>
      <w:pPr>
        <w:keepLines w:val="0"/>
        <w:spacing w:after="60"/>
      </w:pPr>
      <w:r>
        <w:rPr>
          <w:rFonts w:ascii="Arial" w:hAnsi="Arial"/>
          <w:b/>
          <w:i w:val="0"/>
          <w:color w:val="000000"/>
          <w:sz w:val="19"/>
        </w:rPr>
        <w:t xml:space="preserve">Interview book: </w:t>
      </w:r>
      <w:r>
        <w:rPr>
          <w:rFonts w:ascii="Arial" w:hAnsi="Arial"/>
          <w:b w:val="0"/>
          <w:i w:val="0"/>
          <w:color w:val="000000"/>
          <w:sz w:val="19"/>
        </w:rPr>
        <w:t>A longer section with separate spreads for OMS and Salesforce, information cleanup, buyer workflows and analytical or exception-handling interfaces.</w:t>
      </w:r>
    </w:p>
    <w:p>
      <w:pPr>
        <w:keepLines w:val="0"/>
        <w:spacing w:after="100"/>
      </w:pPr>
      <w:r>
        <w:rPr>
          <w:rFonts w:ascii="Arial" w:hAnsi="Arial"/>
          <w:b/>
          <w:i w:val="0"/>
          <w:color w:val="000000"/>
          <w:sz w:val="19"/>
        </w:rPr>
        <w:t xml:space="preserve">Evidence note: </w:t>
      </w:r>
      <w:r>
        <w:rPr>
          <w:rFonts w:ascii="Arial" w:hAnsi="Arial"/>
          <w:b w:val="0"/>
          <w:i w:val="0"/>
          <w:color w:val="000000"/>
          <w:sz w:val="19"/>
        </w:rPr>
        <w:t>Existing public material supports the case. Some screenshots are small and will need larger crops from the best available sources.</w:t>
      </w:r>
    </w:p>
    <w:p>
      <w:pPr>
        <w:pStyle w:val="Heading2"/>
      </w:pPr>
      <w:r>
        <w:t>GHCM Retail Operating Systems</w:t>
      </w:r>
    </w:p>
    <w:p>
      <w:pPr>
        <w:keepLines w:val="0"/>
        <w:spacing w:after="60"/>
      </w:pPr>
      <w:r>
        <w:rPr>
          <w:rFonts w:ascii="Arial" w:hAnsi="Arial"/>
          <w:b/>
          <w:i w:val="0"/>
          <w:color w:val="000000"/>
          <w:sz w:val="19"/>
        </w:rPr>
        <w:t xml:space="preserve">Recommendation: </w:t>
      </w:r>
      <w:r>
        <w:rPr>
          <w:rFonts w:ascii="Arial" w:hAnsi="Arial"/>
          <w:b w:val="0"/>
          <w:i w:val="0"/>
          <w:color w:val="000000"/>
          <w:sz w:val="19"/>
        </w:rPr>
        <w:t>Featured case and the clearest bridge between UX, business ownership and later CX work.</w:t>
      </w:r>
    </w:p>
    <w:p>
      <w:pPr>
        <w:keepLines w:val="0"/>
        <w:spacing w:after="60"/>
      </w:pPr>
      <w:r>
        <w:rPr>
          <w:rFonts w:ascii="Arial" w:hAnsi="Arial"/>
          <w:b/>
          <w:i w:val="0"/>
          <w:color w:val="000000"/>
          <w:sz w:val="19"/>
        </w:rPr>
        <w:t xml:space="preserve">Why it is strong: </w:t>
      </w:r>
      <w:r>
        <w:rPr>
          <w:rFonts w:ascii="Arial" w:hAnsi="Arial"/>
          <w:b w:val="0"/>
          <w:i w:val="0"/>
          <w:color w:val="000000"/>
          <w:sz w:val="19"/>
        </w:rPr>
        <w:t>The case combines direct operational authority with role-based financial reporting, expert-versus-guided inventory workflows and customer segmentation. It demonstrates that the public websites were not the important work; the internal operating systems were.</w:t>
      </w:r>
    </w:p>
    <w:p>
      <w:pPr>
        <w:keepLines w:val="0"/>
        <w:spacing w:after="60"/>
      </w:pPr>
      <w:r>
        <w:rPr>
          <w:rFonts w:ascii="Arial" w:hAnsi="Arial"/>
          <w:b/>
          <w:i w:val="0"/>
          <w:color w:val="000000"/>
          <w:sz w:val="19"/>
        </w:rPr>
        <w:t xml:space="preserve">Website: </w:t>
      </w:r>
      <w:r>
        <w:rPr>
          <w:rFonts w:ascii="Arial" w:hAnsi="Arial"/>
          <w:b w:val="0"/>
          <w:i w:val="0"/>
          <w:color w:val="000000"/>
          <w:sz w:val="19"/>
        </w:rPr>
        <w:t>A concise case using three to five analytical points: shared financial data for different roles, progressive drill-down, history and permissions, differentiated inventory interfaces, and customer behavior informing communication.</w:t>
      </w:r>
    </w:p>
    <w:p>
      <w:pPr>
        <w:keepLines w:val="0"/>
        <w:spacing w:after="60"/>
      </w:pPr>
      <w:r>
        <w:rPr>
          <w:rFonts w:ascii="Arial" w:hAnsi="Arial"/>
          <w:b/>
          <w:i w:val="0"/>
          <w:color w:val="000000"/>
          <w:sz w:val="19"/>
        </w:rPr>
        <w:t xml:space="preserve">Interview book: </w:t>
      </w:r>
      <w:r>
        <w:rPr>
          <w:rFonts w:ascii="Arial" w:hAnsi="Arial"/>
          <w:b w:val="0"/>
          <w:i w:val="0"/>
          <w:color w:val="000000"/>
          <w:sz w:val="19"/>
        </w:rPr>
        <w:t>A fuller visual narrative with enlarged crops and more explanation of the decisions. The book can retain the income-and-expense sequence and use the inventory-interface principle as a discussion point.</w:t>
      </w:r>
    </w:p>
    <w:p>
      <w:pPr>
        <w:keepLines w:val="0"/>
        <w:spacing w:after="100"/>
      </w:pPr>
      <w:r>
        <w:rPr>
          <w:rFonts w:ascii="Arial" w:hAnsi="Arial"/>
          <w:b/>
          <w:i w:val="0"/>
          <w:color w:val="000000"/>
          <w:sz w:val="19"/>
        </w:rPr>
        <w:t xml:space="preserve">Evidence note: </w:t>
      </w:r>
      <w:r>
        <w:rPr>
          <w:rFonts w:ascii="Arial" w:hAnsi="Arial"/>
          <w:b w:val="0"/>
          <w:i w:val="0"/>
          <w:color w:val="000000"/>
          <w:sz w:val="19"/>
        </w:rPr>
        <w:t>The expert and guided inventory screens have not been recovered. The distinction is supported by surviving text but should not be illustrated with reconstructed screens.</w:t>
      </w:r>
    </w:p>
    <w:p>
      <w:pPr>
        <w:pStyle w:val="Heading2"/>
      </w:pPr>
      <w:r>
        <w:t>WeightWatchers Requirements Become Behavior</w:t>
      </w:r>
    </w:p>
    <w:p>
      <w:pPr>
        <w:keepLines w:val="0"/>
        <w:spacing w:after="60"/>
      </w:pPr>
      <w:r>
        <w:rPr>
          <w:rFonts w:ascii="Arial" w:hAnsi="Arial"/>
          <w:b/>
          <w:i w:val="0"/>
          <w:color w:val="000000"/>
          <w:sz w:val="19"/>
        </w:rPr>
        <w:t xml:space="preserve">Recommendation: </w:t>
      </w:r>
      <w:r>
        <w:rPr>
          <w:rFonts w:ascii="Arial" w:hAnsi="Arial"/>
          <w:b w:val="0"/>
          <w:i w:val="0"/>
          <w:color w:val="000000"/>
          <w:sz w:val="19"/>
        </w:rPr>
        <w:t>Featured case for both products despite the age of the original interface.</w:t>
      </w:r>
    </w:p>
    <w:p>
      <w:pPr>
        <w:keepLines w:val="0"/>
        <w:spacing w:after="60"/>
      </w:pPr>
      <w:r>
        <w:rPr>
          <w:rFonts w:ascii="Arial" w:hAnsi="Arial"/>
          <w:b/>
          <w:i w:val="0"/>
          <w:color w:val="000000"/>
          <w:sz w:val="19"/>
        </w:rPr>
        <w:t xml:space="preserve">Why it is strong: </w:t>
      </w:r>
      <w:r>
        <w:rPr>
          <w:rFonts w:ascii="Arial" w:hAnsi="Arial"/>
          <w:b w:val="0"/>
          <w:i w:val="0"/>
          <w:color w:val="000000"/>
          <w:sz w:val="19"/>
        </w:rPr>
        <w:t>The recovered use cases and functional flows are unusually good evidence of product thinking. They show state, downstream consequences, exception handling, administrative requirements, validation and branching logic rather than merely a set of wireframes.</w:t>
      </w:r>
    </w:p>
    <w:p>
      <w:pPr>
        <w:keepLines w:val="0"/>
        <w:spacing w:after="60"/>
      </w:pPr>
      <w:r>
        <w:rPr>
          <w:rFonts w:ascii="Arial" w:hAnsi="Arial"/>
          <w:b/>
          <w:i w:val="0"/>
          <w:color w:val="000000"/>
          <w:sz w:val="19"/>
        </w:rPr>
        <w:t xml:space="preserve">Website: </w:t>
      </w:r>
      <w:r>
        <w:rPr>
          <w:rFonts w:ascii="Arial" w:hAnsi="Arial"/>
          <w:b w:val="0"/>
          <w:i w:val="0"/>
          <w:color w:val="000000"/>
          <w:sz w:val="19"/>
        </w:rPr>
        <w:t>A compact case explaining how menu planning connects to the journal, shopping and real-world behavior, followed by one strong functional-flow example.</w:t>
      </w:r>
    </w:p>
    <w:p>
      <w:pPr>
        <w:keepLines w:val="0"/>
        <w:spacing w:after="60"/>
      </w:pPr>
      <w:r>
        <w:rPr>
          <w:rFonts w:ascii="Arial" w:hAnsi="Arial"/>
          <w:b/>
          <w:i w:val="0"/>
          <w:color w:val="000000"/>
          <w:sz w:val="19"/>
        </w:rPr>
        <w:t xml:space="preserve">Interview book: </w:t>
      </w:r>
      <w:r>
        <w:rPr>
          <w:rFonts w:ascii="Arial" w:hAnsi="Arial"/>
          <w:b w:val="0"/>
          <w:i w:val="0"/>
          <w:color w:val="000000"/>
          <w:sz w:val="19"/>
        </w:rPr>
        <w:t>A four-part evidence section: behavioral specification, downstream shopping behavior, errors and administration, and functional logic. Large crops will make the documents readable.</w:t>
      </w:r>
    </w:p>
    <w:p>
      <w:pPr>
        <w:keepLines w:val="0"/>
        <w:spacing w:after="100"/>
      </w:pPr>
      <w:r>
        <w:rPr>
          <w:rFonts w:ascii="Arial" w:hAnsi="Arial"/>
          <w:b/>
          <w:i w:val="0"/>
          <w:color w:val="000000"/>
          <w:sz w:val="19"/>
        </w:rPr>
        <w:t xml:space="preserve">Evidence note: </w:t>
      </w:r>
      <w:r>
        <w:rPr>
          <w:rFonts w:ascii="Arial" w:hAnsi="Arial"/>
          <w:b w:val="0"/>
          <w:i w:val="0"/>
          <w:color w:val="000000"/>
          <w:sz w:val="19"/>
        </w:rPr>
        <w:t>The artifacts are visually plain and text-heavy; presentation must focus attention on selected passages and diagrams rather than reproducing whole pages at unreadable size.</w:t>
      </w:r>
    </w:p>
    <w:p>
      <w:pPr>
        <w:pStyle w:val="Heading2"/>
      </w:pPr>
      <w:r>
        <w:t>Selected Consulting Workflow Case</w:t>
      </w:r>
    </w:p>
    <w:p>
      <w:pPr>
        <w:keepLines w:val="0"/>
        <w:spacing w:after="60"/>
      </w:pPr>
      <w:r>
        <w:rPr>
          <w:rFonts w:ascii="Arial" w:hAnsi="Arial"/>
          <w:b/>
          <w:i w:val="0"/>
          <w:color w:val="000000"/>
          <w:sz w:val="19"/>
        </w:rPr>
        <w:t xml:space="preserve">Recommendation: </w:t>
      </w:r>
      <w:r>
        <w:rPr>
          <w:rFonts w:ascii="Arial" w:hAnsi="Arial"/>
          <w:b w:val="0"/>
          <w:i w:val="0"/>
          <w:color w:val="000000"/>
          <w:sz w:val="19"/>
        </w:rPr>
        <w:t>Develop one primary consulting case after a focused comparison of Mt. Sinai, Verizon and Fluent Medical.</w:t>
      </w:r>
    </w:p>
    <w:p>
      <w:pPr>
        <w:keepLines w:val="0"/>
        <w:spacing w:after="60"/>
      </w:pPr>
      <w:r>
        <w:rPr>
          <w:rFonts w:ascii="Arial" w:hAnsi="Arial"/>
          <w:b/>
          <w:i w:val="0"/>
          <w:color w:val="000000"/>
          <w:sz w:val="19"/>
        </w:rPr>
        <w:t xml:space="preserve">Why it is strong: </w:t>
      </w:r>
      <w:r>
        <w:rPr>
          <w:rFonts w:ascii="Arial" w:hAnsi="Arial"/>
          <w:b w:val="0"/>
          <w:i w:val="0"/>
          <w:color w:val="000000"/>
          <w:sz w:val="19"/>
        </w:rPr>
        <w:t>All three have evidence of multi-role or workflow design. Mt. Sinai has especially clear documentation of actors, delayed manual processes, expert-user data problems, review loops and routing exceptions. Verizon has whiteboards, flows and time-entry wireframes. Fluent Medical has a large visual record of patient, census, search and navigation work.</w:t>
      </w:r>
    </w:p>
    <w:p>
      <w:pPr>
        <w:keepLines w:val="0"/>
        <w:spacing w:after="60"/>
      </w:pPr>
      <w:r>
        <w:rPr>
          <w:rFonts w:ascii="Arial" w:hAnsi="Arial"/>
          <w:b/>
          <w:i w:val="0"/>
          <w:color w:val="000000"/>
          <w:sz w:val="19"/>
        </w:rPr>
        <w:t xml:space="preserve">Website: </w:t>
      </w:r>
      <w:r>
        <w:rPr>
          <w:rFonts w:ascii="Arial" w:hAnsi="Arial"/>
          <w:b w:val="0"/>
          <w:i w:val="0"/>
          <w:color w:val="000000"/>
          <w:sz w:val="19"/>
        </w:rPr>
        <w:t>Choose one case with the cleanest combination of role clarity, surviving visuals and an understandable problem. Other consulting work can appear in a smaller gallery.</w:t>
      </w:r>
    </w:p>
    <w:p>
      <w:pPr>
        <w:keepLines w:val="0"/>
        <w:spacing w:after="60"/>
      </w:pPr>
      <w:r>
        <w:rPr>
          <w:rFonts w:ascii="Arial" w:hAnsi="Arial"/>
          <w:b/>
          <w:i w:val="0"/>
          <w:color w:val="000000"/>
          <w:sz w:val="19"/>
        </w:rPr>
        <w:t xml:space="preserve">Interview book: </w:t>
      </w:r>
      <w:r>
        <w:rPr>
          <w:rFonts w:ascii="Arial" w:hAnsi="Arial"/>
          <w:b w:val="0"/>
          <w:i w:val="0"/>
          <w:color w:val="000000"/>
          <w:sz w:val="19"/>
        </w:rPr>
        <w:t>Use the primary case in depth and add a brief selected-consulting section for secondary examples such as H4B, AMEX, Sanofi, LouSyl or time tracking.</w:t>
      </w:r>
    </w:p>
    <w:p>
      <w:pPr>
        <w:keepLines w:val="0"/>
        <w:spacing w:after="100"/>
      </w:pPr>
      <w:r>
        <w:rPr>
          <w:rFonts w:ascii="Arial" w:hAnsi="Arial"/>
          <w:b/>
          <w:i w:val="0"/>
          <w:color w:val="000000"/>
          <w:sz w:val="19"/>
        </w:rPr>
        <w:t xml:space="preserve">Evidence note: </w:t>
      </w:r>
      <w:r>
        <w:rPr>
          <w:rFonts w:ascii="Arial" w:hAnsi="Arial"/>
          <w:b w:val="0"/>
          <w:i w:val="0"/>
          <w:color w:val="000000"/>
          <w:sz w:val="19"/>
        </w:rPr>
        <w:t>Role boundaries and public-use status must be verified before material from the raw archive is promoted beyond the items already shown publicly.</w:t>
      </w:r>
    </w:p>
    <w:p>
      <w:pPr>
        <w:pStyle w:val="Heading2"/>
      </w:pPr>
      <w:r>
        <w:t>Current CX and Medallia Work</w:t>
      </w:r>
    </w:p>
    <w:p>
      <w:pPr>
        <w:keepLines w:val="0"/>
        <w:spacing w:after="100"/>
      </w:pPr>
      <w:r>
        <w:rPr>
          <w:rFonts w:ascii="Arial" w:hAnsi="Arial"/>
          <w:b w:val="0"/>
          <w:i w:val="0"/>
          <w:color w:val="000000"/>
          <w:sz w:val="19"/>
        </w:rPr>
        <w:t>The B&amp;H CX and Medallia progression belongs prominently in Who Am I, the timeline and Work by Type. It establishes the current specialization through survey architecture, dashboards, text-analytics validation, customer-data integration and the move from customer feedback to operational diagnosis. It should initially be a strong capability page rather than a heavily visual case study because the recovered public portfolio contains little display-ready evidence from this work. A fuller case can be added later if suitable public-safe diagrams or examples are developed and verified.</w:t>
      </w:r>
    </w:p>
    <w:p>
      <w:pPr>
        <w:pStyle w:val="Heading1"/>
      </w:pPr>
      <w:r>
        <w:t>Project Inventory and Treatment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232"/>
            <w:shd w:fill="23364D"/>
            <w:tcMar>
              <w:top w:w="105" w:type="dxa"/>
              <w:start w:w="110" w:type="dxa"/>
              <w:bottom w:w="105" w:type="dxa"/>
              <w:end w:w="110" w:type="dxa"/>
            </w:tcMar>
            <w:vAlign w:val="center"/>
          </w:tcPr>
          <w:p>
            <w:pPr>
              <w:spacing w:after="0"/>
            </w:pPr>
            <w:r>
              <w:rPr>
                <w:rFonts w:ascii="Arial" w:hAnsi="Arial"/>
                <w:b/>
                <w:i w:val="0"/>
                <w:color w:val="FFFFFF"/>
                <w:sz w:val="16"/>
              </w:rPr>
              <w:t>Project or group</w:t>
            </w:r>
          </w:p>
        </w:tc>
        <w:tc>
          <w:tcPr>
            <w:tcW w:type="dxa" w:w="3528"/>
            <w:shd w:fill="23364D"/>
            <w:tcMar>
              <w:top w:w="105" w:type="dxa"/>
              <w:start w:w="110" w:type="dxa"/>
              <w:bottom w:w="105" w:type="dxa"/>
              <w:end w:w="110" w:type="dxa"/>
            </w:tcMar>
            <w:vAlign w:val="center"/>
          </w:tcPr>
          <w:p>
            <w:pPr>
              <w:spacing w:after="0"/>
            </w:pPr>
            <w:r>
              <w:rPr>
                <w:rFonts w:ascii="Arial" w:hAnsi="Arial"/>
                <w:b/>
                <w:i w:val="0"/>
                <w:color w:val="FFFFFF"/>
                <w:sz w:val="16"/>
              </w:rPr>
              <w:t>Evidence</w:t>
            </w:r>
          </w:p>
        </w:tc>
        <w:tc>
          <w:tcPr>
            <w:tcW w:type="dxa" w:w="4464"/>
            <w:shd w:fill="23364D"/>
            <w:tcMar>
              <w:top w:w="105" w:type="dxa"/>
              <w:start w:w="110" w:type="dxa"/>
              <w:bottom w:w="105" w:type="dxa"/>
              <w:end w:w="110" w:type="dxa"/>
            </w:tcMar>
            <w:vAlign w:val="center"/>
          </w:tcPr>
          <w:p>
            <w:pPr>
              <w:spacing w:after="0"/>
            </w:pPr>
            <w:r>
              <w:rPr>
                <w:rFonts w:ascii="Arial" w:hAnsi="Arial"/>
                <w:b/>
                <w:i w:val="0"/>
                <w:color w:val="FFFFFF"/>
                <w:sz w:val="16"/>
              </w:rPr>
              <w:t>Recommended treatment</w:t>
            </w:r>
          </w:p>
        </w:tc>
      </w:tr>
      <w:tr>
        <w:trPr>
          <w:cantSplit/>
        </w:trPr>
        <w:tc>
          <w:tcPr>
            <w:tcW w:type="dxa" w:w="2232"/>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B&amp;H enterprise UX</w:t>
            </w:r>
          </w:p>
        </w:tc>
        <w:tc>
          <w:tcPr>
            <w:tcW w:type="dxa" w:w="3528"/>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Strong narrative and multiple public screenshots</w:t>
            </w:r>
          </w:p>
        </w:tc>
        <w:tc>
          <w:tcPr>
            <w:tcW w:type="dxa" w:w="4464"/>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Featured website case and major book section</w:t>
            </w:r>
          </w:p>
        </w:tc>
      </w:tr>
      <w:tr>
        <w:trPr>
          <w:cantSplit/>
        </w:trPr>
        <w:tc>
          <w:tcPr>
            <w:tcW w:type="dxa" w:w="2232"/>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B&amp;H CX and Medallia</w:t>
            </w:r>
          </w:p>
        </w:tc>
        <w:tc>
          <w:tcPr>
            <w:tcW w:type="dxa" w:w="3528"/>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Strong factual narrative; limited public visuals</w:t>
            </w:r>
          </w:p>
        </w:tc>
        <w:tc>
          <w:tcPr>
            <w:tcW w:type="dxa" w:w="4464"/>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Prominent capability page; later case-study candidate</w:t>
            </w:r>
          </w:p>
        </w:tc>
      </w:tr>
      <w:tr>
        <w:trPr>
          <w:cantSplit/>
        </w:trPr>
        <w:tc>
          <w:tcPr>
            <w:tcW w:type="dxa" w:w="2232"/>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GHCM</w:t>
            </w:r>
          </w:p>
        </w:tc>
        <w:tc>
          <w:tcPr>
            <w:tcW w:type="dxa" w:w="3528"/>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Strong narrative with annotated interface crops</w:t>
            </w:r>
          </w:p>
        </w:tc>
        <w:tc>
          <w:tcPr>
            <w:tcW w:type="dxa" w:w="4464"/>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Featured website case and major book section</w:t>
            </w:r>
          </w:p>
        </w:tc>
      </w:tr>
      <w:tr>
        <w:trPr>
          <w:cantSplit/>
        </w:trPr>
        <w:tc>
          <w:tcPr>
            <w:tcW w:type="dxa" w:w="2232"/>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WeightWatchers</w:t>
            </w:r>
          </w:p>
        </w:tc>
        <w:tc>
          <w:tcPr>
            <w:tcW w:type="dxa" w:w="3528"/>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Excellent use cases and functional flows</w:t>
            </w:r>
          </w:p>
        </w:tc>
        <w:tc>
          <w:tcPr>
            <w:tcW w:type="dxa" w:w="4464"/>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Featured evidence-led case in both products</w:t>
            </w:r>
          </w:p>
        </w:tc>
      </w:tr>
      <w:tr>
        <w:trPr>
          <w:cantSplit/>
        </w:trPr>
        <w:tc>
          <w:tcPr>
            <w:tcW w:type="dxa" w:w="2232"/>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Mt. Sinai</w:t>
            </w:r>
          </w:p>
        </w:tc>
        <w:tc>
          <w:tcPr>
            <w:tcW w:type="dxa" w:w="3528"/>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Strong role, process and exception documentation; prototypes survive</w:t>
            </w:r>
          </w:p>
        </w:tc>
        <w:tc>
          <w:tcPr>
            <w:tcW w:type="dxa" w:w="4464"/>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Leading candidate for consulting case</w:t>
            </w:r>
          </w:p>
        </w:tc>
      </w:tr>
      <w:tr>
        <w:trPr>
          <w:cantSplit/>
        </w:trPr>
        <w:tc>
          <w:tcPr>
            <w:tcW w:type="dxa" w:w="2232"/>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Verizon</w:t>
            </w:r>
          </w:p>
        </w:tc>
        <w:tc>
          <w:tcPr>
            <w:tcW w:type="dxa" w:w="3528"/>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Whiteboards, functional flows and time-entry wireframes</w:t>
            </w:r>
          </w:p>
        </w:tc>
        <w:tc>
          <w:tcPr>
            <w:tcW w:type="dxa" w:w="4464"/>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Consulting candidate or book support section</w:t>
            </w:r>
          </w:p>
        </w:tc>
      </w:tr>
      <w:tr>
        <w:trPr>
          <w:cantSplit/>
        </w:trPr>
        <w:tc>
          <w:tcPr>
            <w:tcW w:type="dxa" w:w="2232"/>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Fluent Medical</w:t>
            </w:r>
          </w:p>
        </w:tc>
        <w:tc>
          <w:tcPr>
            <w:tcW w:type="dxa" w:w="3528"/>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Large collection of patient, census, navigation and search material</w:t>
            </w:r>
          </w:p>
        </w:tc>
        <w:tc>
          <w:tcPr>
            <w:tcW w:type="dxa" w:w="4464"/>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Consulting candidate after focused visual audit</w:t>
            </w:r>
          </w:p>
        </w:tc>
      </w:tr>
      <w:tr>
        <w:trPr>
          <w:cantSplit/>
        </w:trPr>
        <w:tc>
          <w:tcPr>
            <w:tcW w:type="dxa" w:w="2232"/>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H4B</w:t>
            </w:r>
          </w:p>
        </w:tc>
        <w:tc>
          <w:tcPr>
            <w:tcW w:type="dxa" w:w="3528"/>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Wireframes, content maps, specifications and mobile or iPad material</w:t>
            </w:r>
          </w:p>
        </w:tc>
        <w:tc>
          <w:tcPr>
            <w:tcW w:type="dxa" w:w="4464"/>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Secondary gallery or book example after role review</w:t>
            </w:r>
          </w:p>
        </w:tc>
      </w:tr>
      <w:tr>
        <w:trPr>
          <w:cantSplit/>
        </w:trPr>
        <w:tc>
          <w:tcPr>
            <w:tcW w:type="dxa" w:w="2232"/>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AMEX</w:t>
            </w:r>
          </w:p>
        </w:tc>
        <w:tc>
          <w:tcPr>
            <w:tcW w:type="dxa" w:w="3528"/>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Roadmaps, site maps and functional flows</w:t>
            </w:r>
          </w:p>
        </w:tc>
        <w:tc>
          <w:tcPr>
            <w:tcW w:type="dxa" w:w="4464"/>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Methods gallery or supporting book example</w:t>
            </w:r>
          </w:p>
        </w:tc>
      </w:tr>
      <w:tr>
        <w:trPr>
          <w:cantSplit/>
        </w:trPr>
        <w:tc>
          <w:tcPr>
            <w:tcW w:type="dxa" w:w="2232"/>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Sanofi Aventis</w:t>
            </w:r>
          </w:p>
        </w:tc>
        <w:tc>
          <w:tcPr>
            <w:tcW w:type="dxa" w:w="3528"/>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Very large design and implementation archive</w:t>
            </w:r>
          </w:p>
        </w:tc>
        <w:tc>
          <w:tcPr>
            <w:tcW w:type="dxa" w:w="4464"/>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Supporting timeline entry; select only unusually strong evidence</w:t>
            </w:r>
          </w:p>
        </w:tc>
      </w:tr>
      <w:tr>
        <w:trPr>
          <w:cantSplit/>
        </w:trPr>
        <w:tc>
          <w:tcPr>
            <w:tcW w:type="dxa" w:w="2232"/>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ClubMom</w:t>
            </w:r>
          </w:p>
        </w:tc>
        <w:tc>
          <w:tcPr>
            <w:tcW w:type="dxa" w:w="3528"/>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Functional flows plus clear PM, BA and IA role narrative</w:t>
            </w:r>
          </w:p>
        </w:tc>
        <w:tc>
          <w:tcPr>
            <w:tcW w:type="dxa" w:w="4464"/>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Chronological entry; possible book sidebar</w:t>
            </w:r>
          </w:p>
        </w:tc>
      </w:tr>
      <w:tr>
        <w:trPr>
          <w:cantSplit/>
        </w:trPr>
        <w:tc>
          <w:tcPr>
            <w:tcW w:type="dxa" w:w="2232"/>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BrokerTec</w:t>
            </w:r>
          </w:p>
        </w:tc>
        <w:tc>
          <w:tcPr>
            <w:tcW w:type="dxa" w:w="3528"/>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Clear early enterprise-tool narrative; modest visual evidence</w:t>
            </w:r>
          </w:p>
        </w:tc>
        <w:tc>
          <w:tcPr>
            <w:tcW w:type="dxa" w:w="4464"/>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Chronological entry and enterprise-UX context</w:t>
            </w:r>
          </w:p>
        </w:tc>
      </w:tr>
      <w:tr>
        <w:trPr>
          <w:cantSplit/>
        </w:trPr>
        <w:tc>
          <w:tcPr>
            <w:tcW w:type="dxa" w:w="2232"/>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Brooklyn College</w:t>
            </w:r>
          </w:p>
        </w:tc>
        <w:tc>
          <w:tcPr>
            <w:tcW w:type="dxa" w:w="3528"/>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Early web, IA, teaching and project-management history</w:t>
            </w:r>
          </w:p>
        </w:tc>
        <w:tc>
          <w:tcPr>
            <w:tcW w:type="dxa" w:w="4464"/>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Chronological entry rather than full case</w:t>
            </w:r>
          </w:p>
        </w:tc>
      </w:tr>
      <w:tr>
        <w:trPr>
          <w:cantSplit/>
        </w:trPr>
        <w:tc>
          <w:tcPr>
            <w:tcW w:type="dxa" w:w="2232"/>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Other freelance projects</w:t>
            </w:r>
          </w:p>
        </w:tc>
        <w:tc>
          <w:tcPr>
            <w:tcW w:type="dxa" w:w="3528"/>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Mixed quality; several visually interesting examples</w:t>
            </w:r>
          </w:p>
        </w:tc>
        <w:tc>
          <w:tcPr>
            <w:tcW w:type="dxa" w:w="4464"/>
            <w:shd w:fill="EEF3F8"/>
            <w:tcMar>
              <w:top w:w="90" w:type="dxa"/>
              <w:start w:w="110" w:type="dxa"/>
              <w:bottom w:w="90" w:type="dxa"/>
              <w:end w:w="110" w:type="dxa"/>
            </w:tcMar>
            <w:vAlign w:val="center"/>
          </w:tcPr>
          <w:p>
            <w:pPr>
              <w:spacing w:after="0" w:line="240" w:lineRule="auto"/>
            </w:pPr>
            <w:r>
              <w:rPr>
                <w:rFonts w:ascii="Arial" w:hAnsi="Arial"/>
                <w:b w:val="0"/>
                <w:i w:val="0"/>
                <w:color w:val="000000"/>
                <w:sz w:val="16"/>
              </w:rPr>
              <w:t>Curated gallery, not a single undifferentiated case</w:t>
            </w:r>
          </w:p>
        </w:tc>
      </w:tr>
      <w:tr>
        <w:trPr>
          <w:cantSplit/>
        </w:trPr>
        <w:tc>
          <w:tcPr>
            <w:tcW w:type="dxa" w:w="2232"/>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Methods and artifacts</w:t>
            </w:r>
          </w:p>
        </w:tc>
        <w:tc>
          <w:tcPr>
            <w:tcW w:type="dxa" w:w="3528"/>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Sketches, flows, site maps, use cases, personas and prototypes</w:t>
            </w:r>
          </w:p>
        </w:tc>
        <w:tc>
          <w:tcPr>
            <w:tcW w:type="dxa" w:w="4464"/>
            <w:shd w:fill="FFFFFF"/>
            <w:tcMar>
              <w:top w:w="90" w:type="dxa"/>
              <w:start w:w="110" w:type="dxa"/>
              <w:bottom w:w="90" w:type="dxa"/>
              <w:end w:w="110" w:type="dxa"/>
            </w:tcMar>
            <w:vAlign w:val="center"/>
          </w:tcPr>
          <w:p>
            <w:pPr>
              <w:spacing w:after="0" w:line="240" w:lineRule="auto"/>
            </w:pPr>
            <w:r>
              <w:rPr>
                <w:rFonts w:ascii="Arial" w:hAnsi="Arial"/>
                <w:b w:val="0"/>
                <w:i w:val="0"/>
                <w:color w:val="000000"/>
                <w:sz w:val="16"/>
              </w:rPr>
              <w:t>Work by Type subsection and short book gallery</w:t>
            </w:r>
          </w:p>
        </w:tc>
      </w:tr>
    </w:tbl>
    <w:p>
      <w:pPr>
        <w:spacing w:after="20"/>
      </w:pPr>
    </w:p>
    <w:p>
      <w:pPr>
        <w:pStyle w:val="Heading1"/>
      </w:pPr>
      <w:r>
        <w:t>Printed Interview Book</w:t>
      </w:r>
    </w:p>
    <w:p>
      <w:pPr>
        <w:keepLines w:val="0"/>
        <w:spacing w:after="120"/>
      </w:pPr>
      <w:r>
        <w:rPr>
          <w:rFonts w:ascii="Arial" w:hAnsi="Arial"/>
          <w:b w:val="0"/>
          <w:i w:val="0"/>
          <w:color w:val="000000"/>
          <w:sz w:val="20"/>
        </w:rPr>
        <w:t>A 32-page working target provides enough depth without becoming an archive. Thirty-two pages also leaves room for full-spread diagrams and screen crops while preserving a clear interview sequence. The exact size and binding can be chosen after content is stable; a landscape format is likely to suit application screenshots and flows.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1224"/>
            <w:shd w:fill="23364D"/>
            <w:tcMar>
              <w:top w:w="105" w:type="dxa"/>
              <w:start w:w="110" w:type="dxa"/>
              <w:bottom w:w="105" w:type="dxa"/>
              <w:end w:w="110" w:type="dxa"/>
            </w:tcMar>
            <w:vAlign w:val="center"/>
          </w:tcPr>
          <w:p>
            <w:pPr>
              <w:spacing w:after="0"/>
            </w:pPr>
            <w:r>
              <w:rPr>
                <w:rFonts w:ascii="Arial" w:hAnsi="Arial"/>
                <w:b/>
                <w:i w:val="0"/>
                <w:color w:val="FFFFFF"/>
                <w:sz w:val="17"/>
              </w:rPr>
              <w:t>Pages</w:t>
            </w:r>
          </w:p>
        </w:tc>
        <w:tc>
          <w:tcPr>
            <w:tcW w:type="dxa" w:w="3096"/>
            <w:shd w:fill="23364D"/>
            <w:tcMar>
              <w:top w:w="105" w:type="dxa"/>
              <w:start w:w="110" w:type="dxa"/>
              <w:bottom w:w="105" w:type="dxa"/>
              <w:end w:w="110" w:type="dxa"/>
            </w:tcMar>
            <w:vAlign w:val="center"/>
          </w:tcPr>
          <w:p>
            <w:pPr>
              <w:spacing w:after="0"/>
            </w:pPr>
            <w:r>
              <w:rPr>
                <w:rFonts w:ascii="Arial" w:hAnsi="Arial"/>
                <w:b/>
                <w:i w:val="0"/>
                <w:color w:val="FFFFFF"/>
                <w:sz w:val="17"/>
              </w:rPr>
              <w:t>Section</w:t>
            </w:r>
          </w:p>
        </w:tc>
        <w:tc>
          <w:tcPr>
            <w:tcW w:type="dxa" w:w="5904"/>
            <w:shd w:fill="23364D"/>
            <w:tcMar>
              <w:top w:w="105" w:type="dxa"/>
              <w:start w:w="110" w:type="dxa"/>
              <w:bottom w:w="105" w:type="dxa"/>
              <w:end w:w="110" w:type="dxa"/>
            </w:tcMar>
            <w:vAlign w:val="center"/>
          </w:tcPr>
          <w:p>
            <w:pPr>
              <w:spacing w:after="0"/>
            </w:pPr>
            <w:r>
              <w:rPr>
                <w:rFonts w:ascii="Arial" w:hAnsi="Arial"/>
                <w:b/>
                <w:i w:val="0"/>
                <w:color w:val="FFFFFF"/>
                <w:sz w:val="17"/>
              </w:rPr>
              <w:t>Interview function</w:t>
            </w:r>
          </w:p>
        </w:tc>
      </w:tr>
      <w:tr>
        <w:trPr>
          <w:cantSplit/>
        </w:trPr>
        <w:tc>
          <w:tcPr>
            <w:tcW w:type="dxa" w:w="122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1-2</w:t>
            </w:r>
          </w:p>
        </w:tc>
        <w:tc>
          <w:tcPr>
            <w:tcW w:type="dxa" w:w="309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Cover and introduction</w:t>
            </w:r>
          </w:p>
        </w:tc>
        <w:tc>
          <w:tcPr>
            <w:tcW w:type="dxa" w:w="590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Name, positioning and how to use the book</w:t>
            </w:r>
          </w:p>
        </w:tc>
      </w:tr>
      <w:tr>
        <w:trPr>
          <w:cantSplit/>
        </w:trPr>
        <w:tc>
          <w:tcPr>
            <w:tcW w:type="dxa" w:w="1224"/>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3-4</w:t>
            </w:r>
          </w:p>
        </w:tc>
        <w:tc>
          <w:tcPr>
            <w:tcW w:type="dxa" w:w="309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Who I Am and career at a glance</w:t>
            </w:r>
          </w:p>
        </w:tc>
        <w:tc>
          <w:tcPr>
            <w:tcW w:type="dxa" w:w="5904"/>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Connect UX, technical work, ownership and CX</w:t>
            </w:r>
          </w:p>
        </w:tc>
      </w:tr>
      <w:tr>
        <w:trPr>
          <w:cantSplit/>
        </w:trPr>
        <w:tc>
          <w:tcPr>
            <w:tcW w:type="dxa" w:w="122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5-10</w:t>
            </w:r>
          </w:p>
        </w:tc>
        <w:tc>
          <w:tcPr>
            <w:tcW w:type="dxa" w:w="309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B&amp;H enterprise systems</w:t>
            </w:r>
          </w:p>
        </w:tc>
        <w:tc>
          <w:tcPr>
            <w:tcW w:type="dxa" w:w="590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Show modern complex-application work</w:t>
            </w:r>
          </w:p>
        </w:tc>
      </w:tr>
      <w:tr>
        <w:trPr>
          <w:cantSplit/>
        </w:trPr>
        <w:tc>
          <w:tcPr>
            <w:tcW w:type="dxa" w:w="1224"/>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11-14</w:t>
            </w:r>
          </w:p>
        </w:tc>
        <w:tc>
          <w:tcPr>
            <w:tcW w:type="dxa" w:w="309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Customer Insights and CX</w:t>
            </w:r>
          </w:p>
        </w:tc>
        <w:tc>
          <w:tcPr>
            <w:tcW w:type="dxa" w:w="5904"/>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Show the move from interface problems to customer and operational evidence</w:t>
            </w:r>
          </w:p>
        </w:tc>
      </w:tr>
      <w:tr>
        <w:trPr>
          <w:cantSplit/>
        </w:trPr>
        <w:tc>
          <w:tcPr>
            <w:tcW w:type="dxa" w:w="122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15-20</w:t>
            </w:r>
          </w:p>
        </w:tc>
        <w:tc>
          <w:tcPr>
            <w:tcW w:type="dxa" w:w="309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GHCM</w:t>
            </w:r>
          </w:p>
        </w:tc>
        <w:tc>
          <w:tcPr>
            <w:tcW w:type="dxa" w:w="590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Show role-based systems, ownership and direct business understanding</w:t>
            </w:r>
          </w:p>
        </w:tc>
      </w:tr>
      <w:tr>
        <w:trPr>
          <w:cantSplit/>
        </w:trPr>
        <w:tc>
          <w:tcPr>
            <w:tcW w:type="dxa" w:w="1224"/>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21-24</w:t>
            </w:r>
          </w:p>
        </w:tc>
        <w:tc>
          <w:tcPr>
            <w:tcW w:type="dxa" w:w="309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WeightWatchers</w:t>
            </w:r>
          </w:p>
        </w:tc>
        <w:tc>
          <w:tcPr>
            <w:tcW w:type="dxa" w:w="5904"/>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Show requirements, rules, exceptions and behavioral modeling</w:t>
            </w:r>
          </w:p>
        </w:tc>
      </w:tr>
      <w:tr>
        <w:trPr>
          <w:cantSplit/>
        </w:trPr>
        <w:tc>
          <w:tcPr>
            <w:tcW w:type="dxa" w:w="122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25-28</w:t>
            </w:r>
          </w:p>
        </w:tc>
        <w:tc>
          <w:tcPr>
            <w:tcW w:type="dxa" w:w="309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Selected consulting case</w:t>
            </w:r>
          </w:p>
        </w:tc>
        <w:tc>
          <w:tcPr>
            <w:tcW w:type="dxa" w:w="590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Show adaptability and another multi-role workflow</w:t>
            </w:r>
          </w:p>
        </w:tc>
      </w:tr>
      <w:tr>
        <w:trPr>
          <w:cantSplit/>
        </w:trPr>
        <w:tc>
          <w:tcPr>
            <w:tcW w:type="dxa" w:w="1224"/>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29-30</w:t>
            </w:r>
          </w:p>
        </w:tc>
        <w:tc>
          <w:tcPr>
            <w:tcW w:type="dxa" w:w="309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Methods and artifacts</w:t>
            </w:r>
          </w:p>
        </w:tc>
        <w:tc>
          <w:tcPr>
            <w:tcW w:type="dxa" w:w="5904"/>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Provide quick access to sketches, flows, maps, personas and prototypes</w:t>
            </w:r>
          </w:p>
        </w:tc>
      </w:tr>
      <w:tr>
        <w:trPr>
          <w:cantSplit/>
        </w:trPr>
        <w:tc>
          <w:tcPr>
            <w:tcW w:type="dxa" w:w="122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31-32</w:t>
            </w:r>
          </w:p>
        </w:tc>
        <w:tc>
          <w:tcPr>
            <w:tcW w:type="dxa" w:w="309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Career summary and closing</w:t>
            </w:r>
          </w:p>
        </w:tc>
        <w:tc>
          <w:tcPr>
            <w:tcW w:type="dxa" w:w="5904"/>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Timeline, capabilities, contact and back cover</w:t>
            </w:r>
          </w:p>
        </w:tc>
      </w:tr>
    </w:tbl>
    <w:p>
      <w:pPr>
        <w:spacing w:after="20"/>
      </w:pPr>
    </w:p>
    <w:p>
      <w:pPr>
        <w:pStyle w:val="Heading1"/>
      </w:pPr>
      <w:r>
        <w:t>Source Archive Strategy</w:t>
      </w:r>
    </w:p>
    <w:p>
      <w:pPr>
        <w:keepLines w:val="0"/>
        <w:spacing w:after="80"/>
      </w:pPr>
      <w:r>
        <w:rPr>
          <w:rFonts w:ascii="Arial" w:hAnsi="Arial"/>
          <w:b w:val="0"/>
          <w:i w:val="0"/>
          <w:color w:val="000000"/>
          <w:sz w:val="20"/>
        </w:rPr>
        <w:t>The archive contains both valuable design evidence and unrelated administrative records. Portfolio development should begin from the curated narrative packages, then return to the large client archive only to recover better visuals or confirm a claim.</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Use the newest pre-B&amp;H master and expanded GHCM package as the current narrative baselines.</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Keep older packages as evidence repositories, not competing versions of the portfolio.</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Exclude offer letters, contracts, NDAs, tax forms, timesheets, onboarding records and other administrative documents from portfolio material.</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Treat raw archive material that was not already displayed publicly as review-required until its role and suitability are clear.</w:t>
      </w:r>
    </w:p>
    <w:p>
      <w:pPr>
        <w:keepLines/>
        <w:spacing w:after="60"/>
        <w:ind w:left="317" w:hanging="202"/>
      </w:pPr>
      <w:r>
        <w:rPr>
          <w:rFonts w:ascii="Arial" w:hAnsi="Arial"/>
          <w:b w:val="0"/>
          <w:i w:val="0"/>
          <w:color w:val="000000"/>
          <w:sz w:val="19"/>
        </w:rPr>
        <w:t xml:space="preserve">• </w:t>
      </w:r>
      <w:r>
        <w:rPr>
          <w:rFonts w:ascii="Arial" w:hAnsi="Arial"/>
          <w:b w:val="0"/>
          <w:i w:val="0"/>
          <w:color w:val="000000"/>
          <w:sz w:val="19"/>
        </w:rPr>
        <w:t>Preserve variants when they reveal iteration or a design decision; remove exact duplicates from the working set.</w:t>
      </w:r>
    </w:p>
    <w:p>
      <w:pPr>
        <w:pStyle w:val="Heading1"/>
      </w:pPr>
      <w:r>
        <w:t>Next Work Sequence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936"/>
            <w:shd w:fill="23364D"/>
            <w:tcMar>
              <w:top w:w="105" w:type="dxa"/>
              <w:start w:w="110" w:type="dxa"/>
              <w:bottom w:w="105" w:type="dxa"/>
              <w:end w:w="110" w:type="dxa"/>
            </w:tcMar>
            <w:vAlign w:val="center"/>
          </w:tcPr>
          <w:p>
            <w:pPr>
              <w:spacing w:after="0"/>
            </w:pPr>
            <w:r>
              <w:rPr>
                <w:rFonts w:ascii="Arial" w:hAnsi="Arial"/>
                <w:b/>
                <w:i w:val="0"/>
                <w:color w:val="FFFFFF"/>
                <w:sz w:val="17"/>
              </w:rPr>
              <w:t>Stage</w:t>
            </w:r>
          </w:p>
        </w:tc>
        <w:tc>
          <w:tcPr>
            <w:tcW w:type="dxa" w:w="5112"/>
            <w:shd w:fill="23364D"/>
            <w:tcMar>
              <w:top w:w="105" w:type="dxa"/>
              <w:start w:w="110" w:type="dxa"/>
              <w:bottom w:w="105" w:type="dxa"/>
              <w:end w:w="110" w:type="dxa"/>
            </w:tcMar>
            <w:vAlign w:val="center"/>
          </w:tcPr>
          <w:p>
            <w:pPr>
              <w:spacing w:after="0"/>
            </w:pPr>
            <w:r>
              <w:rPr>
                <w:rFonts w:ascii="Arial" w:hAnsi="Arial"/>
                <w:b/>
                <w:i w:val="0"/>
                <w:color w:val="FFFFFF"/>
                <w:sz w:val="17"/>
              </w:rPr>
              <w:t>Output</w:t>
            </w:r>
          </w:p>
        </w:tc>
        <w:tc>
          <w:tcPr>
            <w:tcW w:type="dxa" w:w="4176"/>
            <w:shd w:fill="23364D"/>
            <w:tcMar>
              <w:top w:w="105" w:type="dxa"/>
              <w:start w:w="110" w:type="dxa"/>
              <w:bottom w:w="105" w:type="dxa"/>
              <w:end w:w="110" w:type="dxa"/>
            </w:tcMar>
            <w:vAlign w:val="center"/>
          </w:tcPr>
          <w:p>
            <w:pPr>
              <w:spacing w:after="0"/>
            </w:pPr>
            <w:r>
              <w:rPr>
                <w:rFonts w:ascii="Arial" w:hAnsi="Arial"/>
                <w:b/>
                <w:i w:val="0"/>
                <w:color w:val="FFFFFF"/>
                <w:sz w:val="17"/>
              </w:rPr>
              <w:t>User involvement</w:t>
            </w:r>
          </w:p>
        </w:tc>
      </w:tr>
      <w:tr>
        <w:trPr>
          <w:cantSplit/>
        </w:trPr>
        <w:tc>
          <w:tcPr>
            <w:tcW w:type="dxa" w:w="93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1</w:t>
            </w:r>
          </w:p>
        </w:tc>
        <w:tc>
          <w:tcPr>
            <w:tcW w:type="dxa" w:w="5112"/>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Evidence index for the four featured cases</w:t>
            </w:r>
          </w:p>
        </w:tc>
        <w:tc>
          <w:tcPr>
            <w:tcW w:type="dxa" w:w="41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None until factual questions are isolated</w:t>
            </w:r>
          </w:p>
        </w:tc>
      </w:tr>
      <w:tr>
        <w:trPr>
          <w:cantSplit/>
        </w:trPr>
        <w:tc>
          <w:tcPr>
            <w:tcW w:type="dxa" w:w="93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2</w:t>
            </w:r>
          </w:p>
        </w:tc>
        <w:tc>
          <w:tcPr>
            <w:tcW w:type="dxa" w:w="5112"/>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Concise website drafts for GHCM, B&amp;H enterprise UX and WeightWatchers</w:t>
            </w:r>
          </w:p>
        </w:tc>
        <w:tc>
          <w:tcPr>
            <w:tcW w:type="dxa" w:w="41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Correct role, emphasis and outcome language</w:t>
            </w:r>
          </w:p>
        </w:tc>
      </w:tr>
      <w:tr>
        <w:trPr>
          <w:cantSplit/>
        </w:trPr>
        <w:tc>
          <w:tcPr>
            <w:tcW w:type="dxa" w:w="93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3</w:t>
            </w:r>
          </w:p>
        </w:tc>
        <w:tc>
          <w:tcPr>
            <w:tcW w:type="dxa" w:w="5112"/>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Consulting-case comparison and selection</w:t>
            </w:r>
          </w:p>
        </w:tc>
        <w:tc>
          <w:tcPr>
            <w:tcW w:type="dxa" w:w="41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Choose among the strongest two or three candidates</w:t>
            </w:r>
          </w:p>
        </w:tc>
      </w:tr>
      <w:tr>
        <w:trPr>
          <w:cantSplit/>
        </w:trPr>
        <w:tc>
          <w:tcPr>
            <w:tcW w:type="dxa" w:w="93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4</w:t>
            </w:r>
          </w:p>
        </w:tc>
        <w:tc>
          <w:tcPr>
            <w:tcW w:type="dxa" w:w="5112"/>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Clickable website content prototype</w:t>
            </w:r>
          </w:p>
        </w:tc>
        <w:tc>
          <w:tcPr>
            <w:tcW w:type="dxa" w:w="41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Review organization and pacing before visual polish</w:t>
            </w:r>
          </w:p>
        </w:tc>
      </w:tr>
      <w:tr>
        <w:trPr>
          <w:cantSplit/>
        </w:trPr>
        <w:tc>
          <w:tcPr>
            <w:tcW w:type="dxa" w:w="93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5</w:t>
            </w:r>
          </w:p>
        </w:tc>
        <w:tc>
          <w:tcPr>
            <w:tcW w:type="dxa" w:w="5112"/>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Expanded interview-book manuscript and page plan</w:t>
            </w:r>
          </w:p>
        </w:tc>
        <w:tc>
          <w:tcPr>
            <w:tcW w:type="dxa" w:w="4176"/>
            <w:shd w:fill="FFFFFF"/>
            <w:tcMar>
              <w:top w:w="90" w:type="dxa"/>
              <w:start w:w="110" w:type="dxa"/>
              <w:bottom w:w="90" w:type="dxa"/>
              <w:end w:w="110" w:type="dxa"/>
            </w:tcMar>
            <w:vAlign w:val="center"/>
          </w:tcPr>
          <w:p>
            <w:pPr>
              <w:spacing w:after="0" w:line="240" w:lineRule="auto"/>
            </w:pPr>
            <w:r>
              <w:rPr>
                <w:rFonts w:ascii="Arial" w:hAnsi="Arial"/>
                <w:b w:val="0"/>
                <w:i w:val="0"/>
                <w:color w:val="000000"/>
                <w:sz w:val="17"/>
              </w:rPr>
              <w:t>Review discussion value and desired depth</w:t>
            </w:r>
          </w:p>
        </w:tc>
      </w:tr>
      <w:tr>
        <w:trPr>
          <w:cantSplit/>
        </w:trPr>
        <w:tc>
          <w:tcPr>
            <w:tcW w:type="dxa" w:w="93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6</w:t>
            </w:r>
          </w:p>
        </w:tc>
        <w:tc>
          <w:tcPr>
            <w:tcW w:type="dxa" w:w="5112"/>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Final website and print-ready book</w:t>
            </w:r>
          </w:p>
        </w:tc>
        <w:tc>
          <w:tcPr>
            <w:tcW w:type="dxa" w:w="4176"/>
            <w:shd w:fill="EEF3F8"/>
            <w:tcMar>
              <w:top w:w="90" w:type="dxa"/>
              <w:start w:w="110" w:type="dxa"/>
              <w:bottom w:w="90" w:type="dxa"/>
              <w:end w:w="110" w:type="dxa"/>
            </w:tcMar>
            <w:vAlign w:val="center"/>
          </w:tcPr>
          <w:p>
            <w:pPr>
              <w:spacing w:after="0" w:line="240" w:lineRule="auto"/>
            </w:pPr>
            <w:r>
              <w:rPr>
                <w:rFonts w:ascii="Arial" w:hAnsi="Arial"/>
                <w:b w:val="0"/>
                <w:i w:val="0"/>
                <w:color w:val="000000"/>
                <w:sz w:val="17"/>
              </w:rPr>
              <w:t>Approve public content and final physical format</w:t>
            </w:r>
          </w:p>
        </w:tc>
      </w:tr>
    </w:tbl>
    <w:p>
      <w:pPr>
        <w:spacing w:after="20"/>
      </w:pPr>
    </w:p>
    <w:p>
      <w:pPr>
        <w:pStyle w:val="Heading1"/>
      </w:pPr>
      <w:r>
        <w:t>Decisions That Can Wait</w:t>
      </w:r>
    </w:p>
    <w:p>
      <w:pPr>
        <w:keepLines w:val="0"/>
        <w:spacing w:after="40"/>
      </w:pPr>
      <w:r>
        <w:rPr>
          <w:rFonts w:ascii="Arial" w:hAnsi="Arial"/>
          <w:b w:val="0"/>
          <w:i w:val="0"/>
          <w:color w:val="000000"/>
          <w:sz w:val="20"/>
        </w:rPr>
        <w:t>The final visual style, book format, secondary employer pages and a future Medallia case can wait. The immediate task is to prove the strongest cases with the recovered evidence.</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i w:val="0"/>
        <w:color w:val="555555"/>
        <w:sz w:val="16"/>
      </w:rPr>
      <w:t xml:space="preserve">Gilbert Midonnet | Portfolio Content Map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Gilbert Midonnet Portfolio Content Map</dc:title>
  <dc:subject>Content strategy for a public portfolio website and printed interview book</dc:subject>
  <dc:creator>Gilbert Louis Midonnet</dc:creator>
  <cp:keywords>portfolio, UX, CX, case studies, interview book, website</cp:keywords>
  <dc:description>generated by python-docx</dc:description>
  <cp:lastModifiedBy/>
  <cp:revision>1</cp:revision>
  <dcterms:created xsi:type="dcterms:W3CDTF">2013-12-23T23:15:00Z</dcterms:created>
  <dcterms:modified xsi:type="dcterms:W3CDTF">2013-12-23T23:15:00Z</dcterms:modified>
  <cp:category/>
</cp:coreProperties>
</file>