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1"/>
        <w:jc w:val="center"/>
      </w:pPr>
      <w:r>
        <w:t>DE ACORDO COM A LEI Nª3.491/2018</w:t>
      </w:r>
    </w:p>
    <w:p>
      <w:pPr>
        <w:pStyle w:val="style2"/>
        <w:jc w:val="both"/>
      </w:pPr>
      <w:r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01 de agosto de 2022.</w:t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Cidade/Estado:Hortolândia-SP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Av. São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1">
    <w:name w:val="style1"/>
    <w:rPr>
      <w:rFonts w:ascii="Arial" w:hAnsi="Arial"/>
      <w:sz w:val="2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