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SINARP: diagramas de secuencia e historias de usuario</w:t>
      </w:r>
    </w:p>
    <w:p>
      <w:r>
        <w:t xml:space="preserve">Procesos TO BE: Integración de fuentes (Resolución 004 DN 2023), con su subproceso de Administración y Gestión del Catálogo, y Acceso a Interoperabilidad (Resolución 003 DN 2025).</w:t>
      </w:r>
    </w:p>
    <w:p>
      <w:r>
        <w:t xml:space="preserve">Fuentes: diagramas BPMN entregados y dos transcripciones de la reunión de explicación. Las historias marcadas como PROPUESTA no están en el BPMN; cubren vacíos detectados y deben validarse con el negocio. La prioridad usa MoSCoW y es preliminar. No se incluyen estimaciones.</w:t>
      </w:r>
    </w:p>
    <w:p>
      <w:r>
        <w:br w:type="page"/>
      </w:r>
    </w:p>
    <w:p>
      <w:pPr>
        <w:pStyle w:val="Heading1"/>
      </w:pPr>
      <w:r>
        <w:t xml:space="preserve">1. Integración de fuentes, Resolución 004 DN 2023</w:t>
      </w:r>
    </w:p>
    <w:p>
      <w:pPr>
        <w:pStyle w:val="Heading2"/>
      </w:pPr>
      <w:r>
        <w:t xml:space="preserve">1.1 Diagrama de secuencia: flujo principal</w:t>
      </w:r>
    </w:p>
    <w:p>
      <w:pPr>
        <w:jc w:val="center"/>
      </w:pPr>
      <w:r>
        <w:drawing>
          <wp:inline distT="0" distB="0" distL="0" distR="0">
            <wp:extent cx="59436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1.2 Diagrama de secuencia: novedades del catálogo</w:t>
      </w:r>
    </w:p>
    <w:p>
      <w:pPr>
        <w:jc w:val="center"/>
      </w:pPr>
      <w:r>
        <w:drawing>
          <wp:inline distT="0" distB="0" distL="0" distR="0">
            <wp:extent cx="4572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1.3 Resumen de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400"/>
        <w:gridCol w:w="2450"/>
        <w:gridCol w:w="1000"/>
        <w:gridCol w:w="136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del coordinador en el SAU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Ingreso a SURI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fuente candidata en el catálogo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requisitos documentales y campos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Depurar información devuelta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información registrada en el catálogo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Tecnología y Desarrollo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Pasar la fuente al catálogo en estado OCULTO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Tecnología y Desarrollo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Clasificar campos y cargar informe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Protección de la Información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microservicio de integración en preproducción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Tecnología y Desarrollo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la integración en preproducción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HU-INT-09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Solventar errores de integración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Tecnología y Desarrollo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HU-INT-10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resultados y aprobar la integración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HU-INT-10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el paso a producción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Tecnología y Desarrollo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automática de fuente integrada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Publicar la fuente en el catálogo (OCULTO → PUBLICADO)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Radicar requerimiento de novedad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legal y funcional de la novedad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o desactivar fuentes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Notificar la fusión y a los consumidores afectados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/ Should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HU-INT-18</w:t>
            </w:r>
          </w:p>
        </w:tc>
      </w:tr>
    </w:tbl>
    <w:p>
      <w:pPr>
        <w:pStyle w:val="Heading2"/>
      </w:pPr>
      <w:r>
        <w:t xml:space="preserve">1.4 Detalle de historias</w:t>
      </w:r>
    </w:p>
    <w:p>
      <w:pPr>
        <w:pStyle w:val="Heading3"/>
      </w:pPr>
      <w:r>
        <w:t xml:space="preserve">Épica: Acceso al sistema</w:t>
      </w:r>
    </w:p>
    <w:p>
      <w:pPr>
        <w:pStyle w:val="Heading4"/>
      </w:pPr>
      <w:r>
        <w:t xml:space="preserve">HU-INT-01 · Registro del coordinador en el SAU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registrarme en el SAU con los datos de mi institución, </w:t>
      </w:r>
      <w:r>
        <w:rPr>
          <w:b/>
          <w:bCs/>
        </w:rPr>
        <w:t xml:space="preserve">para </w:t>
      </w:r>
      <w:r>
        <w:t xml:space="preserve">obtener un usuario habilitado para operar en SURI.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—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que el coordinador no tiene cuenta, cuando diligencia el formulario de registro con los campos obligatorios, entonces el SAU crea el usuario y le notifica su habilitación.</w:t>
      </w:r>
    </w:p>
    <w:p>
      <w:pPr>
        <w:pStyle w:val="ListParagraph"/>
        <w:numPr>
          <w:ilvl w:val="0"/>
          <w:numId w:val="2"/>
        </w:numPr>
      </w:pPr>
      <w:r>
        <w:t xml:space="preserve">Dado un documento o correo ya registrado, cuando intenta registrarse, entonces el sistema rechaza el registro e indica que el usuario ya existe.</w:t>
      </w:r>
    </w:p>
    <w:p>
      <w:pPr>
        <w:pStyle w:val="ListParagraph"/>
        <w:numPr>
          <w:ilvl w:val="0"/>
          <w:numId w:val="2"/>
        </w:numPr>
      </w:pPr>
      <w:r>
        <w:t xml:space="preserve">El registro queda asociado a una institución y a un rol (coordinador titular o suplente).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Es compartida con HU-ACC-01. Conviene desarrollarla una sola vez.</w:t>
      </w:r>
    </w:p>
    <w:p>
      <w:pPr>
        <w:pStyle w:val="Heading4"/>
      </w:pPr>
      <w:r>
        <w:t xml:space="preserve">HU-INT-02 · Ingreso a SURI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ingresar a SURI con mi usuario del SAU, </w:t>
      </w:r>
      <w:r>
        <w:rPr>
          <w:b/>
          <w:bCs/>
        </w:rPr>
        <w:t xml:space="preserve">para </w:t>
      </w:r>
      <w:r>
        <w:t xml:space="preserve">iniciar el proceso de integración de una fuente.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HU-INT-01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un usuario habilitado en el SAU, cuando se autentica, entonces accede a SURI sin un segundo registro.</w:t>
      </w:r>
    </w:p>
    <w:p>
      <w:pPr>
        <w:pStyle w:val="ListParagraph"/>
        <w:numPr>
          <w:ilvl w:val="0"/>
          <w:numId w:val="2"/>
        </w:numPr>
      </w:pPr>
      <w:r>
        <w:t xml:space="preserve">Dado un usuario no habilitado o con credenciales inválidas, cuando intenta ingresar, entonces el acceso se deniega y queda registrado el intento.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¿la autenticación SAU→SURI es federada (SSO) o son cuentas independientes?</w:t>
      </w:r>
    </w:p>
    <w:p>
      <w:pPr>
        <w:pStyle w:val="Heading3"/>
      </w:pPr>
      <w:r>
        <w:t xml:space="preserve">Épica: Subproceso Catálogo: alta de la fuente</w:t>
      </w:r>
    </w:p>
    <w:p>
      <w:pPr>
        <w:pStyle w:val="Heading4"/>
      </w:pPr>
      <w:r>
        <w:t xml:space="preserve">HU-INT-03 · Registrar fuente candidata en el catálogo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ingresar la documentación soporte y los campos candidatos a fuente, </w:t>
      </w:r>
      <w:r>
        <w:rPr>
          <w:b/>
          <w:bCs/>
        </w:rPr>
        <w:t xml:space="preserve">para </w:t>
      </w:r>
      <w:r>
        <w:t xml:space="preserve">solicitar la inclusión de la fuente en el Catálogo.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HU-INT-02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El formulario exige los documentos soporte definidos por la Resolución 004 y al menos un campo candidato con nombre, tipo y descripción.</w:t>
      </w:r>
    </w:p>
    <w:p>
      <w:pPr>
        <w:pStyle w:val="ListParagraph"/>
        <w:numPr>
          <w:ilvl w:val="0"/>
          <w:numId w:val="2"/>
        </w:numPr>
      </w:pPr>
      <w:r>
        <w:t xml:space="preserve">Dado que falta un documento obligatorio, cuando intenta enviar, entonces el sistema no permite el envío y señala lo que falta.</w:t>
      </w:r>
    </w:p>
    <w:p>
      <w:pPr>
        <w:pStyle w:val="ListParagraph"/>
        <w:numPr>
          <w:ilvl w:val="0"/>
          <w:numId w:val="2"/>
        </w:numPr>
      </w:pPr>
      <w:r>
        <w:t xml:space="preserve">Al enviar, la solicitud queda en estado "En revisión" y se asigna a la Dirección de Gestión y Registro.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Falta definir el listado exacto de documentos soporte y los metadatos obligatorios por campo.</w:t>
      </w:r>
    </w:p>
    <w:p>
      <w:pPr>
        <w:pStyle w:val="Heading4"/>
      </w:pPr>
      <w:r>
        <w:t xml:space="preserve">HU-INT-04 · Validar requisitos documentales y campos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revisar la documentación y los campos de una solicitud, </w:t>
      </w:r>
      <w:r>
        <w:rPr>
          <w:b/>
          <w:bCs/>
        </w:rPr>
        <w:t xml:space="preserve">para </w:t>
      </w:r>
      <w:r>
        <w:t xml:space="preserve">decidir si cumple los requisitos para continuar.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HU-INT-03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La bandeja muestra las solicitudes "En revisión" con fecha de radicación e institución.</w:t>
      </w:r>
    </w:p>
    <w:p>
      <w:pPr>
        <w:pStyle w:val="ListParagraph"/>
        <w:numPr>
          <w:ilvl w:val="0"/>
          <w:numId w:val="2"/>
        </w:numPr>
      </w:pPr>
      <w:r>
        <w:t xml:space="preserve">Dado que la solicitud cumple, cuando la marco como correcta, entonces pasa a la Dir. de Tecnología y Desarrollo (enlace A).</w:t>
      </w:r>
    </w:p>
    <w:p>
      <w:pPr>
        <w:pStyle w:val="ListParagraph"/>
        <w:numPr>
          <w:ilvl w:val="0"/>
          <w:numId w:val="2"/>
        </w:numPr>
      </w:pPr>
      <w:r>
        <w:t xml:space="preserve">Dado que no cumple, cuando la devuelvo, entonces debo registrar observaciones obligatorias y la solicitud vuelve al coordinador.</w:t>
      </w:r>
    </w:p>
    <w:p>
      <w:pPr>
        <w:pStyle w:val="Heading4"/>
      </w:pPr>
      <w:r>
        <w:t xml:space="preserve">HU-INT-05 · Depurar información devuelta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ver las observaciones de una solicitud devuelta y corregirla, </w:t>
      </w:r>
      <w:r>
        <w:rPr>
          <w:b/>
          <w:bCs/>
        </w:rPr>
        <w:t xml:space="preserve">para </w:t>
      </w:r>
      <w:r>
        <w:t xml:space="preserve">reenviarla a validación sin empezar de cero.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HU-INT-04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una solicitud devuelta, cuando la abro, entonces veo las observaciones y puedo editar documentos y campos.</w:t>
      </w:r>
    </w:p>
    <w:p>
      <w:pPr>
        <w:pStyle w:val="ListParagraph"/>
        <w:numPr>
          <w:ilvl w:val="0"/>
          <w:numId w:val="2"/>
        </w:numPr>
      </w:pPr>
      <w:r>
        <w:t xml:space="preserve">Al reenviar, la solicitud vuelve a "En revisión" y conserva el historial de devoluciones.</w:t>
      </w:r>
    </w:p>
    <w:p>
      <w:pPr>
        <w:pStyle w:val="Heading3"/>
      </w:pPr>
      <w:r>
        <w:t xml:space="preserve">Épica: Validación técnica e integración</w:t>
      </w:r>
    </w:p>
    <w:p>
      <w:pPr>
        <w:pStyle w:val="Heading4"/>
      </w:pPr>
      <w:r>
        <w:t xml:space="preserve">HU-INT-06 · Validar información registrada en el catálogo</w:t>
      </w:r>
    </w:p>
    <w:p>
      <w:r>
        <w:rPr>
          <w:b/>
          <w:bCs/>
        </w:rPr>
        <w:t xml:space="preserve">Como </w:t>
      </w:r>
      <w:r>
        <w:t xml:space="preserve">Profesional de la Dir. de Tecnología y Desarrollo, </w:t>
      </w:r>
      <w:r>
        <w:rPr>
          <w:b/>
          <w:bCs/>
        </w:rPr>
        <w:t xml:space="preserve">quiero </w:t>
      </w:r>
      <w:r>
        <w:t xml:space="preserve">verificar técnicamente la información ingresada en el catálogo, </w:t>
      </w:r>
      <w:r>
        <w:rPr>
          <w:b/>
          <w:bCs/>
        </w:rPr>
        <w:t xml:space="preserve">para </w:t>
      </w:r>
      <w:r>
        <w:t xml:space="preserve">detectar errores antes de construir la integración.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HU-INT-04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un registro con error, cuando lo marco como tal, entonces retorna al subproceso de Catálogo con la descripción del error.</w:t>
      </w:r>
    </w:p>
    <w:p>
      <w:pPr>
        <w:pStyle w:val="ListParagraph"/>
        <w:numPr>
          <w:ilvl w:val="0"/>
          <w:numId w:val="2"/>
        </w:numPr>
      </w:pPr>
      <w:r>
        <w:t xml:space="preserve">Dado un registro correcto, cuando lo apruebo, entonces continúa a HU-INT-07.</w:t>
      </w:r>
    </w:p>
    <w:p>
      <w:pPr>
        <w:pStyle w:val="Heading4"/>
      </w:pPr>
      <w:r>
        <w:t xml:space="preserve">HU-INT-07 · Pasar la fuente al catálogo en estado OCULTO</w:t>
      </w:r>
    </w:p>
    <w:p>
      <w:r>
        <w:rPr>
          <w:b/>
          <w:bCs/>
        </w:rPr>
        <w:t xml:space="preserve">Como </w:t>
      </w:r>
      <w:r>
        <w:t xml:space="preserve">Profesional de la Dir. de Tecnología y Desarrollo, </w:t>
      </w:r>
      <w:r>
        <w:rPr>
          <w:b/>
          <w:bCs/>
        </w:rPr>
        <w:t xml:space="preserve">quiero </w:t>
      </w:r>
      <w:r>
        <w:t xml:space="preserve">dejar la fuente en el catálogo en estado OCULTO, </w:t>
      </w:r>
      <w:r>
        <w:rPr>
          <w:b/>
          <w:bCs/>
        </w:rPr>
        <w:t xml:space="preserve">para </w:t>
      </w:r>
      <w:r>
        <w:t xml:space="preserve">que exista en el catálogo sin que los consumidores la vean todavía.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HU-INT-06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La fuente queda en estado OCULTO y no aparece en las consultas de consumidores.</w:t>
      </w:r>
    </w:p>
    <w:p>
      <w:pPr>
        <w:pStyle w:val="ListParagraph"/>
        <w:numPr>
          <w:ilvl w:val="0"/>
          <w:numId w:val="2"/>
        </w:numPr>
      </w:pPr>
      <w:r>
        <w:t xml:space="preserve">El cambio de estado registra usuario, fecha y hora.</w:t>
      </w:r>
    </w:p>
    <w:p>
      <w:pPr>
        <w:pStyle w:val="ListParagraph"/>
        <w:numPr>
          <w:ilvl w:val="0"/>
          <w:numId w:val="2"/>
        </w:numPr>
      </w:pPr>
      <w:r>
        <w:t xml:space="preserve">Al pasar a OCULTO se habilitan en paralelo HU-INT-08 y HU-INT-09.</w:t>
      </w:r>
    </w:p>
    <w:p>
      <w:pPr>
        <w:pStyle w:val="Heading4"/>
      </w:pPr>
      <w:r>
        <w:t xml:space="preserve">HU-INT-08 · Clasificar campos y cargar informe</w:t>
      </w:r>
    </w:p>
    <w:p>
      <w:r>
        <w:rPr>
          <w:b/>
          <w:bCs/>
        </w:rPr>
        <w:t xml:space="preserve">Como </w:t>
      </w:r>
      <w:r>
        <w:t xml:space="preserve">Profesional de la Dir. de Protección de la Información, </w:t>
      </w:r>
      <w:r>
        <w:rPr>
          <w:b/>
          <w:bCs/>
        </w:rPr>
        <w:t xml:space="preserve">quiero </w:t>
      </w:r>
      <w:r>
        <w:t xml:space="preserve">clasificar cada campo de la fuente según su nivel de sensibilidad y cargar el informe, </w:t>
      </w:r>
      <w:r>
        <w:rPr>
          <w:b/>
          <w:bCs/>
        </w:rPr>
        <w:t xml:space="preserve">para </w:t>
      </w:r>
      <w:r>
        <w:t xml:space="preserve">dejar documentadas las condiciones de protección de los datos.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HU-INT-07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Cada campo debe tener una clasificación asignada antes de cerrar la tarea.</w:t>
      </w:r>
    </w:p>
    <w:p>
      <w:pPr>
        <w:pStyle w:val="ListParagraph"/>
        <w:numPr>
          <w:ilvl w:val="0"/>
          <w:numId w:val="2"/>
        </w:numPr>
      </w:pPr>
      <w:r>
        <w:t xml:space="preserve">El informe se carga como adjunto obligatorio (PDF).</w:t>
      </w:r>
    </w:p>
    <w:p>
      <w:pPr>
        <w:pStyle w:val="ListParagraph"/>
        <w:numPr>
          <w:ilvl w:val="0"/>
          <w:numId w:val="2"/>
        </w:numPr>
      </w:pPr>
      <w:r>
        <w:t xml:space="preserve">La clasificación queda disponible como atributo del campo en el catálogo.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En el BPMN esta rama termina en un FIN aislado. Se recomienda que la clasificación sea insumo de HU-ACC-07 y HU-ACC-08.</w:t>
      </w:r>
    </w:p>
    <w:p>
      <w:pPr>
        <w:pStyle w:val="Heading4"/>
      </w:pPr>
      <w:r>
        <w:t xml:space="preserve">HU-INT-09 · Registrar microservicio de integración en preproducción</w:t>
      </w:r>
    </w:p>
    <w:p>
      <w:r>
        <w:rPr>
          <w:b/>
          <w:bCs/>
        </w:rPr>
        <w:t xml:space="preserve">Como </w:t>
      </w:r>
      <w:r>
        <w:t xml:space="preserve">Profesional de la Dir. de Tecnología y Desarrollo, </w:t>
      </w:r>
      <w:r>
        <w:rPr>
          <w:b/>
          <w:bCs/>
        </w:rPr>
        <w:t xml:space="preserve">quiero </w:t>
      </w:r>
      <w:r>
        <w:t xml:space="preserve">registrar el microservicio generado y su despliegue en preproducción, </w:t>
      </w:r>
      <w:r>
        <w:rPr>
          <w:b/>
          <w:bCs/>
        </w:rPr>
        <w:t xml:space="preserve">para </w:t>
      </w:r>
      <w:r>
        <w:t xml:space="preserve">habilitar la validación de la integración.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HU-INT-07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Se registra la versión del microservicio, el endpoint de preproducción y la fecha de despliegue.</w:t>
      </w:r>
    </w:p>
    <w:p>
      <w:pPr>
        <w:pStyle w:val="ListParagraph"/>
        <w:numPr>
          <w:ilvl w:val="0"/>
          <w:numId w:val="2"/>
        </w:numPr>
      </w:pPr>
      <w:r>
        <w:t xml:space="preserve">Al registrar el despliegue, la validación queda asignada a la Dir. de Gestión y Registro.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¿la validación debe esperar a que termine HU-INT-08 (unión paralela)?</w:t>
      </w:r>
    </w:p>
    <w:p>
      <w:pPr>
        <w:pStyle w:val="Heading4"/>
      </w:pPr>
      <w:r>
        <w:t xml:space="preserve">HU-INT-10 · Validar la integración en preproducción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validar la integración desplegada en preproducción, </w:t>
      </w:r>
      <w:r>
        <w:rPr>
          <w:b/>
          <w:bCs/>
        </w:rPr>
        <w:t xml:space="preserve">para </w:t>
      </w:r>
      <w:r>
        <w:t xml:space="preserve">confirmar que la fuente responde según lo registrado en el catálogo.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HU-INT-09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un resultado no favorable, cuando lo registro, entonces debo describir los errores y la tarea vuelve a Tecnología (HU-INT-11).</w:t>
      </w:r>
    </w:p>
    <w:p>
      <w:pPr>
        <w:pStyle w:val="ListParagraph"/>
        <w:numPr>
          <w:ilvl w:val="0"/>
          <w:numId w:val="2"/>
        </w:numPr>
      </w:pPr>
      <w:r>
        <w:t xml:space="preserve">Dado un resultado favorable, cuando lo registro, entonces se habilita la aprobación (HU-INT-12).</w:t>
      </w:r>
    </w:p>
    <w:p>
      <w:pPr>
        <w:pStyle w:val="Heading4"/>
      </w:pPr>
      <w:r>
        <w:t xml:space="preserve">HU-INT-11 · Solventar errores de integración</w:t>
      </w:r>
    </w:p>
    <w:p>
      <w:r>
        <w:rPr>
          <w:b/>
          <w:bCs/>
        </w:rPr>
        <w:t xml:space="preserve">Como </w:t>
      </w:r>
      <w:r>
        <w:t xml:space="preserve">Profesional de la Dir. de Tecnología y Desarrollo, </w:t>
      </w:r>
      <w:r>
        <w:rPr>
          <w:b/>
          <w:bCs/>
        </w:rPr>
        <w:t xml:space="preserve">quiero </w:t>
      </w:r>
      <w:r>
        <w:t xml:space="preserve">recibir los errores reportados y registrar la corrección, </w:t>
      </w:r>
      <w:r>
        <w:rPr>
          <w:b/>
          <w:bCs/>
        </w:rPr>
        <w:t xml:space="preserve">para </w:t>
      </w:r>
      <w:r>
        <w:t xml:space="preserve">reenviar la integración a validación.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HU-INT-10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Veo el detalle de los errores reportados.</w:t>
      </w:r>
    </w:p>
    <w:p>
      <w:pPr>
        <w:pStyle w:val="ListParagraph"/>
        <w:numPr>
          <w:ilvl w:val="0"/>
          <w:numId w:val="2"/>
        </w:numPr>
      </w:pPr>
      <w:r>
        <w:t xml:space="preserve">Al registrar la corrección y el nuevo despliegue, la integración vuelve a validación y el ciclo queda en el historial.</w:t>
      </w:r>
    </w:p>
    <w:p>
      <w:pPr>
        <w:pStyle w:val="Heading3"/>
      </w:pPr>
      <w:r>
        <w:t xml:space="preserve">Épica: Subproceso Catálogo: cierre, paso a producción y notificación</w:t>
      </w:r>
    </w:p>
    <w:p>
      <w:pPr>
        <w:pStyle w:val="Heading4"/>
      </w:pPr>
      <w:r>
        <w:t xml:space="preserve">HU-INT-12 · Registrar resultados y aprobar la integración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registrar los resultados favorables en el formulario automatizado y aprobar la integración, </w:t>
      </w:r>
      <w:r>
        <w:rPr>
          <w:b/>
          <w:bCs/>
        </w:rPr>
        <w:t xml:space="preserve">para </w:t>
      </w:r>
      <w:r>
        <w:t xml:space="preserve">autorizar el paso a producción.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HU-INT-10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El formulario precarga los datos de la fuente y de la validación.</w:t>
      </w:r>
    </w:p>
    <w:p>
      <w:pPr>
        <w:pStyle w:val="ListParagraph"/>
        <w:numPr>
          <w:ilvl w:val="0"/>
          <w:numId w:val="2"/>
        </w:numPr>
      </w:pPr>
      <w:r>
        <w:t xml:space="preserve">Sin formulario diligenciado no se puede aprobar.</w:t>
      </w:r>
    </w:p>
    <w:p>
      <w:pPr>
        <w:pStyle w:val="ListParagraph"/>
        <w:numPr>
          <w:ilvl w:val="0"/>
          <w:numId w:val="2"/>
        </w:numPr>
      </w:pPr>
      <w:r>
        <w:t xml:space="preserve">Al aprobar, la tarea de paso a producción queda asignada a Tecnología (enlace C).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Agrupa la tarea 9 de Integración y "Aprobar la integración" del Catálogo. Si el negocio confirma que son dos aprobaciones distintas, esta historia se divide en dos.</w:t>
      </w:r>
    </w:p>
    <w:p>
      <w:pPr>
        <w:pStyle w:val="Heading4"/>
      </w:pPr>
      <w:r>
        <w:t xml:space="preserve">HU-INT-13 · Registrar el paso a producción</w:t>
      </w:r>
    </w:p>
    <w:p>
      <w:r>
        <w:rPr>
          <w:b/>
          <w:bCs/>
        </w:rPr>
        <w:t xml:space="preserve">Como </w:t>
      </w:r>
      <w:r>
        <w:t xml:space="preserve">Profesional de la Dir. de Tecnología y Desarrollo, </w:t>
      </w:r>
      <w:r>
        <w:rPr>
          <w:b/>
          <w:bCs/>
        </w:rPr>
        <w:t xml:space="preserve">quiero </w:t>
      </w:r>
      <w:r>
        <w:t xml:space="preserve">registrar el paso a producción de la integración aprobada, </w:t>
      </w:r>
      <w:r>
        <w:rPr>
          <w:b/>
          <w:bCs/>
        </w:rPr>
        <w:t xml:space="preserve">para </w:t>
      </w:r>
      <w:r>
        <w:t xml:space="preserve">dejar la fuente operando en producción.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HU-INT-12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Solo se habilita para integraciones aprobadas.</w:t>
      </w:r>
    </w:p>
    <w:p>
      <w:pPr>
        <w:pStyle w:val="ListParagraph"/>
        <w:numPr>
          <w:ilvl w:val="0"/>
          <w:numId w:val="2"/>
        </w:numPr>
      </w:pPr>
      <w:r>
        <w:t xml:space="preserve">Se registra el endpoint de producción, la versión y la fecha.</w:t>
      </w:r>
    </w:p>
    <w:p>
      <w:pPr>
        <w:pStyle w:val="Heading4"/>
      </w:pPr>
      <w:r>
        <w:t xml:space="preserve">HU-INT-14 · Notificación automática de fuente integrada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recibir un correo cuando mi fuente pase a producción, </w:t>
      </w:r>
      <w:r>
        <w:rPr>
          <w:b/>
          <w:bCs/>
        </w:rPr>
        <w:t xml:space="preserve">para </w:t>
      </w:r>
      <w:r>
        <w:t xml:space="preserve">saber que el proceso terminó.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HU-INT-13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Al registrar el paso a producción, el sistema envía un correo automático al coordinador titular y al suplente.</w:t>
      </w:r>
    </w:p>
    <w:p>
      <w:pPr>
        <w:pStyle w:val="ListParagraph"/>
        <w:numPr>
          <w:ilvl w:val="0"/>
          <w:numId w:val="2"/>
        </w:numPr>
      </w:pPr>
      <w:r>
        <w:t xml:space="preserve">El correo incluye el nombre de la fuente, la fecha y el estado.</w:t>
      </w:r>
    </w:p>
    <w:p>
      <w:pPr>
        <w:pStyle w:val="ListParagraph"/>
        <w:numPr>
          <w:ilvl w:val="0"/>
          <w:numId w:val="2"/>
        </w:numPr>
      </w:pPr>
      <w:r>
        <w:t xml:space="preserve">Los envíos fallidos quedan registrados y se reintentan.</w:t>
      </w:r>
    </w:p>
    <w:p>
      <w:pPr>
        <w:pStyle w:val="Heading4"/>
      </w:pPr>
      <w:r>
        <w:t xml:space="preserve">HU-INT-15 · Publicar la fuente en el catálogo (OCULTO → PUBLICADO)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cambiar la fuente de OCULTO a PUBLICADO, </w:t>
      </w:r>
      <w:r>
        <w:rPr>
          <w:b/>
          <w:bCs/>
        </w:rPr>
        <w:t xml:space="preserve">para </w:t>
      </w:r>
      <w:r>
        <w:t xml:space="preserve">que las instituciones consumidoras puedan seleccionarla.</w:t>
      </w:r>
    </w:p>
    <w:p>
      <w:r>
        <w:rPr>
          <w:b/>
          <w:bCs/>
        </w:rPr>
        <w:t xml:space="preserve">Prioridad: </w:t>
      </w:r>
      <w:r>
        <w:t xml:space="preserve">Should   </w:t>
      </w:r>
      <w:r>
        <w:rPr>
          <w:b/>
          <w:bCs/>
        </w:rPr>
        <w:t xml:space="preserve">Depende de: </w:t>
      </w:r>
      <w:r>
        <w:t xml:space="preserve">HU-INT-13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Solo se pueden publicar fuentes con paso a producción registrado.</w:t>
      </w:r>
    </w:p>
    <w:p>
      <w:pPr>
        <w:pStyle w:val="ListParagraph"/>
        <w:numPr>
          <w:ilvl w:val="0"/>
          <w:numId w:val="2"/>
        </w:numPr>
      </w:pPr>
      <w:r>
        <w:t xml:space="preserve">Una fuente publicada aparece en la selección de campos de HU-ACC-06.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PROPUESTA: no está en el BPMN, pero sin ella el proceso de Acceso no tiene qué consumir. Hay que definir si el cambio es automático o manual.</w:t>
      </w:r>
    </w:p>
    <w:p>
      <w:pPr>
        <w:pStyle w:val="Heading3"/>
      </w:pPr>
      <w:r>
        <w:t xml:space="preserve">Épica: Novedades del catálogo (inicio independiente)</w:t>
      </w:r>
    </w:p>
    <w:p>
      <w:pPr>
        <w:pStyle w:val="Heading4"/>
      </w:pPr>
      <w:r>
        <w:t xml:space="preserve">HU-INT-16 · Radicar requerimiento de novedad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radicar un requerimiento de eliminación, supresión o fusión recibido de un organismo gubernamental, </w:t>
      </w:r>
      <w:r>
        <w:rPr>
          <w:b/>
          <w:bCs/>
        </w:rPr>
        <w:t xml:space="preserve">para </w:t>
      </w:r>
      <w:r>
        <w:t xml:space="preserve">iniciar su trámite con trazabilidad.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—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Se registra el tipo de novedad, el organismo solicitante, el soporte y las fuentes afectadas.</w:t>
      </w:r>
    </w:p>
    <w:p>
      <w:pPr>
        <w:pStyle w:val="ListParagraph"/>
        <w:numPr>
          <w:ilvl w:val="0"/>
          <w:numId w:val="2"/>
        </w:numPr>
      </w:pPr>
      <w:r>
        <w:t xml:space="preserve">El requerimiento queda en estado "En validación".</w:t>
      </w:r>
    </w:p>
    <w:p>
      <w:pPr>
        <w:pStyle w:val="Heading4"/>
      </w:pPr>
      <w:r>
        <w:t xml:space="preserve">HU-INT-17 · Validación legal y funcional de la novedad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registrar el concepto legal y funcional del requerimiento, </w:t>
      </w:r>
      <w:r>
        <w:rPr>
          <w:b/>
          <w:bCs/>
        </w:rPr>
        <w:t xml:space="preserve">para </w:t>
      </w:r>
      <w:r>
        <w:t xml:space="preserve">decidir si procede.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HU-INT-16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Es obligatorio registrar el concepto y adjuntar el soporte.</w:t>
      </w:r>
    </w:p>
    <w:p>
      <w:pPr>
        <w:pStyle w:val="ListParagraph"/>
        <w:numPr>
          <w:ilvl w:val="0"/>
          <w:numId w:val="2"/>
        </w:numPr>
      </w:pPr>
      <w:r>
        <w:t xml:space="preserve">Si no procede, el requerimiento se cierra con su justificación.</w:t>
      </w:r>
    </w:p>
    <w:p>
      <w:pPr>
        <w:pStyle w:val="Heading4"/>
      </w:pPr>
      <w:r>
        <w:t xml:space="preserve">HU-INT-18 · Actualizar o desactivar fuentes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actualizar los datos o desactivar las fuentes afectadas, </w:t>
      </w:r>
      <w:r>
        <w:rPr>
          <w:b/>
          <w:bCs/>
        </w:rPr>
        <w:t xml:space="preserve">para </w:t>
      </w:r>
      <w:r>
        <w:t xml:space="preserve">que el catálogo refleje la novedad.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HU-INT-17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Una fuente desactivada deja de estar disponible para nuevas solicitudes de acceso.</w:t>
      </w:r>
    </w:p>
    <w:p>
      <w:pPr>
        <w:pStyle w:val="ListParagraph"/>
        <w:numPr>
          <w:ilvl w:val="0"/>
          <w:numId w:val="2"/>
        </w:numPr>
      </w:pPr>
      <w:r>
        <w:t xml:space="preserve">Se conserva el histórico de la fuente; no se borra físicamente.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¿qué pasa con los paquetes y credenciales vigentes que consumen una fuente desactivada?</w:t>
      </w:r>
    </w:p>
    <w:p>
      <w:pPr>
        <w:pStyle w:val="Heading4"/>
      </w:pPr>
      <w:r>
        <w:t xml:space="preserve">HU-INT-19 · Notificar la fusión y a los consumidores afectados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recibir una notificación cuando una fuente de mi institución se fusione o se elimine, </w:t>
      </w:r>
      <w:r>
        <w:rPr>
          <w:b/>
          <w:bCs/>
        </w:rPr>
        <w:t xml:space="preserve">para </w:t>
      </w:r>
      <w:r>
        <w:t xml:space="preserve">ajustar mis integraciones a tiempo.</w:t>
      </w:r>
    </w:p>
    <w:p>
      <w:r>
        <w:rPr>
          <w:b/>
          <w:bCs/>
        </w:rPr>
        <w:t xml:space="preserve">Prioridad: </w:t>
      </w:r>
      <w:r>
        <w:t xml:space="preserve">Must / Should   </w:t>
      </w:r>
      <w:r>
        <w:rPr>
          <w:b/>
          <w:bCs/>
        </w:rPr>
        <w:t xml:space="preserve">Depende de: </w:t>
      </w:r>
      <w:r>
        <w:t xml:space="preserve">HU-INT-18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En una fusión se notifica al coordinador SINARP (según el BPMN).</w:t>
      </w:r>
    </w:p>
    <w:p>
      <w:pPr>
        <w:pStyle w:val="ListParagraph"/>
        <w:numPr>
          <w:ilvl w:val="0"/>
          <w:numId w:val="2"/>
        </w:numPr>
      </w:pPr>
      <w:r>
        <w:t xml:space="preserve">PROPUESTA: en una eliminación o fusión también se notifica a las instituciones que consumen la fuente.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El BPMN solo notifica en la fusión. La notificación a consumidores es una propuesta que debe validar el negocio.</w:t>
      </w:r>
    </w:p>
    <w:p>
      <w:r>
        <w:br w:type="page"/>
      </w:r>
    </w:p>
    <w:p>
      <w:pPr>
        <w:pStyle w:val="Heading1"/>
      </w:pPr>
      <w:r>
        <w:t xml:space="preserve">2. Acceso a Interoperabilidad, Resolución 003 DN 2025</w:t>
      </w:r>
    </w:p>
    <w:p>
      <w:pPr>
        <w:pStyle w:val="Heading2"/>
      </w:pPr>
      <w:r>
        <w:t xml:space="preserve">2.1 Diagrama de secuencia</w:t>
      </w:r>
    </w:p>
    <w:p>
      <w:pPr>
        <w:jc w:val="center"/>
      </w:pPr>
      <w:r>
        <w:drawing>
          <wp:inline distT="0" distB="0" distL="0" distR="0">
            <wp:extent cx="57150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2.2 Resumen de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400"/>
        <w:gridCol w:w="2450"/>
        <w:gridCol w:w="1000"/>
        <w:gridCol w:w="136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del coordinador en el SAU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Cargar formatos de solicitud de acceso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y aprobar la solicitud de acceso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Gestión y Registro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Envío automático de credenciales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Consultar el Catálogo de Servicios Digitales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HU-ACC-04, HU-INT-15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Seleccionar y justificar campos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Determinar si se requiere justificación jurídica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SURI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HU-ACC-06, HU-INT-08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condiciones de legitimidad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Protección de la Información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y cargar informe de justificación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Profesional de la Dir. de Protección de la Información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HU-ACC-08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paquetes de consumo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SURI / Dir. de Tecnología (por confirmar)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HU-ACC-09 o HU-ACC-07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Realizar pruebas de consumo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HU-ACC-10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Notificar error de consumo y recibir soporte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SINARP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HU-ACC-11</w:t>
            </w:r>
          </w:p>
        </w:tc>
      </w:tr>
    </w:tbl>
    <w:p>
      <w:pPr>
        <w:pStyle w:val="Heading2"/>
      </w:pPr>
      <w:r>
        <w:t xml:space="preserve">2.3 Detalle de historias</w:t>
      </w:r>
    </w:p>
    <w:p>
      <w:pPr>
        <w:pStyle w:val="Heading3"/>
      </w:pPr>
      <w:r>
        <w:t xml:space="preserve">Épica: Fase Solicitud</w:t>
      </w:r>
    </w:p>
    <w:p>
      <w:pPr>
        <w:pStyle w:val="Heading4"/>
      </w:pPr>
      <w:r>
        <w:t xml:space="preserve">HU-ACC-01 · Registro del coordinador en el SAU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registrarme en el SAU, </w:t>
      </w:r>
      <w:r>
        <w:rPr>
          <w:b/>
          <w:bCs/>
        </w:rPr>
        <w:t xml:space="preserve">para </w:t>
      </w:r>
      <w:r>
        <w:t xml:space="preserve">obtener un usuario habilitado para solicitar acceso.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—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Mismos criterios que HU-INT-01.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Compartida con HU-INT-01; no se desarrolla dos veces.</w:t>
      </w:r>
    </w:p>
    <w:p>
      <w:pPr>
        <w:pStyle w:val="Heading4"/>
      </w:pPr>
      <w:r>
        <w:t xml:space="preserve">HU-ACC-02 · Cargar formatos de solicitud de acceso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cargar en la plataforma el formato de cambio de coordinador, la solicitud de acceso al SINARP y el acuerdo de uso y confidencialidad, </w:t>
      </w:r>
      <w:r>
        <w:rPr>
          <w:b/>
          <w:bCs/>
        </w:rPr>
        <w:t xml:space="preserve">para </w:t>
      </w:r>
      <w:r>
        <w:t xml:space="preserve">radicar mi solicitud de acceso.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HU-ACC-01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Los tres formatos son obligatorios, salvo el de cambio de coordinador, que aplica solo cuando hay cambio de titular o suplente.</w:t>
      </w:r>
    </w:p>
    <w:p>
      <w:pPr>
        <w:pStyle w:val="ListParagraph"/>
        <w:numPr>
          <w:ilvl w:val="0"/>
          <w:numId w:val="2"/>
        </w:numPr>
      </w:pPr>
      <w:r>
        <w:t xml:space="preserve">Se validan el tipo de archivo (PDF) y el tamaño máximo.</w:t>
      </w:r>
    </w:p>
    <w:p>
      <w:pPr>
        <w:pStyle w:val="ListParagraph"/>
        <w:numPr>
          <w:ilvl w:val="0"/>
          <w:numId w:val="2"/>
        </w:numPr>
      </w:pPr>
      <w:r>
        <w:t xml:space="preserve">Al radicar, la solicitud queda "En validación" y se asigna a la Dir. de Gestión y Registro.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confirmar si el formato de cambio de coordinador es obligatorio siempre o solo cuando hay cambio.</w:t>
      </w:r>
    </w:p>
    <w:p>
      <w:pPr>
        <w:pStyle w:val="Heading4"/>
      </w:pPr>
      <w:r>
        <w:t xml:space="preserve">HU-ACC-03 · Validar y aprobar la solicitud de acceso</w:t>
      </w:r>
    </w:p>
    <w:p>
      <w:r>
        <w:rPr>
          <w:b/>
          <w:bCs/>
        </w:rPr>
        <w:t xml:space="preserve">Como </w:t>
      </w:r>
      <w:r>
        <w:t xml:space="preserve">Profesional de la Dir. de Gestión y Registro, </w:t>
      </w:r>
      <w:r>
        <w:rPr>
          <w:b/>
          <w:bCs/>
        </w:rPr>
        <w:t xml:space="preserve">quiero </w:t>
      </w:r>
      <w:r>
        <w:t xml:space="preserve">validar los formatos y aprobar o devolver la solicitud, </w:t>
      </w:r>
      <w:r>
        <w:rPr>
          <w:b/>
          <w:bCs/>
        </w:rPr>
        <w:t xml:space="preserve">para </w:t>
      </w:r>
      <w:r>
        <w:t xml:space="preserve">autorizar el acceso de la institución al SINARP.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HU-ACC-02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Dado que la solicitud es incorrecta, cuando la devuelvo, entonces las observaciones son obligatorias y el coordinador puede corregir y reenviar.</w:t>
      </w:r>
    </w:p>
    <w:p>
      <w:pPr>
        <w:pStyle w:val="ListParagraph"/>
        <w:numPr>
          <w:ilvl w:val="0"/>
          <w:numId w:val="2"/>
        </w:numPr>
      </w:pPr>
      <w:r>
        <w:t xml:space="preserve">Dado que es correcta, cuando la apruebo, entonces se dispara HU-ACC-04.</w:t>
      </w:r>
    </w:p>
    <w:p>
      <w:pPr>
        <w:pStyle w:val="Heading4"/>
      </w:pPr>
      <w:r>
        <w:t xml:space="preserve">HU-ACC-04 · Envío automático de credenciales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recibir automáticamente mis credenciales al aprobarse la solicitud, </w:t>
      </w:r>
      <w:r>
        <w:rPr>
          <w:b/>
          <w:bCs/>
        </w:rPr>
        <w:t xml:space="preserve">para </w:t>
      </w:r>
      <w:r>
        <w:t xml:space="preserve">continuar con la selección de campos.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HU-ACC-03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Las credenciales se envían por un canal seguro; nunca en texto plano dentro del correo.</w:t>
      </w:r>
    </w:p>
    <w:p>
      <w:pPr>
        <w:pStyle w:val="ListParagraph"/>
        <w:numPr>
          <w:ilvl w:val="0"/>
          <w:numId w:val="2"/>
        </w:numPr>
      </w:pPr>
      <w:r>
        <w:t xml:space="preserve">El envío queda registrado con fecha y destinatario.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Inconsistencia: el BPMN y la reunión dicen "credenciales de los paquetes", pero los paquetes se crean después (HU-ACC-10). Hay que definir si aquí son credenciales de plataforma y las de paquetes van en HU-ACC-10.</w:t>
      </w:r>
    </w:p>
    <w:p>
      <w:pPr>
        <w:pStyle w:val="Heading3"/>
      </w:pPr>
      <w:r>
        <w:t xml:space="preserve">Épica: Fase Justificación</w:t>
      </w:r>
    </w:p>
    <w:p>
      <w:pPr>
        <w:pStyle w:val="Heading4"/>
      </w:pPr>
      <w:r>
        <w:t xml:space="preserve">HU-ACC-05 · Consultar el Catálogo de Servicios Digitales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consultar las fuentes y los campos publicados en el catálogo, </w:t>
      </w:r>
      <w:r>
        <w:rPr>
          <w:b/>
          <w:bCs/>
        </w:rPr>
        <w:t xml:space="preserve">para </w:t>
      </w:r>
      <w:r>
        <w:t xml:space="preserve">identificar qué información necesita mi institución.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HU-ACC-04, HU-INT-15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Solo se muestran fuentes en estado PUBLICADO.</w:t>
      </w:r>
    </w:p>
    <w:p>
      <w:pPr>
        <w:pStyle w:val="ListParagraph"/>
        <w:numPr>
          <w:ilvl w:val="0"/>
          <w:numId w:val="2"/>
        </w:numPr>
      </w:pPr>
      <w:r>
        <w:t xml:space="preserve">Se puede buscar por institución proveedora, fuente o campo.</w:t>
      </w:r>
    </w:p>
    <w:p>
      <w:pPr>
        <w:pStyle w:val="Heading4"/>
      </w:pPr>
      <w:r>
        <w:t xml:space="preserve">HU-ACC-06 · Seleccionar y justificar campos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seleccionar los campos que necesito y justificar cada uno, </w:t>
      </w:r>
      <w:r>
        <w:rPr>
          <w:b/>
          <w:bCs/>
        </w:rPr>
        <w:t xml:space="preserve">para </w:t>
      </w:r>
      <w:r>
        <w:t xml:space="preserve">solicitar su consumo.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HU-ACC-05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Cada campo seleccionado exige una justificación (finalidad y fundamento).</w:t>
      </w:r>
    </w:p>
    <w:p>
      <w:pPr>
        <w:pStyle w:val="ListParagraph"/>
        <w:numPr>
          <w:ilvl w:val="0"/>
          <w:numId w:val="2"/>
        </w:numPr>
      </w:pPr>
      <w:r>
        <w:t xml:space="preserve">No se puede enviar una selección sin campos.</w:t>
      </w:r>
    </w:p>
    <w:p>
      <w:pPr>
        <w:pStyle w:val="ListParagraph"/>
        <w:numPr>
          <w:ilvl w:val="0"/>
          <w:numId w:val="2"/>
        </w:numPr>
      </w:pPr>
      <w:r>
        <w:t xml:space="preserve">Al enviar, el sistema determina si se requiere justificación jurídica (HU-ACC-07).</w:t>
      </w:r>
    </w:p>
    <w:p>
      <w:pPr>
        <w:pStyle w:val="Heading4"/>
      </w:pPr>
      <w:r>
        <w:t xml:space="preserve">HU-ACC-07 · Determinar si se requiere justificación jurídica</w:t>
      </w:r>
    </w:p>
    <w:p>
      <w:r>
        <w:rPr>
          <w:b/>
          <w:bCs/>
        </w:rPr>
        <w:t xml:space="preserve">Como </w:t>
      </w:r>
      <w:r>
        <w:t xml:space="preserve">Sistema SURI, </w:t>
      </w:r>
      <w:r>
        <w:rPr>
          <w:b/>
          <w:bCs/>
        </w:rPr>
        <w:t xml:space="preserve">quiero </w:t>
      </w:r>
      <w:r>
        <w:t xml:space="preserve">determinar si la selección requiere revisión jurídica, </w:t>
      </w:r>
      <w:r>
        <w:rPr>
          <w:b/>
          <w:bCs/>
        </w:rPr>
        <w:t xml:space="preserve">para </w:t>
      </w:r>
      <w:r>
        <w:t xml:space="preserve">enviar a Protección de la Información solo lo que corresponde.</w:t>
      </w:r>
    </w:p>
    <w:p>
      <w:r>
        <w:rPr>
          <w:b/>
          <w:bCs/>
        </w:rPr>
        <w:t xml:space="preserve">Prioridad: </w:t>
      </w:r>
      <w:r>
        <w:t xml:space="preserve">Should   </w:t>
      </w:r>
      <w:r>
        <w:rPr>
          <w:b/>
          <w:bCs/>
        </w:rPr>
        <w:t xml:space="preserve">Depende de: </w:t>
      </w:r>
      <w:r>
        <w:t xml:space="preserve">HU-ACC-06, HU-INT-08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Si algún campo tiene una clasificación que exige revisión, la selección va a Protección de la Información.</w:t>
      </w:r>
    </w:p>
    <w:p>
      <w:pPr>
        <w:pStyle w:val="ListParagraph"/>
        <w:numPr>
          <w:ilvl w:val="0"/>
          <w:numId w:val="2"/>
        </w:numPr>
      </w:pPr>
      <w:r>
        <w:t xml:space="preserve">Si no, la selección pasa directo a la creación de paquetes (HU-ACC-10).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Discrepancia: la reunión dice que siempre pasa por Protección; el BPMN tiene la decisión. Si se confirma "siempre", esta historia se elimina.</w:t>
      </w:r>
    </w:p>
    <w:p>
      <w:pPr>
        <w:pStyle w:val="Heading4"/>
      </w:pPr>
      <w:r>
        <w:t xml:space="preserve">HU-ACC-08 · Verificar condiciones de legitimidad</w:t>
      </w:r>
    </w:p>
    <w:p>
      <w:r>
        <w:rPr>
          <w:b/>
          <w:bCs/>
        </w:rPr>
        <w:t xml:space="preserve">Como </w:t>
      </w:r>
      <w:r>
        <w:t xml:space="preserve">Profesional de la Dir. de Protección de la Información, </w:t>
      </w:r>
      <w:r>
        <w:rPr>
          <w:b/>
          <w:bCs/>
        </w:rPr>
        <w:t xml:space="preserve">quiero </w:t>
      </w:r>
      <w:r>
        <w:t xml:space="preserve">verificar la justificación de cada campo solicitado, </w:t>
      </w:r>
      <w:r>
        <w:rPr>
          <w:b/>
          <w:bCs/>
        </w:rPr>
        <w:t xml:space="preserve">para </w:t>
      </w:r>
      <w:r>
        <w:t xml:space="preserve">garantizar que el acceso cumple las condiciones de legitimidad.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HU-ACC-07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Veo cada campo con su clasificación y la justificación del solicitante.</w:t>
      </w:r>
    </w:p>
    <w:p>
      <w:pPr>
        <w:pStyle w:val="ListParagraph"/>
        <w:numPr>
          <w:ilvl w:val="0"/>
          <w:numId w:val="2"/>
        </w:numPr>
      </w:pPr>
      <w:r>
        <w:t xml:space="preserve">Dado un campo no justificado, cuando lo rechazo, entonces las observaciones son obligatorias y se dispara un correo al coordinador institucional.</w:t>
      </w:r>
    </w:p>
    <w:p>
      <w:pPr>
        <w:pStyle w:val="ListParagraph"/>
        <w:numPr>
          <w:ilvl w:val="0"/>
          <w:numId w:val="2"/>
        </w:numPr>
      </w:pPr>
      <w:r>
        <w:t xml:space="preserve">El coordinador puede ajustar la selección o la justificación y reenviarla; el ciclo queda en el historial.</w:t>
      </w:r>
    </w:p>
    <w:p>
      <w:pPr>
        <w:pStyle w:val="Heading4"/>
      </w:pPr>
      <w:r>
        <w:t xml:space="preserve">HU-ACC-09 · Elaborar y cargar informe de justificación</w:t>
      </w:r>
    </w:p>
    <w:p>
      <w:r>
        <w:rPr>
          <w:b/>
          <w:bCs/>
        </w:rPr>
        <w:t xml:space="preserve">Como </w:t>
      </w:r>
      <w:r>
        <w:t xml:space="preserve">Profesional de la Dir. de Protección de la Información, </w:t>
      </w:r>
      <w:r>
        <w:rPr>
          <w:b/>
          <w:bCs/>
        </w:rPr>
        <w:t xml:space="preserve">quiero </w:t>
      </w:r>
      <w:r>
        <w:t xml:space="preserve">elaborar y cargar el informe de justificación cuando los campos están justificados, </w:t>
      </w:r>
      <w:r>
        <w:rPr>
          <w:b/>
          <w:bCs/>
        </w:rPr>
        <w:t xml:space="preserve">para </w:t>
      </w:r>
      <w:r>
        <w:t xml:space="preserve">dejar soporte formal del acceso aprobado.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HU-ACC-08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El informe es un adjunto obligatorio para cerrar la verificación.</w:t>
      </w:r>
    </w:p>
    <w:p>
      <w:pPr>
        <w:pStyle w:val="ListParagraph"/>
        <w:numPr>
          <w:ilvl w:val="0"/>
          <w:numId w:val="2"/>
        </w:numPr>
      </w:pPr>
      <w:r>
        <w:t xml:space="preserve">Al cargarlo, el coordinador es notificado y puede consultarlo (recepción de la justificación).</w:t>
      </w:r>
    </w:p>
    <w:p>
      <w:pPr>
        <w:pStyle w:val="Heading3"/>
      </w:pPr>
      <w:r>
        <w:t xml:space="preserve">Épica: Fase Elaboración y entrega</w:t>
      </w:r>
    </w:p>
    <w:p>
      <w:pPr>
        <w:pStyle w:val="Heading4"/>
      </w:pPr>
      <w:r>
        <w:t xml:space="preserve">HU-ACC-10 · Crear paquetes de consumo</w:t>
      </w:r>
    </w:p>
    <w:p>
      <w:r>
        <w:rPr>
          <w:b/>
          <w:bCs/>
        </w:rPr>
        <w:t xml:space="preserve">Como </w:t>
      </w:r>
      <w:r>
        <w:t xml:space="preserve">Sistema SURI / Dir. de Tecnología (por confirmar), </w:t>
      </w:r>
      <w:r>
        <w:rPr>
          <w:b/>
          <w:bCs/>
        </w:rPr>
        <w:t xml:space="preserve">quiero </w:t>
      </w:r>
      <w:r>
        <w:t xml:space="preserve">crear los paquetes con los campos aprobados, </w:t>
      </w:r>
      <w:r>
        <w:rPr>
          <w:b/>
          <w:bCs/>
        </w:rPr>
        <w:t xml:space="preserve">para </w:t>
      </w:r>
      <w:r>
        <w:t xml:space="preserve">que la institución pueda consumirlos.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HU-ACC-09 o HU-ACC-07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El paquete contiene solo los campos aprobados.</w:t>
      </w:r>
    </w:p>
    <w:p>
      <w:pPr>
        <w:pStyle w:val="ListParagraph"/>
        <w:numPr>
          <w:ilvl w:val="0"/>
          <w:numId w:val="2"/>
        </w:numPr>
      </w:pPr>
      <w:r>
        <w:t xml:space="preserve">Al crearse, se notifica al coordinador (y se envían las credenciales del paquete, si así se define en HU-ACC-04).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¿quién crea los paquetes? La reunión es ambigua; el BPMN solo muestra que el coordinador recibe la notificación.</w:t>
      </w:r>
    </w:p>
    <w:p>
      <w:pPr>
        <w:pStyle w:val="Heading4"/>
      </w:pPr>
      <w:r>
        <w:t xml:space="preserve">HU-ACC-11 · Realizar pruebas de consumo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probar el consumo de los paquetes creados, </w:t>
      </w:r>
      <w:r>
        <w:rPr>
          <w:b/>
          <w:bCs/>
        </w:rPr>
        <w:t xml:space="preserve">para </w:t>
      </w:r>
      <w:r>
        <w:t xml:space="preserve">confirmar que mi institución recibe la información.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HU-ACC-10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Se registra el resultado de la prueba (favorable o con error).</w:t>
      </w:r>
    </w:p>
    <w:p>
      <w:pPr>
        <w:pStyle w:val="ListParagraph"/>
        <w:numPr>
          <w:ilvl w:val="0"/>
          <w:numId w:val="2"/>
        </w:numPr>
      </w:pPr>
      <w:r>
        <w:t xml:space="preserve">Un resultado favorable cierra el proceso.</w:t>
      </w:r>
    </w:p>
    <w:p>
      <w:pPr>
        <w:pStyle w:val="Heading4"/>
      </w:pPr>
      <w:r>
        <w:t xml:space="preserve">HU-ACC-12 · Notificar error de consumo y recibir soporte</w:t>
      </w:r>
    </w:p>
    <w:p>
      <w:r>
        <w:rPr>
          <w:b/>
          <w:bCs/>
        </w:rPr>
        <w:t xml:space="preserve">Como </w:t>
      </w:r>
      <w:r>
        <w:t xml:space="preserve">Coordinador SINARP, </w:t>
      </w:r>
      <w:r>
        <w:rPr>
          <w:b/>
          <w:bCs/>
        </w:rPr>
        <w:t xml:space="preserve">quiero </w:t>
      </w:r>
      <w:r>
        <w:t xml:space="preserve">reportar un error de consumo y hacer seguimiento a la atención, </w:t>
      </w:r>
      <w:r>
        <w:rPr>
          <w:b/>
          <w:bCs/>
        </w:rPr>
        <w:t xml:space="preserve">para </w:t>
      </w:r>
      <w:r>
        <w:t xml:space="preserve">resolver el problema y repetir la prueba.</w:t>
      </w:r>
    </w:p>
    <w:p>
      <w:r>
        <w:rPr>
          <w:b/>
          <w:bCs/>
        </w:rPr>
        <w:t xml:space="preserve">Prioridad: </w:t>
      </w:r>
      <w:r>
        <w:t xml:space="preserve">Must   </w:t>
      </w:r>
      <w:r>
        <w:rPr>
          <w:b/>
          <w:bCs/>
        </w:rPr>
        <w:t xml:space="preserve">Depende de: </w:t>
      </w:r>
      <w:r>
        <w:t xml:space="preserve">HU-ACC-11</w:t>
      </w:r>
    </w:p>
    <w:p>
      <w:r>
        <w:rPr>
          <w:b/>
          <w:bCs/>
        </w:rPr>
        <w:t xml:space="preserve">Criterios de aceptación</w:t>
      </w:r>
    </w:p>
    <w:p>
      <w:pPr>
        <w:pStyle w:val="ListParagraph"/>
        <w:numPr>
          <w:ilvl w:val="0"/>
          <w:numId w:val="2"/>
        </w:numPr>
      </w:pPr>
      <w:r>
        <w:t xml:space="preserve">El reporte genera un requerimiento asignado a Seguridad y Tecnología con número de seguimiento.</w:t>
      </w:r>
    </w:p>
    <w:p>
      <w:pPr>
        <w:pStyle w:val="ListParagraph"/>
        <w:numPr>
          <w:ilvl w:val="0"/>
          <w:numId w:val="2"/>
        </w:numPr>
      </w:pPr>
      <w:r>
        <w:t xml:space="preserve">Al resolverse, el coordinador es notificado y puede repetir la prueba.</w:t>
      </w:r>
    </w:p>
    <w:p>
      <w:pPr>
        <w:shd w:fill="FFF4CE" w:val="clear"/>
      </w:pPr>
      <w:r>
        <w:rPr>
          <w:b/>
          <w:bCs/>
        </w:rPr>
        <w:t xml:space="preserve">Nota: </w:t>
      </w:r>
      <w:r>
        <w:t xml:space="preserve">Pregunta abierta: la tarea menciona "gestión y CIS". Hay que definir qué es CIS y si el requerimiento se integra con una herramienta de mesa de ayuda existente.</w:t>
      </w:r>
    </w:p>
    <w:p>
      <w:pPr>
        <w:pStyle w:val="Heading1"/>
      </w:pPr>
      <w:r>
        <w:t xml:space="preserve">3. Decisiones pendientes con el negocio</w:t>
      </w:r>
    </w:p>
    <w:p>
      <w:pPr>
        <w:pStyle w:val="ListParagraph"/>
        <w:numPr>
          <w:ilvl w:val="0"/>
          <w:numId w:val="2"/>
        </w:numPr>
      </w:pPr>
      <w:r>
        <w:t xml:space="preserve">¿La tarea 9 de Integración y "Aprobar la integración" del Catálogo son una sola aprobación o dos? (HU-INT-12)</w:t>
      </w:r>
    </w:p>
    <w:p>
      <w:pPr>
        <w:pStyle w:val="ListParagraph"/>
        <w:numPr>
          <w:ilvl w:val="0"/>
          <w:numId w:val="2"/>
        </w:numPr>
      </w:pPr>
      <w:r>
        <w:t xml:space="preserve">¿Quién pasa la fuente de OCULTO a PUBLICADO, y es automático o manual? (HU-INT-15)</w:t>
      </w:r>
    </w:p>
    <w:p>
      <w:pPr>
        <w:pStyle w:val="ListParagraph"/>
        <w:numPr>
          <w:ilvl w:val="0"/>
          <w:numId w:val="2"/>
        </w:numPr>
      </w:pPr>
      <w:r>
        <w:t xml:space="preserve">¿La validación de la integración espera a que Protección termine la clasificación? (HU-INT-09)</w:t>
      </w:r>
    </w:p>
    <w:p>
      <w:pPr>
        <w:pStyle w:val="ListParagraph"/>
        <w:numPr>
          <w:ilvl w:val="0"/>
          <w:numId w:val="2"/>
        </w:numPr>
      </w:pPr>
      <w:r>
        <w:t xml:space="preserve">¿Qué pasa con los consumidores y paquetes vigentes cuando se elimina o fusiona una fuente? (HU-INT-18, HU-INT-19)</w:t>
      </w:r>
    </w:p>
    <w:p>
      <w:pPr>
        <w:pStyle w:val="ListParagraph"/>
        <w:numPr>
          <w:ilvl w:val="0"/>
          <w:numId w:val="2"/>
        </w:numPr>
      </w:pPr>
      <w:r>
        <w:t xml:space="preserve">¿Las credenciales de HU-ACC-04 son de plataforma o de paquetes? (HU-ACC-04, HU-ACC-10)</w:t>
      </w:r>
    </w:p>
    <w:p>
      <w:pPr>
        <w:pStyle w:val="ListParagraph"/>
        <w:numPr>
          <w:ilvl w:val="0"/>
          <w:numId w:val="2"/>
        </w:numPr>
      </w:pPr>
      <w:r>
        <w:t xml:space="preserve">¿Toda selección de campos pasa por Protección de la Información, o solo la que requiere justificación jurídica? (HU-ACC-07)</w:t>
      </w:r>
    </w:p>
    <w:p>
      <w:pPr>
        <w:pStyle w:val="ListParagraph"/>
        <w:numPr>
          <w:ilvl w:val="0"/>
          <w:numId w:val="2"/>
        </w:numPr>
      </w:pPr>
      <w:r>
        <w:t xml:space="preserve">¿Quién crea los paquetes? (HU-ACC-10)</w:t>
      </w:r>
    </w:p>
    <w:p>
      <w:pPr>
        <w:pStyle w:val="ListParagraph"/>
        <w:numPr>
          <w:ilvl w:val="0"/>
          <w:numId w:val="2"/>
        </w:numPr>
      </w:pPr>
      <w:r>
        <w:t xml:space="preserve">¿Qué es "CIS" y con qué herramienta se gestiona el soporte? (HU-ACC-12)</w:t>
      </w:r>
    </w:p>
    <w:p>
      <w:pPr>
        <w:pStyle w:val="ListParagraph"/>
        <w:numPr>
          <w:ilvl w:val="0"/>
          <w:numId w:val="2"/>
        </w:numPr>
      </w:pPr>
      <w:r>
        <w:t xml:space="preserve">¿El nombre oficial de la plataforma es SURI o URI?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SINARP · Historias de usuario · 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5bc5fb0b13ec7ebc2208bada2d300e5f0c9cca.png"/><Relationship Id="rId9" Type="http://schemas.openxmlformats.org/officeDocument/2006/relationships/image" Target="media/bf69ac2f7674e4d9ac52cb39c86a3b555b500f2c.png"/><Relationship Id="rId10" Type="http://schemas.openxmlformats.org/officeDocument/2006/relationships/image" Target="media/15d7f2606ce8dc660bcd27246662fff3f3f2491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2026-09-22T03:22:38.708Z</dcterms:created>
  <dcterms:modified xsi:type="dcterms:W3CDTF">2026-09-22T03:22:38.708Z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