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50"/>
            </w:tabs>
            <w:spacing w:before="12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color w:val="000000"/>
                <w:rtl w:val="0"/>
              </w:rPr>
              <w:t xml:space="preserve">CONTROL DE CAMBIOS</w:t>
            </w:r>
          </w:hyperlink>
          <w:hyperlink w:anchor="_heading=h.gjdgxs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1. 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2.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3. 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TÉRMINOS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4. RECOMENDACIONES GENERALES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5. 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Style w:val="Heading1"/>
        <w:widowControl w:val="1"/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7/8/2023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Indicar los pasos a seguir para solicitar contratos de un agente con ATHENE, así como también completar la información del contrato en Salesforce. </w:t>
      </w:r>
    </w:p>
    <w:p w:rsidR="00000000" w:rsidDel="00000000" w:rsidP="00000000" w:rsidRDefault="00000000" w:rsidRPr="00000000" w14:paraId="0000001B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znysh7" w:id="4"/>
      <w:bookmarkEnd w:id="4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TÉRMINOS Y DEFINICIONES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397" w:right="0" w:firstLine="0"/>
        <w:jc w:val="both"/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Agente que da una respuesta positiva es tipificado y el registro pasa al objeto opportunities, este aplica a contratarse.</w:t>
      </w: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tyjcwt" w:id="6"/>
      <w:bookmarkEnd w:id="6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RECOMENDACIONES GENERALES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dy6vkm" w:id="7"/>
      <w:bookmarkEnd w:id="7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DESCRIPCIÓN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139700</wp:posOffset>
                </wp:positionV>
                <wp:extent cx="389890" cy="188595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139700</wp:posOffset>
                </wp:positionV>
                <wp:extent cx="389890" cy="188595"/>
                <wp:effectExtent b="0" l="0" r="0" t="0"/>
                <wp:wrapNone/>
                <wp:docPr id="8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890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9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482600</wp:posOffset>
                </wp:positionV>
                <wp:extent cx="410210" cy="135890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482600</wp:posOffset>
                </wp:positionV>
                <wp:extent cx="410210" cy="135890"/>
                <wp:effectExtent b="0" l="0" r="0" t="0"/>
                <wp:wrapNone/>
                <wp:docPr id="8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0210" cy="135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215900</wp:posOffset>
                </wp:positionV>
                <wp:extent cx="865654" cy="161925"/>
                <wp:effectExtent b="0" l="0" r="0" t="0"/>
                <wp:wrapNone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215900</wp:posOffset>
                </wp:positionV>
                <wp:extent cx="865654" cy="161925"/>
                <wp:effectExtent b="0" l="0" r="0" t="0"/>
                <wp:wrapNone/>
                <wp:docPr id="9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5654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Hacer click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Started Contracting Opps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………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center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Proceso de add state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  <w:rtl w:val="0"/>
        </w:rPr>
        <w:t xml:space="preserve">El requisito para que Athene active un contrato en un estado donde el agente no resida, es que este someta su primera póliza en dicho estado.</w:t>
        <w:br w:type="textWrapping"/>
        <w:br w:type="textWrapping"/>
        <w:t xml:space="preserve">Antes que el agente realice su primera venta en un estado non resident, debemos considerar la siguiente tabla, ya que para recibir el override, o full commission, tanto David Martinez, Insurance XL, y el upline directo (en caso tal sea diferente a David M.), deben estar licenciados en los siguientes estados: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121212"/>
          <w:sz w:val="23"/>
          <w:szCs w:val="23"/>
          <w:highlight w:val="white"/>
        </w:rPr>
        <w:drawing>
          <wp:inline distB="114300" distT="114300" distL="114300" distR="114300">
            <wp:extent cx="6332220" cy="3378200"/>
            <wp:effectExtent b="0" l="0" r="0" t="0"/>
            <wp:docPr id="9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1" w:line="276" w:lineRule="auto"/>
        <w:ind w:left="1117" w:firstLine="0"/>
        <w:jc w:val="both"/>
        <w:rPr>
          <w:rFonts w:ascii="Arial" w:cs="Arial" w:eastAsia="Arial" w:hAnsi="Arial"/>
          <w:color w:val="121212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160" w:line="259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121212"/>
          <w:sz w:val="23"/>
          <w:szCs w:val="23"/>
          <w:u w:val="single"/>
          <w:rtl w:val="0"/>
        </w:rPr>
        <w:br w:type="textWrapping"/>
        <w:t xml:space="preserve">Si por el contrario, el agente va a vender en un estado que NO aparezca en la lista, sólo el agente debe estar licenciado y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2. La oportunidad en Salesforce de un non resident state se puede convertir cuando el carrier apruebe el contrato en el estado donde el agente resida, y en la parte del contrato donde dice </w:t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Contract Status Details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, agregar una nota que diga </w:t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Pending Sale: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247073" cy="2524706"/>
            <wp:effectExtent b="0" l="0" r="0" t="0"/>
            <wp:docPr id="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7073" cy="252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  <w:br w:type="textWrapping"/>
        <w:br w:type="textWrapping"/>
        <w:t xml:space="preserve">3. El carrier nos notificará por correo cuando el agente someta la primera póliza en el non resident state y cualquier otro requerimiento adicional que se necesite para completar el appointment (pagar la tarifa del contrato, por ejemplo).</w:t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317500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8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317500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8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431800</wp:posOffset>
              </wp:positionH>
              <wp:positionV relativeFrom="paragraph">
                <wp:posOffset>9486900</wp:posOffset>
              </wp:positionV>
              <wp:extent cx="5624195" cy="356235"/>
              <wp:effectExtent b="0" l="0" r="0" t="0"/>
              <wp:wrapNone/>
              <wp:docPr id="89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431800</wp:posOffset>
              </wp:positionH>
              <wp:positionV relativeFrom="paragraph">
                <wp:posOffset>9486900</wp:posOffset>
              </wp:positionV>
              <wp:extent cx="5624195" cy="356235"/>
              <wp:effectExtent b="0" l="0" r="0" t="0"/>
              <wp:wrapNone/>
              <wp:docPr id="8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24195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24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185"/>
      <w:gridCol w:w="1320"/>
      <w:tblGridChange w:id="0">
        <w:tblGrid>
          <w:gridCol w:w="2430"/>
          <w:gridCol w:w="5310"/>
          <w:gridCol w:w="1185"/>
          <w:gridCol w:w="132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9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  <w:sz w:val="20"/>
              <w:szCs w:val="20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sz w:val="20"/>
              <w:szCs w:val="20"/>
              <w:rtl w:val="0"/>
            </w:rPr>
            <w:t xml:space="preserve"> Gestión de Contratos con ATHENE LIFE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3F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CM-IN-25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43">
          <w:pPr>
            <w:jc w:val="center"/>
            <w:rPr>
              <w:rFonts w:ascii="Source Serif Pro" w:cs="Source Serif Pro" w:eastAsia="Source Serif Pro" w:hAnsi="Source Serif Pro"/>
              <w:sz w:val="20"/>
              <w:szCs w:val="20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20"/>
              <w:szCs w:val="20"/>
              <w:rtl w:val="0"/>
            </w:rPr>
            <w:t xml:space="preserve">Proceso o Área: Commercial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02/2023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6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4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-572133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9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  <w:sz w:val="20"/>
              <w:szCs w:val="20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sz w:val="20"/>
              <w:szCs w:val="20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4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2">
          <w:pPr>
            <w:jc w:val="center"/>
            <w:rPr>
              <w:rFonts w:ascii="Source Serif Pro" w:cs="Source Serif Pro" w:eastAsia="Source Serif Pro" w:hAnsi="Source Serif Pro"/>
              <w:sz w:val="20"/>
              <w:szCs w:val="20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b3838"/>
              <w:sz w:val="20"/>
              <w:szCs w:val="20"/>
              <w:rtl w:val="0"/>
            </w:rPr>
            <w:t xml:space="preserve">Proceso o Área: Operaciones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2.xml"/><Relationship Id="rId14" Type="http://schemas.openxmlformats.org/officeDocument/2006/relationships/header" Target="header3.xml"/><Relationship Id="rId17" Type="http://schemas.openxmlformats.org/officeDocument/2006/relationships/footer" Target="footer2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u+vj3yVNisJAumnilfKnzrQbsQ==">CgMxLjAyCWguMXQzaDVzZjIIaC5namRneHMyCWguMzBqMHpsbDIJaC4xZm9iOXRlMgloLjN6bnlzaDcyCWguMmV0OTJwMDIIaC50eWpjd3QyCWguM2R5NnZrbTgAciExVWJvd29kNmdwRlVKMjRuWWZRUHlhRHY3X1NWWFpxalU=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