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Work Sans" w:cs="Work Sans" w:eastAsia="Work Sans" w:hAnsi="Work Sans"/>
        </w:rPr>
      </w:pPr>
      <w:bookmarkStart w:colFirst="0" w:colLast="0" w:name="_heading=h.1t3h5s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62"/>
            </w:tabs>
            <w:spacing w:after="0" w:before="120" w:line="240" w:lineRule="auto"/>
            <w:ind w:left="540" w:right="0" w:hanging="440"/>
            <w:jc w:val="left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4d34og8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 CAMBIOS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1"/>
              <w:tab w:val="right" w:leader="none" w:pos="9962"/>
            </w:tabs>
            <w:spacing w:after="0" w:before="120" w:line="240" w:lineRule="auto"/>
            <w:ind w:left="540" w:right="0" w:hanging="440"/>
            <w:jc w:val="left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1"/>
              <w:tab w:val="right" w:leader="none" w:pos="9962"/>
            </w:tabs>
            <w:spacing w:after="0" w:before="120" w:line="240" w:lineRule="auto"/>
            <w:ind w:left="540" w:right="0" w:hanging="440"/>
            <w:jc w:val="left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ALCANCE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1"/>
              <w:tab w:val="right" w:leader="none" w:pos="9962"/>
            </w:tabs>
            <w:spacing w:after="0" w:before="120" w:line="240" w:lineRule="auto"/>
            <w:ind w:left="540" w:right="0" w:hanging="440"/>
            <w:jc w:val="left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TÉRMINOS Y DEFINICIONES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1"/>
              <w:tab w:val="right" w:leader="none" w:pos="9962"/>
            </w:tabs>
            <w:spacing w:after="0" w:before="120" w:line="240" w:lineRule="auto"/>
            <w:ind w:left="540" w:right="0" w:hanging="440"/>
            <w:jc w:val="left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DOCUMENTOS DE REFERENCIA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1"/>
              <w:tab w:val="right" w:leader="none" w:pos="9962"/>
            </w:tabs>
            <w:spacing w:after="0" w:before="120" w:line="240" w:lineRule="auto"/>
            <w:ind w:left="540" w:right="0" w:hanging="440"/>
            <w:jc w:val="left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  <w:t xml:space="preserve">DESCRIPCIÓN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>
              <w:rFonts w:ascii="Work Sans" w:cs="Work Sans" w:eastAsia="Work Sans" w:hAnsi="Work Sans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d34og8" w:id="1"/>
      <w:bookmarkEnd w:id="1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CONTROL DE CAMBIOS</w:t>
      </w:r>
    </w:p>
    <w:tbl>
      <w:tblPr>
        <w:tblStyle w:val="Table1"/>
        <w:tblW w:w="1001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33"/>
        <w:gridCol w:w="4966"/>
        <w:gridCol w:w="2000"/>
        <w:gridCol w:w="2216"/>
        <w:tblGridChange w:id="0">
          <w:tblGrid>
            <w:gridCol w:w="833"/>
            <w:gridCol w:w="4966"/>
            <w:gridCol w:w="2000"/>
            <w:gridCol w:w="2216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Ítem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Descripción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Fecha 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Ciclo de Aprobación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0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Creación del documento. 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2/3/2022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2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</w:r>
          </w:p>
          <w:p w:rsidR="00000000" w:rsidDel="00000000" w:rsidP="00000000" w:rsidRDefault="00000000" w:rsidRPr="00000000" w14:paraId="00000013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Angélica Martínez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Revisado Por: </w:t>
            </w:r>
          </w:p>
          <w:p w:rsidR="00000000" w:rsidDel="00000000" w:rsidP="00000000" w:rsidRDefault="00000000" w:rsidRPr="00000000" w14:paraId="00000015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 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017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Raúl Zarate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Work Sans" w:cs="Work Sans" w:eastAsia="Work Sans" w:hAnsi="Work Sans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s8eyo1" w:id="2"/>
      <w:bookmarkEnd w:id="2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Indicar los pasos a seguir para solicitar contratos de un agente con BlueCross BlueShield, así como también completar la información del contrato en Salesforce.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7dp8vu" w:id="3"/>
      <w:bookmarkEnd w:id="3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Aplica una vez se convierte al lead en contacto, y el agente requiera trabajar bajo contrato del carrier, no aplica cuando el agente únicamente trabaje con MBO.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rdcrjn" w:id="4"/>
      <w:bookmarkEnd w:id="4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TÉRMINOS Y DEFINICIONES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ARC: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Plataforma que permite visualizar el libro de negocios, producción y comisiones del agente.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bookmarkStart w:colFirst="0" w:colLast="0" w:name="_heading=h.2et92p0" w:id="5"/>
      <w:bookmarkEnd w:id="5"/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Carrier: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Compañía o entidad de seguros con la que Claro Insurance mantiene contratos, y a través de estas los agentes asociados con nosotros venden sus productos.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Salesforce: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Herramienta digital que contiene la información sobre agentes y clientes de la compañía.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NPN: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Número de identificación del agente.</w:t>
      </w: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Opportunities: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Agente que da una respuesta positiva es tipificado y el registro pasa al objeto opportunities, este aplica a contratarse.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6in1rg" w:id="6"/>
      <w:bookmarkEnd w:id="6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DOCUMENTOS DE REFERENCIA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No Aplica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nxbz9" w:id="7"/>
      <w:bookmarkEnd w:id="7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Ingresar diariamente, al inicio de la jornada laboral, a la plataforma de Salesforce y realizar las siguientes acciones.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ind w:left="1080" w:firstLine="0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114300</wp:posOffset>
                </wp:positionV>
                <wp:extent cx="408940" cy="207645"/>
                <wp:effectExtent b="0" l="0" r="0" t="0"/>
                <wp:wrapNone/>
                <wp:docPr id="11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60580" y="3695228"/>
                          <a:ext cx="370840" cy="1695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114300</wp:posOffset>
                </wp:positionV>
                <wp:extent cx="408940" cy="207645"/>
                <wp:effectExtent b="0" l="0" r="0" t="0"/>
                <wp:wrapNone/>
                <wp:docPr id="11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894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jc w:val="center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808080"/>
          <w:sz w:val="20"/>
          <w:szCs w:val="20"/>
        </w:rPr>
        <w:drawing>
          <wp:inline distB="114300" distT="114300" distL="114300" distR="114300">
            <wp:extent cx="5020627" cy="1200421"/>
            <wp:effectExtent b="0" l="0" r="0" t="0"/>
            <wp:docPr id="1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7" cy="120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457200</wp:posOffset>
                </wp:positionV>
                <wp:extent cx="429260" cy="154940"/>
                <wp:effectExtent b="0" l="0" r="0" t="0"/>
                <wp:wrapNone/>
                <wp:docPr id="1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45658" y="3716818"/>
                          <a:ext cx="400685" cy="1263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457200</wp:posOffset>
                </wp:positionV>
                <wp:extent cx="429260" cy="154940"/>
                <wp:effectExtent b="0" l="0" r="0" t="0"/>
                <wp:wrapNone/>
                <wp:docPr id="11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260" cy="154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190500</wp:posOffset>
                </wp:positionV>
                <wp:extent cx="884704" cy="180975"/>
                <wp:effectExtent b="0" l="0" r="0" t="0"/>
                <wp:wrapNone/>
                <wp:docPr id="11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17936" y="3703800"/>
                          <a:ext cx="856129" cy="152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190500</wp:posOffset>
                </wp:positionV>
                <wp:extent cx="884704" cy="180975"/>
                <wp:effectExtent b="0" l="0" r="0" t="0"/>
                <wp:wrapNone/>
                <wp:docPr id="11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4704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(1)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Hacer click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(2)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Seleccionar lista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Started Contracting Opps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(3)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Filtrar por carrier BlueCross BlueShield Texas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Abrir la oportunidad y con la información del agente vamos a llenar el siguiente formato (Este puede ser encontrado en la carpeta ACA - BlueCross Texas, con nombre “TBI - Carrier request Form”, descargar en formato Word):</w:t>
      </w:r>
    </w:p>
    <w:p w:rsidR="00000000" w:rsidDel="00000000" w:rsidP="00000000" w:rsidRDefault="00000000" w:rsidRPr="00000000" w14:paraId="0000002E">
      <w:pPr>
        <w:spacing w:before="11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266773" cy="3357291"/>
            <wp:effectExtent b="0" l="0" r="0" t="0"/>
            <wp:docPr id="12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6773" cy="3357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1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Una vez completado el formato con la información del agente, guardar el archivo en formato PDF.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before="11" w:line="276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Dirigirse al correo para enviar la solicitud a nuestro upline adjuntando el formato que acabamos de completar.</w:t>
      </w:r>
    </w:p>
    <w:p w:rsidR="00000000" w:rsidDel="00000000" w:rsidP="00000000" w:rsidRDefault="00000000" w:rsidRPr="00000000" w14:paraId="00000033">
      <w:pPr>
        <w:spacing w:before="11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4">
      <w:pPr>
        <w:spacing w:before="11" w:line="276" w:lineRule="auto"/>
        <w:ind w:left="1080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Good afternoon BCBS team,</w:t>
      </w:r>
    </w:p>
    <w:p w:rsidR="00000000" w:rsidDel="00000000" w:rsidP="00000000" w:rsidRDefault="00000000" w:rsidRPr="00000000" w14:paraId="00000035">
      <w:pPr>
        <w:widowControl w:val="1"/>
        <w:spacing w:line="276" w:lineRule="auto"/>
        <w:ind w:left="1080" w:firstLine="0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line="276" w:lineRule="auto"/>
        <w:ind w:left="1080" w:firstLine="0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I hope this email finds you well. Would you please help us to send out a link to start the onboarding BCBS process in TX for some of our agents? Please find attached the form requested.</w:t>
      </w:r>
    </w:p>
    <w:p w:rsidR="00000000" w:rsidDel="00000000" w:rsidP="00000000" w:rsidRDefault="00000000" w:rsidRPr="00000000" w14:paraId="00000037">
      <w:pPr>
        <w:widowControl w:val="1"/>
        <w:spacing w:line="276" w:lineRule="auto"/>
        <w:ind w:left="1080" w:firstLine="0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line="276" w:lineRule="auto"/>
        <w:ind w:left="360" w:firstLine="720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Thanks in advance. I hope you have a wonderful day ahead.</w:t>
      </w:r>
    </w:p>
    <w:p w:rsidR="00000000" w:rsidDel="00000000" w:rsidP="00000000" w:rsidRDefault="00000000" w:rsidRPr="00000000" w14:paraId="00000039">
      <w:pPr>
        <w:widowControl w:val="1"/>
        <w:spacing w:line="276" w:lineRule="auto"/>
        <w:ind w:left="1080" w:firstLine="0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line="276" w:lineRule="auto"/>
        <w:ind w:left="360" w:firstLine="720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##ContractingSpecialistName</w:t>
      </w:r>
    </w:p>
    <w:p w:rsidR="00000000" w:rsidDel="00000000" w:rsidP="00000000" w:rsidRDefault="00000000" w:rsidRPr="00000000" w14:paraId="0000003B">
      <w:pPr>
        <w:widowControl w:val="1"/>
        <w:spacing w:line="276" w:lineRule="auto"/>
        <w:ind w:firstLine="720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11" w:line="276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Dirigirse a la oportunidad en SF y cambiar el estado a Pending - Carrier link to be sent.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11" w:line="276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Una vez nos informaran que el link fue enviado mediante un correo electrónico, cambiar la oportunidad a “Pending - On agent side”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11" w:line="276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El equipo de BCBS TX no envía notificación cuando un agente queda aprobado, por tanto, realizar una de las acciones siguientes: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1" w:line="276" w:lineRule="auto"/>
        <w:ind w:left="1837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Preguntar específicamente por el agente a </w:t>
      </w:r>
      <w:hyperlink r:id="rId12">
        <w:r w:rsidDel="00000000" w:rsidR="00000000" w:rsidRPr="00000000">
          <w:rPr>
            <w:rFonts w:ascii="Roboto" w:cs="Roboto" w:eastAsia="Roboto" w:hAnsi="Roboto"/>
            <w:b w:val="0"/>
            <w:i w:val="0"/>
            <w:smallCaps w:val="0"/>
            <w:strike w:val="0"/>
            <w:color w:val="1155cc"/>
            <w:sz w:val="21"/>
            <w:szCs w:val="21"/>
            <w:highlight w:val="white"/>
            <w:u w:val="single"/>
            <w:vertAlign w:val="baseline"/>
            <w:rtl w:val="0"/>
          </w:rPr>
          <w:t xml:space="preserve">creighton@thebrokerageinc.com</w:t>
        </w:r>
      </w:hyperlink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22222"/>
          <w:sz w:val="21"/>
          <w:szCs w:val="21"/>
          <w:highlight w:val="white"/>
          <w:u w:val="none"/>
          <w:vertAlign w:val="baseline"/>
          <w:rtl w:val="0"/>
        </w:rPr>
        <w:t xml:space="preserve"> y/o </w:t>
      </w:r>
      <w:hyperlink r:id="rId13">
        <w:r w:rsidDel="00000000" w:rsidR="00000000" w:rsidRPr="00000000">
          <w:rPr>
            <w:rFonts w:ascii="Roboto" w:cs="Roboto" w:eastAsia="Roboto" w:hAnsi="Roboto"/>
            <w:b w:val="0"/>
            <w:i w:val="0"/>
            <w:smallCaps w:val="0"/>
            <w:strike w:val="0"/>
            <w:color w:val="0000ff"/>
            <w:sz w:val="21"/>
            <w:szCs w:val="21"/>
            <w:highlight w:val="white"/>
            <w:u w:val="single"/>
            <w:vertAlign w:val="baseline"/>
            <w:rtl w:val="0"/>
          </w:rPr>
          <w:t xml:space="preserve">contracting@thebrokerageinc.com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1" w:line="276" w:lineRule="auto"/>
        <w:ind w:left="1837" w:right="0" w:hanging="360"/>
        <w:jc w:val="both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Pedir un reporte general al equipo BCBS TX </w:t>
      </w:r>
      <w:hyperlink r:id="rId14">
        <w:r w:rsidDel="00000000" w:rsidR="00000000" w:rsidRPr="00000000">
          <w:rPr>
            <w:rFonts w:ascii="Roboto" w:cs="Roboto" w:eastAsia="Roboto" w:hAnsi="Roboto"/>
            <w:b w:val="0"/>
            <w:i w:val="0"/>
            <w:smallCaps w:val="0"/>
            <w:strike w:val="0"/>
            <w:color w:val="1155cc"/>
            <w:sz w:val="21"/>
            <w:szCs w:val="21"/>
            <w:highlight w:val="white"/>
            <w:u w:val="single"/>
            <w:vertAlign w:val="baseline"/>
            <w:rtl w:val="0"/>
          </w:rPr>
          <w:t xml:space="preserve">contracting@thebrokerageinc.com</w:t>
        </w:r>
      </w:hyperlink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before="11" w:line="276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Una vez se confirma que el agente está activo, proceder a convertir la oportunidad en SF con su respectiva nota.</w:t>
      </w:r>
    </w:p>
    <w:p w:rsidR="00000000" w:rsidDel="00000000" w:rsidP="00000000" w:rsidRDefault="00000000" w:rsidRPr="00000000" w14:paraId="00000042">
      <w:pPr>
        <w:spacing w:before="11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193806" cy="419485"/>
            <wp:effectExtent b="0" l="0" r="0" t="0"/>
            <wp:docPr id="1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3806" cy="419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1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2281996" cy="380679"/>
            <wp:effectExtent b="0" l="0" r="0" t="0"/>
            <wp:docPr id="1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996" cy="380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1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 el contrato generado una vez convertida la oportunidad se completarán los campos requeridos.</w:t>
      </w:r>
    </w:p>
    <w:p w:rsidR="00000000" w:rsidDel="00000000" w:rsidP="00000000" w:rsidRDefault="00000000" w:rsidRPr="00000000" w14:paraId="00000046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1095564</wp:posOffset>
            </wp:positionH>
            <wp:positionV relativeFrom="paragraph">
              <wp:posOffset>101188</wp:posOffset>
            </wp:positionV>
            <wp:extent cx="4280270" cy="1000897"/>
            <wp:effectExtent b="0" l="0" r="0" t="0"/>
            <wp:wrapNone/>
            <wp:docPr id="1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0270" cy="10008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pacing w:before="11" w:lineRule="auto"/>
        <w:ind w:firstLine="72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1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11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headerReference r:id="rId20" w:type="even"/>
      <w:footerReference r:id="rId21" w:type="default"/>
      <w:footerReference r:id="rId22" w:type="first"/>
      <w:footerReference r:id="rId23" w:type="even"/>
      <w:pgSz w:h="15840" w:w="12240" w:orient="portrait"/>
      <w:pgMar w:bottom="1418" w:top="1701" w:left="1134" w:right="1134" w:header="713" w:footer="5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erif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Work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Quattrocento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to Sans Symbols">
    <w:embedRegular w:fontKey="{00000000-0000-0000-0000-000000000000}" r:id="rId17" w:subsetted="0"/>
    <w:embedBold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5"/>
        <w:szCs w:val="15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292100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13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521520" y="3775555"/>
                        <a:ext cx="564896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292100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1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406400</wp:posOffset>
              </wp:positionH>
              <wp:positionV relativeFrom="paragraph">
                <wp:posOffset>9461500</wp:posOffset>
              </wp:positionV>
              <wp:extent cx="5643245" cy="375285"/>
              <wp:effectExtent b="0" l="0" r="0" t="0"/>
              <wp:wrapNone/>
              <wp:docPr id="114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543428" y="3611408"/>
                        <a:ext cx="560514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6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Work Sans" w:cs="Work Sans" w:eastAsia="Work Sans" w:hAnsi="Work Sans"/>
                              <w:b w:val="0"/>
                              <w:i w:val="0"/>
                              <w:smallCaps w:val="0"/>
                              <w:strike w:val="0"/>
                              <w:color w:val="4a452a"/>
                              <w:sz w:val="16"/>
                              <w:vertAlign w:val="baseline"/>
                            </w:rPr>
                            <w:t xml:space="preserve">©Queda prohibida la reproducción total o parcial de este documento por cualquier medio sin el consentimiento previo y por escrito de CLARO INSURANCE.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406400</wp:posOffset>
              </wp:positionH>
              <wp:positionV relativeFrom="paragraph">
                <wp:posOffset>9461500</wp:posOffset>
              </wp:positionV>
              <wp:extent cx="5643245" cy="375285"/>
              <wp:effectExtent b="0" l="0" r="0" t="0"/>
              <wp:wrapNone/>
              <wp:docPr id="11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43245" cy="375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10174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172"/>
      <w:gridCol w:w="1265"/>
      <w:tblGridChange w:id="0">
        <w:tblGrid>
          <w:gridCol w:w="2427"/>
          <w:gridCol w:w="5310"/>
          <w:gridCol w:w="1172"/>
          <w:gridCol w:w="1265"/>
        </w:tblGrid>
      </w:tblGridChange>
    </w:tblGrid>
    <w:tr>
      <w:trPr>
        <w:cantSplit w:val="0"/>
        <w:trHeight w:val="79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4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-572131</wp:posOffset>
                </wp:positionH>
                <wp:positionV relativeFrom="paragraph">
                  <wp:posOffset>0</wp:posOffset>
                </wp:positionV>
                <wp:extent cx="1219200" cy="413657"/>
                <wp:effectExtent b="0" l="0" r="0" t="0"/>
                <wp:wrapNone/>
                <wp:docPr id="1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4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INSTRUCTIVO PARA </w:t>
          </w:r>
        </w:p>
      </w:tc>
      <w:tc>
        <w:tcPr/>
        <w:p w:rsidR="00000000" w:rsidDel="00000000" w:rsidP="00000000" w:rsidRDefault="00000000" w:rsidRPr="00000000" w14:paraId="0000004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4F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-I-01</w:t>
          </w:r>
        </w:p>
      </w:tc>
      <w:tc>
        <w:tcPr/>
        <w:p w:rsidR="00000000" w:rsidDel="00000000" w:rsidP="00000000" w:rsidRDefault="00000000" w:rsidRPr="00000000" w14:paraId="0000005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3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Operaciones</w:t>
          </w:r>
        </w:p>
      </w:tc>
      <w:tc>
        <w:tcPr/>
        <w:p w:rsidR="00000000" w:rsidDel="00000000" w:rsidP="00000000" w:rsidRDefault="00000000" w:rsidRPr="00000000" w14:paraId="0000005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12/10/2022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00" w:lineRule="auto"/>
            <w:ind w:left="198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Page 1 de 12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Work Sans" w:cs="Work Sans" w:eastAsia="Work Sans" w:hAnsi="Work Sans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10340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253"/>
      <w:gridCol w:w="1350"/>
      <w:tblGridChange w:id="0">
        <w:tblGrid>
          <w:gridCol w:w="2427"/>
          <w:gridCol w:w="5310"/>
          <w:gridCol w:w="1253"/>
          <w:gridCol w:w="1350"/>
        </w:tblGrid>
      </w:tblGridChange>
    </w:tblGrid>
    <w:tr>
      <w:trPr>
        <w:cantSplit w:val="0"/>
        <w:trHeight w:val="799" w:hRule="atLeast"/>
        <w:tblHeader w:val="1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5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152400</wp:posOffset>
                </wp:positionV>
                <wp:extent cx="1219200" cy="413657"/>
                <wp:effectExtent b="0" l="0" r="0" t="0"/>
                <wp:wrapNone/>
                <wp:docPr id="11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 GESTIÓN DE CONTRATOS CON BLUECROSS BLUESHIELD TEXAS ACA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5D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CM-IN-10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right="301"/>
            <w:jc w:val="center"/>
            <w:rPr>
              <w:rFonts w:ascii="Source Serif Pro" w:cs="Source Serif Pro" w:eastAsia="Source Serif Pro" w:hAnsi="Source Serif Pro"/>
              <w:color w:val="3a3838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Versión:</w:t>
          </w:r>
        </w:p>
        <w:p w:rsidR="00000000" w:rsidDel="00000000" w:rsidP="00000000" w:rsidRDefault="00000000" w:rsidRPr="00000000" w14:paraId="0000006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right="301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1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2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Commercial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2/2023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5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83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5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7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9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71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3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5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7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9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402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402" w:hanging="360"/>
      </w:pPr>
      <w:rPr>
        <w:b w:val="1"/>
      </w:rPr>
    </w:lvl>
    <w:lvl w:ilvl="2">
      <w:start w:val="0"/>
      <w:numFmt w:val="bullet"/>
      <w:lvlText w:val=""/>
      <w:lvlJc w:val="left"/>
      <w:pPr>
        <w:ind w:left="1402" w:hanging="360"/>
      </w:pPr>
      <w:rPr/>
    </w:lvl>
    <w:lvl w:ilvl="3">
      <w:start w:val="0"/>
      <w:numFmt w:val="bullet"/>
      <w:lvlText w:val="•"/>
      <w:lvlJc w:val="left"/>
      <w:pPr>
        <w:ind w:left="3346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93" w:hanging="360"/>
      </w:pPr>
      <w:rPr/>
    </w:lvl>
    <w:lvl w:ilvl="6">
      <w:start w:val="0"/>
      <w:numFmt w:val="bullet"/>
      <w:lvlText w:val="•"/>
      <w:lvlJc w:val="left"/>
      <w:pPr>
        <w:ind w:left="6266" w:hanging="360"/>
      </w:pPr>
      <w:rPr/>
    </w:lvl>
    <w:lvl w:ilvl="7">
      <w:start w:val="0"/>
      <w:numFmt w:val="bullet"/>
      <w:lvlText w:val="•"/>
      <w:lvlJc w:val="left"/>
      <w:pPr>
        <w:ind w:left="7240" w:hanging="360"/>
      </w:pPr>
      <w:rPr/>
    </w:lvl>
    <w:lvl w:ilvl="8">
      <w:start w:val="0"/>
      <w:numFmt w:val="bullet"/>
      <w:lvlText w:val="•"/>
      <w:lvlJc w:val="left"/>
      <w:pPr>
        <w:ind w:left="8213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ind w:left="1117" w:hanging="360"/>
      </w:pPr>
      <w:rPr/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  <w:qFormat w:val="1"/>
    <w:rPr>
      <w:lang w:val="es-ES"/>
    </w:rPr>
  </w:style>
  <w:style w:type="paragraph" w:styleId="Ttulo1">
    <w:name w:val="heading 1"/>
    <w:aliases w:val="Título Claro"/>
    <w:basedOn w:val="Normal"/>
    <w:link w:val="Ttulo1Car"/>
    <w:uiPriority w:val="9"/>
    <w:qFormat w:val="1"/>
    <w:pPr>
      <w:spacing w:before="52"/>
      <w:ind w:left="1402" w:hanging="361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uiPriority w:val="9"/>
    <w:semiHidden w:val="1"/>
    <w:unhideWhenUsed w:val="1"/>
    <w:qFormat w:val="1"/>
    <w:pPr>
      <w:ind w:left="1402" w:hanging="361"/>
      <w:outlineLvl w:val="1"/>
    </w:pPr>
    <w:rPr>
      <w:b w:val="1"/>
      <w:bCs w:val="1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before="133"/>
      <w:ind w:left="2140" w:right="2100"/>
      <w:jc w:val="center"/>
    </w:pPr>
    <w:rPr>
      <w:b w:val="1"/>
      <w:bCs w:val="1"/>
      <w:sz w:val="48"/>
      <w:szCs w:val="48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120"/>
      <w:ind w:left="1121" w:hanging="440"/>
    </w:pPr>
  </w:style>
  <w:style w:type="paragraph" w:styleId="TDC2">
    <w:name w:val="toc 2"/>
    <w:basedOn w:val="Normal"/>
    <w:uiPriority w:val="1"/>
    <w:qFormat w:val="1"/>
    <w:pPr>
      <w:spacing w:before="120"/>
      <w:ind w:left="1562" w:hanging="661"/>
    </w:p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40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6260F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6260F"/>
    <w:rPr>
      <w:rFonts w:ascii="Calibri" w:cs="Calibri" w:eastAsia="Calibri" w:hAnsi="Calibri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DB1B86"/>
    <w:rPr>
      <w:color w:val="0000ff"/>
      <w:u w:val="single"/>
    </w:rPr>
  </w:style>
  <w:style w:type="table" w:styleId="Tablaconcuadrcula1clara-nfasis4">
    <w:name w:val="Grid Table 1 Light Accent 4"/>
    <w:basedOn w:val="Tablanormal"/>
    <w:uiPriority w:val="46"/>
    <w:rsid w:val="00C240F8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  <w:lang w:eastAsia="es-CO"/>
    </w:rPr>
    <w:tblPr>
      <w:tblStyleRowBandSize w:val="1"/>
      <w:tblStyleColBandSize w:val="1"/>
      <w:tblBorders>
        <w:top w:color="ccc0d9" w:space="0" w:sz="4" w:themeColor="accent4" w:themeTint="000066" w:val="single"/>
        <w:left w:color="ccc0d9" w:space="0" w:sz="4" w:themeColor="accent4" w:themeTint="000066" w:val="single"/>
        <w:bottom w:color="ccc0d9" w:space="0" w:sz="4" w:themeColor="accent4" w:themeTint="000066" w:val="single"/>
        <w:right w:color="ccc0d9" w:space="0" w:sz="4" w:themeColor="accent4" w:themeTint="000066" w:val="single"/>
        <w:insideH w:color="ccc0d9" w:space="0" w:sz="4" w:themeColor="accent4" w:themeTint="000066" w:val="single"/>
        <w:insideV w:color="ccc0d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a1c7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a1c7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F1570"/>
    <w:rPr>
      <w:color w:val="800080" w:themeColor="followedHyperlink"/>
      <w:u w:val="single"/>
    </w:rPr>
  </w:style>
  <w:style w:type="character" w:styleId="Ttulo1Car" w:customStyle="1">
    <w:name w:val="Título 1 Car"/>
    <w:aliases w:val="Título Claro Car"/>
    <w:basedOn w:val="Fuentedeprrafopredeter"/>
    <w:link w:val="Ttulo1"/>
    <w:uiPriority w:val="9"/>
    <w:rsid w:val="002F1570"/>
    <w:rPr>
      <w:rFonts w:ascii="Calibri" w:cs="Calibri" w:eastAsia="Calibri" w:hAnsi="Calibri"/>
      <w:b w:val="1"/>
      <w:bCs w:val="1"/>
      <w:sz w:val="24"/>
      <w:szCs w:val="24"/>
      <w:lang w:val="es-ES"/>
    </w:rPr>
  </w:style>
  <w:style w:type="table" w:styleId="Tablaconcuadrcula4-nfasis6">
    <w:name w:val="Grid Table 4 Accent 6"/>
    <w:basedOn w:val="Tablanormal"/>
    <w:uiPriority w:val="49"/>
    <w:rsid w:val="0005559E"/>
    <w:tblPr>
      <w:tblStyleRowBandSize w:val="1"/>
      <w:tblStyleColBandSize w:val="1"/>
      <w:tblBorders>
        <w:top w:color="fabf8f" w:space="0" w:sz="4" w:themeColor="accent6" w:themeTint="000099" w:val="single"/>
        <w:left w:color="fabf8f" w:space="0" w:sz="4" w:themeColor="accent6" w:themeTint="000099" w:val="single"/>
        <w:bottom w:color="fabf8f" w:space="0" w:sz="4" w:themeColor="accent6" w:themeTint="000099" w:val="single"/>
        <w:right w:color="fabf8f" w:space="0" w:sz="4" w:themeColor="accent6" w:themeTint="000099" w:val="single"/>
        <w:insideH w:color="fabf8f" w:space="0" w:sz="4" w:themeColor="accent6" w:themeTint="000099" w:val="single"/>
        <w:insideV w:color="fabf8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9d9" w:themeFill="accent6" w:themeFillTint="000033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Tablaconcuadrcula5oscura-nfasis6">
    <w:name w:val="Grid Table 5 Dark Accent 6"/>
    <w:basedOn w:val="Tablanormal"/>
    <w:uiPriority w:val="50"/>
    <w:rsid w:val="0005559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d4b4" w:themeFill="accent6" w:themeFillTint="000066" w:val="clear"/>
      </w:tcPr>
    </w:tblStyle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067CA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733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7334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3347"/>
    <w:rPr>
      <w:rFonts w:ascii="Calibri" w:cs="Calibri" w:eastAsia="Calibri" w:hAnsi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7334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73347"/>
    <w:rPr>
      <w:rFonts w:ascii="Calibri" w:cs="Calibri" w:eastAsia="Calibri" w:hAnsi="Calibri"/>
      <w:b w:val="1"/>
      <w:bCs w:val="1"/>
      <w:sz w:val="20"/>
      <w:szCs w:val="20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74E6E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EC"/>
    </w:rPr>
  </w:style>
  <w:style w:type="paragraph" w:styleId="Parrafoclaro" w:customStyle="1">
    <w:name w:val="Parrafo claro"/>
    <w:basedOn w:val="Textoindependiente"/>
    <w:link w:val="ParrafoclaroCar"/>
    <w:qFormat w:val="1"/>
    <w:rsid w:val="00195FE1"/>
    <w:pPr>
      <w:spacing w:before="11" w:line="276" w:lineRule="auto"/>
      <w:ind w:left="397"/>
      <w:jc w:val="both"/>
    </w:pPr>
    <w:rPr>
      <w:rFonts w:ascii="Work Sans" w:hAnsi="Work Sans"/>
      <w:spacing w:val="-1"/>
      <w:sz w:val="20"/>
      <w:szCs w:val="20"/>
      <w:lang w:val="es-EC"/>
    </w:rPr>
  </w:style>
  <w:style w:type="character" w:styleId="ParrafoclaroCar" w:customStyle="1">
    <w:name w:val="Parrafo claro Car"/>
    <w:basedOn w:val="Fuentedeprrafopredeter"/>
    <w:link w:val="Parrafoclaro"/>
    <w:rsid w:val="00195FE1"/>
    <w:rPr>
      <w:rFonts w:ascii="Work Sans" w:cs="Calibri" w:eastAsia="Calibri" w:hAnsi="Work Sans"/>
      <w:spacing w:val="-1"/>
      <w:sz w:val="20"/>
      <w:szCs w:val="20"/>
      <w:lang w:val="es-EC"/>
    </w:rPr>
  </w:style>
  <w:style w:type="character" w:styleId="ts-alignment-element" w:customStyle="1">
    <w:name w:val="ts-alignment-element"/>
    <w:basedOn w:val="Fuentedeprrafopredeter"/>
    <w:rsid w:val="004F108D"/>
  </w:style>
  <w:style w:type="character" w:styleId="ts-alignment-element-highlighted" w:customStyle="1">
    <w:name w:val="ts-alignment-element-highlighted"/>
    <w:basedOn w:val="Fuentedeprrafopredeter"/>
    <w:rsid w:val="00EB6C8E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3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table" w:styleId="a4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3.xml"/><Relationship Id="rId11" Type="http://schemas.openxmlformats.org/officeDocument/2006/relationships/image" Target="media/image6.jpg"/><Relationship Id="rId22" Type="http://schemas.openxmlformats.org/officeDocument/2006/relationships/footer" Target="footer3.xml"/><Relationship Id="rId10" Type="http://schemas.openxmlformats.org/officeDocument/2006/relationships/image" Target="media/image9.png"/><Relationship Id="rId21" Type="http://schemas.openxmlformats.org/officeDocument/2006/relationships/footer" Target="footer1.xml"/><Relationship Id="rId13" Type="http://schemas.openxmlformats.org/officeDocument/2006/relationships/hyperlink" Target="mailto:contracting@thebrokerageinc.com" TargetMode="External"/><Relationship Id="rId12" Type="http://schemas.openxmlformats.org/officeDocument/2006/relationships/hyperlink" Target="mailto:creighton@thebrokerageinc.com" TargetMode="External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hyperlink" Target="mailto:contracting@thebrokerageinc.com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eader" Target="header2.xml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WorkSans-italic.ttf"/><Relationship Id="rId10" Type="http://schemas.openxmlformats.org/officeDocument/2006/relationships/font" Target="fonts/WorkSans-bold.ttf"/><Relationship Id="rId13" Type="http://schemas.openxmlformats.org/officeDocument/2006/relationships/font" Target="fonts/QuattrocentoSans-regular.ttf"/><Relationship Id="rId12" Type="http://schemas.openxmlformats.org/officeDocument/2006/relationships/font" Target="fonts/WorkSans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WorkSans-regular.ttf"/><Relationship Id="rId15" Type="http://schemas.openxmlformats.org/officeDocument/2006/relationships/font" Target="fonts/QuattrocentoSans-italic.ttf"/><Relationship Id="rId14" Type="http://schemas.openxmlformats.org/officeDocument/2006/relationships/font" Target="fonts/QuattrocentoSans-bold.ttf"/><Relationship Id="rId17" Type="http://schemas.openxmlformats.org/officeDocument/2006/relationships/font" Target="fonts/NotoSansSymbols-regular.ttf"/><Relationship Id="rId16" Type="http://schemas.openxmlformats.org/officeDocument/2006/relationships/font" Target="fonts/QuattrocentoSans-boldItalic.ttf"/><Relationship Id="rId5" Type="http://schemas.openxmlformats.org/officeDocument/2006/relationships/font" Target="fonts/SourceSerifPro-regular.ttf"/><Relationship Id="rId6" Type="http://schemas.openxmlformats.org/officeDocument/2006/relationships/font" Target="fonts/SourceSerifPro-bold.ttf"/><Relationship Id="rId18" Type="http://schemas.openxmlformats.org/officeDocument/2006/relationships/font" Target="fonts/NotoSansSymbols-bold.ttf"/><Relationship Id="rId7" Type="http://schemas.openxmlformats.org/officeDocument/2006/relationships/font" Target="fonts/SourceSerifPro-italic.ttf"/><Relationship Id="rId8" Type="http://schemas.openxmlformats.org/officeDocument/2006/relationships/font" Target="fonts/SourceSerifPr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+E5WJYucbN+1GWG6PpS5Aw+OIGw==">AMUW2mWKhyZoOsXwBgXicZN6s6pSDqez6hOZDiUTljXdvUG+epAdEtxI0ZUrfp/KQi01h+6qYfihqv6yeBopOND3ZNEMSjEvERTRplAHyS9QpHxuvSjhKBw8Wgn7TKNf+/aUfpqIazg83Pr2HdYkZYPIOlK2MARw7JNSC9w9/p933iu6TW3vLAxNCv8x1CycXxEfsESpx3sqEfSiqXxK/UmgwdCZbLaLGmRi9BXD5K10kX4nP2IwMl4=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2022-10-12T15:42:00Z</dcterms:created>
  <dc:creator>Juan Esteban 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2022-08-23T00:00:00Z</vt:filetime>
  </property>
</Properties>
</file>